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BC7" w:rsidRDefault="00355BC7" w:rsidP="00355BC7">
      <w:pPr>
        <w:jc w:val="center"/>
        <w:rPr>
          <w:rFonts w:ascii="Arial" w:eastAsiaTheme="minorHAnsi" w:hAnsi="Arial" w:cs="Arial"/>
          <w:b/>
          <w:sz w:val="22"/>
          <w:szCs w:val="22"/>
          <w:lang w:eastAsia="en-US"/>
        </w:rPr>
      </w:pPr>
      <w:bookmarkStart w:id="0" w:name="_GoBack"/>
      <w:bookmarkEnd w:id="0"/>
      <w:r>
        <w:rPr>
          <w:rFonts w:ascii="Arial" w:eastAsiaTheme="minorHAnsi" w:hAnsi="Arial" w:cs="Arial"/>
          <w:b/>
          <w:sz w:val="22"/>
          <w:szCs w:val="22"/>
          <w:lang w:val="es-CO" w:eastAsia="en-US"/>
        </w:rPr>
        <w:t xml:space="preserve">INFORME DE RECONOCIMIENTO INSTITUCIONAL </w:t>
      </w:r>
    </w:p>
    <w:p w:rsidR="00355BC7" w:rsidRDefault="00355BC7" w:rsidP="00355BC7">
      <w:pPr>
        <w:jc w:val="center"/>
        <w:rPr>
          <w:rFonts w:ascii="Arial" w:hAnsi="Arial" w:cs="Arial"/>
          <w:b/>
          <w:sz w:val="22"/>
          <w:szCs w:val="22"/>
        </w:rPr>
      </w:pPr>
      <w:r>
        <w:rPr>
          <w:rFonts w:ascii="Arial" w:hAnsi="Arial" w:cs="Arial"/>
          <w:b/>
          <w:sz w:val="22"/>
          <w:szCs w:val="22"/>
        </w:rPr>
        <w:t>Ajustado -2020</w:t>
      </w:r>
    </w:p>
    <w:p w:rsidR="00355BC7" w:rsidRDefault="00355BC7" w:rsidP="00355BC7">
      <w:pPr>
        <w:jc w:val="center"/>
        <w:rPr>
          <w:rFonts w:ascii="Arial" w:hAnsi="Arial" w:cs="Arial"/>
          <w:b/>
          <w:bCs/>
          <w:sz w:val="22"/>
          <w:szCs w:val="22"/>
        </w:rPr>
      </w:pPr>
    </w:p>
    <w:tbl>
      <w:tblPr>
        <w:tblStyle w:val="Tablaconcuadrcula"/>
        <w:tblW w:w="0" w:type="auto"/>
        <w:jc w:val="center"/>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3402"/>
        <w:gridCol w:w="5358"/>
      </w:tblGrid>
      <w:tr w:rsidR="00355BC7" w:rsidTr="00355BC7">
        <w:trPr>
          <w:jc w:val="center"/>
        </w:trPr>
        <w:tc>
          <w:tcPr>
            <w:tcW w:w="3402" w:type="dxa"/>
            <w:tcBorders>
              <w:top w:val="single" w:sz="4" w:space="0" w:color="auto"/>
              <w:left w:val="single" w:sz="4" w:space="0" w:color="auto"/>
              <w:bottom w:val="single" w:sz="6" w:space="0" w:color="auto"/>
              <w:right w:val="single" w:sz="6" w:space="0" w:color="auto"/>
            </w:tcBorders>
            <w:shd w:val="clear" w:color="auto" w:fill="DBE5F1" w:themeFill="accent1" w:themeFillTint="33"/>
            <w:hideMark/>
          </w:tcPr>
          <w:p w:rsidR="00355BC7" w:rsidRDefault="00355BC7">
            <w:pPr>
              <w:rPr>
                <w:rFonts w:ascii="Arial" w:eastAsia="Calibri" w:hAnsi="Arial" w:cs="Arial"/>
                <w:i/>
                <w:sz w:val="22"/>
                <w:szCs w:val="22"/>
              </w:rPr>
            </w:pPr>
            <w:r>
              <w:rPr>
                <w:rFonts w:ascii="Arial" w:eastAsia="Calibri" w:hAnsi="Arial" w:cs="Arial"/>
                <w:bCs/>
                <w:i/>
                <w:sz w:val="22"/>
                <w:szCs w:val="22"/>
              </w:rPr>
              <w:t>Número de Expediente</w:t>
            </w:r>
          </w:p>
        </w:tc>
        <w:tc>
          <w:tcPr>
            <w:tcW w:w="5358" w:type="dxa"/>
            <w:tcBorders>
              <w:top w:val="single" w:sz="4" w:space="0" w:color="auto"/>
              <w:left w:val="single" w:sz="6" w:space="0" w:color="auto"/>
              <w:bottom w:val="single" w:sz="6" w:space="0" w:color="auto"/>
              <w:right w:val="single" w:sz="4" w:space="0" w:color="auto"/>
            </w:tcBorders>
            <w:shd w:val="clear" w:color="auto" w:fill="DBE5F1" w:themeFill="accent1" w:themeFillTint="33"/>
            <w:hideMark/>
          </w:tcPr>
          <w:p w:rsidR="00355BC7" w:rsidRDefault="00355BC7">
            <w:pPr>
              <w:rPr>
                <w:rFonts w:ascii="Arial" w:eastAsia="Calibri" w:hAnsi="Arial" w:cs="Arial"/>
                <w:bCs/>
                <w:sz w:val="22"/>
                <w:szCs w:val="22"/>
              </w:rPr>
            </w:pPr>
            <w:r>
              <w:rPr>
                <w:rFonts w:ascii="Arial" w:eastAsia="Calibri" w:hAnsi="Arial" w:cs="Arial"/>
                <w:bCs/>
                <w:sz w:val="22"/>
                <w:szCs w:val="22"/>
              </w:rPr>
              <w:t>13/2019/D028-PREDI</w:t>
            </w:r>
          </w:p>
        </w:tc>
      </w:tr>
      <w:tr w:rsidR="00355BC7" w:rsidTr="00355BC7">
        <w:trPr>
          <w:jc w:val="center"/>
        </w:trPr>
        <w:tc>
          <w:tcPr>
            <w:tcW w:w="3402"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rsidR="00355BC7" w:rsidRDefault="00355BC7">
            <w:pPr>
              <w:rPr>
                <w:rFonts w:ascii="Arial" w:eastAsia="Calibri" w:hAnsi="Arial" w:cs="Arial"/>
                <w:bCs/>
                <w:i/>
                <w:sz w:val="22"/>
                <w:szCs w:val="22"/>
              </w:rPr>
            </w:pPr>
            <w:r>
              <w:rPr>
                <w:rFonts w:ascii="Arial" w:eastAsia="Calibri" w:hAnsi="Arial" w:cs="Arial"/>
                <w:bCs/>
                <w:i/>
                <w:sz w:val="22"/>
                <w:szCs w:val="22"/>
              </w:rPr>
              <w:t>Sector</w:t>
            </w:r>
          </w:p>
        </w:tc>
        <w:tc>
          <w:tcPr>
            <w:tcW w:w="5358"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rsidR="00355BC7" w:rsidRDefault="00355BC7">
            <w:pPr>
              <w:rPr>
                <w:rFonts w:ascii="Arial" w:eastAsia="Calibri" w:hAnsi="Arial" w:cs="Arial"/>
                <w:bCs/>
                <w:sz w:val="22"/>
                <w:szCs w:val="22"/>
              </w:rPr>
            </w:pPr>
            <w:r>
              <w:rPr>
                <w:rFonts w:ascii="Arial" w:eastAsia="Calibri" w:hAnsi="Arial" w:cs="Arial"/>
                <w:bCs/>
                <w:sz w:val="22"/>
                <w:szCs w:val="22"/>
              </w:rPr>
              <w:t xml:space="preserve">Agua Potable y Saneamiento Básico </w:t>
            </w:r>
          </w:p>
        </w:tc>
      </w:tr>
      <w:tr w:rsidR="00355BC7" w:rsidTr="00355BC7">
        <w:trPr>
          <w:jc w:val="center"/>
        </w:trPr>
        <w:tc>
          <w:tcPr>
            <w:tcW w:w="3402"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rsidR="00355BC7" w:rsidRDefault="00355BC7">
            <w:pPr>
              <w:rPr>
                <w:rFonts w:ascii="Arial" w:eastAsia="Calibri" w:hAnsi="Arial" w:cs="Arial"/>
                <w:bCs/>
                <w:i/>
                <w:sz w:val="22"/>
                <w:szCs w:val="22"/>
              </w:rPr>
            </w:pPr>
            <w:r>
              <w:rPr>
                <w:rFonts w:ascii="Arial" w:eastAsia="Calibri" w:hAnsi="Arial" w:cs="Arial"/>
                <w:bCs/>
                <w:i/>
                <w:sz w:val="22"/>
                <w:szCs w:val="22"/>
              </w:rPr>
              <w:t>Tipo de Entidad</w:t>
            </w:r>
          </w:p>
        </w:tc>
        <w:tc>
          <w:tcPr>
            <w:tcW w:w="5358"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rsidR="00355BC7" w:rsidRDefault="00355BC7">
            <w:pPr>
              <w:jc w:val="both"/>
              <w:rPr>
                <w:rFonts w:ascii="Arial" w:hAnsi="Arial" w:cs="Arial"/>
                <w:sz w:val="22"/>
                <w:szCs w:val="22"/>
              </w:rPr>
            </w:pPr>
            <w:r>
              <w:rPr>
                <w:rFonts w:ascii="Arial" w:hAnsi="Arial" w:cs="Arial"/>
                <w:sz w:val="22"/>
                <w:szCs w:val="22"/>
              </w:rPr>
              <w:t>Municipio</w:t>
            </w:r>
          </w:p>
        </w:tc>
      </w:tr>
      <w:tr w:rsidR="00355BC7" w:rsidTr="00355BC7">
        <w:trPr>
          <w:jc w:val="center"/>
        </w:trPr>
        <w:tc>
          <w:tcPr>
            <w:tcW w:w="3402" w:type="dxa"/>
            <w:tcBorders>
              <w:top w:val="single" w:sz="6" w:space="0" w:color="auto"/>
              <w:left w:val="single" w:sz="4" w:space="0" w:color="auto"/>
              <w:bottom w:val="single" w:sz="4" w:space="0" w:color="auto"/>
              <w:right w:val="single" w:sz="6" w:space="0" w:color="auto"/>
            </w:tcBorders>
            <w:shd w:val="clear" w:color="auto" w:fill="DBE5F1" w:themeFill="accent1" w:themeFillTint="33"/>
            <w:hideMark/>
          </w:tcPr>
          <w:p w:rsidR="00355BC7" w:rsidRDefault="00355BC7">
            <w:pPr>
              <w:rPr>
                <w:rFonts w:ascii="Arial" w:eastAsia="Calibri" w:hAnsi="Arial" w:cs="Arial"/>
                <w:bCs/>
                <w:i/>
                <w:sz w:val="22"/>
                <w:szCs w:val="22"/>
              </w:rPr>
            </w:pPr>
            <w:r>
              <w:rPr>
                <w:rFonts w:ascii="Arial" w:eastAsia="Calibri" w:hAnsi="Arial" w:cs="Arial"/>
                <w:bCs/>
                <w:i/>
                <w:sz w:val="22"/>
                <w:szCs w:val="22"/>
              </w:rPr>
              <w:t>Entidad</w:t>
            </w:r>
          </w:p>
        </w:tc>
        <w:tc>
          <w:tcPr>
            <w:tcW w:w="5358" w:type="dxa"/>
            <w:tcBorders>
              <w:top w:val="single" w:sz="6" w:space="0" w:color="auto"/>
              <w:left w:val="single" w:sz="6" w:space="0" w:color="auto"/>
              <w:bottom w:val="single" w:sz="4" w:space="0" w:color="auto"/>
              <w:right w:val="single" w:sz="4" w:space="0" w:color="auto"/>
            </w:tcBorders>
            <w:shd w:val="clear" w:color="auto" w:fill="DBE5F1" w:themeFill="accent1" w:themeFillTint="33"/>
            <w:hideMark/>
          </w:tcPr>
          <w:p w:rsidR="00355BC7" w:rsidRDefault="00355BC7">
            <w:pPr>
              <w:jc w:val="both"/>
              <w:rPr>
                <w:rFonts w:ascii="Arial" w:hAnsi="Arial" w:cs="Arial"/>
                <w:sz w:val="22"/>
                <w:szCs w:val="22"/>
              </w:rPr>
            </w:pPr>
            <w:bookmarkStart w:id="1" w:name="deptoymuni"/>
            <w:bookmarkEnd w:id="1"/>
            <w:r>
              <w:rPr>
                <w:rFonts w:ascii="Arial" w:hAnsi="Arial" w:cs="Arial"/>
                <w:sz w:val="22"/>
                <w:szCs w:val="22"/>
              </w:rPr>
              <w:t xml:space="preserve">Mitú - Vaupés   </w:t>
            </w:r>
          </w:p>
        </w:tc>
      </w:tr>
    </w:tbl>
    <w:p w:rsidR="00355BC7" w:rsidRDefault="00355BC7" w:rsidP="00355BC7">
      <w:pPr>
        <w:jc w:val="both"/>
        <w:rPr>
          <w:rFonts w:ascii="Arial" w:eastAsia="Calibri" w:hAnsi="Arial" w:cs="Arial"/>
          <w:sz w:val="22"/>
          <w:szCs w:val="22"/>
        </w:rPr>
      </w:pPr>
    </w:p>
    <w:p w:rsidR="00355BC7" w:rsidRDefault="00355BC7" w:rsidP="00355BC7">
      <w:pPr>
        <w:numPr>
          <w:ilvl w:val="0"/>
          <w:numId w:val="1"/>
        </w:numPr>
        <w:tabs>
          <w:tab w:val="num" w:pos="720"/>
        </w:tabs>
        <w:ind w:left="0" w:firstLine="0"/>
        <w:jc w:val="both"/>
        <w:rPr>
          <w:rFonts w:ascii="Arial" w:hAnsi="Arial" w:cs="Arial"/>
          <w:b/>
          <w:sz w:val="22"/>
          <w:szCs w:val="22"/>
        </w:rPr>
      </w:pPr>
      <w:r>
        <w:rPr>
          <w:rFonts w:ascii="Arial" w:hAnsi="Arial" w:cs="Arial"/>
          <w:b/>
          <w:sz w:val="22"/>
          <w:szCs w:val="22"/>
        </w:rPr>
        <w:t>ANTECEDENTES</w:t>
      </w:r>
      <w:r w:rsidR="00752183">
        <w:rPr>
          <w:rFonts w:ascii="Arial" w:hAnsi="Arial" w:cs="Arial"/>
          <w:b/>
          <w:sz w:val="22"/>
          <w:szCs w:val="22"/>
        </w:rPr>
        <w:t>.</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El Ministerio de Vivienda, Ciudad y Territorio – MVCT remitió a la Dirección General de Apoyo Fiscal – DAF los informes de monitoreo de las vigencias de 2018, 2019 y 2020 mediante los oficios con número de radicado 1-2018-064061 de julio 13 de 2018 y No 1-2019-061951 del 5 de julio de 2019 y No. </w:t>
      </w:r>
      <w:r>
        <w:rPr>
          <w:rFonts w:ascii="Arial" w:hAnsi="Arial" w:cs="Arial"/>
          <w:color w:val="000000"/>
          <w:sz w:val="22"/>
          <w:szCs w:val="22"/>
          <w:shd w:val="clear" w:color="auto" w:fill="FFFFFF"/>
        </w:rPr>
        <w:t>1-2020-060657 de julio 9 de 2020</w:t>
      </w:r>
      <w:r>
        <w:rPr>
          <w:rFonts w:ascii="Arial" w:hAnsi="Arial" w:cs="Arial"/>
          <w:sz w:val="22"/>
          <w:szCs w:val="22"/>
        </w:rPr>
        <w:t xml:space="preserve"> en los que se clasifica al Municipio de Mitú - Vaupés en alto riesgo y priorizado para ser objeto de seguimiento por parte del Ministerio de Hacienda y Crédito Público.</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De acuerdo con el informe de Monitoreo realizado por el MVCT para los años 2019 y 2020, el Municipio fue clasificado en alto riesgo y priorizado para el seguimiento debido al incumplimiento de los siguientes indicadores:</w:t>
      </w:r>
    </w:p>
    <w:p w:rsidR="00355BC7" w:rsidRDefault="00355BC7" w:rsidP="00355BC7">
      <w:pPr>
        <w:jc w:val="both"/>
        <w:rPr>
          <w:rFonts w:ascii="Arial" w:hAnsi="Arial" w:cs="Arial"/>
          <w:sz w:val="22"/>
          <w:szCs w:val="22"/>
        </w:rPr>
      </w:pPr>
    </w:p>
    <w:p w:rsidR="00355BC7" w:rsidRDefault="00355BC7" w:rsidP="00355BC7">
      <w:pPr>
        <w:numPr>
          <w:ilvl w:val="0"/>
          <w:numId w:val="20"/>
        </w:numPr>
        <w:contextualSpacing/>
        <w:jc w:val="both"/>
        <w:rPr>
          <w:rFonts w:ascii="Arial" w:eastAsia="Calibri" w:hAnsi="Arial" w:cs="Arial"/>
          <w:sz w:val="22"/>
          <w:szCs w:val="22"/>
        </w:rPr>
      </w:pPr>
      <w:r>
        <w:rPr>
          <w:rFonts w:ascii="Arial" w:hAnsi="Arial" w:cs="Arial"/>
          <w:sz w:val="22"/>
          <w:szCs w:val="22"/>
        </w:rPr>
        <w:t>Reportó pagos de subsidios inferiores al 15 % de los recursos disponibles en la vigencia 2018 del SGP-APSB.</w:t>
      </w:r>
    </w:p>
    <w:p w:rsidR="00355BC7" w:rsidRDefault="00355BC7" w:rsidP="00355BC7">
      <w:pPr>
        <w:numPr>
          <w:ilvl w:val="0"/>
          <w:numId w:val="20"/>
        </w:numPr>
        <w:contextualSpacing/>
        <w:jc w:val="both"/>
        <w:rPr>
          <w:rFonts w:ascii="Arial" w:eastAsia="Calibri" w:hAnsi="Arial" w:cs="Arial"/>
          <w:sz w:val="22"/>
          <w:szCs w:val="22"/>
        </w:rPr>
      </w:pPr>
      <w:r>
        <w:rPr>
          <w:rFonts w:ascii="Arial" w:eastAsia="Calibri" w:hAnsi="Arial" w:cs="Arial"/>
          <w:sz w:val="22"/>
          <w:szCs w:val="22"/>
        </w:rPr>
        <w:t>Incumplimiento del Indicador de Gestión Administrativa.2019</w:t>
      </w:r>
    </w:p>
    <w:p w:rsidR="00355BC7" w:rsidRDefault="00355BC7" w:rsidP="00355BC7">
      <w:pPr>
        <w:numPr>
          <w:ilvl w:val="0"/>
          <w:numId w:val="21"/>
        </w:numPr>
        <w:contextualSpacing/>
        <w:jc w:val="both"/>
        <w:rPr>
          <w:rFonts w:ascii="Arial" w:eastAsia="Calibri" w:hAnsi="Arial" w:cs="Arial"/>
          <w:sz w:val="22"/>
          <w:szCs w:val="22"/>
        </w:rPr>
      </w:pPr>
      <w:r>
        <w:rPr>
          <w:rFonts w:ascii="Arial" w:hAnsi="Arial" w:cs="Arial"/>
          <w:sz w:val="22"/>
          <w:szCs w:val="22"/>
        </w:rPr>
        <w:t xml:space="preserve">No cumple con los estándares de tratamiento de aguas residuales (2020). </w:t>
      </w:r>
    </w:p>
    <w:p w:rsidR="00355BC7" w:rsidRDefault="00355BC7" w:rsidP="00355BC7">
      <w:pPr>
        <w:numPr>
          <w:ilvl w:val="0"/>
          <w:numId w:val="21"/>
        </w:numPr>
        <w:contextualSpacing/>
        <w:jc w:val="both"/>
        <w:rPr>
          <w:rFonts w:ascii="Arial" w:eastAsia="Calibri" w:hAnsi="Arial" w:cs="Arial"/>
          <w:sz w:val="22"/>
          <w:szCs w:val="22"/>
        </w:rPr>
      </w:pPr>
      <w:r>
        <w:rPr>
          <w:rFonts w:ascii="Arial" w:hAnsi="Arial" w:cs="Arial"/>
          <w:sz w:val="22"/>
          <w:szCs w:val="22"/>
        </w:rPr>
        <w:t>Disposición inadecuada de los residuos solidos</w:t>
      </w:r>
    </w:p>
    <w:p w:rsidR="00355BC7" w:rsidRDefault="00355BC7" w:rsidP="00355BC7">
      <w:pPr>
        <w:numPr>
          <w:ilvl w:val="0"/>
          <w:numId w:val="21"/>
        </w:numPr>
        <w:contextualSpacing/>
        <w:jc w:val="both"/>
        <w:rPr>
          <w:rFonts w:ascii="Arial" w:eastAsia="Calibri" w:hAnsi="Arial" w:cs="Arial"/>
          <w:sz w:val="22"/>
          <w:szCs w:val="22"/>
        </w:rPr>
      </w:pPr>
      <w:r>
        <w:rPr>
          <w:rFonts w:ascii="Arial" w:hAnsi="Arial" w:cs="Arial"/>
          <w:sz w:val="22"/>
          <w:szCs w:val="22"/>
        </w:rPr>
        <w:t>Incumplimiento del indicador de disposición de residuos solidos</w:t>
      </w:r>
    </w:p>
    <w:p w:rsidR="00355BC7" w:rsidRDefault="00355BC7" w:rsidP="00355BC7">
      <w:pPr>
        <w:numPr>
          <w:ilvl w:val="0"/>
          <w:numId w:val="21"/>
        </w:numPr>
        <w:contextualSpacing/>
        <w:jc w:val="both"/>
        <w:rPr>
          <w:rFonts w:ascii="Arial" w:eastAsia="Calibri" w:hAnsi="Arial" w:cs="Arial"/>
          <w:sz w:val="22"/>
          <w:szCs w:val="22"/>
        </w:rPr>
      </w:pPr>
      <w:r>
        <w:rPr>
          <w:rFonts w:ascii="Arial" w:hAnsi="Arial" w:cs="Arial"/>
          <w:sz w:val="22"/>
          <w:szCs w:val="22"/>
        </w:rPr>
        <w:t>Dificultades en la prestación del servicio de acueducto de manera continua</w:t>
      </w:r>
    </w:p>
    <w:p w:rsidR="00355BC7" w:rsidRDefault="00355BC7" w:rsidP="00355BC7">
      <w:pPr>
        <w:numPr>
          <w:ilvl w:val="0"/>
          <w:numId w:val="21"/>
        </w:numPr>
        <w:contextualSpacing/>
        <w:jc w:val="both"/>
        <w:rPr>
          <w:rFonts w:ascii="Arial" w:eastAsia="Calibri" w:hAnsi="Arial" w:cs="Arial"/>
          <w:sz w:val="22"/>
          <w:szCs w:val="22"/>
        </w:rPr>
      </w:pPr>
      <w:r>
        <w:rPr>
          <w:rFonts w:ascii="Arial" w:hAnsi="Arial" w:cs="Arial"/>
          <w:sz w:val="22"/>
          <w:szCs w:val="22"/>
        </w:rPr>
        <w:t>Suministro de agua no apta para el consumo humano</w:t>
      </w:r>
    </w:p>
    <w:p w:rsidR="00355BC7" w:rsidRDefault="00355BC7" w:rsidP="00355BC7">
      <w:pPr>
        <w:jc w:val="both"/>
        <w:rPr>
          <w:rFonts w:ascii="Arial" w:eastAsia="Calibri"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Por otra parte, vale la pena mencionar que, al Municipio de Mitú en el 2014, le fue ordenada la adopción de un Plan de Desempeño, mediante la Resolución No. No. 2557 del 22 de julio de 2014 y aprobado a través de la Resolución No. 3893 del 28 de octubre de 2014. La evaluación final del Plan de Desempeño mostró el incumplimiento de dos de las actividades de las 22 que estaban contempladas y dada la importancia de esas dos actividades relacionadas con las categorías sectorial y financiera se resolvió el incumplimiento y se ordenó la Medida Correctiva de Suspensión. La Medida Correctiva fue levantada en el 2016 mediante la Resolución No. 1740 del 15 de junio de 2016.</w:t>
      </w:r>
    </w:p>
    <w:p w:rsidR="00355BC7" w:rsidRDefault="00355BC7" w:rsidP="00355BC7">
      <w:pPr>
        <w:jc w:val="both"/>
        <w:rPr>
          <w:rFonts w:ascii="Arial" w:hAnsi="Arial" w:cs="Arial"/>
          <w:sz w:val="22"/>
          <w:szCs w:val="22"/>
          <w:highlight w:val="cyan"/>
        </w:rPr>
      </w:pPr>
    </w:p>
    <w:p w:rsidR="00355BC7" w:rsidRDefault="00355BC7" w:rsidP="00355BC7">
      <w:pPr>
        <w:jc w:val="both"/>
        <w:rPr>
          <w:rFonts w:ascii="Arial" w:eastAsiaTheme="minorHAnsi" w:hAnsi="Arial" w:cs="Arial"/>
          <w:sz w:val="22"/>
          <w:szCs w:val="22"/>
          <w:lang w:val="es-CO" w:eastAsia="en-US"/>
        </w:rPr>
      </w:pPr>
      <w:r>
        <w:rPr>
          <w:rFonts w:ascii="Arial" w:hAnsi="Arial" w:cs="Arial"/>
          <w:sz w:val="22"/>
          <w:szCs w:val="22"/>
        </w:rPr>
        <w:t xml:space="preserve">La Dirección General de Apoyo Fiscal en el marco de las funciones asignadas por la Ley 1450 de 2011 (Plan Nacional de Desarrollo 2010-2014), la Resolución 1872 de 2011 y el Decreto 1040 de 2012, solicitó información al Municipio mediante los oficios No. </w:t>
      </w:r>
      <w:r>
        <w:rPr>
          <w:rFonts w:ascii="Arial" w:eastAsia="Calibri" w:hAnsi="Arial" w:cs="Arial"/>
          <w:sz w:val="22"/>
          <w:szCs w:val="22"/>
          <w:lang w:val="es-CO"/>
        </w:rPr>
        <w:t xml:space="preserve">2-2019-010668 del 1 de abril de 2019 y No. 2-2019-017336 del 20 de mayo de 2019, </w:t>
      </w:r>
      <w:r>
        <w:rPr>
          <w:rFonts w:ascii="Arial" w:hAnsi="Arial" w:cs="Arial"/>
          <w:sz w:val="22"/>
          <w:szCs w:val="22"/>
        </w:rPr>
        <w:t xml:space="preserve">los cuales fueron contestados a través del oficio DA-100-0193-2016 radicado bajo el número </w:t>
      </w:r>
      <w:r>
        <w:rPr>
          <w:rFonts w:ascii="Arial" w:eastAsia="Calibri" w:hAnsi="Arial" w:cs="Arial"/>
          <w:sz w:val="22"/>
          <w:szCs w:val="22"/>
          <w:lang w:val="es-CO"/>
        </w:rPr>
        <w:t xml:space="preserve">1-2019-052503 </w:t>
      </w:r>
      <w:r>
        <w:rPr>
          <w:rFonts w:ascii="Arial" w:hAnsi="Arial" w:cs="Arial"/>
          <w:sz w:val="22"/>
          <w:szCs w:val="22"/>
        </w:rPr>
        <w:t>del 6 de junio de 2019.</w:t>
      </w:r>
      <w:r>
        <w:rPr>
          <w:rFonts w:ascii="Arial" w:eastAsiaTheme="minorHAnsi" w:hAnsi="Arial" w:cs="Arial"/>
          <w:sz w:val="22"/>
          <w:szCs w:val="22"/>
          <w:lang w:val="es-CO" w:eastAsia="en-US"/>
        </w:rPr>
        <w:t xml:space="preserve">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lastRenderedPageBreak/>
        <w:t xml:space="preserve">Continuando con el proceso, se adelantó el prediagnóstico y se programó la comisión de trabajo de reconocimiento institucional al Municipio de Mitú en el mes de mayo, pero dada la situación que enfrenta el País generada por la Pandemia del COVID-19, la comisiones fueron canceladas y se organizaron reuniones virtuales vía </w:t>
      </w:r>
      <w:r>
        <w:rPr>
          <w:rFonts w:ascii="Arial" w:hAnsi="Arial" w:cs="Arial"/>
          <w:i/>
          <w:iCs/>
          <w:sz w:val="22"/>
          <w:szCs w:val="22"/>
        </w:rPr>
        <w:t>Teams</w:t>
      </w:r>
      <w:r>
        <w:rPr>
          <w:rFonts w:ascii="Arial" w:hAnsi="Arial" w:cs="Arial"/>
          <w:sz w:val="22"/>
          <w:szCs w:val="22"/>
        </w:rPr>
        <w:t xml:space="preserve"> con varios equipos de trabajo (Secretarias de Hacienda, Planeación y Obras Públicas) de la Entidad Territorial durante los días 27 de mayo, 1 y 2 de junio de 2020.</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Con la información recogida vía videoconferencia y otra remitida por parte del Municipio de Mitú mediante comunicación radicada bajo el No.</w:t>
      </w:r>
      <w:r>
        <w:rPr>
          <w:rFonts w:ascii="Arial" w:eastAsiaTheme="minorHAnsi" w:hAnsi="Arial" w:cs="Arial"/>
          <w:sz w:val="22"/>
          <w:szCs w:val="22"/>
          <w:lang w:val="es-CO" w:eastAsia="en-US"/>
        </w:rPr>
        <w:t xml:space="preserve"> 1-2020-047236</w:t>
      </w:r>
      <w:r>
        <w:rPr>
          <w:rFonts w:ascii="Arial" w:hAnsi="Arial" w:cs="Arial"/>
          <w:sz w:val="22"/>
          <w:szCs w:val="22"/>
        </w:rPr>
        <w:t xml:space="preserve"> del 4 de junio de 2020 y No. 1-2020-056253 del 1 de julio de 2020 se adelantó el presente Diagnostico Institucional.</w:t>
      </w:r>
    </w:p>
    <w:p w:rsidR="00355BC7" w:rsidRDefault="00355BC7" w:rsidP="00355BC7">
      <w:pPr>
        <w:jc w:val="both"/>
        <w:rPr>
          <w:rFonts w:ascii="Arial" w:hAnsi="Arial" w:cs="Arial"/>
          <w:sz w:val="22"/>
          <w:szCs w:val="22"/>
        </w:rPr>
      </w:pPr>
    </w:p>
    <w:p w:rsidR="00355BC7" w:rsidRDefault="00355BC7" w:rsidP="00355BC7">
      <w:pPr>
        <w:jc w:val="both"/>
        <w:rPr>
          <w:rFonts w:ascii="Arial" w:eastAsia="Calibri" w:hAnsi="Arial" w:cs="Arial"/>
          <w:sz w:val="22"/>
          <w:szCs w:val="22"/>
        </w:rPr>
      </w:pPr>
      <w:r>
        <w:rPr>
          <w:rFonts w:ascii="Arial" w:eastAsia="Calibri" w:hAnsi="Arial" w:cs="Arial"/>
          <w:sz w:val="22"/>
          <w:szCs w:val="22"/>
        </w:rPr>
        <w:t>Para la elaboración del presente informe se dispuso de información institucional aportada por las autoridades municipales (ejecuciones presupuestales y Plan de Desarrollo Municipal 2020 - 2023); fuentes de información consistentes en documentos o publicaciones de carácter oficial (Informe de Monitoreo Ministerio de Vivienda, Ciudad y Territorio 2017, 2018 y 2019); “</w:t>
      </w:r>
      <w:r>
        <w:rPr>
          <w:rFonts w:ascii="Arial" w:eastAsia="Calibri" w:hAnsi="Arial" w:cs="Arial"/>
          <w:i/>
          <w:iCs/>
          <w:sz w:val="22"/>
          <w:szCs w:val="22"/>
        </w:rPr>
        <w:t>Informe de la Prestación de los Servicios de Acueducto, Alcantarillado y Aseo Públicos de la Unidad de Servicios Públicos de Mitú 2019</w:t>
      </w:r>
      <w:r>
        <w:rPr>
          <w:rFonts w:ascii="Arial" w:eastAsia="Calibri" w:hAnsi="Arial" w:cs="Arial"/>
          <w:sz w:val="22"/>
          <w:szCs w:val="22"/>
        </w:rPr>
        <w:t>” elaborado por el Municipio de Mitú “</w:t>
      </w:r>
      <w:r>
        <w:rPr>
          <w:rFonts w:ascii="Arial" w:eastAsia="Calibri" w:hAnsi="Arial" w:cs="Arial"/>
          <w:i/>
          <w:iCs/>
          <w:sz w:val="22"/>
          <w:szCs w:val="22"/>
        </w:rPr>
        <w:t>Evaluación Integral de Prestadores Unidad Especial de Servicios Públicos Domiciliarios del Municipio de Mitú de la Superintendencia Delegada para Acueducto y Alcantarillado-Grupo Pequeños Prestadores diciembre de 2019</w:t>
      </w:r>
      <w:r>
        <w:rPr>
          <w:rFonts w:ascii="Arial" w:eastAsia="Calibri" w:hAnsi="Arial" w:cs="Arial"/>
          <w:sz w:val="22"/>
          <w:szCs w:val="22"/>
        </w:rPr>
        <w:t>”, entre otros, los cuales son citados cuando ello es requerido.</w:t>
      </w:r>
    </w:p>
    <w:p w:rsidR="00355BC7" w:rsidRDefault="00355BC7" w:rsidP="00355BC7">
      <w:pPr>
        <w:jc w:val="both"/>
        <w:rPr>
          <w:rFonts w:ascii="Arial" w:hAnsi="Arial" w:cs="Arial"/>
          <w:sz w:val="22"/>
          <w:szCs w:val="22"/>
        </w:rPr>
      </w:pPr>
    </w:p>
    <w:p w:rsidR="00355BC7" w:rsidRDefault="00355BC7" w:rsidP="00355BC7">
      <w:pPr>
        <w:autoSpaceDE w:val="0"/>
        <w:autoSpaceDN w:val="0"/>
        <w:adjustRightInd w:val="0"/>
        <w:rPr>
          <w:rFonts w:ascii="Arial" w:hAnsi="Arial" w:cs="Arial"/>
          <w:b/>
          <w:sz w:val="22"/>
          <w:szCs w:val="22"/>
        </w:rPr>
      </w:pPr>
      <w:r>
        <w:rPr>
          <w:rFonts w:ascii="Arial" w:hAnsi="Arial" w:cs="Arial"/>
          <w:b/>
          <w:bCs/>
          <w:sz w:val="22"/>
          <w:szCs w:val="22"/>
        </w:rPr>
        <w:t>II</w:t>
      </w:r>
      <w:r>
        <w:rPr>
          <w:rFonts w:ascii="Arial" w:hAnsi="Arial" w:cs="Arial"/>
          <w:b/>
          <w:sz w:val="22"/>
          <w:szCs w:val="22"/>
        </w:rPr>
        <w:t xml:space="preserve"> CARACTERIZACIÓN.</w:t>
      </w:r>
    </w:p>
    <w:p w:rsidR="00355BC7" w:rsidRDefault="00355BC7" w:rsidP="00355BC7">
      <w:pPr>
        <w:rPr>
          <w:rFonts w:ascii="Arial" w:hAnsi="Arial" w:cs="Arial"/>
          <w:b/>
          <w:bCs/>
          <w:sz w:val="22"/>
          <w:szCs w:val="22"/>
        </w:rPr>
      </w:pPr>
    </w:p>
    <w:p w:rsidR="00355BC7" w:rsidRDefault="00355BC7" w:rsidP="00355BC7">
      <w:pPr>
        <w:numPr>
          <w:ilvl w:val="0"/>
          <w:numId w:val="2"/>
        </w:numPr>
        <w:rPr>
          <w:rFonts w:ascii="Arial" w:hAnsi="Arial" w:cs="Arial"/>
          <w:b/>
          <w:bCs/>
          <w:sz w:val="22"/>
          <w:szCs w:val="22"/>
        </w:rPr>
      </w:pPr>
      <w:r>
        <w:rPr>
          <w:rFonts w:ascii="Arial" w:hAnsi="Arial" w:cs="Arial"/>
          <w:b/>
          <w:bCs/>
          <w:sz w:val="22"/>
          <w:szCs w:val="22"/>
        </w:rPr>
        <w:t>CONTEXTO REGIONAL</w:t>
      </w:r>
      <w:r w:rsidR="00AE40CF">
        <w:rPr>
          <w:rFonts w:ascii="Arial" w:hAnsi="Arial" w:cs="Arial"/>
          <w:b/>
          <w:bCs/>
          <w:sz w:val="22"/>
          <w:szCs w:val="22"/>
        </w:rPr>
        <w:t>.</w:t>
      </w:r>
    </w:p>
    <w:p w:rsidR="00355BC7" w:rsidRDefault="00355BC7" w:rsidP="00752183">
      <w:pPr>
        <w:rPr>
          <w:rFonts w:ascii="Arial" w:hAnsi="Arial" w:cs="Arial"/>
          <w:b/>
          <w:bCs/>
          <w:sz w:val="22"/>
          <w:szCs w:val="22"/>
        </w:rPr>
      </w:pPr>
    </w:p>
    <w:p w:rsidR="00355BC7" w:rsidRDefault="00355BC7" w:rsidP="00355BC7">
      <w:pPr>
        <w:jc w:val="both"/>
        <w:rPr>
          <w:rFonts w:ascii="Arial" w:eastAsia="Calibri" w:hAnsi="Arial" w:cs="Arial"/>
          <w:i/>
          <w:iCs/>
          <w:sz w:val="22"/>
          <w:szCs w:val="22"/>
        </w:rPr>
      </w:pPr>
      <w:r>
        <w:rPr>
          <w:rFonts w:ascii="Arial" w:eastAsia="Calibri" w:hAnsi="Arial" w:cs="Arial"/>
          <w:sz w:val="22"/>
          <w:szCs w:val="22"/>
        </w:rPr>
        <w:t xml:space="preserve">Según información registrada en la página </w:t>
      </w:r>
      <w:r>
        <w:rPr>
          <w:rFonts w:ascii="Arial" w:eastAsia="Calibri" w:hAnsi="Arial" w:cs="Arial"/>
          <w:i/>
          <w:iCs/>
          <w:sz w:val="22"/>
          <w:szCs w:val="22"/>
        </w:rPr>
        <w:t>Web</w:t>
      </w:r>
      <w:r>
        <w:rPr>
          <w:rFonts w:ascii="Arial" w:eastAsia="Calibri" w:hAnsi="Arial" w:cs="Arial"/>
          <w:sz w:val="22"/>
          <w:szCs w:val="22"/>
        </w:rPr>
        <w:t xml:space="preserve"> del Municipio de Mitú (“</w:t>
      </w:r>
      <w:hyperlink r:id="rId11" w:history="1">
        <w:r>
          <w:rPr>
            <w:rStyle w:val="Hipervnculo"/>
            <w:rFonts w:ascii="Arial" w:eastAsia="Calibri" w:hAnsi="Arial" w:cs="Arial"/>
            <w:sz w:val="22"/>
            <w:szCs w:val="22"/>
          </w:rPr>
          <w:t>http://www.mitu-vaupes.gov.co/MiMunicipio/Paginas/Informacion-del-Municipio.aspx</w:t>
        </w:r>
      </w:hyperlink>
      <w:r>
        <w:rPr>
          <w:rFonts w:ascii="Arial" w:eastAsia="Calibri" w:hAnsi="Arial" w:cs="Arial"/>
          <w:sz w:val="22"/>
          <w:szCs w:val="22"/>
        </w:rPr>
        <w:t>, la Entidad se halla ubicada en: “</w:t>
      </w:r>
      <w:r>
        <w:rPr>
          <w:rFonts w:ascii="Arial" w:eastAsia="Calibri" w:hAnsi="Arial" w:cs="Arial"/>
          <w:i/>
          <w:iCs/>
          <w:sz w:val="22"/>
          <w:szCs w:val="22"/>
        </w:rPr>
        <w:t>la parte sur oriental de Colombia y sobre la frontera con Brasil. Se localiza predominantemente sobre la margen derecha del Rio Vaupés.</w:t>
      </w:r>
    </w:p>
    <w:p w:rsidR="00355BC7" w:rsidRDefault="00355BC7" w:rsidP="00355BC7">
      <w:pPr>
        <w:jc w:val="both"/>
        <w:rPr>
          <w:rFonts w:ascii="Arial" w:eastAsia="Calibri" w:hAnsi="Arial" w:cs="Arial"/>
          <w:i/>
          <w:iCs/>
          <w:sz w:val="22"/>
          <w:szCs w:val="22"/>
        </w:rPr>
      </w:pPr>
    </w:p>
    <w:p w:rsidR="00355BC7" w:rsidRDefault="00355BC7" w:rsidP="00355BC7">
      <w:pPr>
        <w:jc w:val="center"/>
        <w:rPr>
          <w:rFonts w:ascii="Arial" w:hAnsi="Arial" w:cs="Arial"/>
          <w:sz w:val="22"/>
          <w:szCs w:val="22"/>
        </w:rPr>
      </w:pPr>
      <w:r>
        <w:rPr>
          <w:rFonts w:ascii="Arial" w:hAnsi="Arial" w:cs="Arial"/>
          <w:noProof/>
          <w:sz w:val="22"/>
          <w:szCs w:val="22"/>
          <w:lang w:val="es-CO" w:eastAsia="es-CO"/>
        </w:rPr>
        <w:drawing>
          <wp:inline distT="0" distB="0" distL="0" distR="0">
            <wp:extent cx="2889250" cy="1799590"/>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250" cy="1799590"/>
                    </a:xfrm>
                    <a:prstGeom prst="rect">
                      <a:avLst/>
                    </a:prstGeom>
                    <a:noFill/>
                    <a:ln>
                      <a:noFill/>
                    </a:ln>
                  </pic:spPr>
                </pic:pic>
              </a:graphicData>
            </a:graphic>
          </wp:inline>
        </w:drawing>
      </w:r>
    </w:p>
    <w:p w:rsidR="00355BC7" w:rsidRDefault="00355BC7" w:rsidP="00355BC7">
      <w:pPr>
        <w:jc w:val="both"/>
        <w:rPr>
          <w:rFonts w:ascii="Arial" w:hAnsi="Arial" w:cs="Arial"/>
          <w:sz w:val="16"/>
          <w:szCs w:val="16"/>
        </w:rPr>
      </w:pPr>
      <w:r>
        <w:rPr>
          <w:rFonts w:ascii="Arial" w:hAnsi="Arial" w:cs="Arial"/>
          <w:sz w:val="22"/>
          <w:szCs w:val="22"/>
        </w:rPr>
        <w:t xml:space="preserve">                                </w:t>
      </w:r>
      <w:r>
        <w:rPr>
          <w:rFonts w:ascii="Arial" w:hAnsi="Arial" w:cs="Arial"/>
          <w:sz w:val="16"/>
          <w:szCs w:val="16"/>
        </w:rPr>
        <w:t xml:space="preserve">Fuente: Wikipedia  </w:t>
      </w:r>
    </w:p>
    <w:p w:rsidR="00AE40CF" w:rsidRDefault="00AE40CF">
      <w:pPr>
        <w:rPr>
          <w:rFonts w:ascii="Arial" w:hAnsi="Arial" w:cs="Arial"/>
          <w:sz w:val="22"/>
          <w:szCs w:val="22"/>
        </w:rPr>
      </w:pPr>
      <w:r>
        <w:rPr>
          <w:rFonts w:ascii="Arial" w:hAnsi="Arial" w:cs="Arial"/>
          <w:sz w:val="22"/>
          <w:szCs w:val="22"/>
        </w:rPr>
        <w:br w:type="page"/>
      </w:r>
    </w:p>
    <w:tbl>
      <w:tblPr>
        <w:tblStyle w:val="Tablaconcuadrcula"/>
        <w:tblW w:w="7088" w:type="dxa"/>
        <w:tblInd w:w="1129" w:type="dxa"/>
        <w:tblLook w:val="04A0" w:firstRow="1" w:lastRow="0" w:firstColumn="1" w:lastColumn="0" w:noHBand="0" w:noVBand="1"/>
      </w:tblPr>
      <w:tblGrid>
        <w:gridCol w:w="3402"/>
        <w:gridCol w:w="3686"/>
      </w:tblGrid>
      <w:tr w:rsidR="00355BC7" w:rsidRPr="00AE40CF" w:rsidTr="00355BC7">
        <w:trPr>
          <w:trHeight w:val="269"/>
        </w:trPr>
        <w:tc>
          <w:tcPr>
            <w:tcW w:w="3402"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b/>
                <w:sz w:val="18"/>
                <w:szCs w:val="22"/>
              </w:rPr>
            </w:pPr>
            <w:r w:rsidRPr="00752183">
              <w:rPr>
                <w:rFonts w:ascii="Arial" w:hAnsi="Arial" w:cs="Arial"/>
                <w:b/>
                <w:sz w:val="18"/>
                <w:szCs w:val="22"/>
              </w:rPr>
              <w:lastRenderedPageBreak/>
              <w:t>Identificación Municipio-NIT</w:t>
            </w:r>
          </w:p>
        </w:tc>
        <w:tc>
          <w:tcPr>
            <w:tcW w:w="3686" w:type="dxa"/>
            <w:tcBorders>
              <w:top w:val="single" w:sz="4" w:space="0" w:color="auto"/>
              <w:left w:val="single" w:sz="4" w:space="0" w:color="auto"/>
              <w:bottom w:val="single" w:sz="4" w:space="0" w:color="auto"/>
              <w:right w:val="single" w:sz="4" w:space="0" w:color="auto"/>
            </w:tcBorders>
            <w:hideMark/>
          </w:tcPr>
          <w:p w:rsidR="00355BC7" w:rsidRPr="00752183" w:rsidRDefault="00355BC7">
            <w:pPr>
              <w:shd w:val="clear" w:color="auto" w:fill="FFFFFF"/>
              <w:jc w:val="both"/>
              <w:textAlignment w:val="baseline"/>
              <w:rPr>
                <w:rFonts w:ascii="Arial" w:eastAsia="Times New Roman" w:hAnsi="Arial" w:cs="Arial"/>
                <w:color w:val="2A2A2A"/>
                <w:sz w:val="18"/>
                <w:szCs w:val="22"/>
                <w:lang w:val="es-CO" w:eastAsia="en-US"/>
              </w:rPr>
            </w:pPr>
            <w:r w:rsidRPr="00752183">
              <w:rPr>
                <w:rFonts w:ascii="Arial" w:eastAsia="Times New Roman" w:hAnsi="Arial" w:cs="Arial"/>
                <w:color w:val="2A2A2A"/>
                <w:sz w:val="18"/>
                <w:szCs w:val="22"/>
                <w:bdr w:val="none" w:sz="0" w:space="0" w:color="auto" w:frame="1"/>
                <w:lang w:val="es-CO" w:eastAsia="en-US"/>
              </w:rPr>
              <w:t>892099233-1</w:t>
            </w:r>
          </w:p>
        </w:tc>
      </w:tr>
      <w:tr w:rsidR="00355BC7" w:rsidRPr="00AE40CF" w:rsidTr="00355BC7">
        <w:tc>
          <w:tcPr>
            <w:tcW w:w="3402"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b/>
                <w:sz w:val="18"/>
                <w:szCs w:val="22"/>
              </w:rPr>
            </w:pPr>
            <w:r w:rsidRPr="00752183">
              <w:rPr>
                <w:rFonts w:ascii="Arial" w:eastAsia="Times New Roman" w:hAnsi="Arial" w:cs="Arial"/>
                <w:b/>
                <w:color w:val="2A2A2A"/>
                <w:sz w:val="18"/>
                <w:szCs w:val="22"/>
                <w:bdr w:val="none" w:sz="0" w:space="0" w:color="auto" w:frame="1"/>
                <w:lang w:val="es-CO" w:eastAsia="en-US"/>
              </w:rPr>
              <w:t>Extensión total:</w:t>
            </w:r>
          </w:p>
        </w:tc>
        <w:tc>
          <w:tcPr>
            <w:tcW w:w="3686" w:type="dxa"/>
            <w:tcBorders>
              <w:top w:val="single" w:sz="4" w:space="0" w:color="auto"/>
              <w:left w:val="single" w:sz="4" w:space="0" w:color="auto"/>
              <w:bottom w:val="single" w:sz="4" w:space="0" w:color="auto"/>
              <w:right w:val="single" w:sz="4" w:space="0" w:color="auto"/>
            </w:tcBorders>
            <w:hideMark/>
          </w:tcPr>
          <w:p w:rsidR="00355BC7" w:rsidRPr="00752183" w:rsidRDefault="00355BC7">
            <w:pPr>
              <w:shd w:val="clear" w:color="auto" w:fill="FFFFFF"/>
              <w:jc w:val="both"/>
              <w:textAlignment w:val="baseline"/>
              <w:rPr>
                <w:rFonts w:ascii="Arial" w:eastAsia="Times New Roman" w:hAnsi="Arial" w:cs="Arial"/>
                <w:color w:val="2A2A2A"/>
                <w:sz w:val="18"/>
                <w:szCs w:val="22"/>
                <w:lang w:val="es-CO" w:eastAsia="en-US"/>
              </w:rPr>
            </w:pPr>
            <w:r w:rsidRPr="00752183">
              <w:rPr>
                <w:rFonts w:ascii="Arial" w:eastAsia="Times New Roman" w:hAnsi="Arial" w:cs="Arial"/>
                <w:color w:val="2A2A2A"/>
                <w:sz w:val="18"/>
                <w:szCs w:val="22"/>
                <w:bdr w:val="none" w:sz="0" w:space="0" w:color="auto" w:frame="1"/>
                <w:lang w:val="es-CO" w:eastAsia="en-US"/>
              </w:rPr>
              <w:t>16.422 Km</w:t>
            </w:r>
            <w:r w:rsidRPr="00752183">
              <w:rPr>
                <w:rFonts w:ascii="Arial" w:eastAsia="Times New Roman" w:hAnsi="Arial" w:cs="Arial"/>
                <w:color w:val="2A2A2A"/>
                <w:sz w:val="18"/>
                <w:szCs w:val="22"/>
                <w:bdr w:val="none" w:sz="0" w:space="0" w:color="auto" w:frame="1"/>
                <w:vertAlign w:val="superscript"/>
                <w:lang w:val="es-CO" w:eastAsia="en-US"/>
              </w:rPr>
              <w:t>2</w:t>
            </w:r>
          </w:p>
        </w:tc>
      </w:tr>
      <w:tr w:rsidR="00355BC7" w:rsidRPr="00AE40CF" w:rsidTr="00355BC7">
        <w:tc>
          <w:tcPr>
            <w:tcW w:w="3402" w:type="dxa"/>
            <w:tcBorders>
              <w:top w:val="single" w:sz="4" w:space="0" w:color="auto"/>
              <w:left w:val="single" w:sz="4" w:space="0" w:color="auto"/>
              <w:bottom w:val="single" w:sz="4" w:space="0" w:color="auto"/>
              <w:right w:val="single" w:sz="4" w:space="0" w:color="auto"/>
            </w:tcBorders>
            <w:hideMark/>
          </w:tcPr>
          <w:p w:rsidR="00355BC7" w:rsidRPr="00752183" w:rsidRDefault="00355BC7">
            <w:pPr>
              <w:shd w:val="clear" w:color="auto" w:fill="FFFFFF"/>
              <w:jc w:val="both"/>
              <w:textAlignment w:val="baseline"/>
              <w:rPr>
                <w:rFonts w:ascii="Arial" w:hAnsi="Arial" w:cs="Arial"/>
                <w:b/>
                <w:sz w:val="18"/>
                <w:szCs w:val="22"/>
              </w:rPr>
            </w:pPr>
            <w:r w:rsidRPr="00752183">
              <w:rPr>
                <w:rFonts w:ascii="Arial" w:eastAsia="Times New Roman" w:hAnsi="Arial" w:cs="Arial"/>
                <w:b/>
                <w:color w:val="2A2A2A"/>
                <w:sz w:val="18"/>
                <w:szCs w:val="22"/>
                <w:bdr w:val="none" w:sz="0" w:space="0" w:color="auto" w:frame="1"/>
                <w:lang w:val="es-CO" w:eastAsia="en-US"/>
              </w:rPr>
              <w:t xml:space="preserve">Extensión área urbana: </w:t>
            </w:r>
          </w:p>
        </w:tc>
        <w:tc>
          <w:tcPr>
            <w:tcW w:w="3686" w:type="dxa"/>
            <w:tcBorders>
              <w:top w:val="single" w:sz="4" w:space="0" w:color="auto"/>
              <w:left w:val="single" w:sz="4" w:space="0" w:color="auto"/>
              <w:bottom w:val="single" w:sz="4" w:space="0" w:color="auto"/>
              <w:right w:val="single" w:sz="4" w:space="0" w:color="auto"/>
            </w:tcBorders>
            <w:hideMark/>
          </w:tcPr>
          <w:p w:rsidR="00355BC7" w:rsidRPr="00752183" w:rsidRDefault="00355BC7">
            <w:pPr>
              <w:shd w:val="clear" w:color="auto" w:fill="FFFFFF"/>
              <w:jc w:val="both"/>
              <w:textAlignment w:val="baseline"/>
              <w:rPr>
                <w:rFonts w:ascii="Arial" w:eastAsia="Times New Roman" w:hAnsi="Arial" w:cs="Arial"/>
                <w:color w:val="2A2A2A"/>
                <w:sz w:val="18"/>
                <w:szCs w:val="22"/>
                <w:lang w:val="es-CO" w:eastAsia="en-US"/>
              </w:rPr>
            </w:pPr>
            <w:r w:rsidRPr="00752183">
              <w:rPr>
                <w:rFonts w:ascii="Arial" w:eastAsia="Times New Roman" w:hAnsi="Arial" w:cs="Arial"/>
                <w:color w:val="2A2A2A"/>
                <w:sz w:val="18"/>
                <w:szCs w:val="22"/>
                <w:bdr w:val="none" w:sz="0" w:space="0" w:color="auto" w:frame="1"/>
                <w:lang w:val="es-CO" w:eastAsia="en-US"/>
              </w:rPr>
              <w:t>5 Km</w:t>
            </w:r>
            <w:r w:rsidRPr="00752183">
              <w:rPr>
                <w:rFonts w:ascii="Arial" w:eastAsia="Times New Roman" w:hAnsi="Arial" w:cs="Arial"/>
                <w:color w:val="2A2A2A"/>
                <w:sz w:val="18"/>
                <w:szCs w:val="22"/>
                <w:bdr w:val="none" w:sz="0" w:space="0" w:color="auto" w:frame="1"/>
                <w:vertAlign w:val="superscript"/>
                <w:lang w:val="es-CO" w:eastAsia="en-US"/>
              </w:rPr>
              <w:t>2</w:t>
            </w:r>
          </w:p>
        </w:tc>
      </w:tr>
      <w:tr w:rsidR="00355BC7" w:rsidRPr="00AE40CF" w:rsidTr="00752183">
        <w:trPr>
          <w:trHeight w:val="128"/>
        </w:trPr>
        <w:tc>
          <w:tcPr>
            <w:tcW w:w="3402" w:type="dxa"/>
            <w:tcBorders>
              <w:top w:val="single" w:sz="4" w:space="0" w:color="auto"/>
              <w:left w:val="single" w:sz="4" w:space="0" w:color="auto"/>
              <w:bottom w:val="single" w:sz="4" w:space="0" w:color="auto"/>
              <w:right w:val="single" w:sz="4" w:space="0" w:color="auto"/>
            </w:tcBorders>
            <w:hideMark/>
          </w:tcPr>
          <w:p w:rsidR="00355BC7" w:rsidRPr="00752183" w:rsidRDefault="00355BC7">
            <w:pPr>
              <w:shd w:val="clear" w:color="auto" w:fill="FFFFFF"/>
              <w:jc w:val="both"/>
              <w:textAlignment w:val="baseline"/>
              <w:rPr>
                <w:rFonts w:ascii="Arial" w:eastAsia="Times New Roman" w:hAnsi="Arial" w:cs="Arial"/>
                <w:b/>
                <w:color w:val="2A2A2A"/>
                <w:sz w:val="18"/>
                <w:szCs w:val="22"/>
                <w:bdr w:val="none" w:sz="0" w:space="0" w:color="auto" w:frame="1"/>
                <w:lang w:val="es-CO" w:eastAsia="en-US"/>
              </w:rPr>
            </w:pPr>
            <w:r w:rsidRPr="00752183">
              <w:rPr>
                <w:rFonts w:ascii="Arial" w:eastAsia="Times New Roman" w:hAnsi="Arial" w:cs="Arial"/>
                <w:b/>
                <w:color w:val="2A2A2A"/>
                <w:sz w:val="18"/>
                <w:szCs w:val="22"/>
                <w:bdr w:val="none" w:sz="0" w:space="0" w:color="auto" w:frame="1"/>
                <w:lang w:val="es-CO" w:eastAsia="en-US"/>
              </w:rPr>
              <w:t>Altitud de la cabecera municipal</w:t>
            </w:r>
          </w:p>
        </w:tc>
        <w:tc>
          <w:tcPr>
            <w:tcW w:w="3686" w:type="dxa"/>
            <w:tcBorders>
              <w:top w:val="single" w:sz="4" w:space="0" w:color="auto"/>
              <w:left w:val="single" w:sz="4" w:space="0" w:color="auto"/>
              <w:bottom w:val="single" w:sz="4" w:space="0" w:color="auto"/>
              <w:right w:val="single" w:sz="4" w:space="0" w:color="auto"/>
            </w:tcBorders>
            <w:hideMark/>
          </w:tcPr>
          <w:p w:rsidR="00355BC7" w:rsidRPr="00752183" w:rsidRDefault="00355BC7">
            <w:pPr>
              <w:shd w:val="clear" w:color="auto" w:fill="FFFFFF"/>
              <w:jc w:val="both"/>
              <w:textAlignment w:val="baseline"/>
              <w:rPr>
                <w:rFonts w:ascii="Arial" w:eastAsia="Times New Roman" w:hAnsi="Arial" w:cs="Arial"/>
                <w:color w:val="2A2A2A"/>
                <w:sz w:val="18"/>
                <w:szCs w:val="22"/>
                <w:lang w:val="es-CO" w:eastAsia="en-US"/>
              </w:rPr>
            </w:pPr>
            <w:r w:rsidRPr="00752183">
              <w:rPr>
                <w:rFonts w:ascii="Arial" w:eastAsia="Times New Roman" w:hAnsi="Arial" w:cs="Arial"/>
                <w:color w:val="2A2A2A"/>
                <w:sz w:val="18"/>
                <w:szCs w:val="22"/>
                <w:bdr w:val="none" w:sz="0" w:space="0" w:color="auto" w:frame="1"/>
                <w:lang w:val="es-CO" w:eastAsia="en-US"/>
              </w:rPr>
              <w:t>200 metros sobre el nivel del mar</w:t>
            </w:r>
          </w:p>
        </w:tc>
      </w:tr>
      <w:tr w:rsidR="00355BC7" w:rsidRPr="00AE40CF" w:rsidTr="00355BC7">
        <w:tc>
          <w:tcPr>
            <w:tcW w:w="3402" w:type="dxa"/>
            <w:tcBorders>
              <w:top w:val="single" w:sz="4" w:space="0" w:color="auto"/>
              <w:left w:val="single" w:sz="4" w:space="0" w:color="auto"/>
              <w:bottom w:val="single" w:sz="4" w:space="0" w:color="auto"/>
              <w:right w:val="single" w:sz="4" w:space="0" w:color="auto"/>
            </w:tcBorders>
            <w:hideMark/>
          </w:tcPr>
          <w:p w:rsidR="00355BC7" w:rsidRPr="00752183" w:rsidRDefault="00355BC7">
            <w:pPr>
              <w:shd w:val="clear" w:color="auto" w:fill="FFFFFF"/>
              <w:jc w:val="both"/>
              <w:textAlignment w:val="baseline"/>
              <w:rPr>
                <w:rFonts w:ascii="Arial" w:eastAsia="Times New Roman" w:hAnsi="Arial" w:cs="Arial"/>
                <w:b/>
                <w:color w:val="2A2A2A"/>
                <w:sz w:val="18"/>
                <w:szCs w:val="22"/>
                <w:bdr w:val="none" w:sz="0" w:space="0" w:color="auto" w:frame="1"/>
                <w:lang w:val="es-CO" w:eastAsia="en-US"/>
              </w:rPr>
            </w:pPr>
            <w:r w:rsidRPr="00752183">
              <w:rPr>
                <w:rFonts w:ascii="Arial" w:eastAsia="Times New Roman" w:hAnsi="Arial" w:cs="Arial"/>
                <w:b/>
                <w:color w:val="2A2A2A"/>
                <w:sz w:val="18"/>
                <w:szCs w:val="22"/>
                <w:bdr w:val="none" w:sz="0" w:space="0" w:color="auto" w:frame="1"/>
                <w:lang w:val="es-CO" w:eastAsia="en-US"/>
              </w:rPr>
              <w:t>Temperatura media</w:t>
            </w:r>
          </w:p>
        </w:tc>
        <w:tc>
          <w:tcPr>
            <w:tcW w:w="3686" w:type="dxa"/>
            <w:tcBorders>
              <w:top w:val="single" w:sz="4" w:space="0" w:color="auto"/>
              <w:left w:val="single" w:sz="4" w:space="0" w:color="auto"/>
              <w:bottom w:val="single" w:sz="4" w:space="0" w:color="auto"/>
              <w:right w:val="single" w:sz="4" w:space="0" w:color="auto"/>
            </w:tcBorders>
            <w:hideMark/>
          </w:tcPr>
          <w:p w:rsidR="00355BC7" w:rsidRPr="00752183" w:rsidRDefault="00355BC7">
            <w:pPr>
              <w:shd w:val="clear" w:color="auto" w:fill="FFFFFF"/>
              <w:jc w:val="both"/>
              <w:textAlignment w:val="baseline"/>
              <w:rPr>
                <w:rFonts w:ascii="Arial" w:eastAsia="Times New Roman" w:hAnsi="Arial" w:cs="Arial"/>
                <w:color w:val="2A2A2A"/>
                <w:sz w:val="18"/>
                <w:szCs w:val="22"/>
                <w:bdr w:val="none" w:sz="0" w:space="0" w:color="auto" w:frame="1"/>
                <w:lang w:val="es-CO" w:eastAsia="en-US"/>
              </w:rPr>
            </w:pPr>
            <w:r w:rsidRPr="00752183">
              <w:rPr>
                <w:rFonts w:ascii="Arial" w:eastAsia="Times New Roman" w:hAnsi="Arial" w:cs="Arial"/>
                <w:color w:val="2A2A2A"/>
                <w:sz w:val="18"/>
                <w:szCs w:val="22"/>
                <w:bdr w:val="none" w:sz="0" w:space="0" w:color="auto" w:frame="1"/>
                <w:lang w:val="es-CO" w:eastAsia="en-US"/>
              </w:rPr>
              <w:t>27ºC</w:t>
            </w:r>
          </w:p>
        </w:tc>
      </w:tr>
      <w:tr w:rsidR="00355BC7" w:rsidRPr="00AE40CF" w:rsidTr="00355BC7">
        <w:tc>
          <w:tcPr>
            <w:tcW w:w="3402"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b/>
                <w:sz w:val="18"/>
                <w:szCs w:val="22"/>
              </w:rPr>
            </w:pPr>
            <w:r w:rsidRPr="00752183">
              <w:rPr>
                <w:rFonts w:ascii="Arial" w:hAnsi="Arial" w:cs="Arial"/>
                <w:b/>
                <w:sz w:val="18"/>
                <w:szCs w:val="22"/>
              </w:rPr>
              <w:t>Alcalde 2020</w:t>
            </w:r>
          </w:p>
        </w:tc>
        <w:tc>
          <w:tcPr>
            <w:tcW w:w="3686"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sz w:val="18"/>
                <w:szCs w:val="22"/>
              </w:rPr>
            </w:pPr>
            <w:r w:rsidRPr="00752183">
              <w:rPr>
                <w:rFonts w:ascii="Arial" w:hAnsi="Arial" w:cs="Arial"/>
                <w:sz w:val="18"/>
                <w:szCs w:val="22"/>
              </w:rPr>
              <w:t>Daniel Bernal Córdoba</w:t>
            </w:r>
          </w:p>
        </w:tc>
      </w:tr>
      <w:tr w:rsidR="00355BC7" w:rsidRPr="00AE40CF" w:rsidTr="00355BC7">
        <w:tc>
          <w:tcPr>
            <w:tcW w:w="3402"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b/>
                <w:sz w:val="18"/>
                <w:szCs w:val="22"/>
              </w:rPr>
            </w:pPr>
            <w:r w:rsidRPr="00752183">
              <w:rPr>
                <w:rFonts w:ascii="Arial" w:hAnsi="Arial" w:cs="Arial"/>
                <w:b/>
                <w:sz w:val="18"/>
                <w:szCs w:val="22"/>
              </w:rPr>
              <w:t>Población</w:t>
            </w:r>
          </w:p>
        </w:tc>
        <w:tc>
          <w:tcPr>
            <w:tcW w:w="3686"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sz w:val="18"/>
                <w:szCs w:val="22"/>
              </w:rPr>
            </w:pPr>
            <w:r w:rsidRPr="00752183">
              <w:rPr>
                <w:rFonts w:ascii="Arial" w:hAnsi="Arial" w:cs="Arial"/>
                <w:sz w:val="18"/>
                <w:szCs w:val="22"/>
              </w:rPr>
              <w:t>16.580</w:t>
            </w:r>
          </w:p>
        </w:tc>
      </w:tr>
      <w:tr w:rsidR="00355BC7" w:rsidRPr="00AE40CF" w:rsidTr="00355BC7">
        <w:trPr>
          <w:trHeight w:val="319"/>
        </w:trPr>
        <w:tc>
          <w:tcPr>
            <w:tcW w:w="3402"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b/>
                <w:sz w:val="18"/>
                <w:szCs w:val="22"/>
              </w:rPr>
            </w:pPr>
            <w:r w:rsidRPr="00752183">
              <w:rPr>
                <w:rFonts w:ascii="Arial" w:eastAsia="Times New Roman" w:hAnsi="Arial" w:cs="Arial"/>
                <w:b/>
                <w:sz w:val="18"/>
                <w:szCs w:val="22"/>
                <w:bdr w:val="none" w:sz="0" w:space="0" w:color="auto" w:frame="1"/>
                <w:lang w:val="es-CO" w:eastAsia="en-US"/>
              </w:rPr>
              <w:t>Distancia de referencia</w:t>
            </w:r>
          </w:p>
        </w:tc>
        <w:tc>
          <w:tcPr>
            <w:tcW w:w="3686"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b/>
                <w:sz w:val="18"/>
                <w:szCs w:val="22"/>
              </w:rPr>
            </w:pPr>
            <w:r w:rsidRPr="00752183">
              <w:rPr>
                <w:rFonts w:ascii="Arial" w:eastAsia="Times New Roman" w:hAnsi="Arial" w:cs="Arial"/>
                <w:sz w:val="18"/>
                <w:szCs w:val="22"/>
                <w:bdr w:val="none" w:sz="0" w:space="0" w:color="auto" w:frame="1"/>
                <w:lang w:val="es-CO" w:eastAsia="en-US"/>
              </w:rPr>
              <w:t>660 km a Bogotá (vía aérea)​.</w:t>
            </w:r>
          </w:p>
        </w:tc>
      </w:tr>
    </w:tbl>
    <w:p w:rsidR="00355BC7" w:rsidRDefault="00355BC7" w:rsidP="00355BC7">
      <w:pPr>
        <w:jc w:val="center"/>
        <w:rPr>
          <w:rFonts w:ascii="Arial" w:hAnsi="Arial" w:cs="Arial"/>
          <w:sz w:val="16"/>
          <w:szCs w:val="16"/>
        </w:rPr>
      </w:pPr>
      <w:r>
        <w:rPr>
          <w:rFonts w:ascii="Arial" w:hAnsi="Arial" w:cs="Arial"/>
          <w:b/>
          <w:sz w:val="16"/>
          <w:szCs w:val="16"/>
        </w:rPr>
        <w:t>Fuente:</w:t>
      </w:r>
      <w:r>
        <w:rPr>
          <w:rFonts w:ascii="Arial" w:hAnsi="Arial" w:cs="Arial"/>
          <w:sz w:val="16"/>
          <w:szCs w:val="16"/>
        </w:rPr>
        <w:t xml:space="preserve"> </w:t>
      </w:r>
      <w:hyperlink r:id="rId13" w:history="1">
        <w:r>
          <w:rPr>
            <w:rStyle w:val="Hipervnculo"/>
            <w:rFonts w:ascii="Arial" w:hAnsi="Arial" w:cs="Arial"/>
            <w:sz w:val="16"/>
            <w:szCs w:val="16"/>
          </w:rPr>
          <w:t>http://www.mitu-vaupes.gov.co/MiMunicipio/Paginas/Informacion-del-Municipio.aspx</w:t>
        </w:r>
      </w:hyperlink>
    </w:p>
    <w:p w:rsidR="00355BC7" w:rsidRDefault="00355BC7" w:rsidP="00355BC7">
      <w:pPr>
        <w:jc w:val="center"/>
        <w:rPr>
          <w:rFonts w:ascii="Arial" w:hAnsi="Arial" w:cs="Arial"/>
          <w:b/>
          <w:sz w:val="22"/>
          <w:szCs w:val="22"/>
        </w:rPr>
      </w:pPr>
    </w:p>
    <w:p w:rsidR="00355BC7" w:rsidRDefault="00355BC7" w:rsidP="00355BC7">
      <w:pPr>
        <w:jc w:val="both"/>
        <w:rPr>
          <w:rFonts w:ascii="Arial" w:eastAsia="Calibri" w:hAnsi="Arial" w:cs="Arial"/>
          <w:i/>
          <w:sz w:val="22"/>
          <w:szCs w:val="22"/>
        </w:rPr>
      </w:pPr>
      <w:r>
        <w:rPr>
          <w:rFonts w:ascii="Arial" w:eastAsia="Calibri" w:hAnsi="Arial" w:cs="Arial"/>
          <w:sz w:val="22"/>
          <w:szCs w:val="22"/>
        </w:rPr>
        <w:t xml:space="preserve">Se describe en la página </w:t>
      </w:r>
      <w:r w:rsidR="00AE40CF" w:rsidRPr="00752183">
        <w:rPr>
          <w:rFonts w:ascii="Arial" w:eastAsia="Calibri" w:hAnsi="Arial" w:cs="Arial"/>
          <w:i/>
          <w:sz w:val="22"/>
          <w:szCs w:val="22"/>
        </w:rPr>
        <w:t>W</w:t>
      </w:r>
      <w:r w:rsidRPr="00752183">
        <w:rPr>
          <w:rFonts w:ascii="Arial" w:eastAsia="Calibri" w:hAnsi="Arial" w:cs="Arial"/>
          <w:i/>
          <w:sz w:val="22"/>
          <w:szCs w:val="22"/>
        </w:rPr>
        <w:t>eb</w:t>
      </w:r>
      <w:r>
        <w:rPr>
          <w:rFonts w:ascii="Arial" w:eastAsia="Calibri" w:hAnsi="Arial" w:cs="Arial"/>
          <w:sz w:val="22"/>
          <w:szCs w:val="22"/>
        </w:rPr>
        <w:t xml:space="preserve"> del Municipio que los límites del Municipio son</w:t>
      </w:r>
      <w:r>
        <w:rPr>
          <w:rFonts w:ascii="Arial" w:eastAsia="Calibri" w:hAnsi="Arial" w:cs="Arial"/>
          <w:i/>
          <w:sz w:val="22"/>
          <w:szCs w:val="22"/>
        </w:rPr>
        <w:t>:</w:t>
      </w:r>
    </w:p>
    <w:p w:rsidR="00355BC7" w:rsidRDefault="00355BC7" w:rsidP="00355BC7">
      <w:pPr>
        <w:jc w:val="both"/>
        <w:rPr>
          <w:rFonts w:ascii="Arial" w:eastAsia="Calibri" w:hAnsi="Arial" w:cs="Arial"/>
          <w:i/>
          <w:sz w:val="22"/>
          <w:szCs w:val="22"/>
        </w:rPr>
      </w:pPr>
    </w:p>
    <w:p w:rsidR="00355BC7" w:rsidRPr="00752183" w:rsidRDefault="00355BC7" w:rsidP="00355BC7">
      <w:pPr>
        <w:ind w:left="1416"/>
        <w:jc w:val="both"/>
        <w:rPr>
          <w:rFonts w:ascii="Arial" w:eastAsia="Calibri" w:hAnsi="Arial" w:cs="Arial"/>
          <w:i/>
          <w:sz w:val="18"/>
          <w:szCs w:val="22"/>
          <w:shd w:val="clear" w:color="auto" w:fill="FFFFFF"/>
        </w:rPr>
      </w:pPr>
      <w:r w:rsidRPr="00752183">
        <w:rPr>
          <w:rFonts w:ascii="Arial" w:eastAsia="Calibri" w:hAnsi="Arial" w:cs="Arial"/>
          <w:i/>
          <w:sz w:val="18"/>
          <w:szCs w:val="22"/>
        </w:rPr>
        <w:t>“E</w:t>
      </w:r>
      <w:r w:rsidRPr="00752183">
        <w:rPr>
          <w:rFonts w:ascii="Arial" w:eastAsia="Calibri" w:hAnsi="Arial" w:cs="Arial"/>
          <w:i/>
          <w:sz w:val="18"/>
          <w:szCs w:val="22"/>
          <w:shd w:val="clear" w:color="auto" w:fill="FFFFFF"/>
        </w:rPr>
        <w:t>l artículo 1º. Del Decreto No. 1666 de 1974, establece la delimitación del área del municipio como se detalla a continuación: “Partiendo de las Bocas del Querarí, donde se encuentra el hito fronterizo con la República del Brasil, en dirección y en límite con esta república hasta encontrar el río Isana, donde hay otro hito; por este río aguas arriba hasta sus cabeceras; de este punto en línea recta hacia el suroeste hasta encontrar la Sabana en el caño Paraná Pichuna; tomando este punto en línea recta hasta encontrar el raudal de Pucarón, sobre el río Vaupés; desde ahí y en dirección sur, por varador hasta el caño Pirandira donde se encuentra otro varador que va al río Cananarí; desde allí por la margen izquierda aguas abajo hasta encontrar el raudal denominado Mirití; partiendo de este raudal en línea recta hacia el norte, hasta encontrar el río Pirá Paraná; desde este punto aguas abajo por la margen izquierda, hasta encontrar el varador que conduce al río Tiquié, de ahí río abajo por el Tiquié en su margen izquierda hasta el hito que señala la frontera con la república del Brasil; de este punto hacia el norte y en el límite con el Brasil, hasta el lugar denominado santa María, sobre el río Papurí, tomando este sitio en línea recta hacia el noreste hasta encontrar la cabecera o nacimiento del caño Abiyú; desde allí aguas abajo por la margen izquierda hasta las bocas del río Querarí, punto de partida”.</w:t>
      </w:r>
    </w:p>
    <w:p w:rsidR="00355BC7" w:rsidRPr="00752183" w:rsidRDefault="00355BC7" w:rsidP="00355BC7">
      <w:pPr>
        <w:ind w:left="1416"/>
        <w:jc w:val="both"/>
        <w:rPr>
          <w:rFonts w:ascii="Arial" w:hAnsi="Arial" w:cs="Arial"/>
          <w:sz w:val="18"/>
          <w:szCs w:val="22"/>
          <w:shd w:val="clear" w:color="auto" w:fill="FFFFFF"/>
        </w:rPr>
      </w:pPr>
    </w:p>
    <w:p w:rsidR="00355BC7" w:rsidRPr="00752183" w:rsidRDefault="00355BC7" w:rsidP="00355BC7">
      <w:pPr>
        <w:ind w:left="1416"/>
        <w:jc w:val="both"/>
        <w:rPr>
          <w:rFonts w:ascii="Arial" w:eastAsia="Calibri" w:hAnsi="Arial" w:cs="Arial"/>
          <w:sz w:val="18"/>
          <w:szCs w:val="22"/>
          <w:shd w:val="clear" w:color="auto" w:fill="FFFFFF"/>
        </w:rPr>
      </w:pPr>
      <w:r w:rsidRPr="00752183">
        <w:rPr>
          <w:rFonts w:ascii="Arial" w:eastAsia="Calibri" w:hAnsi="Arial" w:cs="Arial"/>
          <w:i/>
          <w:iCs/>
          <w:sz w:val="18"/>
          <w:szCs w:val="22"/>
          <w:shd w:val="clear" w:color="auto" w:fill="FFFFFF"/>
        </w:rPr>
        <w:t>“La resolución 086 de 1982 del Instituto Colombiano de la Reforma Agraria INCORA, constituye en resguardo a favor de los grupos indígenas del Vaupés las tierras baldías ubicadas en la jurisdicción del Municipio de Mitú, excluyendo el área del casco urbano del Municipio de Mitú y sus alrededores comprendidos dentro de los siguientes linderos: “Se toma como punto de partida la desembocadura del caño Mituseño en el río Vaupés, continuando aguas arriba por el caño Mituseño hasta el cruce de la carretera que de Mitú conduce a la comunidad de Monforth, sobre el caño Mituseño. De este punto se continúa en línea recta y en distancia aproximada de 2.450 metros, hasta encontrar el caño Chajoco. Se continúa aguas abajo por el este hasta su desembocadura en el río Vaupés,”</w:t>
      </w:r>
      <w:r w:rsidRPr="00752183">
        <w:rPr>
          <w:rFonts w:ascii="Arial" w:eastAsia="Calibri" w:hAnsi="Arial" w:cs="Arial"/>
          <w:sz w:val="18"/>
          <w:szCs w:val="22"/>
          <w:shd w:val="clear" w:color="auto" w:fill="FFFFFF"/>
        </w:rPr>
        <w:t xml:space="preserve"> </w:t>
      </w:r>
      <w:r w:rsidRPr="00752183">
        <w:rPr>
          <w:rFonts w:ascii="Arial" w:eastAsia="Calibri" w:hAnsi="Arial" w:cs="Arial"/>
          <w:i/>
          <w:iCs/>
          <w:sz w:val="18"/>
          <w:szCs w:val="22"/>
          <w:shd w:val="clear" w:color="auto" w:fill="FFFFFF"/>
        </w:rPr>
        <w:t>continuando aguas abajo por el Río Vaupés hasta la desembocadura del Caño Mituseño punto de partida y cierre</w:t>
      </w:r>
      <w:r w:rsidRPr="00752183">
        <w:rPr>
          <w:rFonts w:ascii="Arial" w:eastAsia="Calibri" w:hAnsi="Arial" w:cs="Arial"/>
          <w:sz w:val="18"/>
          <w:szCs w:val="22"/>
          <w:shd w:val="clear" w:color="auto" w:fill="FFFFFF"/>
        </w:rPr>
        <w:t>”.</w:t>
      </w:r>
    </w:p>
    <w:p w:rsidR="00355BC7" w:rsidRPr="00752183" w:rsidRDefault="00355BC7" w:rsidP="00355BC7">
      <w:pPr>
        <w:ind w:left="1416"/>
        <w:jc w:val="both"/>
        <w:rPr>
          <w:rFonts w:ascii="Arial" w:eastAsia="Calibri" w:hAnsi="Arial" w:cs="Arial"/>
          <w:sz w:val="18"/>
          <w:szCs w:val="22"/>
          <w:shd w:val="clear" w:color="auto" w:fill="FFFFFF"/>
        </w:rPr>
      </w:pPr>
    </w:p>
    <w:p w:rsidR="00355BC7" w:rsidRPr="00752183" w:rsidRDefault="00355BC7" w:rsidP="00355BC7">
      <w:pPr>
        <w:ind w:left="1416"/>
        <w:jc w:val="both"/>
        <w:rPr>
          <w:rFonts w:ascii="Arial" w:hAnsi="Arial" w:cs="Arial"/>
          <w:sz w:val="18"/>
          <w:szCs w:val="22"/>
          <w:shd w:val="clear" w:color="auto" w:fill="FFFFFF"/>
        </w:rPr>
      </w:pPr>
      <w:r w:rsidRPr="00752183">
        <w:rPr>
          <w:rFonts w:ascii="Arial" w:eastAsia="Calibri" w:hAnsi="Arial" w:cs="Arial"/>
          <w:i/>
          <w:sz w:val="18"/>
          <w:szCs w:val="22"/>
        </w:rPr>
        <w:t>El Municipio cuenta con una población en resguardos indígenas (etnias Guananos, Cubeos, Tucano, Tezanos, Piratapuyo y Yuruties) de 15.539 (48% del total municipal) y de afros de 262 (2% del total municipal).</w:t>
      </w:r>
    </w:p>
    <w:p w:rsidR="00355BC7" w:rsidRDefault="00355BC7" w:rsidP="00355BC7">
      <w:pPr>
        <w:shd w:val="clear" w:color="auto" w:fill="FFFFFF"/>
        <w:jc w:val="both"/>
        <w:textAlignment w:val="baseline"/>
        <w:rPr>
          <w:rFonts w:ascii="Arial" w:eastAsia="Times New Roman" w:hAnsi="Arial" w:cs="Arial"/>
          <w:sz w:val="22"/>
          <w:szCs w:val="22"/>
          <w:bdr w:val="none" w:sz="0" w:space="0" w:color="auto" w:frame="1"/>
          <w:lang w:val="es-CO" w:eastAsia="en-US"/>
        </w:rPr>
      </w:pPr>
    </w:p>
    <w:p w:rsidR="00355BC7" w:rsidRDefault="00355BC7" w:rsidP="00355BC7">
      <w:pPr>
        <w:jc w:val="both"/>
        <w:rPr>
          <w:rFonts w:ascii="Arial" w:hAnsi="Arial" w:cs="Arial"/>
          <w:sz w:val="22"/>
          <w:szCs w:val="22"/>
        </w:rPr>
      </w:pPr>
      <w:r>
        <w:rPr>
          <w:rFonts w:ascii="Arial" w:hAnsi="Arial" w:cs="Arial"/>
          <w:sz w:val="22"/>
          <w:szCs w:val="22"/>
          <w:shd w:val="clear" w:color="auto" w:fill="FFFFFF"/>
        </w:rPr>
        <w:t xml:space="preserve">La siguiente información fue tomada de la página </w:t>
      </w:r>
      <w:r>
        <w:rPr>
          <w:rFonts w:ascii="Arial" w:hAnsi="Arial" w:cs="Arial"/>
          <w:i/>
          <w:iCs/>
          <w:sz w:val="22"/>
          <w:szCs w:val="22"/>
          <w:shd w:val="clear" w:color="auto" w:fill="FFFFFF"/>
        </w:rPr>
        <w:t>Web</w:t>
      </w:r>
      <w:r>
        <w:rPr>
          <w:rFonts w:ascii="Arial" w:hAnsi="Arial" w:cs="Arial"/>
          <w:sz w:val="22"/>
          <w:szCs w:val="22"/>
          <w:shd w:val="clear" w:color="auto" w:fill="FFFFFF"/>
        </w:rPr>
        <w:t xml:space="preserve"> de la Alcaldía Municipal de Mitú (</w:t>
      </w:r>
      <w:hyperlink r:id="rId14" w:history="1">
        <w:r>
          <w:rPr>
            <w:rStyle w:val="Hipervnculo"/>
            <w:rFonts w:ascii="Arial" w:hAnsi="Arial" w:cs="Arial"/>
            <w:sz w:val="22"/>
            <w:szCs w:val="22"/>
          </w:rPr>
          <w:t>http://www.mitu-vaupes.gov.co/MiMunicipio/Paginas/Economia.aspx</w:t>
        </w:r>
      </w:hyperlink>
      <w:r>
        <w:rPr>
          <w:rFonts w:ascii="Arial" w:hAnsi="Arial" w:cs="Arial"/>
          <w:sz w:val="22"/>
          <w:szCs w:val="22"/>
        </w:rPr>
        <w:t>):</w:t>
      </w:r>
    </w:p>
    <w:p w:rsidR="00355BC7" w:rsidRDefault="00355BC7" w:rsidP="00355BC7">
      <w:pPr>
        <w:jc w:val="both"/>
        <w:rPr>
          <w:rFonts w:ascii="Arial" w:hAnsi="Arial" w:cs="Arial"/>
          <w:sz w:val="22"/>
          <w:szCs w:val="22"/>
        </w:rPr>
      </w:pPr>
    </w:p>
    <w:p w:rsidR="00355BC7" w:rsidRPr="00752183" w:rsidRDefault="00355BC7" w:rsidP="00355BC7">
      <w:pPr>
        <w:ind w:left="1416"/>
        <w:contextualSpacing/>
        <w:jc w:val="both"/>
        <w:rPr>
          <w:rFonts w:ascii="Arial" w:hAnsi="Arial" w:cs="Arial"/>
          <w:color w:val="222222"/>
          <w:sz w:val="18"/>
          <w:szCs w:val="22"/>
          <w:shd w:val="clear" w:color="auto" w:fill="FFFFFF"/>
        </w:rPr>
      </w:pPr>
      <w:r w:rsidRPr="00752183">
        <w:rPr>
          <w:rFonts w:ascii="Arial" w:eastAsia="Times New Roman" w:hAnsi="Arial" w:cs="Arial"/>
          <w:i/>
          <w:color w:val="2A2A2A"/>
          <w:sz w:val="18"/>
          <w:szCs w:val="22"/>
          <w:bdr w:val="none" w:sz="0" w:space="0" w:color="auto" w:frame="1"/>
          <w:lang w:val="es-CO" w:eastAsia="en-US"/>
        </w:rPr>
        <w:t>“Más del 98 % del suelo del municipio está cubierto de bosques tropicales, que hacen parte de la Reserva Forestal de la Amazonía, mediante la Ley 2ª de 1959, por lo tanto, sus usos se encuentran condicionados a usos de protección y producción. Esta área igualmente es Resguardo Indígena mediante el Acuerdo 086 de 1982 del INCORA, determinando que es un territorio colectivo de los indígenas que es compatible con la Reserva Forestal. Existe un 1.5% del uso del suelo del Municipio, conocido como área de colonización, enmarcado en un Km a lado y lado de la carretera Mitú-Monforth que tiene una extensión proyectada de 105 Km aproximadamente”.</w:t>
      </w:r>
    </w:p>
    <w:p w:rsidR="00355BC7" w:rsidRPr="00752183" w:rsidRDefault="00355BC7" w:rsidP="00355BC7">
      <w:pPr>
        <w:shd w:val="clear" w:color="auto" w:fill="FFFFFF"/>
        <w:ind w:left="1416"/>
        <w:jc w:val="both"/>
        <w:textAlignment w:val="baseline"/>
        <w:rPr>
          <w:rFonts w:ascii="Arial" w:eastAsia="Times New Roman" w:hAnsi="Arial" w:cs="Arial"/>
          <w:i/>
          <w:color w:val="2A2A2A"/>
          <w:sz w:val="18"/>
          <w:szCs w:val="22"/>
          <w:lang w:val="es-CO" w:eastAsia="en-US"/>
        </w:rPr>
      </w:pPr>
    </w:p>
    <w:p w:rsidR="00355BC7" w:rsidRPr="00752183" w:rsidRDefault="00355BC7" w:rsidP="00355BC7">
      <w:pPr>
        <w:shd w:val="clear" w:color="auto" w:fill="FFFFFF"/>
        <w:ind w:left="1416"/>
        <w:jc w:val="both"/>
        <w:textAlignment w:val="baseline"/>
        <w:rPr>
          <w:rFonts w:ascii="Arial" w:eastAsia="Times New Roman" w:hAnsi="Arial" w:cs="Arial"/>
          <w:i/>
          <w:color w:val="2A2A2A"/>
          <w:sz w:val="18"/>
          <w:szCs w:val="22"/>
          <w:lang w:val="es-CO" w:eastAsia="en-US"/>
        </w:rPr>
      </w:pPr>
      <w:r w:rsidRPr="00752183">
        <w:rPr>
          <w:rFonts w:ascii="Arial" w:eastAsia="Times New Roman" w:hAnsi="Arial" w:cs="Arial"/>
          <w:i/>
          <w:color w:val="2A2A2A"/>
          <w:sz w:val="18"/>
          <w:szCs w:val="22"/>
          <w:bdr w:val="none" w:sz="0" w:space="0" w:color="auto" w:frame="1"/>
          <w:lang w:val="es-CO" w:eastAsia="en-US"/>
        </w:rPr>
        <w:t>El uso agrícola se encuentra determinado por una agricultura itinerante del sistema de policultivos denominadas chagras; que en la mayoría de los casos es responsabilidad de la mujer. Es también muy común la producción de excedentes de cosecha para ser comercializados en la ciudad de Mitú. La chagra es un área de bosque primario, secundario o de rastrojo que los indígenas tumban y queman con el fin de establecer diversos cultivos asociados e intercalados; a los dos o tres años cuando el suelo pierde su fertilidad es abandonada, dejándola sembrada de frutales y palmas que serán utilizados como sitio futuro de recolección que se conoce con el nombre de “pepeo”. El área aproximada de una chagra es de una a dos hectáreas. Esta actividad se encuentra establecida principalmente, en la vía Mitú-Monforth y en áreas aledañas a las comunidades indígenas. Donde los principales cultivos de pan son: yuca, maíz, coca, plátano, caña batata y ñame. Las frutas que se cultivan en la región son: lulo, borojó, arazá, papaya, zapayo, sandía, zapote y cacao. También existen otros tipos de frutales conocidos como amazónicos: umarí, ucuqui, caimo, marañon, copoazú, uva caimarona, ibapichuna. Otros como Palmas amazónicas: wasahi, pataba, pupuña, miriti, inaya, carombolo, otras.</w:t>
      </w:r>
    </w:p>
    <w:p w:rsidR="00355BC7" w:rsidRPr="00752183" w:rsidRDefault="00355BC7" w:rsidP="00355BC7">
      <w:pPr>
        <w:shd w:val="clear" w:color="auto" w:fill="FFFFFF"/>
        <w:ind w:left="1416"/>
        <w:jc w:val="both"/>
        <w:textAlignment w:val="baseline"/>
        <w:rPr>
          <w:rFonts w:ascii="Arial" w:eastAsia="Times New Roman" w:hAnsi="Arial" w:cs="Arial"/>
          <w:i/>
          <w:color w:val="2A2A2A"/>
          <w:sz w:val="18"/>
          <w:szCs w:val="22"/>
          <w:lang w:val="es-CO" w:eastAsia="en-US"/>
        </w:rPr>
      </w:pPr>
    </w:p>
    <w:p w:rsidR="00355BC7" w:rsidRPr="00752183" w:rsidRDefault="00355BC7" w:rsidP="00355BC7">
      <w:pPr>
        <w:shd w:val="clear" w:color="auto" w:fill="FFFFFF"/>
        <w:ind w:left="1416"/>
        <w:jc w:val="both"/>
        <w:textAlignment w:val="baseline"/>
        <w:rPr>
          <w:rFonts w:ascii="Arial" w:eastAsia="Times New Roman" w:hAnsi="Arial" w:cs="Arial"/>
          <w:i/>
          <w:color w:val="2A2A2A"/>
          <w:sz w:val="18"/>
          <w:szCs w:val="22"/>
          <w:lang w:val="es-CO" w:eastAsia="en-US"/>
        </w:rPr>
      </w:pPr>
      <w:r w:rsidRPr="00752183">
        <w:rPr>
          <w:rFonts w:ascii="Arial" w:eastAsia="Times New Roman" w:hAnsi="Arial" w:cs="Arial"/>
          <w:i/>
          <w:color w:val="2A2A2A"/>
          <w:sz w:val="18"/>
          <w:szCs w:val="22"/>
          <w:bdr w:val="none" w:sz="0" w:space="0" w:color="auto" w:frame="1"/>
          <w:lang w:val="es-CO" w:eastAsia="en-US"/>
        </w:rPr>
        <w:t>La ganadería en el municipio fue impulsada en la segunda mitad del siglo XX, por religiosos misioneros en las comunidades indígenas y por el estado en la carretera Mitú – Monforth; en general es de tipo extensivo, y en este momento es una actividad incipiente, con un bajo nivel de explotación tecnológico. En general la actividad ganadera sostenible en el municipio es desconocida, en parte porque no se han desarrollado prácticas de manejo y conservación de suelo adecuadas; como pueden ser los modelos de producción intensiva agrosilvopastoriles que permiten lograr producciones continuas sin degradar el medio de una manera irreversible.</w:t>
      </w:r>
    </w:p>
    <w:p w:rsidR="00355BC7" w:rsidRPr="00752183" w:rsidRDefault="00355BC7" w:rsidP="00355BC7">
      <w:pPr>
        <w:shd w:val="clear" w:color="auto" w:fill="FFFFFF"/>
        <w:ind w:left="1416"/>
        <w:jc w:val="both"/>
        <w:textAlignment w:val="baseline"/>
        <w:rPr>
          <w:rFonts w:ascii="Arial" w:eastAsia="Times New Roman" w:hAnsi="Arial" w:cs="Arial"/>
          <w:i/>
          <w:color w:val="2A2A2A"/>
          <w:sz w:val="18"/>
          <w:szCs w:val="22"/>
          <w:lang w:val="es-CO" w:eastAsia="en-US"/>
        </w:rPr>
      </w:pPr>
    </w:p>
    <w:p w:rsidR="00355BC7" w:rsidRPr="00752183" w:rsidRDefault="00355BC7" w:rsidP="00355BC7">
      <w:pPr>
        <w:shd w:val="clear" w:color="auto" w:fill="FFFFFF"/>
        <w:ind w:left="1416"/>
        <w:jc w:val="both"/>
        <w:textAlignment w:val="baseline"/>
        <w:rPr>
          <w:rFonts w:ascii="Arial" w:eastAsia="Times New Roman" w:hAnsi="Arial" w:cs="Arial"/>
          <w:i/>
          <w:color w:val="2A2A2A"/>
          <w:sz w:val="18"/>
          <w:szCs w:val="22"/>
          <w:lang w:val="es-CO" w:eastAsia="en-US"/>
        </w:rPr>
      </w:pPr>
      <w:r w:rsidRPr="00752183">
        <w:rPr>
          <w:rFonts w:ascii="Arial" w:eastAsia="Times New Roman" w:hAnsi="Arial" w:cs="Arial"/>
          <w:i/>
          <w:color w:val="2A2A2A"/>
          <w:sz w:val="18"/>
          <w:szCs w:val="22"/>
          <w:bdr w:val="none" w:sz="0" w:space="0" w:color="auto" w:frame="1"/>
          <w:lang w:val="es-CO" w:eastAsia="en-US"/>
        </w:rPr>
        <w:t>En el municipio existen áreas naturales de riqueza paisajística cuya función es el descanso o el recreo y las actividades deportivas como son: Caño Cucura, Raudal del Yuruparí, Cachivera de Santa Cruz y Cuevas de Urania. Estas zonas no cuentan con infraestructura ni con un manejo adecuado por parte de los turistas que las visitan, generando problemas de basuras y deterioro de la calidad del agua, entre otros”.</w:t>
      </w:r>
    </w:p>
    <w:p w:rsidR="00355BC7" w:rsidRDefault="00355BC7" w:rsidP="00355BC7">
      <w:pPr>
        <w:jc w:val="both"/>
        <w:rPr>
          <w:rFonts w:ascii="Arial" w:hAnsi="Arial" w:cs="Arial"/>
          <w:b/>
          <w:bCs/>
          <w:sz w:val="22"/>
          <w:szCs w:val="22"/>
        </w:rPr>
      </w:pPr>
    </w:p>
    <w:p w:rsidR="00355BC7" w:rsidRDefault="00355BC7" w:rsidP="00355BC7">
      <w:pPr>
        <w:autoSpaceDE w:val="0"/>
        <w:autoSpaceDN w:val="0"/>
        <w:adjustRightInd w:val="0"/>
        <w:jc w:val="both"/>
        <w:rPr>
          <w:rFonts w:ascii="Arial" w:eastAsia="Times New Roman" w:hAnsi="Arial" w:cs="Arial"/>
          <w:i/>
          <w:sz w:val="22"/>
          <w:szCs w:val="22"/>
          <w:bdr w:val="none" w:sz="0" w:space="0" w:color="auto" w:frame="1"/>
          <w:lang w:eastAsia="en-US"/>
        </w:rPr>
      </w:pPr>
      <w:r>
        <w:rPr>
          <w:rFonts w:ascii="Arial" w:eastAsia="Times New Roman" w:hAnsi="Arial" w:cs="Arial"/>
          <w:sz w:val="22"/>
          <w:szCs w:val="22"/>
          <w:bdr w:val="none" w:sz="0" w:space="0" w:color="auto" w:frame="1"/>
          <w:lang w:eastAsia="en-US"/>
        </w:rPr>
        <w:t>Por otra parte, el informe de viabilidad fiscal de 2020, lo señaló</w:t>
      </w:r>
      <w:r>
        <w:rPr>
          <w:rFonts w:ascii="Arial" w:eastAsia="Times New Roman" w:hAnsi="Arial" w:cs="Arial"/>
          <w:i/>
          <w:sz w:val="22"/>
          <w:szCs w:val="22"/>
          <w:bdr w:val="none" w:sz="0" w:space="0" w:color="auto" w:frame="1"/>
          <w:lang w:eastAsia="en-US"/>
        </w:rPr>
        <w:t xml:space="preserve"> “</w:t>
      </w:r>
      <w:r>
        <w:rPr>
          <w:rFonts w:ascii="Arial" w:eastAsiaTheme="minorHAnsi" w:hAnsi="Arial" w:cs="Arial"/>
          <w:i/>
          <w:sz w:val="22"/>
          <w:szCs w:val="22"/>
          <w:lang w:val="es-CO" w:eastAsia="en-US"/>
        </w:rPr>
        <w:t>El PIB per cápita del departamento de Vaupés medido en pesos corrientes alcanzó $6.2 millones, siendo el más bajo del país; dado que Mitú concentra el 79% del valor agregado departamental, el PIB per cápita estimado para el municipio fue de $4.9 millones de pesos”</w:t>
      </w:r>
    </w:p>
    <w:p w:rsidR="00355BC7" w:rsidRDefault="00355BC7" w:rsidP="00355BC7">
      <w:pPr>
        <w:shd w:val="clear" w:color="auto" w:fill="FFFFFF"/>
        <w:jc w:val="both"/>
        <w:textAlignment w:val="baseline"/>
        <w:rPr>
          <w:rFonts w:ascii="Arial" w:eastAsia="Times New Roman" w:hAnsi="Arial" w:cs="Arial"/>
          <w:sz w:val="22"/>
          <w:szCs w:val="22"/>
          <w:bdr w:val="none" w:sz="0" w:space="0" w:color="auto" w:frame="1"/>
          <w:lang w:eastAsia="en-US"/>
        </w:rPr>
      </w:pPr>
    </w:p>
    <w:p w:rsidR="00355BC7" w:rsidRDefault="00355BC7" w:rsidP="00355BC7">
      <w:pPr>
        <w:autoSpaceDE w:val="0"/>
        <w:autoSpaceDN w:val="0"/>
        <w:adjustRightInd w:val="0"/>
        <w:rPr>
          <w:rFonts w:ascii="Arial" w:eastAsia="Calibri" w:hAnsi="Arial" w:cs="Arial"/>
          <w:i/>
          <w:sz w:val="22"/>
          <w:szCs w:val="22"/>
          <w:lang w:val="es-CO"/>
        </w:rPr>
      </w:pPr>
      <w:r>
        <w:rPr>
          <w:rFonts w:ascii="Arial" w:eastAsiaTheme="minorHAnsi" w:hAnsi="Arial" w:cs="Arial"/>
          <w:sz w:val="22"/>
          <w:szCs w:val="22"/>
          <w:lang w:val="es-CO" w:eastAsia="en-US"/>
        </w:rPr>
        <w:t>Según el DANE, la tasa de desempleo para el municipio de Mitú fue de 16</w:t>
      </w:r>
      <w:r w:rsidR="00AE40CF">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 porcentaje superior al del año pasado (9</w:t>
      </w:r>
      <w:r w:rsidR="00AE40CF">
        <w:rPr>
          <w:rFonts w:ascii="Arial" w:eastAsiaTheme="minorHAnsi" w:hAnsi="Arial" w:cs="Arial"/>
          <w:sz w:val="22"/>
          <w:szCs w:val="22"/>
          <w:lang w:val="es-CO" w:eastAsia="en-US"/>
        </w:rPr>
        <w:t>,</w:t>
      </w:r>
      <w:r>
        <w:rPr>
          <w:rFonts w:ascii="Arial" w:eastAsiaTheme="minorHAnsi" w:hAnsi="Arial" w:cs="Arial"/>
          <w:sz w:val="22"/>
          <w:szCs w:val="22"/>
          <w:lang w:val="es-CO" w:eastAsia="en-US"/>
        </w:rPr>
        <w:t>7</w:t>
      </w:r>
      <w:r w:rsidR="00AE40CF">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 al de la región oriental (15</w:t>
      </w:r>
      <w:r w:rsidR="00AE40CF">
        <w:rPr>
          <w:rFonts w:ascii="Arial" w:eastAsiaTheme="minorHAnsi" w:hAnsi="Arial" w:cs="Arial"/>
          <w:sz w:val="22"/>
          <w:szCs w:val="22"/>
          <w:lang w:val="es-CO" w:eastAsia="en-US"/>
        </w:rPr>
        <w:t>,</w:t>
      </w:r>
      <w:r>
        <w:rPr>
          <w:rFonts w:ascii="Arial" w:eastAsiaTheme="minorHAnsi" w:hAnsi="Arial" w:cs="Arial"/>
          <w:sz w:val="22"/>
          <w:szCs w:val="22"/>
          <w:lang w:val="es-CO" w:eastAsia="en-US"/>
        </w:rPr>
        <w:t>7</w:t>
      </w:r>
      <w:r w:rsidR="00AE40CF">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 y al Nacional (15</w:t>
      </w:r>
      <w:r w:rsidR="00AE40CF">
        <w:rPr>
          <w:rFonts w:ascii="Arial" w:eastAsiaTheme="minorHAnsi" w:hAnsi="Arial" w:cs="Arial"/>
          <w:sz w:val="22"/>
          <w:szCs w:val="22"/>
          <w:lang w:val="es-CO" w:eastAsia="en-US"/>
        </w:rPr>
        <w:t>,</w:t>
      </w:r>
      <w:r>
        <w:rPr>
          <w:rFonts w:ascii="Arial" w:eastAsiaTheme="minorHAnsi" w:hAnsi="Arial" w:cs="Arial"/>
          <w:sz w:val="22"/>
          <w:szCs w:val="22"/>
          <w:lang w:val="es-CO" w:eastAsia="en-US"/>
        </w:rPr>
        <w:t>8</w:t>
      </w:r>
      <w:r w:rsidR="00AE40CF">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w:t>
      </w:r>
    </w:p>
    <w:p w:rsidR="00355BC7" w:rsidRDefault="00355BC7" w:rsidP="00355BC7">
      <w:pPr>
        <w:shd w:val="clear" w:color="auto" w:fill="FFFFFF"/>
        <w:jc w:val="both"/>
        <w:textAlignment w:val="baseline"/>
        <w:rPr>
          <w:rFonts w:ascii="Arial" w:eastAsia="Times New Roman" w:hAnsi="Arial" w:cs="Arial"/>
          <w:i/>
          <w:sz w:val="22"/>
          <w:szCs w:val="22"/>
          <w:bdr w:val="none" w:sz="0" w:space="0" w:color="auto" w:frame="1"/>
          <w:lang w:eastAsia="en-US"/>
        </w:rPr>
      </w:pPr>
    </w:p>
    <w:p w:rsidR="00355BC7" w:rsidRDefault="00355BC7" w:rsidP="00355BC7">
      <w:pPr>
        <w:autoSpaceDE w:val="0"/>
        <w:autoSpaceDN w:val="0"/>
        <w:adjustRightInd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En 2019 los comportamientos de los efectivos resultaron inferiores a los compromisos de gasto. El resultado del balance de capital fue negativo como consecuencia del incremento en la formación bruta de capital especialmente sector de vías. Por otra parte, en esta vigencia la entidad territorial</w:t>
      </w:r>
      <w:r w:rsidR="00AE40CF">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reporta recursos del balance - superávit fiscal de vigencias anteriores y su endeudamiento neto descendió obteniendo un resultado presupuestal deficitario.</w:t>
      </w:r>
    </w:p>
    <w:p w:rsidR="00355BC7" w:rsidRDefault="00355BC7" w:rsidP="00752183">
      <w:pPr>
        <w:autoSpaceDE w:val="0"/>
        <w:autoSpaceDN w:val="0"/>
        <w:adjustRightInd w:val="0"/>
        <w:jc w:val="both"/>
        <w:rPr>
          <w:rFonts w:ascii="Arial" w:eastAsia="Calibri" w:hAnsi="Arial" w:cs="Arial"/>
          <w:i/>
          <w:sz w:val="22"/>
          <w:szCs w:val="22"/>
          <w:lang w:val="es-CO"/>
        </w:rPr>
      </w:pPr>
    </w:p>
    <w:p w:rsidR="00355BC7" w:rsidRDefault="00355BC7" w:rsidP="00355BC7">
      <w:pPr>
        <w:autoSpaceDE w:val="0"/>
        <w:autoSpaceDN w:val="0"/>
        <w:adjustRightInd w:val="0"/>
        <w:rPr>
          <w:rFonts w:ascii="Arial" w:eastAsiaTheme="minorHAnsi" w:hAnsi="Arial" w:cs="Arial"/>
          <w:color w:val="000000"/>
          <w:sz w:val="22"/>
          <w:szCs w:val="22"/>
          <w:lang w:val="es-CO" w:eastAsia="en-US"/>
        </w:rPr>
      </w:pPr>
      <w:r>
        <w:rPr>
          <w:rFonts w:ascii="Arial" w:eastAsiaTheme="minorHAnsi" w:hAnsi="Arial" w:cs="Arial"/>
          <w:b/>
          <w:bCs/>
          <w:color w:val="000000"/>
          <w:sz w:val="22"/>
          <w:szCs w:val="22"/>
          <w:lang w:val="es-CO" w:eastAsia="en-US"/>
        </w:rPr>
        <w:t>B. COMPONENTES SECTORIALES</w:t>
      </w:r>
      <w:r w:rsidR="00AE40CF">
        <w:rPr>
          <w:rFonts w:ascii="Arial" w:eastAsiaTheme="minorHAnsi" w:hAnsi="Arial" w:cs="Arial"/>
          <w:b/>
          <w:bCs/>
          <w:color w:val="000000"/>
          <w:sz w:val="22"/>
          <w:szCs w:val="22"/>
          <w:lang w:val="es-CO" w:eastAsia="en-US"/>
        </w:rPr>
        <w:t>.</w:t>
      </w:r>
    </w:p>
    <w:p w:rsidR="00355BC7" w:rsidRDefault="00355BC7" w:rsidP="00355BC7">
      <w:pPr>
        <w:tabs>
          <w:tab w:val="num" w:pos="720"/>
        </w:tabs>
        <w:jc w:val="both"/>
        <w:rPr>
          <w:rFonts w:ascii="Arial" w:eastAsiaTheme="minorHAnsi" w:hAnsi="Arial" w:cs="Arial"/>
          <w:b/>
          <w:bCs/>
          <w:color w:val="000000"/>
          <w:sz w:val="22"/>
          <w:szCs w:val="22"/>
          <w:lang w:val="es-CO" w:eastAsia="en-US"/>
        </w:rPr>
      </w:pPr>
    </w:p>
    <w:p w:rsidR="00355BC7" w:rsidRDefault="00355BC7" w:rsidP="00355BC7">
      <w:pPr>
        <w:tabs>
          <w:tab w:val="num" w:pos="720"/>
        </w:tabs>
        <w:jc w:val="both"/>
        <w:rPr>
          <w:rFonts w:ascii="Arial" w:eastAsiaTheme="minorHAnsi" w:hAnsi="Arial" w:cs="Arial"/>
          <w:b/>
          <w:bCs/>
          <w:color w:val="000000"/>
          <w:sz w:val="22"/>
          <w:szCs w:val="22"/>
          <w:lang w:val="es-CO" w:eastAsia="en-US"/>
        </w:rPr>
      </w:pPr>
      <w:r>
        <w:rPr>
          <w:rFonts w:ascii="Arial" w:eastAsiaTheme="minorHAnsi" w:hAnsi="Arial" w:cs="Arial"/>
          <w:b/>
          <w:bCs/>
          <w:color w:val="000000"/>
          <w:sz w:val="22"/>
          <w:szCs w:val="22"/>
          <w:lang w:val="es-CO" w:eastAsia="en-US"/>
        </w:rPr>
        <w:t>La prestación del Servicio</w:t>
      </w:r>
      <w:r w:rsidR="00AE40CF">
        <w:rPr>
          <w:rFonts w:ascii="Arial" w:eastAsiaTheme="minorHAnsi" w:hAnsi="Arial" w:cs="Arial"/>
          <w:b/>
          <w:bCs/>
          <w:color w:val="000000"/>
          <w:sz w:val="22"/>
          <w:szCs w:val="22"/>
          <w:lang w:val="es-CO" w:eastAsia="en-US"/>
        </w:rPr>
        <w:t>.</w:t>
      </w:r>
    </w:p>
    <w:p w:rsidR="00355BC7" w:rsidRDefault="00355BC7" w:rsidP="00355BC7">
      <w:pPr>
        <w:tabs>
          <w:tab w:val="num" w:pos="720"/>
        </w:tabs>
        <w:jc w:val="both"/>
        <w:rPr>
          <w:rFonts w:ascii="Arial" w:hAnsi="Arial" w:cs="Arial"/>
          <w:b/>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 xml:space="preserve">La prestación de los Servicios Públicos Domiciliarios de Acueducto, Alcantarillado y Aseo se encuentra a cargo de la Unidad de Servicios Públicos del Municipio de Mitú, U.S.P.D.M. </w:t>
      </w:r>
      <w:r>
        <w:rPr>
          <w:rFonts w:ascii="Arial" w:hAnsi="Arial" w:cs="Arial"/>
          <w:sz w:val="22"/>
          <w:szCs w:val="22"/>
        </w:rPr>
        <w:lastRenderedPageBreak/>
        <w:t>creada mediante Decreto 019 de febrero 11 de 2003, de conformidad al Acuerdo Municipal No. 015 de 23 de agosto de 2001. La Unidad de Servicios Públicos del Municipio de Mitú, es una dependencia de la Secretaria de Obras Públicas Municipal; la cual cuenta con una planta de personal compuesta por veintiséis (26) empleados.</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b/>
          <w:sz w:val="22"/>
          <w:szCs w:val="22"/>
        </w:rPr>
      </w:pPr>
      <w:r>
        <w:rPr>
          <w:rFonts w:ascii="Arial" w:hAnsi="Arial" w:cs="Arial"/>
          <w:b/>
          <w:sz w:val="22"/>
          <w:szCs w:val="22"/>
        </w:rPr>
        <w:t>SISTEMA DE ACUEDUCTO.</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Según la descripción que se registra en el Plan de Desarrollo Municipal </w:t>
      </w:r>
      <w:r>
        <w:rPr>
          <w:rFonts w:ascii="Arial" w:hAnsi="Arial" w:cs="Arial"/>
          <w:i/>
          <w:sz w:val="22"/>
          <w:szCs w:val="22"/>
        </w:rPr>
        <w:t>“Comprometidos con la Gente 2020-2023”</w:t>
      </w:r>
      <w:r>
        <w:rPr>
          <w:rFonts w:ascii="Arial" w:hAnsi="Arial" w:cs="Arial"/>
          <w:sz w:val="22"/>
          <w:szCs w:val="22"/>
        </w:rPr>
        <w:t>, el Acueducto Municipal presenta las siguientes características:</w:t>
      </w:r>
    </w:p>
    <w:p w:rsidR="00355BC7" w:rsidRDefault="00355BC7" w:rsidP="00355BC7">
      <w:pPr>
        <w:autoSpaceDE w:val="0"/>
        <w:autoSpaceDN w:val="0"/>
        <w:adjustRightInd w:val="0"/>
        <w:rPr>
          <w:rFonts w:ascii="Arial" w:eastAsia="Calibri" w:hAnsi="Arial" w:cs="Arial"/>
          <w:i/>
          <w:iCs/>
          <w:sz w:val="22"/>
          <w:szCs w:val="22"/>
        </w:rPr>
      </w:pPr>
    </w:p>
    <w:p w:rsidR="00355BC7" w:rsidRPr="00752183" w:rsidRDefault="00355BC7" w:rsidP="00355BC7">
      <w:pPr>
        <w:ind w:left="1416"/>
        <w:jc w:val="both"/>
        <w:rPr>
          <w:rFonts w:ascii="Arial" w:hAnsi="Arial" w:cs="Arial"/>
          <w:i/>
          <w:sz w:val="18"/>
          <w:szCs w:val="22"/>
        </w:rPr>
      </w:pPr>
      <w:r w:rsidRPr="00752183">
        <w:rPr>
          <w:rFonts w:ascii="Arial" w:hAnsi="Arial" w:cs="Arial"/>
          <w:i/>
          <w:sz w:val="18"/>
          <w:szCs w:val="22"/>
        </w:rPr>
        <w:t>“El servicio de acueducto ha tenido un crecimiento de cobertura, como lo muestra la gráfica No 6 a continuación”</w:t>
      </w:r>
      <w:r w:rsidRPr="00752183">
        <w:rPr>
          <w:rFonts w:ascii="Arial" w:hAnsi="Arial" w:cs="Arial"/>
          <w:i/>
          <w:sz w:val="18"/>
          <w:szCs w:val="22"/>
          <w:vertAlign w:val="superscript"/>
        </w:rPr>
        <w:footnoteReference w:id="1"/>
      </w:r>
      <w:r w:rsidRPr="00752183">
        <w:rPr>
          <w:rFonts w:ascii="Arial" w:hAnsi="Arial" w:cs="Arial"/>
          <w:i/>
          <w:sz w:val="18"/>
          <w:szCs w:val="22"/>
        </w:rPr>
        <w:t xml:space="preserve">: </w:t>
      </w:r>
    </w:p>
    <w:p w:rsidR="00355BC7" w:rsidRPr="00752183" w:rsidRDefault="00355BC7" w:rsidP="00355BC7">
      <w:pPr>
        <w:ind w:left="1416"/>
        <w:rPr>
          <w:rFonts w:ascii="Arial" w:hAnsi="Arial" w:cs="Arial"/>
          <w:i/>
          <w:iCs/>
          <w:sz w:val="18"/>
          <w:szCs w:val="22"/>
        </w:rPr>
      </w:pPr>
    </w:p>
    <w:p w:rsidR="00355BC7" w:rsidRPr="00752183" w:rsidRDefault="00355BC7" w:rsidP="00355BC7">
      <w:pPr>
        <w:autoSpaceDE w:val="0"/>
        <w:autoSpaceDN w:val="0"/>
        <w:adjustRightInd w:val="0"/>
        <w:ind w:left="1416"/>
        <w:contextualSpacing/>
        <w:jc w:val="both"/>
        <w:rPr>
          <w:rFonts w:ascii="Arial" w:eastAsia="Calibri" w:hAnsi="Arial" w:cs="Arial"/>
          <w:i/>
          <w:iCs/>
          <w:sz w:val="18"/>
          <w:szCs w:val="22"/>
          <w:lang w:val="es-CO"/>
        </w:rPr>
      </w:pPr>
      <w:r w:rsidRPr="00752183">
        <w:rPr>
          <w:rFonts w:ascii="Arial" w:eastAsia="Calibri" w:hAnsi="Arial" w:cs="Arial"/>
          <w:i/>
          <w:iCs/>
          <w:sz w:val="18"/>
          <w:szCs w:val="22"/>
          <w:lang w:val="es-CO"/>
        </w:rPr>
        <w:t>Según el CENSO para el 2018 se cuenta con una cobertura del 95,32% en el casco urbano del municipio de Mitú. Hay 17 barrios según el Esquema de Ordenamiento Territorial, sin embargo 3 de estos presentan inconvenientes en la prestación del servicio de acueducto debido a la falta de presión, aunque están conectados a la red, su servicio es intermitente y en época de verano los índices bajan considerablemente en algunos sectores de su influencia prestacional.</w:t>
      </w:r>
    </w:p>
    <w:p w:rsidR="00355BC7" w:rsidRPr="00752183" w:rsidRDefault="00355BC7" w:rsidP="00355BC7">
      <w:pPr>
        <w:autoSpaceDE w:val="0"/>
        <w:autoSpaceDN w:val="0"/>
        <w:adjustRightInd w:val="0"/>
        <w:ind w:left="1416"/>
        <w:contextualSpacing/>
        <w:rPr>
          <w:rFonts w:ascii="Arial" w:eastAsia="Calibri" w:hAnsi="Arial" w:cs="Arial"/>
          <w:b/>
          <w:i/>
          <w:sz w:val="18"/>
          <w:szCs w:val="22"/>
          <w:u w:val="single"/>
          <w:lang w:val="es-CO"/>
        </w:rPr>
      </w:pPr>
    </w:p>
    <w:p w:rsidR="00355BC7" w:rsidRPr="00752183" w:rsidRDefault="00355BC7" w:rsidP="00355BC7">
      <w:pPr>
        <w:autoSpaceDE w:val="0"/>
        <w:autoSpaceDN w:val="0"/>
        <w:adjustRightInd w:val="0"/>
        <w:ind w:left="1416"/>
        <w:contextualSpacing/>
        <w:jc w:val="both"/>
        <w:rPr>
          <w:rFonts w:ascii="Arial" w:eastAsia="Calibri" w:hAnsi="Arial" w:cs="Arial"/>
          <w:i/>
          <w:sz w:val="18"/>
          <w:szCs w:val="22"/>
          <w:lang w:val="es-CO"/>
        </w:rPr>
      </w:pPr>
      <w:r w:rsidRPr="00752183">
        <w:rPr>
          <w:rFonts w:ascii="Arial" w:eastAsia="Calibri" w:hAnsi="Arial" w:cs="Arial"/>
          <w:i/>
          <w:sz w:val="18"/>
          <w:szCs w:val="22"/>
          <w:lang w:val="es-CO"/>
        </w:rPr>
        <w:t>Inicialmente la Planta de Tratamiento de Agua Potable – PTAP, tenía una capacidad de tratamiento, pero debido al incremento de la población en los últimos años, ha hecho que esta se vuelva insuficiente para tratar la cantidad de demanda que necesita el casco urbano. El agua suministrada a la población, de acuerdo con los últimos análisis de laboratorio (IRCA), tiene un nivel de riesgo medio. La PTAP opera las 24 horas del día, donde están programados 4 turnos para los operarios, esta recibe un caudal de 40 Lt/Seg y trata 35 Lt/Seg”.</w:t>
      </w:r>
    </w:p>
    <w:p w:rsidR="00355BC7" w:rsidRDefault="00355BC7" w:rsidP="00355BC7">
      <w:pPr>
        <w:autoSpaceDE w:val="0"/>
        <w:autoSpaceDN w:val="0"/>
        <w:adjustRightInd w:val="0"/>
        <w:ind w:left="1416"/>
        <w:contextualSpacing/>
        <w:rPr>
          <w:rFonts w:ascii="Arial" w:eastAsia="Calibri" w:hAnsi="Arial" w:cs="Arial"/>
          <w:b/>
          <w:i/>
          <w:sz w:val="22"/>
          <w:szCs w:val="22"/>
          <w:u w:val="single"/>
          <w:lang w:val="es-CO"/>
        </w:rPr>
      </w:pPr>
    </w:p>
    <w:p w:rsidR="00355BC7" w:rsidRDefault="00355BC7" w:rsidP="00752183">
      <w:pPr>
        <w:autoSpaceDE w:val="0"/>
        <w:autoSpaceDN w:val="0"/>
        <w:adjustRightInd w:val="0"/>
        <w:contextualSpacing/>
        <w:rPr>
          <w:rFonts w:ascii="Arial" w:eastAsia="Calibri" w:hAnsi="Arial" w:cs="Arial"/>
          <w:sz w:val="22"/>
          <w:szCs w:val="22"/>
          <w:lang w:val="es-CO"/>
        </w:rPr>
      </w:pPr>
      <w:r>
        <w:rPr>
          <w:rFonts w:ascii="Arial" w:eastAsia="Calibri" w:hAnsi="Arial" w:cs="Arial"/>
          <w:sz w:val="22"/>
          <w:szCs w:val="22"/>
          <w:lang w:val="es-CO"/>
        </w:rPr>
        <w:t xml:space="preserve">El documento describe en 7 etapas el proceso del Sistema de Acueducto: </w:t>
      </w:r>
    </w:p>
    <w:p w:rsidR="00355BC7" w:rsidRDefault="00355BC7" w:rsidP="00355BC7">
      <w:pPr>
        <w:autoSpaceDE w:val="0"/>
        <w:autoSpaceDN w:val="0"/>
        <w:adjustRightInd w:val="0"/>
        <w:ind w:left="1416"/>
        <w:contextualSpacing/>
        <w:rPr>
          <w:rFonts w:ascii="Arial" w:eastAsia="Calibri" w:hAnsi="Arial" w:cs="Arial"/>
          <w:sz w:val="22"/>
          <w:szCs w:val="22"/>
          <w:lang w:val="es-CO"/>
        </w:rPr>
      </w:pPr>
    </w:p>
    <w:p w:rsidR="00355BC7" w:rsidRPr="00752183" w:rsidRDefault="00355BC7" w:rsidP="00AE40CF">
      <w:pPr>
        <w:pStyle w:val="Prrafodelista"/>
        <w:numPr>
          <w:ilvl w:val="0"/>
          <w:numId w:val="22"/>
        </w:numPr>
        <w:autoSpaceDE w:val="0"/>
        <w:autoSpaceDN w:val="0"/>
        <w:adjustRightInd w:val="0"/>
        <w:ind w:left="1701"/>
        <w:jc w:val="both"/>
        <w:rPr>
          <w:rFonts w:ascii="Arial" w:eastAsia="Calibri" w:hAnsi="Arial" w:cs="Arial"/>
          <w:i/>
          <w:sz w:val="18"/>
          <w:szCs w:val="22"/>
          <w:lang w:val="es-CO"/>
        </w:rPr>
      </w:pPr>
      <w:r w:rsidRPr="00752183">
        <w:rPr>
          <w:rFonts w:ascii="Arial" w:eastAsia="Calibri" w:hAnsi="Arial" w:cs="Arial"/>
          <w:i/>
          <w:sz w:val="18"/>
          <w:szCs w:val="22"/>
          <w:lang w:val="es-CO"/>
        </w:rPr>
        <w:t>“Captación: Esta se realiza en una barcaza flotante sobre el rio Vaupés ubicada en el barrio San Francisco, a través de un sistema de bombeo montado sobre un muelle flotante compuesto por una electrobomba y una motobomba, las cuales operan en forma de relevo. • Bomba eléctrica: 71 Litros/seg. • Motobomba: 25 Litros/seg”.</w:t>
      </w:r>
    </w:p>
    <w:p w:rsidR="00355BC7" w:rsidRPr="00752183" w:rsidRDefault="00355BC7" w:rsidP="00AE40CF">
      <w:pPr>
        <w:autoSpaceDE w:val="0"/>
        <w:autoSpaceDN w:val="0"/>
        <w:adjustRightInd w:val="0"/>
        <w:ind w:left="1701"/>
        <w:contextualSpacing/>
        <w:jc w:val="both"/>
        <w:rPr>
          <w:rFonts w:ascii="Arial" w:eastAsia="Calibri" w:hAnsi="Arial" w:cs="Arial"/>
          <w:i/>
          <w:sz w:val="18"/>
          <w:szCs w:val="22"/>
          <w:lang w:val="es-CO"/>
        </w:rPr>
      </w:pPr>
    </w:p>
    <w:p w:rsidR="00355BC7" w:rsidRPr="00752183" w:rsidRDefault="00355BC7" w:rsidP="00AE40CF">
      <w:pPr>
        <w:pStyle w:val="Prrafodelista"/>
        <w:numPr>
          <w:ilvl w:val="0"/>
          <w:numId w:val="22"/>
        </w:numPr>
        <w:autoSpaceDE w:val="0"/>
        <w:autoSpaceDN w:val="0"/>
        <w:adjustRightInd w:val="0"/>
        <w:ind w:left="1701"/>
        <w:jc w:val="both"/>
        <w:rPr>
          <w:rFonts w:ascii="Arial" w:eastAsia="Calibri" w:hAnsi="Arial" w:cs="Arial"/>
          <w:i/>
          <w:sz w:val="18"/>
          <w:szCs w:val="22"/>
          <w:lang w:val="es-CO"/>
        </w:rPr>
      </w:pPr>
      <w:r w:rsidRPr="00752183">
        <w:rPr>
          <w:rFonts w:ascii="Arial" w:eastAsia="Calibri" w:hAnsi="Arial" w:cs="Arial"/>
          <w:i/>
          <w:sz w:val="18"/>
          <w:szCs w:val="22"/>
          <w:lang w:val="es-CO"/>
        </w:rPr>
        <w:t xml:space="preserve">“Línea de aducción: El afluente para tratar es bombeado desde el río a través de una red hidráulica de 12”, a una distancia de 1.600 metros y a una diferencia de altura con relación a la ubicación de la planta de 32 metros”. </w:t>
      </w:r>
    </w:p>
    <w:p w:rsidR="00355BC7" w:rsidRPr="00752183" w:rsidRDefault="00355BC7" w:rsidP="00AE40CF">
      <w:pPr>
        <w:autoSpaceDE w:val="0"/>
        <w:autoSpaceDN w:val="0"/>
        <w:adjustRightInd w:val="0"/>
        <w:ind w:left="1701"/>
        <w:contextualSpacing/>
        <w:jc w:val="both"/>
        <w:rPr>
          <w:rFonts w:ascii="Arial" w:eastAsia="Calibri" w:hAnsi="Arial" w:cs="Arial"/>
          <w:i/>
          <w:sz w:val="18"/>
          <w:szCs w:val="22"/>
          <w:lang w:val="es-CO"/>
        </w:rPr>
      </w:pPr>
    </w:p>
    <w:p w:rsidR="00355BC7" w:rsidRPr="00752183" w:rsidRDefault="00355BC7" w:rsidP="00AE40CF">
      <w:pPr>
        <w:pStyle w:val="Prrafodelista"/>
        <w:numPr>
          <w:ilvl w:val="0"/>
          <w:numId w:val="22"/>
        </w:numPr>
        <w:autoSpaceDE w:val="0"/>
        <w:autoSpaceDN w:val="0"/>
        <w:adjustRightInd w:val="0"/>
        <w:ind w:left="1701"/>
        <w:jc w:val="both"/>
        <w:rPr>
          <w:rFonts w:ascii="Arial" w:eastAsia="Calibri" w:hAnsi="Arial" w:cs="Arial"/>
          <w:i/>
          <w:sz w:val="18"/>
          <w:szCs w:val="22"/>
          <w:lang w:val="es-CO"/>
        </w:rPr>
      </w:pPr>
      <w:r w:rsidRPr="00752183">
        <w:rPr>
          <w:rFonts w:ascii="Arial" w:eastAsia="Calibri" w:hAnsi="Arial" w:cs="Arial"/>
          <w:i/>
          <w:sz w:val="18"/>
          <w:szCs w:val="22"/>
          <w:lang w:val="es-CO"/>
        </w:rPr>
        <w:t xml:space="preserve">“Macro medidor: Tiene dos macro medidores de entrada y de salida, tipo volumétrico. Actualmente están fuera de servicio”. </w:t>
      </w:r>
    </w:p>
    <w:p w:rsidR="00355BC7" w:rsidRPr="00752183" w:rsidRDefault="00355BC7" w:rsidP="00AE40CF">
      <w:pPr>
        <w:autoSpaceDE w:val="0"/>
        <w:autoSpaceDN w:val="0"/>
        <w:adjustRightInd w:val="0"/>
        <w:ind w:left="1701"/>
        <w:contextualSpacing/>
        <w:jc w:val="both"/>
        <w:rPr>
          <w:rFonts w:ascii="Arial" w:eastAsia="Calibri" w:hAnsi="Arial" w:cs="Arial"/>
          <w:i/>
          <w:sz w:val="18"/>
          <w:szCs w:val="22"/>
          <w:lang w:val="es-CO"/>
        </w:rPr>
      </w:pPr>
    </w:p>
    <w:p w:rsidR="00355BC7" w:rsidRPr="00752183" w:rsidRDefault="00355BC7" w:rsidP="00AE40CF">
      <w:pPr>
        <w:pStyle w:val="Prrafodelista"/>
        <w:numPr>
          <w:ilvl w:val="0"/>
          <w:numId w:val="22"/>
        </w:numPr>
        <w:autoSpaceDE w:val="0"/>
        <w:autoSpaceDN w:val="0"/>
        <w:adjustRightInd w:val="0"/>
        <w:ind w:left="1701"/>
        <w:jc w:val="both"/>
        <w:rPr>
          <w:rFonts w:ascii="Arial" w:eastAsia="Calibri" w:hAnsi="Arial" w:cs="Arial"/>
          <w:i/>
          <w:sz w:val="18"/>
          <w:szCs w:val="22"/>
          <w:lang w:val="es-CO"/>
        </w:rPr>
      </w:pPr>
      <w:r w:rsidRPr="00752183">
        <w:rPr>
          <w:rFonts w:ascii="Arial" w:eastAsia="Calibri" w:hAnsi="Arial" w:cs="Arial"/>
          <w:i/>
          <w:sz w:val="18"/>
          <w:szCs w:val="22"/>
          <w:lang w:val="es-CO"/>
        </w:rPr>
        <w:t xml:space="preserve">“Desarenador: cámara de aquietamiento. El agua cruda bombeada llega por la parte inferior a una cámara denominada “aquietamiento”, de tamaño 1.2 x 1.2 x 1.9 mts de profundidad. Según el diseño y las dimensiones no son apropiados para ejercer la función de tanque desarenador”. </w:t>
      </w:r>
    </w:p>
    <w:p w:rsidR="00355BC7" w:rsidRPr="00752183" w:rsidRDefault="00355BC7" w:rsidP="00AE40CF">
      <w:pPr>
        <w:autoSpaceDE w:val="0"/>
        <w:autoSpaceDN w:val="0"/>
        <w:adjustRightInd w:val="0"/>
        <w:ind w:left="1701"/>
        <w:contextualSpacing/>
        <w:jc w:val="both"/>
        <w:rPr>
          <w:rFonts w:ascii="Arial" w:eastAsia="Calibri" w:hAnsi="Arial" w:cs="Arial"/>
          <w:i/>
          <w:sz w:val="18"/>
          <w:szCs w:val="22"/>
          <w:lang w:val="es-CO"/>
        </w:rPr>
      </w:pPr>
    </w:p>
    <w:p w:rsidR="00355BC7" w:rsidRPr="00752183" w:rsidRDefault="00355BC7" w:rsidP="00AE40CF">
      <w:pPr>
        <w:pStyle w:val="Prrafodelista"/>
        <w:numPr>
          <w:ilvl w:val="0"/>
          <w:numId w:val="23"/>
        </w:numPr>
        <w:autoSpaceDE w:val="0"/>
        <w:autoSpaceDN w:val="0"/>
        <w:adjustRightInd w:val="0"/>
        <w:ind w:left="1701"/>
        <w:jc w:val="both"/>
        <w:rPr>
          <w:rFonts w:ascii="Arial" w:eastAsia="Calibri" w:hAnsi="Arial" w:cs="Arial"/>
          <w:i/>
          <w:sz w:val="18"/>
          <w:szCs w:val="22"/>
          <w:lang w:val="es-CO"/>
        </w:rPr>
      </w:pPr>
      <w:r w:rsidRPr="00752183">
        <w:rPr>
          <w:rFonts w:ascii="Arial" w:eastAsia="Calibri" w:hAnsi="Arial" w:cs="Arial"/>
          <w:i/>
          <w:sz w:val="18"/>
          <w:szCs w:val="22"/>
          <w:lang w:val="es-CO"/>
        </w:rPr>
        <w:t xml:space="preserve">“Dosificación de coagulantes y alcalinizantes: sistema de dosificación de productos químicos: hay un tanque metálico de aproximadamente 2 m3 de capacidad, el cual tiene como función la preparación de los productos químicos. Actualmente, no se encuentra funcionando ya que la preparación de las soluciones y dosificaciones se realiza de manera manual. Los dosificadores son de tipo seco que más adelante se mezclan con agua para ser inyectados en la canaleta PARSHALL”. </w:t>
      </w:r>
    </w:p>
    <w:p w:rsidR="00355BC7" w:rsidRPr="00752183" w:rsidRDefault="00355BC7" w:rsidP="00AE40CF">
      <w:pPr>
        <w:autoSpaceDE w:val="0"/>
        <w:autoSpaceDN w:val="0"/>
        <w:adjustRightInd w:val="0"/>
        <w:ind w:left="1701"/>
        <w:contextualSpacing/>
        <w:jc w:val="both"/>
        <w:rPr>
          <w:rFonts w:ascii="Arial" w:eastAsia="Calibri" w:hAnsi="Arial" w:cs="Arial"/>
          <w:i/>
          <w:sz w:val="18"/>
          <w:szCs w:val="22"/>
          <w:lang w:val="es-CO"/>
        </w:rPr>
      </w:pPr>
    </w:p>
    <w:p w:rsidR="00355BC7" w:rsidRPr="00752183" w:rsidRDefault="00355BC7" w:rsidP="00AE40CF">
      <w:pPr>
        <w:pStyle w:val="Prrafodelista"/>
        <w:numPr>
          <w:ilvl w:val="0"/>
          <w:numId w:val="23"/>
        </w:numPr>
        <w:autoSpaceDE w:val="0"/>
        <w:autoSpaceDN w:val="0"/>
        <w:adjustRightInd w:val="0"/>
        <w:ind w:left="1701"/>
        <w:jc w:val="both"/>
        <w:rPr>
          <w:rFonts w:ascii="Arial" w:eastAsia="Calibri" w:hAnsi="Arial" w:cs="Arial"/>
          <w:i/>
          <w:iCs/>
          <w:sz w:val="18"/>
          <w:szCs w:val="22"/>
          <w:lang w:val="es-CO"/>
        </w:rPr>
      </w:pPr>
      <w:r w:rsidRPr="00752183">
        <w:rPr>
          <w:rFonts w:ascii="Arial" w:eastAsia="Calibri" w:hAnsi="Arial" w:cs="Arial"/>
          <w:i/>
          <w:iCs/>
          <w:sz w:val="18"/>
          <w:szCs w:val="22"/>
          <w:lang w:val="es-CO"/>
        </w:rPr>
        <w:t>“Mezcla rápida y coagulación: canaleta parshall: Su diseño y construcción permite disipar el afluente, a la vez que se utiliza para la aplicación de los productos químicos (alumbre y cal).este accesorio presenta desde un principio una falla en la garganta (el sitio más angosto) y en la cresta de la misma, razón por la cual el salto hidráulico que se debía formar en el vertedero de la cresta no es suficiente para permitir una mezcla rápida de los productos químicos adicionados por lo cual su mezcla no es homogénea, acción que se refleja en un mayor gasto de estos productos para producir el proceso de clarificación deseado. Para mitigar esta falla, por iniciativa de los operarios, se ha instalado un bafle de madera. Igualmente, la función de este accesorio es la medición del caudal que pasa para el tratamiento. Su regulación está entre 2.5 y 252 Litros/seg”.</w:t>
      </w:r>
    </w:p>
    <w:p w:rsidR="00355BC7" w:rsidRPr="00752183" w:rsidRDefault="00355BC7" w:rsidP="00AE40CF">
      <w:pPr>
        <w:autoSpaceDE w:val="0"/>
        <w:autoSpaceDN w:val="0"/>
        <w:adjustRightInd w:val="0"/>
        <w:ind w:left="1701"/>
        <w:contextualSpacing/>
        <w:jc w:val="both"/>
        <w:rPr>
          <w:rFonts w:ascii="Arial" w:eastAsia="Calibri" w:hAnsi="Arial" w:cs="Arial"/>
          <w:i/>
          <w:sz w:val="18"/>
          <w:szCs w:val="22"/>
          <w:lang w:val="es-CO"/>
        </w:rPr>
      </w:pPr>
    </w:p>
    <w:p w:rsidR="00355BC7" w:rsidRPr="00752183" w:rsidRDefault="00355BC7" w:rsidP="00AE40CF">
      <w:pPr>
        <w:numPr>
          <w:ilvl w:val="0"/>
          <w:numId w:val="24"/>
        </w:numPr>
        <w:autoSpaceDE w:val="0"/>
        <w:autoSpaceDN w:val="0"/>
        <w:adjustRightInd w:val="0"/>
        <w:ind w:left="1701" w:hanging="283"/>
        <w:contextualSpacing/>
        <w:jc w:val="both"/>
        <w:rPr>
          <w:rFonts w:ascii="Arial" w:eastAsia="Calibri" w:hAnsi="Arial" w:cs="Arial"/>
          <w:i/>
          <w:sz w:val="18"/>
          <w:szCs w:val="22"/>
          <w:lang w:val="es-CO"/>
        </w:rPr>
      </w:pPr>
      <w:r w:rsidRPr="00752183">
        <w:rPr>
          <w:rFonts w:ascii="Arial" w:eastAsia="Calibri" w:hAnsi="Arial" w:cs="Arial"/>
          <w:i/>
          <w:sz w:val="18"/>
          <w:szCs w:val="22"/>
          <w:lang w:val="es-CO"/>
        </w:rPr>
        <w:t xml:space="preserve">Floculación: cámara de floculación hidráulica de paso forzado de flujo vertical. </w:t>
      </w:r>
    </w:p>
    <w:p w:rsidR="00355BC7" w:rsidRPr="00752183" w:rsidRDefault="00355BC7" w:rsidP="00AE40CF">
      <w:pPr>
        <w:numPr>
          <w:ilvl w:val="0"/>
          <w:numId w:val="24"/>
        </w:numPr>
        <w:autoSpaceDE w:val="0"/>
        <w:autoSpaceDN w:val="0"/>
        <w:adjustRightInd w:val="0"/>
        <w:ind w:left="1701" w:hanging="283"/>
        <w:contextualSpacing/>
        <w:jc w:val="both"/>
        <w:rPr>
          <w:rFonts w:ascii="Arial" w:eastAsia="Calibri" w:hAnsi="Arial" w:cs="Arial"/>
          <w:i/>
          <w:sz w:val="18"/>
          <w:szCs w:val="22"/>
          <w:lang w:val="es-CO"/>
        </w:rPr>
      </w:pPr>
      <w:r w:rsidRPr="00752183">
        <w:rPr>
          <w:rFonts w:ascii="Arial" w:eastAsia="Calibri" w:hAnsi="Arial" w:cs="Arial"/>
          <w:i/>
          <w:sz w:val="18"/>
          <w:szCs w:val="22"/>
          <w:lang w:val="es-CO"/>
        </w:rPr>
        <w:t>Sedimentación: tanques sedimentadores.</w:t>
      </w:r>
    </w:p>
    <w:p w:rsidR="00355BC7" w:rsidRPr="00752183" w:rsidRDefault="00355BC7" w:rsidP="00AE40CF">
      <w:pPr>
        <w:numPr>
          <w:ilvl w:val="0"/>
          <w:numId w:val="24"/>
        </w:numPr>
        <w:autoSpaceDE w:val="0"/>
        <w:autoSpaceDN w:val="0"/>
        <w:adjustRightInd w:val="0"/>
        <w:ind w:left="1701" w:hanging="283"/>
        <w:contextualSpacing/>
        <w:jc w:val="both"/>
        <w:rPr>
          <w:rFonts w:ascii="Arial" w:eastAsia="Calibri" w:hAnsi="Arial" w:cs="Arial"/>
          <w:i/>
          <w:sz w:val="18"/>
          <w:szCs w:val="22"/>
          <w:lang w:val="es-CO"/>
        </w:rPr>
      </w:pPr>
      <w:r w:rsidRPr="00752183">
        <w:rPr>
          <w:rFonts w:ascii="Arial" w:eastAsia="Calibri" w:hAnsi="Arial" w:cs="Arial"/>
          <w:i/>
          <w:sz w:val="18"/>
          <w:szCs w:val="22"/>
          <w:lang w:val="es-CO"/>
        </w:rPr>
        <w:t>Filtración y Desinfección</w:t>
      </w:r>
    </w:p>
    <w:p w:rsidR="00355BC7" w:rsidRPr="00752183" w:rsidRDefault="00355BC7" w:rsidP="00AE40CF">
      <w:pPr>
        <w:numPr>
          <w:ilvl w:val="0"/>
          <w:numId w:val="24"/>
        </w:numPr>
        <w:autoSpaceDE w:val="0"/>
        <w:autoSpaceDN w:val="0"/>
        <w:adjustRightInd w:val="0"/>
        <w:ind w:left="1701" w:hanging="283"/>
        <w:contextualSpacing/>
        <w:jc w:val="both"/>
        <w:rPr>
          <w:rFonts w:ascii="Arial" w:eastAsia="Calibri" w:hAnsi="Arial" w:cs="Arial"/>
          <w:i/>
          <w:sz w:val="18"/>
          <w:szCs w:val="22"/>
          <w:lang w:val="es-CO"/>
        </w:rPr>
      </w:pPr>
      <w:r w:rsidRPr="00752183">
        <w:rPr>
          <w:rFonts w:ascii="Arial" w:eastAsia="Calibri" w:hAnsi="Arial" w:cs="Arial"/>
          <w:i/>
          <w:sz w:val="18"/>
          <w:szCs w:val="22"/>
          <w:lang w:val="es-CO"/>
        </w:rPr>
        <w:t>Conducción: bomba de trasiego</w:t>
      </w:r>
    </w:p>
    <w:p w:rsidR="00355BC7" w:rsidRPr="00752183" w:rsidRDefault="00355BC7" w:rsidP="00AE40CF">
      <w:pPr>
        <w:numPr>
          <w:ilvl w:val="0"/>
          <w:numId w:val="24"/>
        </w:numPr>
        <w:autoSpaceDE w:val="0"/>
        <w:autoSpaceDN w:val="0"/>
        <w:adjustRightInd w:val="0"/>
        <w:ind w:left="1701" w:hanging="283"/>
        <w:contextualSpacing/>
        <w:jc w:val="both"/>
        <w:rPr>
          <w:rFonts w:ascii="Arial" w:eastAsia="Calibri" w:hAnsi="Arial" w:cs="Arial"/>
          <w:i/>
          <w:sz w:val="18"/>
          <w:szCs w:val="22"/>
          <w:lang w:val="es-CO"/>
        </w:rPr>
      </w:pPr>
      <w:r w:rsidRPr="00752183">
        <w:rPr>
          <w:rFonts w:ascii="Arial" w:eastAsia="Calibri" w:hAnsi="Arial" w:cs="Arial"/>
          <w:i/>
          <w:sz w:val="18"/>
          <w:szCs w:val="22"/>
          <w:lang w:val="es-CO"/>
        </w:rPr>
        <w:t xml:space="preserve">Tanques de compensación y almacenamiento </w:t>
      </w:r>
    </w:p>
    <w:p w:rsidR="00355BC7" w:rsidRDefault="00355BC7" w:rsidP="00355BC7">
      <w:pPr>
        <w:autoSpaceDE w:val="0"/>
        <w:autoSpaceDN w:val="0"/>
        <w:adjustRightInd w:val="0"/>
        <w:jc w:val="both"/>
        <w:rPr>
          <w:rFonts w:ascii="Arial" w:eastAsia="Calibri" w:hAnsi="Arial" w:cs="Arial"/>
          <w:i/>
          <w:sz w:val="22"/>
          <w:szCs w:val="22"/>
          <w:lang w:val="es-CO"/>
        </w:rPr>
      </w:pPr>
    </w:p>
    <w:p w:rsidR="00355BC7" w:rsidRDefault="00355BC7" w:rsidP="00355BC7">
      <w:pPr>
        <w:autoSpaceDE w:val="0"/>
        <w:autoSpaceDN w:val="0"/>
        <w:adjustRightInd w:val="0"/>
        <w:rPr>
          <w:rFonts w:ascii="Arial" w:eastAsia="CenturyGothic" w:hAnsi="Arial" w:cs="Arial"/>
          <w:b/>
          <w:sz w:val="22"/>
          <w:szCs w:val="22"/>
          <w:lang w:val="es-CO"/>
        </w:rPr>
      </w:pPr>
      <w:r>
        <w:rPr>
          <w:rFonts w:ascii="Arial" w:eastAsia="CenturyGothic" w:hAnsi="Arial" w:cs="Arial"/>
          <w:b/>
          <w:sz w:val="22"/>
          <w:szCs w:val="22"/>
          <w:lang w:val="es-CO"/>
        </w:rPr>
        <w:t>SISTEMA DE ALCANTARILLADO</w:t>
      </w:r>
      <w:r w:rsidR="00AE40CF">
        <w:rPr>
          <w:rFonts w:ascii="Arial" w:eastAsia="CenturyGothic" w:hAnsi="Arial" w:cs="Arial"/>
          <w:b/>
          <w:sz w:val="22"/>
          <w:szCs w:val="22"/>
          <w:lang w:val="es-CO"/>
        </w:rPr>
        <w:t>.</w:t>
      </w:r>
    </w:p>
    <w:p w:rsidR="00355BC7" w:rsidRDefault="00355BC7" w:rsidP="00355BC7">
      <w:pPr>
        <w:autoSpaceDE w:val="0"/>
        <w:autoSpaceDN w:val="0"/>
        <w:adjustRightInd w:val="0"/>
        <w:rPr>
          <w:rFonts w:ascii="Arial" w:eastAsia="CenturyGothic" w:hAnsi="Arial" w:cs="Arial"/>
          <w:b/>
          <w:i/>
          <w:sz w:val="22"/>
          <w:szCs w:val="22"/>
          <w:u w:val="single"/>
          <w:lang w:val="es-CO"/>
        </w:rPr>
      </w:pPr>
    </w:p>
    <w:p w:rsidR="00355BC7" w:rsidRDefault="00355BC7" w:rsidP="00355BC7">
      <w:pPr>
        <w:jc w:val="both"/>
        <w:rPr>
          <w:rFonts w:ascii="Arial" w:eastAsia="CenturyGothic" w:hAnsi="Arial" w:cs="Arial"/>
          <w:sz w:val="22"/>
          <w:szCs w:val="22"/>
          <w:lang w:val="es-CO"/>
        </w:rPr>
      </w:pPr>
      <w:r>
        <w:rPr>
          <w:rFonts w:ascii="Arial" w:eastAsia="CenturyGothic" w:hAnsi="Arial" w:cs="Arial"/>
          <w:sz w:val="22"/>
          <w:szCs w:val="22"/>
          <w:lang w:val="es-CO"/>
        </w:rPr>
        <w:t>Según el Plan de Desarrollo 2020-2023 el Sistema de Alcantarillado presenta el siguiente diagnóstico</w:t>
      </w:r>
      <w:r>
        <w:rPr>
          <w:rFonts w:ascii="Arial" w:eastAsia="CenturyGothic" w:hAnsi="Arial" w:cs="Arial"/>
          <w:sz w:val="22"/>
          <w:szCs w:val="22"/>
          <w:vertAlign w:val="superscript"/>
          <w:lang w:val="es-CO"/>
        </w:rPr>
        <w:footnoteReference w:id="2"/>
      </w:r>
      <w:r>
        <w:rPr>
          <w:rFonts w:ascii="Arial" w:eastAsia="CenturyGothic" w:hAnsi="Arial" w:cs="Arial"/>
          <w:sz w:val="22"/>
          <w:szCs w:val="22"/>
          <w:lang w:val="es-CO"/>
        </w:rPr>
        <w:t>:</w:t>
      </w:r>
    </w:p>
    <w:p w:rsidR="00355BC7" w:rsidRDefault="00355BC7" w:rsidP="00355BC7">
      <w:pPr>
        <w:jc w:val="both"/>
        <w:rPr>
          <w:rFonts w:ascii="Arial" w:eastAsia="CenturyGothic" w:hAnsi="Arial" w:cs="Arial"/>
          <w:i/>
          <w:iCs/>
          <w:sz w:val="22"/>
          <w:szCs w:val="22"/>
          <w:lang w:val="es-CO"/>
        </w:rPr>
      </w:pPr>
    </w:p>
    <w:p w:rsidR="00355BC7" w:rsidRDefault="00355BC7" w:rsidP="00355BC7">
      <w:pPr>
        <w:ind w:left="1416"/>
        <w:jc w:val="both"/>
        <w:rPr>
          <w:rFonts w:ascii="Arial" w:eastAsia="CenturyGothic" w:hAnsi="Arial" w:cs="Arial"/>
          <w:i/>
          <w:iCs/>
          <w:sz w:val="18"/>
          <w:szCs w:val="18"/>
          <w:lang w:val="es-CO"/>
        </w:rPr>
      </w:pPr>
      <w:r>
        <w:rPr>
          <w:rFonts w:ascii="Arial" w:eastAsia="CenturyGothic" w:hAnsi="Arial" w:cs="Arial"/>
          <w:i/>
          <w:iCs/>
          <w:sz w:val="18"/>
          <w:szCs w:val="18"/>
          <w:lang w:val="es-CO"/>
        </w:rPr>
        <w:t xml:space="preserve">“La red de alcantarillado cuenta con 50 sumideros para la recolección de aguas lluvias provenientes de escorrentía superficial sobre las vías del municipio, pero estos no se encuentran conectados a los pozos de inspección, el material construido es mampostería. Hay 200 pozos de inspección, construidos en ladrillo y revestidos con pañete en la parte del cilindro, ninguno se encuentra revestido con pañete impermeabilizado en el cono de reducción; su tapa en HG, tienen orificios para su ventilación. El sistema de alcantarillado se debe separar de las aguas lluvias, ya que un 60% del sistema trabaja combinado y en épocas de invierno se rebosan las aguas. Las profundidades del alcantarillado en algunos tramos superan los 5 mts de altura con diámetros de 10” – 12”, lo cual hace imposible realizar mantenimiento a las redes hidráulicas. Por esta razón es importante cambiar estas redes buscando pendientes y diámetros apropiados que garanticen la fuerza atractiva para garantizar el arrastre de sólidos. </w:t>
      </w:r>
    </w:p>
    <w:p w:rsidR="00355BC7" w:rsidRDefault="00355BC7" w:rsidP="00355BC7">
      <w:pPr>
        <w:jc w:val="both"/>
        <w:rPr>
          <w:rFonts w:ascii="Arial" w:eastAsia="CenturyGothic" w:hAnsi="Arial" w:cs="Arial"/>
          <w:i/>
          <w:iCs/>
          <w:sz w:val="22"/>
          <w:szCs w:val="22"/>
          <w:lang w:val="es-CO"/>
        </w:rPr>
      </w:pPr>
    </w:p>
    <w:p w:rsidR="00355BC7" w:rsidRDefault="00355BC7" w:rsidP="00355BC7">
      <w:pPr>
        <w:autoSpaceDE w:val="0"/>
        <w:autoSpaceDN w:val="0"/>
        <w:adjustRightInd w:val="0"/>
        <w:rPr>
          <w:rFonts w:ascii="Arial" w:eastAsia="CenturyGothic" w:hAnsi="Arial" w:cs="Arial"/>
          <w:b/>
          <w:sz w:val="22"/>
          <w:szCs w:val="22"/>
          <w:lang w:val="es-CO"/>
        </w:rPr>
      </w:pPr>
      <w:r>
        <w:rPr>
          <w:rFonts w:ascii="Arial" w:eastAsia="CenturyGothic" w:hAnsi="Arial" w:cs="Arial"/>
          <w:b/>
          <w:sz w:val="22"/>
          <w:szCs w:val="22"/>
          <w:lang w:val="es-CO"/>
        </w:rPr>
        <w:t>SISTEMA DE ASEO</w:t>
      </w:r>
      <w:r w:rsidR="00AE40CF">
        <w:rPr>
          <w:rFonts w:ascii="Arial" w:eastAsia="CenturyGothic" w:hAnsi="Arial" w:cs="Arial"/>
          <w:b/>
          <w:sz w:val="22"/>
          <w:szCs w:val="22"/>
          <w:lang w:val="es-CO"/>
        </w:rPr>
        <w:t>.</w:t>
      </w:r>
    </w:p>
    <w:p w:rsidR="00355BC7" w:rsidRDefault="00355BC7" w:rsidP="00355BC7">
      <w:pPr>
        <w:autoSpaceDE w:val="0"/>
        <w:autoSpaceDN w:val="0"/>
        <w:adjustRightInd w:val="0"/>
        <w:rPr>
          <w:rFonts w:ascii="Arial" w:eastAsia="CenturyGothic" w:hAnsi="Arial" w:cs="Arial"/>
          <w:sz w:val="22"/>
          <w:szCs w:val="22"/>
          <w:lang w:val="es-CO"/>
        </w:rPr>
      </w:pPr>
    </w:p>
    <w:p w:rsidR="00355BC7" w:rsidRDefault="00355BC7" w:rsidP="00355BC7">
      <w:pPr>
        <w:jc w:val="both"/>
        <w:rPr>
          <w:rFonts w:ascii="Arial" w:eastAsia="Century Schoolbook" w:hAnsi="Arial" w:cs="Arial"/>
          <w:sz w:val="22"/>
          <w:szCs w:val="22"/>
        </w:rPr>
      </w:pPr>
      <w:r>
        <w:rPr>
          <w:rFonts w:ascii="Arial" w:eastAsia="Century Schoolbook" w:hAnsi="Arial" w:cs="Arial"/>
          <w:sz w:val="22"/>
          <w:szCs w:val="22"/>
        </w:rPr>
        <w:t>El Plan de Desarrollo 2020-2023 describe la situación del Servicio de Aseo</w:t>
      </w:r>
      <w:r>
        <w:rPr>
          <w:rFonts w:ascii="Arial" w:eastAsia="Century Schoolbook" w:hAnsi="Arial" w:cs="Arial"/>
          <w:sz w:val="22"/>
          <w:szCs w:val="22"/>
          <w:vertAlign w:val="superscript"/>
        </w:rPr>
        <w:footnoteReference w:id="3"/>
      </w:r>
      <w:r>
        <w:rPr>
          <w:rFonts w:ascii="Arial" w:eastAsia="Century Schoolbook" w:hAnsi="Arial" w:cs="Arial"/>
          <w:sz w:val="22"/>
          <w:szCs w:val="22"/>
        </w:rPr>
        <w:t xml:space="preserve"> de la siguiente manera:</w:t>
      </w:r>
    </w:p>
    <w:p w:rsidR="00355BC7" w:rsidRDefault="00355BC7" w:rsidP="00355BC7">
      <w:pPr>
        <w:jc w:val="both"/>
        <w:rPr>
          <w:rFonts w:ascii="Arial" w:eastAsia="Century Schoolbook" w:hAnsi="Arial" w:cs="Arial"/>
          <w:sz w:val="22"/>
          <w:szCs w:val="22"/>
        </w:rPr>
      </w:pPr>
    </w:p>
    <w:p w:rsidR="00355BC7" w:rsidRPr="00752183" w:rsidRDefault="00355BC7" w:rsidP="00355BC7">
      <w:pPr>
        <w:ind w:left="1416"/>
        <w:jc w:val="both"/>
        <w:rPr>
          <w:rFonts w:ascii="Arial" w:eastAsia="Century Schoolbook" w:hAnsi="Arial" w:cs="Arial"/>
          <w:i/>
          <w:iCs/>
          <w:sz w:val="18"/>
          <w:szCs w:val="22"/>
        </w:rPr>
      </w:pPr>
      <w:r w:rsidRPr="00752183">
        <w:rPr>
          <w:rFonts w:ascii="Arial" w:eastAsia="Century Schoolbook" w:hAnsi="Arial" w:cs="Arial"/>
          <w:i/>
          <w:sz w:val="18"/>
          <w:szCs w:val="22"/>
        </w:rPr>
        <w:t>“La prestación del servicio se realiza en un carro compactador con capacidad de 19 yardas y una cuadrilla conformada por cuatro obreros. La frecuencia de recolección de basuras está programada por dos macro rutas 1 y 2, la recolección se hace 2 días a la semana en cada una de las rutas establecidas. Para cada ruta, el carro recolector realiza 6 viajes diarios hasta la disposición final de los residuos sólidos</w:t>
      </w:r>
      <w:r w:rsidRPr="00752183">
        <w:rPr>
          <w:rFonts w:ascii="Arial" w:eastAsia="Century Schoolbook" w:hAnsi="Arial" w:cs="Arial"/>
          <w:i/>
          <w:iCs/>
          <w:sz w:val="18"/>
          <w:szCs w:val="22"/>
        </w:rPr>
        <w:t>”.</w:t>
      </w:r>
    </w:p>
    <w:p w:rsidR="00355BC7" w:rsidRPr="00752183" w:rsidRDefault="00355BC7" w:rsidP="00355BC7">
      <w:pPr>
        <w:ind w:left="1416"/>
        <w:jc w:val="both"/>
        <w:rPr>
          <w:rFonts w:ascii="Arial" w:eastAsia="CenturyGothic" w:hAnsi="Arial" w:cs="Arial"/>
          <w:i/>
          <w:iCs/>
          <w:sz w:val="18"/>
          <w:szCs w:val="22"/>
          <w:lang w:val="es-CO"/>
        </w:rPr>
      </w:pPr>
    </w:p>
    <w:p w:rsidR="00355BC7" w:rsidRPr="00752183" w:rsidRDefault="00355BC7" w:rsidP="00355BC7">
      <w:pPr>
        <w:jc w:val="center"/>
        <w:rPr>
          <w:rFonts w:ascii="Arial" w:hAnsi="Arial" w:cs="Arial"/>
          <w:sz w:val="18"/>
          <w:szCs w:val="22"/>
        </w:rPr>
      </w:pPr>
      <w:r w:rsidRPr="00752183">
        <w:rPr>
          <w:rFonts w:ascii="Arial" w:hAnsi="Arial" w:cs="Arial"/>
          <w:noProof/>
          <w:sz w:val="18"/>
          <w:szCs w:val="22"/>
          <w:lang w:val="es-CO" w:eastAsia="es-CO"/>
        </w:rPr>
        <w:lastRenderedPageBreak/>
        <w:drawing>
          <wp:inline distT="0" distB="0" distL="0" distR="0">
            <wp:extent cx="2597150" cy="151765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7150" cy="1517650"/>
                    </a:xfrm>
                    <a:prstGeom prst="rect">
                      <a:avLst/>
                    </a:prstGeom>
                    <a:noFill/>
                    <a:ln>
                      <a:noFill/>
                    </a:ln>
                  </pic:spPr>
                </pic:pic>
              </a:graphicData>
            </a:graphic>
          </wp:inline>
        </w:drawing>
      </w:r>
    </w:p>
    <w:p w:rsidR="00355BC7" w:rsidRPr="00752183" w:rsidRDefault="00355BC7" w:rsidP="00355BC7">
      <w:pPr>
        <w:autoSpaceDE w:val="0"/>
        <w:autoSpaceDN w:val="0"/>
        <w:adjustRightInd w:val="0"/>
        <w:ind w:left="1416"/>
        <w:rPr>
          <w:rFonts w:ascii="Arial" w:eastAsia="CenturyGothic" w:hAnsi="Arial" w:cs="Arial"/>
          <w:sz w:val="18"/>
          <w:szCs w:val="22"/>
          <w:lang w:val="es-CO"/>
        </w:rPr>
      </w:pPr>
    </w:p>
    <w:p w:rsidR="00355BC7" w:rsidRPr="00752183" w:rsidRDefault="00355BC7" w:rsidP="00355BC7">
      <w:pPr>
        <w:autoSpaceDE w:val="0"/>
        <w:autoSpaceDN w:val="0"/>
        <w:adjustRightInd w:val="0"/>
        <w:ind w:left="1416"/>
        <w:jc w:val="both"/>
        <w:rPr>
          <w:rFonts w:ascii="Arial" w:eastAsia="CenturyGothic" w:hAnsi="Arial" w:cs="Arial"/>
          <w:i/>
          <w:sz w:val="18"/>
          <w:szCs w:val="22"/>
          <w:lang w:val="es-CO"/>
        </w:rPr>
      </w:pPr>
      <w:r w:rsidRPr="00752183">
        <w:rPr>
          <w:rFonts w:ascii="Arial" w:eastAsia="CenturyGothic" w:hAnsi="Arial" w:cs="Arial"/>
          <w:i/>
          <w:sz w:val="18"/>
          <w:szCs w:val="22"/>
          <w:lang w:val="es-CO"/>
        </w:rPr>
        <w:t>La disposición de residuos sólidos se realiza en un botadero a cielo abierto, por lo que se necesita priorizar la construcción de un relleno sanitario el cual cumpla con las normas ambientales. Al momento de realizar el respectivo cierro del botadero, es fundamental que este sea convertido en zona verde. Igualmente se debe fomentar programas de reciclaje y aprovechamiento de residuos”.</w:t>
      </w:r>
    </w:p>
    <w:p w:rsidR="00355BC7" w:rsidRPr="00752183" w:rsidRDefault="00355BC7" w:rsidP="00355BC7">
      <w:pPr>
        <w:ind w:left="1416"/>
        <w:jc w:val="both"/>
        <w:rPr>
          <w:rFonts w:ascii="Arial" w:eastAsia="CenturyGothic" w:hAnsi="Arial" w:cs="Arial"/>
          <w:i/>
          <w:iCs/>
          <w:sz w:val="18"/>
          <w:szCs w:val="22"/>
          <w:lang w:val="es-CO"/>
        </w:rPr>
      </w:pPr>
    </w:p>
    <w:p w:rsidR="00355BC7" w:rsidRPr="00752183" w:rsidRDefault="00355BC7" w:rsidP="00355BC7">
      <w:pPr>
        <w:ind w:left="1416"/>
        <w:jc w:val="both"/>
        <w:rPr>
          <w:rFonts w:ascii="Arial" w:eastAsia="CenturyGothic" w:hAnsi="Arial" w:cs="Arial"/>
          <w:i/>
          <w:iCs/>
          <w:sz w:val="18"/>
          <w:szCs w:val="22"/>
          <w:lang w:val="es-CO"/>
        </w:rPr>
      </w:pPr>
      <w:r w:rsidRPr="00752183">
        <w:rPr>
          <w:rFonts w:ascii="Arial" w:eastAsia="CenturyGothic" w:hAnsi="Arial" w:cs="Arial"/>
          <w:i/>
          <w:iCs/>
          <w:sz w:val="18"/>
          <w:szCs w:val="22"/>
          <w:lang w:val="es-CO"/>
        </w:rPr>
        <w:t>Para la prestación del servicio de aseo según CENSO del 2018, se tiene una cobertura del 95,87% en el casco urbano del municipio”.</w:t>
      </w:r>
    </w:p>
    <w:p w:rsidR="00355BC7" w:rsidRDefault="00355BC7" w:rsidP="00355BC7">
      <w:pPr>
        <w:jc w:val="both"/>
        <w:rPr>
          <w:rFonts w:ascii="Arial" w:eastAsia="Calibri" w:hAnsi="Arial" w:cs="Arial"/>
          <w:b/>
          <w:sz w:val="22"/>
          <w:szCs w:val="22"/>
          <w:highlight w:val="cyan"/>
          <w:lang w:val="es-CO"/>
        </w:rPr>
      </w:pPr>
    </w:p>
    <w:p w:rsidR="00355BC7" w:rsidRDefault="00355BC7" w:rsidP="00355BC7">
      <w:pPr>
        <w:jc w:val="center"/>
        <w:rPr>
          <w:rFonts w:ascii="Arial" w:eastAsia="Calibri" w:hAnsi="Arial" w:cs="Arial"/>
          <w:b/>
          <w:sz w:val="22"/>
          <w:szCs w:val="22"/>
          <w:highlight w:val="cyan"/>
        </w:rPr>
      </w:pPr>
      <w:r>
        <w:rPr>
          <w:rFonts w:ascii="Arial" w:eastAsia="CenturyGothic" w:hAnsi="Arial" w:cs="Arial"/>
          <w:i/>
          <w:noProof/>
          <w:sz w:val="22"/>
          <w:szCs w:val="22"/>
          <w:lang w:val="es-CO" w:eastAsia="es-CO"/>
        </w:rPr>
        <w:drawing>
          <wp:inline distT="0" distB="0" distL="0" distR="0">
            <wp:extent cx="3608705" cy="2207895"/>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8705" cy="2207895"/>
                    </a:xfrm>
                    <a:prstGeom prst="rect">
                      <a:avLst/>
                    </a:prstGeom>
                    <a:noFill/>
                    <a:ln>
                      <a:noFill/>
                    </a:ln>
                  </pic:spPr>
                </pic:pic>
              </a:graphicData>
            </a:graphic>
          </wp:inline>
        </w:drawing>
      </w:r>
    </w:p>
    <w:p w:rsidR="00355BC7" w:rsidRDefault="00355BC7" w:rsidP="00355BC7">
      <w:pPr>
        <w:jc w:val="both"/>
        <w:rPr>
          <w:rFonts w:ascii="Arial" w:eastAsia="Calibri" w:hAnsi="Arial" w:cs="Arial"/>
          <w:b/>
          <w:sz w:val="22"/>
          <w:szCs w:val="22"/>
          <w:highlight w:val="cyan"/>
        </w:rPr>
      </w:pPr>
    </w:p>
    <w:p w:rsidR="00355BC7" w:rsidRDefault="00355BC7" w:rsidP="00355BC7">
      <w:pPr>
        <w:jc w:val="both"/>
        <w:rPr>
          <w:rFonts w:ascii="Arial" w:eastAsia="Calibri" w:hAnsi="Arial" w:cs="Arial"/>
          <w:b/>
          <w:sz w:val="22"/>
          <w:szCs w:val="22"/>
        </w:rPr>
      </w:pPr>
      <w:r>
        <w:rPr>
          <w:rFonts w:ascii="Arial" w:eastAsia="Calibri" w:hAnsi="Arial" w:cs="Arial"/>
          <w:b/>
          <w:sz w:val="22"/>
          <w:szCs w:val="22"/>
        </w:rPr>
        <w:t>CALIDAD DEL AGUA</w:t>
      </w:r>
      <w:r w:rsidR="00AE40CF">
        <w:rPr>
          <w:rFonts w:ascii="Arial" w:eastAsia="Calibri" w:hAnsi="Arial" w:cs="Arial"/>
          <w:b/>
          <w:sz w:val="22"/>
          <w:szCs w:val="22"/>
        </w:rPr>
        <w:t>.</w:t>
      </w:r>
    </w:p>
    <w:p w:rsidR="00355BC7" w:rsidRDefault="00355BC7" w:rsidP="00355BC7">
      <w:pPr>
        <w:jc w:val="both"/>
        <w:rPr>
          <w:rFonts w:ascii="Arial" w:eastAsia="Calibri" w:hAnsi="Arial" w:cs="Arial"/>
          <w:b/>
          <w:bCs/>
          <w:sz w:val="22"/>
          <w:szCs w:val="22"/>
          <w:highlight w:val="yellow"/>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El Sistema para la Protección y Control de la Calidad del Agua para Consumo Humano - SIVICAP, se encuentra regulado mediante el Decreto 1575 del año 2007 y demás normas reglamentarias. La medición de este Sistema consiste en el análisis de los resultados obtenidos de la vigilancia de la calidad del agua para consumo humano, realizada por el Instituto Nacional de Salud a través de las mediciones y reportes que realizan las secretarias de salud departamentales del País en el Índice de Riesgo de la Calidad del Agua para Consumo Humano - IRCA.</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En ese orden de ideas, el artículo 15 de la Resolución 2115 de 2007, dispone las acciones que debe realizar la autoridad sanitaria competente para clasificar el nivel de riesgo de agua para consumo humano que presentan las entidades prestadoras del Servicio.</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lastRenderedPageBreak/>
        <w:t>Los informes de Monitoreo realizados por el Ministerio de Vivienda, Ciudad y Territorio de las vigencias 2017 - 2020 indican que el Municipio de Mitú incumple con el indicador del IRCA, porque no cuenta con información reportada al SIVICAP.</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La información del MVCT se fundamentaba en los reportes del IRCA al SIVICAP realizados por la autoridad de salud territorial, según lo dispuesto en el Capítulo VI de la Resolución 2115 de 2007 de los Ministerios de Salud y Protección Social y de Vivienda, Ciudad y Territorio.</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Para el presente informe, el Municipio de Mitú manifestó en reunión del 27 de mayo de 2020 que en los dos años anteriores no se realizaron mediciones técnicas ni fotoquímicas por parte del Instituto Departamental de Salud, esto por cuanto esa institución se encontraba intervenida. En consecuencia, al no tener mediciones, el Instituto Nacional de Salud - INS no reporta información.</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Sin embargo, dada la ausencia de las mediciones sobre la calidad de agua para consumo humano, el Municipio realizó en el 2019 algunas mediciones, cuyos resultados son los siguientes: </w:t>
      </w:r>
    </w:p>
    <w:p w:rsidR="00355BC7" w:rsidRDefault="00355BC7" w:rsidP="00355BC7">
      <w:pPr>
        <w:autoSpaceDE w:val="0"/>
        <w:autoSpaceDN w:val="0"/>
        <w:adjustRightInd w:val="0"/>
        <w:jc w:val="both"/>
        <w:rPr>
          <w:rFonts w:ascii="Arial" w:eastAsia="Calibri" w:hAnsi="Arial" w:cs="Arial"/>
          <w:sz w:val="22"/>
          <w:szCs w:val="22"/>
          <w:lang w:val="es-CO" w:eastAsia="en-US"/>
        </w:rPr>
      </w:pPr>
    </w:p>
    <w:tbl>
      <w:tblPr>
        <w:tblStyle w:val="Tablaconcuadrcula"/>
        <w:tblW w:w="0" w:type="auto"/>
        <w:tblInd w:w="988" w:type="dxa"/>
        <w:tblLayout w:type="fixed"/>
        <w:tblLook w:val="06A0" w:firstRow="1" w:lastRow="0" w:firstColumn="1" w:lastColumn="0" w:noHBand="1" w:noVBand="1"/>
      </w:tblPr>
      <w:tblGrid>
        <w:gridCol w:w="2852"/>
        <w:gridCol w:w="4140"/>
        <w:gridCol w:w="237"/>
      </w:tblGrid>
      <w:tr w:rsidR="00355BC7" w:rsidRPr="00AE40CF" w:rsidTr="00355BC7">
        <w:tc>
          <w:tcPr>
            <w:tcW w:w="7229" w:type="dxa"/>
            <w:gridSpan w:val="3"/>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sz w:val="18"/>
                <w:szCs w:val="22"/>
              </w:rPr>
            </w:pPr>
            <w:r w:rsidRPr="00752183">
              <w:rPr>
                <w:rFonts w:ascii="Arial" w:hAnsi="Arial" w:cs="Arial"/>
                <w:b/>
                <w:bCs/>
                <w:sz w:val="18"/>
                <w:szCs w:val="22"/>
              </w:rPr>
              <w:t>GRUPO MICROBIOLOGIICO</w:t>
            </w:r>
            <w:r w:rsidRPr="00752183">
              <w:rPr>
                <w:rFonts w:ascii="Arial" w:hAnsi="Arial" w:cs="Arial"/>
                <w:sz w:val="18"/>
                <w:szCs w:val="22"/>
              </w:rPr>
              <w:t xml:space="preserve"> </w:t>
            </w:r>
          </w:p>
        </w:tc>
      </w:tr>
      <w:tr w:rsidR="00355BC7" w:rsidRPr="00AE40CF" w:rsidTr="00355BC7">
        <w:tc>
          <w:tcPr>
            <w:tcW w:w="2852"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sz w:val="18"/>
                <w:szCs w:val="22"/>
              </w:rPr>
            </w:pPr>
            <w:r w:rsidRPr="00752183">
              <w:rPr>
                <w:rFonts w:ascii="Arial" w:hAnsi="Arial" w:cs="Arial"/>
                <w:sz w:val="18"/>
                <w:szCs w:val="22"/>
              </w:rPr>
              <w:t>IRCA por muestras.</w:t>
            </w:r>
          </w:p>
        </w:tc>
        <w:tc>
          <w:tcPr>
            <w:tcW w:w="4140"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sz w:val="18"/>
                <w:szCs w:val="22"/>
              </w:rPr>
            </w:pPr>
            <w:r w:rsidRPr="00752183">
              <w:rPr>
                <w:rFonts w:ascii="Arial" w:hAnsi="Arial" w:cs="Arial"/>
                <w:sz w:val="18"/>
                <w:szCs w:val="22"/>
              </w:rPr>
              <w:t>Nivel de riesgo.</w:t>
            </w:r>
          </w:p>
        </w:tc>
        <w:tc>
          <w:tcPr>
            <w:tcW w:w="237" w:type="dxa"/>
            <w:tcBorders>
              <w:top w:val="single" w:sz="4" w:space="0" w:color="auto"/>
              <w:left w:val="single" w:sz="4" w:space="0" w:color="auto"/>
              <w:bottom w:val="single" w:sz="4" w:space="0" w:color="auto"/>
              <w:right w:val="single" w:sz="4" w:space="0" w:color="auto"/>
            </w:tcBorders>
          </w:tcPr>
          <w:p w:rsidR="00355BC7" w:rsidRPr="00752183" w:rsidRDefault="00355BC7">
            <w:pPr>
              <w:rPr>
                <w:rFonts w:ascii="Arial" w:hAnsi="Arial" w:cs="Arial"/>
                <w:sz w:val="18"/>
                <w:szCs w:val="22"/>
              </w:rPr>
            </w:pPr>
          </w:p>
        </w:tc>
      </w:tr>
      <w:tr w:rsidR="00355BC7" w:rsidRPr="00AE40CF" w:rsidTr="00355BC7">
        <w:tc>
          <w:tcPr>
            <w:tcW w:w="2852"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sz w:val="18"/>
                <w:szCs w:val="22"/>
              </w:rPr>
            </w:pPr>
            <w:r w:rsidRPr="00752183">
              <w:rPr>
                <w:rFonts w:ascii="Arial" w:hAnsi="Arial" w:cs="Arial"/>
                <w:sz w:val="18"/>
                <w:szCs w:val="22"/>
              </w:rPr>
              <w:t>42 %.</w:t>
            </w:r>
          </w:p>
        </w:tc>
        <w:tc>
          <w:tcPr>
            <w:tcW w:w="4140" w:type="dxa"/>
            <w:tcBorders>
              <w:top w:val="single" w:sz="4" w:space="0" w:color="auto"/>
              <w:left w:val="single" w:sz="4" w:space="0" w:color="auto"/>
              <w:bottom w:val="single" w:sz="4" w:space="0" w:color="auto"/>
              <w:right w:val="single" w:sz="4" w:space="0" w:color="auto"/>
            </w:tcBorders>
            <w:hideMark/>
          </w:tcPr>
          <w:p w:rsidR="00355BC7" w:rsidRPr="00752183" w:rsidRDefault="00355BC7">
            <w:pPr>
              <w:rPr>
                <w:rFonts w:ascii="Arial" w:hAnsi="Arial" w:cs="Arial"/>
                <w:b/>
                <w:sz w:val="18"/>
                <w:szCs w:val="22"/>
              </w:rPr>
            </w:pPr>
            <w:r w:rsidRPr="00752183">
              <w:rPr>
                <w:rFonts w:ascii="Arial" w:hAnsi="Arial" w:cs="Arial"/>
                <w:b/>
                <w:sz w:val="18"/>
                <w:szCs w:val="22"/>
              </w:rPr>
              <w:t>Alto.</w:t>
            </w:r>
          </w:p>
        </w:tc>
        <w:tc>
          <w:tcPr>
            <w:tcW w:w="237" w:type="dxa"/>
            <w:tcBorders>
              <w:top w:val="single" w:sz="4" w:space="0" w:color="auto"/>
              <w:left w:val="single" w:sz="4" w:space="0" w:color="auto"/>
              <w:bottom w:val="single" w:sz="4" w:space="0" w:color="auto"/>
              <w:right w:val="single" w:sz="4" w:space="0" w:color="auto"/>
            </w:tcBorders>
          </w:tcPr>
          <w:p w:rsidR="00355BC7" w:rsidRPr="00752183" w:rsidRDefault="00355BC7">
            <w:pPr>
              <w:rPr>
                <w:rFonts w:ascii="Arial" w:hAnsi="Arial" w:cs="Arial"/>
                <w:sz w:val="18"/>
                <w:szCs w:val="22"/>
              </w:rPr>
            </w:pPr>
          </w:p>
        </w:tc>
      </w:tr>
      <w:tr w:rsidR="00355BC7" w:rsidRPr="00AE40CF" w:rsidTr="00355BC7">
        <w:tc>
          <w:tcPr>
            <w:tcW w:w="2852" w:type="dxa"/>
            <w:tcBorders>
              <w:top w:val="single" w:sz="4" w:space="0" w:color="auto"/>
              <w:left w:val="single" w:sz="4" w:space="0" w:color="auto"/>
              <w:bottom w:val="single" w:sz="4" w:space="0" w:color="auto"/>
              <w:right w:val="single" w:sz="4" w:space="0" w:color="auto"/>
            </w:tcBorders>
          </w:tcPr>
          <w:p w:rsidR="00355BC7" w:rsidRPr="00752183" w:rsidRDefault="00355BC7">
            <w:pPr>
              <w:rPr>
                <w:rFonts w:ascii="Arial" w:hAnsi="Arial" w:cs="Arial"/>
                <w:sz w:val="18"/>
                <w:szCs w:val="22"/>
              </w:rPr>
            </w:pPr>
            <w:r w:rsidRPr="00752183">
              <w:rPr>
                <w:rFonts w:ascii="Arial" w:hAnsi="Arial" w:cs="Arial"/>
                <w:sz w:val="18"/>
                <w:szCs w:val="22"/>
              </w:rPr>
              <w:t>Discusión sobre el Ensayo/Resultados.</w:t>
            </w:r>
          </w:p>
          <w:p w:rsidR="00355BC7" w:rsidRPr="00752183" w:rsidRDefault="00355BC7">
            <w:pPr>
              <w:rPr>
                <w:rFonts w:ascii="Arial" w:hAnsi="Arial" w:cs="Arial"/>
                <w:sz w:val="18"/>
                <w:szCs w:val="22"/>
              </w:rPr>
            </w:pPr>
          </w:p>
          <w:p w:rsidR="00355BC7" w:rsidRPr="00752183" w:rsidRDefault="00355BC7">
            <w:pPr>
              <w:rPr>
                <w:rFonts w:ascii="Arial" w:hAnsi="Arial" w:cs="Arial"/>
                <w:sz w:val="18"/>
                <w:szCs w:val="22"/>
              </w:rPr>
            </w:pPr>
            <w:r w:rsidRPr="00752183">
              <w:rPr>
                <w:rFonts w:ascii="Arial" w:hAnsi="Arial" w:cs="Arial"/>
                <w:sz w:val="18"/>
                <w:szCs w:val="22"/>
              </w:rPr>
              <w:t>Legislación de la muestra.</w:t>
            </w:r>
          </w:p>
        </w:tc>
        <w:tc>
          <w:tcPr>
            <w:tcW w:w="4140" w:type="dxa"/>
            <w:tcBorders>
              <w:top w:val="single" w:sz="4" w:space="0" w:color="auto"/>
              <w:left w:val="single" w:sz="4" w:space="0" w:color="auto"/>
              <w:bottom w:val="single" w:sz="4" w:space="0" w:color="auto"/>
              <w:right w:val="single" w:sz="4" w:space="0" w:color="auto"/>
            </w:tcBorders>
          </w:tcPr>
          <w:p w:rsidR="00355BC7" w:rsidRPr="00752183" w:rsidRDefault="00355BC7">
            <w:pPr>
              <w:rPr>
                <w:rFonts w:ascii="Arial" w:hAnsi="Arial" w:cs="Arial"/>
                <w:sz w:val="18"/>
                <w:szCs w:val="22"/>
              </w:rPr>
            </w:pPr>
            <w:r w:rsidRPr="00752183">
              <w:rPr>
                <w:rFonts w:ascii="Arial" w:hAnsi="Arial" w:cs="Arial"/>
                <w:sz w:val="18"/>
                <w:szCs w:val="22"/>
              </w:rPr>
              <w:t>Ajustar color, PH, turbiedad y cloro a los colores admisibles.</w:t>
            </w:r>
          </w:p>
          <w:p w:rsidR="00355BC7" w:rsidRPr="00752183" w:rsidRDefault="00355BC7">
            <w:pPr>
              <w:rPr>
                <w:rFonts w:ascii="Arial" w:hAnsi="Arial" w:cs="Arial"/>
                <w:sz w:val="18"/>
                <w:szCs w:val="22"/>
              </w:rPr>
            </w:pPr>
          </w:p>
          <w:p w:rsidR="00355BC7" w:rsidRPr="00752183" w:rsidRDefault="00355BC7">
            <w:pPr>
              <w:rPr>
                <w:rFonts w:ascii="Arial" w:hAnsi="Arial" w:cs="Arial"/>
                <w:sz w:val="18"/>
                <w:szCs w:val="22"/>
              </w:rPr>
            </w:pPr>
            <w:r w:rsidRPr="00752183">
              <w:rPr>
                <w:rFonts w:ascii="Arial" w:hAnsi="Arial" w:cs="Arial"/>
                <w:sz w:val="18"/>
                <w:szCs w:val="22"/>
              </w:rPr>
              <w:t>Resolución No2115 de 2007.</w:t>
            </w:r>
          </w:p>
        </w:tc>
        <w:tc>
          <w:tcPr>
            <w:tcW w:w="237" w:type="dxa"/>
            <w:tcBorders>
              <w:top w:val="single" w:sz="4" w:space="0" w:color="auto"/>
              <w:left w:val="single" w:sz="4" w:space="0" w:color="auto"/>
              <w:bottom w:val="single" w:sz="4" w:space="0" w:color="auto"/>
              <w:right w:val="single" w:sz="4" w:space="0" w:color="auto"/>
            </w:tcBorders>
          </w:tcPr>
          <w:p w:rsidR="00355BC7" w:rsidRPr="00752183" w:rsidRDefault="00355BC7">
            <w:pPr>
              <w:rPr>
                <w:rFonts w:ascii="Arial" w:hAnsi="Arial" w:cs="Arial"/>
                <w:sz w:val="18"/>
                <w:szCs w:val="22"/>
              </w:rPr>
            </w:pPr>
          </w:p>
          <w:p w:rsidR="00355BC7" w:rsidRPr="00752183" w:rsidRDefault="00355BC7">
            <w:pPr>
              <w:rPr>
                <w:rFonts w:ascii="Arial" w:hAnsi="Arial" w:cs="Arial"/>
                <w:sz w:val="18"/>
                <w:szCs w:val="22"/>
              </w:rPr>
            </w:pPr>
          </w:p>
          <w:p w:rsidR="00355BC7" w:rsidRPr="00752183" w:rsidRDefault="00355BC7">
            <w:pPr>
              <w:rPr>
                <w:rFonts w:ascii="Arial" w:hAnsi="Arial" w:cs="Arial"/>
                <w:sz w:val="18"/>
                <w:szCs w:val="22"/>
              </w:rPr>
            </w:pPr>
          </w:p>
          <w:p w:rsidR="00355BC7" w:rsidRPr="00752183" w:rsidRDefault="00355BC7">
            <w:pPr>
              <w:rPr>
                <w:rFonts w:ascii="Arial" w:hAnsi="Arial" w:cs="Arial"/>
                <w:sz w:val="18"/>
                <w:szCs w:val="22"/>
              </w:rPr>
            </w:pPr>
          </w:p>
        </w:tc>
      </w:tr>
    </w:tbl>
    <w:p w:rsidR="00355BC7" w:rsidRDefault="00355BC7" w:rsidP="00355BC7">
      <w:pPr>
        <w:autoSpaceDE w:val="0"/>
        <w:autoSpaceDN w:val="0"/>
        <w:adjustRightInd w:val="0"/>
        <w:ind w:firstLine="708"/>
        <w:jc w:val="center"/>
        <w:rPr>
          <w:rFonts w:ascii="Arial" w:eastAsia="Calibri" w:hAnsi="Arial" w:cs="Arial"/>
          <w:i/>
          <w:iCs/>
          <w:color w:val="000000"/>
          <w:sz w:val="22"/>
          <w:szCs w:val="22"/>
          <w:lang w:val="es-CO" w:eastAsia="en-US"/>
        </w:rPr>
      </w:pPr>
      <w:r>
        <w:rPr>
          <w:rFonts w:ascii="Arial" w:eastAsia="Calibri" w:hAnsi="Arial" w:cs="Arial"/>
          <w:sz w:val="16"/>
          <w:szCs w:val="16"/>
          <w:lang w:val="es-CO" w:eastAsia="en-US"/>
        </w:rPr>
        <w:t>Fuente: Municipio de Mitú</w:t>
      </w:r>
      <w:r>
        <w:rPr>
          <w:rFonts w:ascii="Arial" w:eastAsia="Calibri" w:hAnsi="Arial" w:cs="Arial"/>
          <w:i/>
          <w:iCs/>
          <w:sz w:val="16"/>
          <w:szCs w:val="16"/>
          <w:lang w:val="es-CO" w:eastAsia="en-US"/>
        </w:rPr>
        <w:t xml:space="preserve"> “Laboratorio Análisis de Aguas y Alimentos-ALFANPAR </w:t>
      </w:r>
      <w:r>
        <w:rPr>
          <w:rFonts w:ascii="Arial" w:eastAsia="Calibri" w:hAnsi="Arial" w:cs="Arial"/>
          <w:i/>
          <w:iCs/>
          <w:color w:val="000000"/>
          <w:sz w:val="16"/>
          <w:szCs w:val="16"/>
          <w:lang w:val="es-CO" w:eastAsia="en-US"/>
        </w:rPr>
        <w:t>S.A.S</w:t>
      </w:r>
      <w:r>
        <w:rPr>
          <w:rFonts w:ascii="Arial" w:eastAsia="Calibri" w:hAnsi="Arial" w:cs="Arial"/>
          <w:i/>
          <w:iCs/>
          <w:color w:val="000000"/>
          <w:sz w:val="22"/>
          <w:szCs w:val="22"/>
          <w:lang w:val="es-CO" w:eastAsia="en-US"/>
        </w:rPr>
        <w:t>”.</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Las mediciones realizadas por el Municipio, evidencia que la calidad del agua se ubica en nivel de riesgo alto, lo que significa que el líquido no es apto para el consumo humano.</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Para el 2020 el Institutito Nacional de Salud en su portal web registró la siguiente información, en donde se evidencia una mejora en el nivel de riesgo del Indicador IRCA, pues este paso de riesgo a alto a riesgo medio. El siguiente cuadro muestra el resultado de las mediciones:</w:t>
      </w:r>
    </w:p>
    <w:p w:rsidR="00AE40CF" w:rsidRDefault="00AE40CF">
      <w:pPr>
        <w:rPr>
          <w:rFonts w:ascii="Arial" w:eastAsia="Calibri" w:hAnsi="Arial" w:cs="Arial"/>
          <w:sz w:val="22"/>
          <w:szCs w:val="22"/>
          <w:lang w:val="es-CO" w:eastAsia="en-US"/>
        </w:rPr>
      </w:pPr>
      <w:r>
        <w:rPr>
          <w:rFonts w:ascii="Arial" w:eastAsia="Calibri" w:hAnsi="Arial" w:cs="Arial"/>
          <w:sz w:val="22"/>
          <w:szCs w:val="22"/>
          <w:lang w:val="es-CO" w:eastAsia="en-US"/>
        </w:rPr>
        <w:br w:type="page"/>
      </w: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hAnsi="Arial" w:cs="Arial"/>
          <w:noProof/>
          <w:lang w:val="es-CO" w:eastAsia="es-CO"/>
        </w:rPr>
        <w:lastRenderedPageBreak/>
        <w:drawing>
          <wp:inline distT="0" distB="0" distL="0" distR="0">
            <wp:extent cx="5690870" cy="2013585"/>
            <wp:effectExtent l="0" t="0" r="508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7">
                      <a:extLst>
                        <a:ext uri="{28A0092B-C50C-407E-A947-70E740481C1C}">
                          <a14:useLocalDpi xmlns:a14="http://schemas.microsoft.com/office/drawing/2010/main" val="0"/>
                        </a:ext>
                      </a:extLst>
                    </a:blip>
                    <a:srcRect l="6702" t="25229" r="41460" b="54884"/>
                    <a:stretch>
                      <a:fillRect/>
                    </a:stretch>
                  </pic:blipFill>
                  <pic:spPr bwMode="auto">
                    <a:xfrm>
                      <a:off x="0" y="0"/>
                      <a:ext cx="5690870" cy="2013585"/>
                    </a:xfrm>
                    <a:prstGeom prst="rect">
                      <a:avLst/>
                    </a:prstGeom>
                    <a:noFill/>
                    <a:ln>
                      <a:noFill/>
                    </a:ln>
                  </pic:spPr>
                </pic:pic>
              </a:graphicData>
            </a:graphic>
          </wp:inline>
        </w:drawing>
      </w:r>
    </w:p>
    <w:p w:rsidR="00355BC7" w:rsidRDefault="00355BC7" w:rsidP="00355BC7">
      <w:pPr>
        <w:autoSpaceDE w:val="0"/>
        <w:autoSpaceDN w:val="0"/>
        <w:adjustRightInd w:val="0"/>
        <w:jc w:val="both"/>
        <w:rPr>
          <w:rFonts w:ascii="Arial" w:hAnsi="Arial" w:cs="Arial"/>
          <w:b/>
          <w:color w:val="0000FF" w:themeColor="hyperlink"/>
          <w:sz w:val="16"/>
          <w:szCs w:val="16"/>
          <w:u w:val="single"/>
        </w:rPr>
      </w:pPr>
      <w:r>
        <w:rPr>
          <w:rFonts w:ascii="Arial" w:eastAsia="Calibri" w:hAnsi="Arial" w:cs="Arial"/>
          <w:b/>
          <w:sz w:val="16"/>
          <w:szCs w:val="16"/>
          <w:lang w:val="es-CO" w:eastAsia="en-US"/>
        </w:rPr>
        <w:t xml:space="preserve">Fuente INS </w:t>
      </w:r>
      <w:hyperlink r:id="rId18" w:history="1">
        <w:r>
          <w:rPr>
            <w:rStyle w:val="Hipervnculo"/>
            <w:rFonts w:ascii="Arial" w:eastAsia="Calibri" w:hAnsi="Arial" w:cs="Arial"/>
            <w:b/>
            <w:sz w:val="16"/>
            <w:szCs w:val="16"/>
            <w:lang w:val="es-CO" w:eastAsia="en-US"/>
          </w:rPr>
          <w:t>https://sivilab.ins.gov.co/SIVILAB/ReportesCG/ReportesSIVICAP?menuId=228</w:t>
        </w:r>
      </w:hyperlink>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eastAsia="Calibri" w:hAnsi="Arial" w:cs="Arial"/>
          <w:b/>
          <w:sz w:val="22"/>
          <w:szCs w:val="22"/>
          <w:lang w:val="es-CO" w:eastAsia="en-US"/>
        </w:rPr>
      </w:pPr>
      <w:r>
        <w:rPr>
          <w:rFonts w:ascii="Arial" w:eastAsia="Calibri" w:hAnsi="Arial" w:cs="Arial"/>
          <w:b/>
          <w:sz w:val="22"/>
          <w:szCs w:val="22"/>
          <w:lang w:val="es-CO" w:eastAsia="en-US"/>
        </w:rPr>
        <w:t>Plan de Gestión Integral de Residuos Sólidos (PGIRS).</w:t>
      </w:r>
    </w:p>
    <w:p w:rsidR="00355BC7" w:rsidRDefault="00355BC7" w:rsidP="00355BC7">
      <w:pPr>
        <w:autoSpaceDE w:val="0"/>
        <w:autoSpaceDN w:val="0"/>
        <w:adjustRightInd w:val="0"/>
        <w:jc w:val="both"/>
        <w:rPr>
          <w:rFonts w:ascii="Arial" w:eastAsia="Calibri" w:hAnsi="Arial" w:cs="Arial"/>
          <w:b/>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El Municipio remitió el Documento </w:t>
      </w:r>
      <w:r>
        <w:rPr>
          <w:rFonts w:ascii="Arial" w:eastAsia="Calibri" w:hAnsi="Arial" w:cs="Arial"/>
          <w:i/>
          <w:sz w:val="22"/>
          <w:szCs w:val="22"/>
          <w:lang w:val="es-CO" w:eastAsia="en-US"/>
        </w:rPr>
        <w:t xml:space="preserve">“ACTUALIZACIÓN DEL PLAN DE GESTION DE RESIDUOS SOLIDOS PGIRS 2015-2017 DEL MUNICPIO DE MITÚ RESOLUCION 0754 de 2014” </w:t>
      </w:r>
      <w:r>
        <w:rPr>
          <w:rFonts w:ascii="Arial" w:eastAsia="Calibri" w:hAnsi="Arial" w:cs="Arial"/>
          <w:sz w:val="22"/>
          <w:szCs w:val="22"/>
          <w:lang w:val="es-CO" w:eastAsia="en-US"/>
        </w:rPr>
        <w:t>elaborado por la firma</w:t>
      </w:r>
      <w:r>
        <w:rPr>
          <w:rFonts w:ascii="Arial" w:eastAsia="Calibri" w:hAnsi="Arial" w:cs="Arial"/>
          <w:i/>
          <w:sz w:val="22"/>
          <w:szCs w:val="22"/>
          <w:lang w:val="es-CO" w:eastAsia="en-US"/>
        </w:rPr>
        <w:t xml:space="preserve"> </w:t>
      </w:r>
      <w:r>
        <w:rPr>
          <w:rFonts w:ascii="Arial" w:eastAsia="Calibri" w:hAnsi="Arial" w:cs="Arial"/>
          <w:sz w:val="22"/>
          <w:szCs w:val="22"/>
          <w:lang w:val="es-CO" w:eastAsia="en-US"/>
        </w:rPr>
        <w:t xml:space="preserve">Inversiones AFOS S.A.S. El documento contiene los elementos generales de la actualización del PGIRS relacionado con: evaluación actual, línea base, objetivos y metas y programas y proyectos, dentro de estos se encuentran: </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CF44D2" w:rsidP="00355BC7">
      <w:pPr>
        <w:autoSpaceDE w:val="0"/>
        <w:autoSpaceDN w:val="0"/>
        <w:adjustRightInd w:val="0"/>
        <w:jc w:val="both"/>
        <w:rPr>
          <w:rFonts w:ascii="Arial" w:eastAsia="Calibri" w:hAnsi="Arial" w:cs="Arial"/>
          <w:sz w:val="22"/>
          <w:szCs w:val="22"/>
          <w:lang w:val="es-CO" w:eastAsia="en-US"/>
        </w:rPr>
      </w:pPr>
      <w:r>
        <w:rPr>
          <w:rFonts w:ascii="Arial" w:hAnsi="Arial" w:cs="Arial"/>
          <w:noProof/>
          <w:lang w:val="es-CO" w:eastAsia="es-CO"/>
        </w:rPr>
      </w:r>
      <w:r>
        <w:rPr>
          <w:rFonts w:ascii="Arial" w:hAnsi="Arial" w:cs="Arial"/>
          <w:noProof/>
          <w:lang w:val="es-CO" w:eastAsia="es-CO"/>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72" o:spid="_x0000_s1049" type="#_x0000_t122" style="width:409.45pt;height:179pt;visibility:visible;mso-wrap-style:square;mso-left-percent:-10001;mso-top-percent:-10001;mso-position-horizontal:absolute;mso-position-horizontal-relative:char;mso-position-vertical:absolute;mso-position-vertical-relative:line;mso-left-percent:-10001;mso-top-percent:-10001;v-text-anchor:middle" fillcolor="#4f81bd" strokecolor="#385d8a" strokeweight="2pt">
            <v:textbox style="mso-next-textbox:#Cinta perforada 72">
              <w:txbxContent>
                <w:p w:rsidR="002B49D6" w:rsidRDefault="002B49D6" w:rsidP="00355BC7">
                  <w:pPr>
                    <w:jc w:val="center"/>
                    <w:rPr>
                      <w:rFonts w:ascii="Segoe Print" w:hAnsi="Segoe Print"/>
                      <w:color w:val="FFFFFF" w:themeColor="background1"/>
                      <w:sz w:val="18"/>
                      <w:szCs w:val="18"/>
                    </w:rPr>
                  </w:pPr>
                  <w:r>
                    <w:rPr>
                      <w:rFonts w:ascii="Segoe Print" w:hAnsi="Segoe Print"/>
                      <w:color w:val="FFFFFF" w:themeColor="background1"/>
                      <w:sz w:val="18"/>
                      <w:szCs w:val="18"/>
                      <w:lang w:val="es-CO"/>
                    </w:rPr>
                    <w:t xml:space="preserve">Programa institucional para la prestación de servicio público de aseo; Programa de Recolección, Transporte y Transferencia de Residuos sólidos, Programa de Barrido y Limpieza y Vías y aéreas Públicas; Programa de Limpieza de Playas Costeras y Ribereñas; Programa de corte de Césped y poda de árboles en vías y Aéreas Públicas; Programas de Aprovechamiento; Programa de Inclusión de Recicladores; Programa de Disposición Final.   </w:t>
                  </w:r>
                </w:p>
              </w:txbxContent>
            </v:textbox>
            <w10:wrap type="none"/>
            <w10:anchorlock/>
          </v:shape>
        </w:pic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Sin embargo, en reunión adelantada con el Equipo de la Secretaria de Obras Públicas el 1 de junio de 2020, el Jefe de la Unidad de Servicios Públicos manifestó, que tenía conocimiento que había un documento adicional de PGIRS que fue actualizado en el 2019 por parte del Plan Departamental de Agua – PDA, pero que en ese momento la administración no contaba con ese documento y tampoco con un informe de seguimiento a las actividades. También se anotó que, a pesar de contar con el Documento PGIRS, el Municipio se limita a actividades relacionadas con la recolección de residuos públicos, la limpieza de los conectores, la poda y limpieza de sitios públicos.</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lastRenderedPageBreak/>
        <w:t>La recolección de residuos se lleva a cabo en 18 barrios y en 2 resguardos cercanos, ellos depositan la basura en un sitio estratégico y el carro recolector llega hasta el lugar específico por el mal estado de las vías, en consecuencia, el camión no puede ingresar a todos los lugares. Con posterioridad el carro recolector lo deposita en un botadero de cielos abiertos. Este trabajo es realizado por un conductor y dos operarios que se encargan de la recolección. En el 2019, se contaba con unas personas que apoyaban la limpieza en las calles, pero este año por la escasez de recursos no han podido ser contratados.</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jc w:val="both"/>
        <w:rPr>
          <w:rFonts w:ascii="Arial" w:hAnsi="Arial" w:cs="Arial"/>
          <w:sz w:val="22"/>
          <w:szCs w:val="22"/>
        </w:rPr>
      </w:pPr>
      <w:r>
        <w:rPr>
          <w:rFonts w:ascii="Arial" w:hAnsi="Arial" w:cs="Arial"/>
          <w:sz w:val="22"/>
          <w:szCs w:val="22"/>
        </w:rPr>
        <w:t>En Desarrollo de la reunión, la Ingeniera Ambiental de la Secretaria de Salud manifestó, que los otros programas que contempla el PGIRS no se realizan por falta de financiación. No obstante, con el apoyo de la Secretaría de Salud se adelantan actividades como capacitaciones para que se realice la separación en la fuente, se contemplan implementación de puntos ecológicos, estas actividades las adelantan con servidores diferentes a los vinculados a la Unidad de Servicios Públicos y/o la Secretaría de Obras Públicas. Por otra parte, el Informe de Evaluación Integral de Prestadores Unidad Especial de Servicios Públicos Domiciliarios del Municipio de Mitú, de diciembre de 2019 manifestó lo siguiente sobre el tema del PGIRS:</w:t>
      </w:r>
    </w:p>
    <w:p w:rsidR="00355BC7" w:rsidRDefault="00355BC7" w:rsidP="00355BC7">
      <w:pPr>
        <w:rPr>
          <w:rFonts w:ascii="Arial" w:hAnsi="Arial" w:cs="Arial"/>
          <w:sz w:val="22"/>
          <w:szCs w:val="22"/>
        </w:rPr>
      </w:pPr>
    </w:p>
    <w:p w:rsidR="00355BC7" w:rsidRPr="00752183" w:rsidRDefault="00355BC7" w:rsidP="00355BC7">
      <w:pPr>
        <w:ind w:left="1416" w:right="49"/>
        <w:jc w:val="both"/>
        <w:rPr>
          <w:rFonts w:ascii="Arial" w:hAnsi="Arial" w:cs="Arial"/>
          <w:i/>
          <w:color w:val="000000" w:themeColor="text1"/>
          <w:sz w:val="18"/>
          <w:szCs w:val="22"/>
        </w:rPr>
      </w:pPr>
      <w:r w:rsidRPr="00752183">
        <w:rPr>
          <w:rFonts w:ascii="Arial" w:hAnsi="Arial" w:cs="Arial"/>
          <w:i/>
          <w:color w:val="000000" w:themeColor="text1"/>
          <w:sz w:val="18"/>
          <w:szCs w:val="22"/>
        </w:rPr>
        <w:t>“El documento PGIRS del municipio de Mitú fue actualizado en el año 2015, el cual se encuentra cargado en el aplicativo SUI – INSPECTOR y en visita de inspección se entregó una copia digital del documento, queda pendiente el envío por parte del prestador del acto de aprobación y adopción por parte del municipio. Por otra parte, el prestador manifestó en visita que aún no se ha elaborado el Programa para la Prestación del Servicio Público de Aseo (PPSA) por lo que se puede identificar un presunto incumplimiento de este requisito legal.</w:t>
      </w:r>
    </w:p>
    <w:p w:rsidR="00355BC7" w:rsidRPr="00752183" w:rsidRDefault="00355BC7" w:rsidP="00355BC7">
      <w:pPr>
        <w:ind w:left="1416" w:right="49"/>
        <w:jc w:val="both"/>
        <w:rPr>
          <w:rFonts w:ascii="Arial" w:hAnsi="Arial" w:cs="Arial"/>
          <w:i/>
          <w:color w:val="000000" w:themeColor="text1"/>
          <w:sz w:val="18"/>
          <w:szCs w:val="22"/>
        </w:rPr>
      </w:pPr>
      <w:r w:rsidRPr="00752183">
        <w:rPr>
          <w:rFonts w:ascii="Arial" w:hAnsi="Arial" w:cs="Arial"/>
          <w:i/>
          <w:color w:val="000000" w:themeColor="text1"/>
          <w:sz w:val="18"/>
          <w:szCs w:val="22"/>
        </w:rPr>
        <w:t xml:space="preserve"> </w:t>
      </w:r>
    </w:p>
    <w:p w:rsidR="00355BC7" w:rsidRPr="00752183" w:rsidRDefault="00355BC7" w:rsidP="00355BC7">
      <w:pPr>
        <w:ind w:left="1416" w:right="49"/>
        <w:jc w:val="both"/>
        <w:rPr>
          <w:rFonts w:ascii="Arial" w:hAnsi="Arial" w:cs="Arial"/>
          <w:i/>
          <w:color w:val="000000" w:themeColor="text1"/>
          <w:sz w:val="18"/>
          <w:szCs w:val="22"/>
        </w:rPr>
      </w:pPr>
      <w:r w:rsidRPr="00752183">
        <w:rPr>
          <w:rFonts w:ascii="Arial" w:hAnsi="Arial" w:cs="Arial"/>
          <w:i/>
          <w:color w:val="000000" w:themeColor="text1"/>
          <w:sz w:val="18"/>
          <w:szCs w:val="22"/>
        </w:rPr>
        <w:t>Teniendo en cuenta la información disponible, se realiza a continuación una verificación de las actividades complementarias del servicio de aseo que fueron inscritas por la UESPD del municipio de Mitú en su última actualización del RUPS, contrastando con lo expuesto en el documento del PGIRS (no se aportó soporte de aprobación por parte de la autoridad ambiental, ni de adopción por parte del Municipio) y en el PPSA (no elaborado a la fecha); por otra parte, el prestador no ha reportado el CCU ni presenta el documento en visita por tanto no se tiene información para realizar el comparativo”</w:t>
      </w:r>
      <w:r w:rsidRPr="00752183">
        <w:rPr>
          <w:rFonts w:ascii="Arial" w:hAnsi="Arial" w:cs="Arial"/>
          <w:i/>
          <w:color w:val="000000" w:themeColor="text1"/>
          <w:sz w:val="18"/>
          <w:szCs w:val="22"/>
          <w:vertAlign w:val="superscript"/>
        </w:rPr>
        <w:footnoteReference w:id="4"/>
      </w:r>
      <w:r w:rsidRPr="00752183">
        <w:rPr>
          <w:rFonts w:ascii="Arial" w:hAnsi="Arial" w:cs="Arial"/>
          <w:i/>
          <w:color w:val="000000" w:themeColor="text1"/>
          <w:sz w:val="18"/>
          <w:szCs w:val="22"/>
        </w:rPr>
        <w:t xml:space="preserve">.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Finalmente, según el informe de Monitoreo realizado por el Ministerio de Vivienda, Ciudad y Territorio del 2020 se señala al Municipio de Mitú como uno de los Municipios del País que dispone inadecuadamente los residuos sólidos, la tabla 47 incorporada en dicho informe lo relaciona de la siguiente manera:</w:t>
      </w:r>
    </w:p>
    <w:p w:rsidR="00355BC7" w:rsidRDefault="00355BC7" w:rsidP="00355BC7">
      <w:pPr>
        <w:jc w:val="both"/>
        <w:rPr>
          <w:rFonts w:ascii="Arial" w:hAnsi="Arial" w:cs="Arial"/>
          <w:b/>
          <w:sz w:val="22"/>
          <w:szCs w:val="22"/>
        </w:rPr>
      </w:pPr>
    </w:p>
    <w:p w:rsidR="00355BC7" w:rsidRPr="00752183" w:rsidRDefault="00355BC7" w:rsidP="00355BC7">
      <w:pPr>
        <w:jc w:val="center"/>
        <w:rPr>
          <w:rFonts w:ascii="Arial" w:hAnsi="Arial" w:cs="Arial"/>
          <w:b/>
          <w:bCs/>
          <w:i/>
          <w:sz w:val="20"/>
          <w:szCs w:val="16"/>
        </w:rPr>
      </w:pPr>
      <w:r w:rsidRPr="00752183">
        <w:rPr>
          <w:rFonts w:ascii="Arial" w:hAnsi="Arial" w:cs="Arial"/>
          <w:b/>
          <w:bCs/>
          <w:i/>
          <w:sz w:val="20"/>
          <w:szCs w:val="16"/>
        </w:rPr>
        <w:t>“Tabla 47. Municipios que disponen inadecuadamente los residuos sólidos”</w:t>
      </w:r>
    </w:p>
    <w:tbl>
      <w:tblPr>
        <w:tblStyle w:val="Tablaconcuadrcula"/>
        <w:tblW w:w="0" w:type="auto"/>
        <w:jc w:val="center"/>
        <w:tblLook w:val="04A0" w:firstRow="1" w:lastRow="0" w:firstColumn="1" w:lastColumn="0" w:noHBand="0" w:noVBand="1"/>
      </w:tblPr>
      <w:tblGrid>
        <w:gridCol w:w="1777"/>
        <w:gridCol w:w="2247"/>
        <w:gridCol w:w="1636"/>
      </w:tblGrid>
      <w:tr w:rsidR="00355BC7" w:rsidRPr="00AE40CF" w:rsidTr="00355BC7">
        <w:trPr>
          <w:jc w:val="center"/>
        </w:trPr>
        <w:tc>
          <w:tcPr>
            <w:tcW w:w="1645" w:type="dxa"/>
            <w:tcBorders>
              <w:top w:val="single" w:sz="18" w:space="0" w:color="C0504D" w:themeColor="accent2"/>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1"/>
            </w:tblGrid>
            <w:tr w:rsidR="00355BC7" w:rsidRPr="00AE40CF">
              <w:trPr>
                <w:trHeight w:val="341"/>
              </w:trPr>
              <w:tc>
                <w:tcPr>
                  <w:tcW w:w="0" w:type="auto"/>
                  <w:hideMark/>
                </w:tcPr>
                <w:p w:rsidR="00355BC7" w:rsidRPr="00752183" w:rsidRDefault="00355BC7">
                  <w:pPr>
                    <w:autoSpaceDE w:val="0"/>
                    <w:autoSpaceDN w:val="0"/>
                    <w:adjustRightInd w:val="0"/>
                    <w:jc w:val="center"/>
                    <w:rPr>
                      <w:rFonts w:ascii="Arial" w:eastAsia="Calibri" w:hAnsi="Arial" w:cs="Arial"/>
                      <w:b/>
                      <w:color w:val="000000"/>
                      <w:sz w:val="20"/>
                      <w:szCs w:val="22"/>
                      <w:lang w:val="es-CO"/>
                    </w:rPr>
                  </w:pPr>
                  <w:r w:rsidRPr="00752183">
                    <w:rPr>
                      <w:rFonts w:ascii="Arial" w:eastAsia="Calibri" w:hAnsi="Arial" w:cs="Arial"/>
                      <w:b/>
                      <w:bCs/>
                      <w:color w:val="000000"/>
                      <w:sz w:val="20"/>
                      <w:szCs w:val="22"/>
                      <w:lang w:val="es-CO"/>
                    </w:rPr>
                    <w:t>Departamento</w:t>
                  </w:r>
                </w:p>
              </w:tc>
            </w:tr>
          </w:tbl>
          <w:p w:rsidR="00355BC7" w:rsidRPr="00752183" w:rsidRDefault="00355BC7">
            <w:pPr>
              <w:rPr>
                <w:rFonts w:asciiTheme="minorHAnsi" w:eastAsiaTheme="minorHAnsi" w:hAnsiTheme="minorHAnsi" w:cs="Calibri"/>
                <w:sz w:val="20"/>
                <w:szCs w:val="22"/>
                <w:lang w:val="es-CO" w:eastAsia="en-US"/>
              </w:rPr>
            </w:pPr>
          </w:p>
        </w:tc>
        <w:tc>
          <w:tcPr>
            <w:tcW w:w="2247" w:type="dxa"/>
            <w:tcBorders>
              <w:top w:val="single" w:sz="18" w:space="0" w:color="C0504D" w:themeColor="accent2"/>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center"/>
              <w:rPr>
                <w:rFonts w:ascii="Arial" w:eastAsia="Calibri" w:hAnsi="Arial" w:cs="Arial"/>
                <w:b/>
                <w:color w:val="000000"/>
                <w:sz w:val="20"/>
                <w:szCs w:val="22"/>
                <w:lang w:val="es-CO" w:eastAsia="en-US"/>
              </w:rPr>
            </w:pPr>
            <w:r w:rsidRPr="00752183">
              <w:rPr>
                <w:rFonts w:ascii="Arial" w:eastAsia="Calibri" w:hAnsi="Arial" w:cs="Arial"/>
                <w:b/>
                <w:bCs/>
                <w:color w:val="000000"/>
                <w:sz w:val="20"/>
                <w:szCs w:val="22"/>
                <w:lang w:val="es-CO" w:eastAsia="en-US"/>
              </w:rPr>
              <w:t>No. de Municipios</w:t>
            </w:r>
          </w:p>
        </w:tc>
        <w:tc>
          <w:tcPr>
            <w:tcW w:w="1636" w:type="dxa"/>
            <w:tcBorders>
              <w:top w:val="single" w:sz="18" w:space="0" w:color="C0504D" w:themeColor="accent2"/>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center"/>
              <w:rPr>
                <w:rFonts w:ascii="Arial" w:eastAsia="Calibri" w:hAnsi="Arial" w:cs="Arial"/>
                <w:b/>
                <w:color w:val="000000"/>
                <w:sz w:val="20"/>
                <w:szCs w:val="22"/>
                <w:lang w:val="es-CO" w:eastAsia="en-US"/>
              </w:rPr>
            </w:pPr>
            <w:r w:rsidRPr="00752183">
              <w:rPr>
                <w:rFonts w:ascii="Arial" w:eastAsia="Calibri" w:hAnsi="Arial" w:cs="Arial"/>
                <w:b/>
                <w:bCs/>
                <w:color w:val="000000"/>
                <w:sz w:val="20"/>
                <w:szCs w:val="22"/>
                <w:lang w:val="es-CO" w:eastAsia="en-US"/>
              </w:rPr>
              <w:t>Municipios</w:t>
            </w:r>
          </w:p>
        </w:tc>
      </w:tr>
      <w:tr w:rsidR="00355BC7" w:rsidRPr="00AE40CF" w:rsidTr="00355BC7">
        <w:trPr>
          <w:jc w:val="center"/>
        </w:trPr>
        <w:tc>
          <w:tcPr>
            <w:tcW w:w="1645" w:type="dxa"/>
            <w:tcBorders>
              <w:top w:val="single" w:sz="4" w:space="0" w:color="auto"/>
              <w:left w:val="single" w:sz="4" w:space="0" w:color="auto"/>
              <w:bottom w:val="single" w:sz="18" w:space="0" w:color="C0504D" w:themeColor="accent2"/>
              <w:right w:val="single" w:sz="4" w:space="0" w:color="auto"/>
            </w:tcBorders>
            <w:hideMark/>
          </w:tcPr>
          <w:p w:rsidR="00355BC7" w:rsidRPr="00752183" w:rsidRDefault="00355BC7">
            <w:pPr>
              <w:jc w:val="center"/>
              <w:rPr>
                <w:rFonts w:ascii="Arial" w:hAnsi="Arial" w:cs="Arial"/>
                <w:bCs/>
                <w:i/>
                <w:iCs/>
                <w:sz w:val="20"/>
                <w:szCs w:val="22"/>
              </w:rPr>
            </w:pPr>
            <w:r w:rsidRPr="00752183">
              <w:rPr>
                <w:rFonts w:ascii="Arial" w:hAnsi="Arial" w:cs="Arial"/>
                <w:bCs/>
                <w:i/>
                <w:iCs/>
                <w:sz w:val="20"/>
                <w:szCs w:val="22"/>
              </w:rPr>
              <w:t>Vaupés</w:t>
            </w:r>
          </w:p>
        </w:tc>
        <w:tc>
          <w:tcPr>
            <w:tcW w:w="2247" w:type="dxa"/>
            <w:tcBorders>
              <w:top w:val="single" w:sz="4" w:space="0" w:color="auto"/>
              <w:left w:val="single" w:sz="4" w:space="0" w:color="auto"/>
              <w:bottom w:val="single" w:sz="18" w:space="0" w:color="C0504D" w:themeColor="accent2"/>
              <w:right w:val="single" w:sz="4" w:space="0" w:color="auto"/>
            </w:tcBorders>
            <w:hideMark/>
          </w:tcPr>
          <w:p w:rsidR="00355BC7" w:rsidRPr="00752183" w:rsidRDefault="00355BC7">
            <w:pPr>
              <w:jc w:val="center"/>
              <w:rPr>
                <w:rFonts w:ascii="Arial" w:hAnsi="Arial" w:cs="Arial"/>
                <w:i/>
                <w:sz w:val="20"/>
                <w:szCs w:val="22"/>
              </w:rPr>
            </w:pPr>
            <w:r w:rsidRPr="00752183">
              <w:rPr>
                <w:rFonts w:ascii="Arial" w:hAnsi="Arial" w:cs="Arial"/>
                <w:i/>
                <w:sz w:val="20"/>
                <w:szCs w:val="22"/>
              </w:rPr>
              <w:t>2</w:t>
            </w:r>
          </w:p>
        </w:tc>
        <w:tc>
          <w:tcPr>
            <w:tcW w:w="1636" w:type="dxa"/>
            <w:tcBorders>
              <w:top w:val="single" w:sz="4" w:space="0" w:color="auto"/>
              <w:left w:val="single" w:sz="4" w:space="0" w:color="auto"/>
              <w:bottom w:val="single" w:sz="18" w:space="0" w:color="C0504D" w:themeColor="accent2"/>
              <w:right w:val="single" w:sz="4" w:space="0" w:color="auto"/>
            </w:tcBorders>
            <w:hideMark/>
          </w:tcPr>
          <w:p w:rsidR="00355BC7" w:rsidRPr="00752183" w:rsidRDefault="00355BC7">
            <w:pPr>
              <w:jc w:val="center"/>
              <w:rPr>
                <w:rFonts w:ascii="Arial" w:hAnsi="Arial" w:cs="Arial"/>
                <w:i/>
                <w:sz w:val="20"/>
                <w:szCs w:val="22"/>
              </w:rPr>
            </w:pPr>
            <w:r w:rsidRPr="00752183">
              <w:rPr>
                <w:rFonts w:ascii="Arial" w:hAnsi="Arial" w:cs="Arial"/>
                <w:i/>
                <w:sz w:val="20"/>
                <w:szCs w:val="22"/>
              </w:rPr>
              <w:t>Mitú y Tarará</w:t>
            </w:r>
          </w:p>
        </w:tc>
      </w:tr>
    </w:tbl>
    <w:p w:rsidR="00355BC7" w:rsidRDefault="00355BC7" w:rsidP="00355BC7">
      <w:pPr>
        <w:jc w:val="center"/>
        <w:rPr>
          <w:rFonts w:ascii="Arial" w:hAnsi="Arial" w:cs="Arial"/>
          <w:sz w:val="16"/>
          <w:szCs w:val="16"/>
        </w:rPr>
      </w:pPr>
      <w:r>
        <w:rPr>
          <w:rFonts w:ascii="Arial" w:hAnsi="Arial" w:cs="Arial"/>
          <w:i/>
          <w:sz w:val="16"/>
          <w:szCs w:val="16"/>
        </w:rPr>
        <w:t>Fuente:</w:t>
      </w:r>
      <w:r>
        <w:rPr>
          <w:rFonts w:ascii="Arial" w:hAnsi="Arial" w:cs="Arial"/>
          <w:sz w:val="16"/>
          <w:szCs w:val="16"/>
        </w:rPr>
        <w:t xml:space="preserve"> SSPD-SUI 2019</w:t>
      </w:r>
    </w:p>
    <w:p w:rsidR="00355BC7" w:rsidRDefault="00355BC7" w:rsidP="00355BC7">
      <w:pPr>
        <w:rPr>
          <w:rFonts w:ascii="Arial" w:hAnsi="Arial" w:cs="Arial"/>
          <w:iCs/>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Señala el informe, que </w:t>
      </w:r>
      <w:r>
        <w:rPr>
          <w:rFonts w:ascii="Arial" w:hAnsi="Arial" w:cs="Arial"/>
          <w:i/>
          <w:iCs/>
          <w:sz w:val="22"/>
          <w:szCs w:val="22"/>
        </w:rPr>
        <w:t xml:space="preserve">“respecto a la disposición final de los residuos sólidos no aprovechables utilizada en las ciudades capitales del país, la cual equivale al 64,44% de la generación del país (19.044,25 ton/día), se encuentra que 3 de los 32 municipios dispone </w:t>
      </w:r>
      <w:r>
        <w:rPr>
          <w:rFonts w:ascii="Arial" w:hAnsi="Arial" w:cs="Arial"/>
          <w:i/>
          <w:iCs/>
          <w:sz w:val="22"/>
          <w:szCs w:val="22"/>
        </w:rPr>
        <w:lastRenderedPageBreak/>
        <w:t>217,12 ton/día (0,73% de la generación nacional) en sistemas inadecuados; esto es Mitú en botadero a cielo abierto y Riohacha en celda transitoria</w:t>
      </w:r>
      <w:r>
        <w:rPr>
          <w:rFonts w:ascii="Arial" w:hAnsi="Arial" w:cs="Arial"/>
          <w:i/>
          <w:iCs/>
          <w:sz w:val="22"/>
          <w:szCs w:val="22"/>
          <w:vertAlign w:val="superscript"/>
        </w:rPr>
        <w:footnoteReference w:id="5"/>
      </w:r>
      <w:r>
        <w:rPr>
          <w:rFonts w:ascii="Arial" w:hAnsi="Arial" w:cs="Arial"/>
          <w:i/>
          <w:iCs/>
          <w:sz w:val="22"/>
          <w:szCs w:val="22"/>
        </w:rPr>
        <w:t xml:space="preserve">”.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Vale la pena decir que la información reportada por el Ministerio de Vivienda, Ciudad y Territorio no dista de lo manifestado por el Municipio, en la reunión de reconocimiento institucional realizada el 1° de junio de 2020 de manera virtual.</w:t>
      </w:r>
    </w:p>
    <w:p w:rsidR="00355BC7" w:rsidRDefault="00355BC7" w:rsidP="00355BC7">
      <w:pPr>
        <w:jc w:val="both"/>
        <w:rPr>
          <w:rFonts w:ascii="Arial" w:hAnsi="Arial" w:cs="Arial"/>
          <w:sz w:val="22"/>
          <w:szCs w:val="22"/>
        </w:rPr>
      </w:pP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sz w:val="22"/>
          <w:szCs w:val="22"/>
          <w:lang w:val="es-CO" w:eastAsia="en-US"/>
        </w:rPr>
        <w:t xml:space="preserve">La información suministrada por el Municipio en reunión de reconocimiento institucional puede ser escuchada en el siguiente enlace: </w:t>
      </w:r>
      <w:hyperlink r:id="rId19" w:history="1">
        <w:r>
          <w:rPr>
            <w:rStyle w:val="Hipervnculo"/>
            <w:rFonts w:ascii="Arial" w:eastAsia="Calibri" w:hAnsi="Arial" w:cs="Arial"/>
            <w:i/>
            <w:sz w:val="22"/>
            <w:szCs w:val="22"/>
            <w:lang w:val="es-CO" w:eastAsia="en-US"/>
          </w:rPr>
          <w:t>https://web.microsoftstream.com/video/97b20983-641d-4b3e-b246-3bb6d14185ff</w:t>
        </w:r>
      </w:hyperlink>
      <w:r>
        <w:rPr>
          <w:rFonts w:ascii="Arial" w:eastAsia="Calibri" w:hAnsi="Arial" w:cs="Arial"/>
          <w:i/>
          <w:sz w:val="22"/>
          <w:szCs w:val="22"/>
          <w:u w:val="single"/>
          <w:lang w:val="es-CO" w:eastAsia="en-US"/>
        </w:rPr>
        <w:t xml:space="preserve"> </w:t>
      </w:r>
      <w:r>
        <w:rPr>
          <w:rFonts w:ascii="Arial" w:eastAsia="Calibri" w:hAnsi="Arial" w:cs="Arial"/>
          <w:color w:val="000000"/>
          <w:sz w:val="22"/>
          <w:szCs w:val="22"/>
          <w:lang w:val="es-CO" w:eastAsia="en-US"/>
        </w:rPr>
        <w:t>(Para ver el video: Ctrl + clic en el enlace).</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Se recomienda a la Entidad Territorial remitir en el menor tiempo posible el acto administrativo de aprobación del PGIRS y la actualización realizada en el 2019, para realizar un análisis más amplio sobre la situación.</w:t>
      </w:r>
    </w:p>
    <w:p w:rsidR="00355BC7" w:rsidRDefault="00355BC7" w:rsidP="00355BC7">
      <w:pPr>
        <w:autoSpaceDE w:val="0"/>
        <w:autoSpaceDN w:val="0"/>
        <w:adjustRightInd w:val="0"/>
        <w:jc w:val="both"/>
        <w:rPr>
          <w:rFonts w:ascii="Arial" w:eastAsia="Calibri" w:hAnsi="Arial" w:cs="Arial"/>
          <w:sz w:val="22"/>
          <w:szCs w:val="22"/>
          <w:lang w:eastAsia="en-US"/>
        </w:rPr>
      </w:pPr>
    </w:p>
    <w:p w:rsidR="00355BC7" w:rsidRDefault="00355BC7" w:rsidP="00355BC7">
      <w:pPr>
        <w:autoSpaceDE w:val="0"/>
        <w:autoSpaceDN w:val="0"/>
        <w:adjustRightInd w:val="0"/>
        <w:rPr>
          <w:rFonts w:ascii="Arial" w:eastAsia="Calibri" w:hAnsi="Arial" w:cs="Arial"/>
          <w:b/>
          <w:color w:val="000000"/>
          <w:sz w:val="22"/>
          <w:szCs w:val="22"/>
          <w:lang w:val="es-CO" w:eastAsia="en-US"/>
        </w:rPr>
      </w:pPr>
      <w:r>
        <w:rPr>
          <w:rFonts w:ascii="Arial" w:hAnsi="Arial" w:cs="Arial"/>
          <w:b/>
          <w:bCs/>
          <w:sz w:val="22"/>
          <w:szCs w:val="22"/>
        </w:rPr>
        <w:t>Balance de Subsidios y Contribuciones</w:t>
      </w:r>
      <w:r w:rsidR="00AE40CF">
        <w:rPr>
          <w:rFonts w:ascii="Arial" w:hAnsi="Arial" w:cs="Arial"/>
          <w:b/>
          <w:bCs/>
          <w:sz w:val="22"/>
          <w:szCs w:val="22"/>
        </w:rPr>
        <w:t>.</w:t>
      </w:r>
    </w:p>
    <w:p w:rsidR="00355BC7" w:rsidRDefault="00355BC7" w:rsidP="00355BC7">
      <w:pPr>
        <w:autoSpaceDE w:val="0"/>
        <w:autoSpaceDN w:val="0"/>
        <w:adjustRightInd w:val="0"/>
        <w:rPr>
          <w:rFonts w:ascii="Arial" w:eastAsia="Calibri" w:hAnsi="Arial" w:cs="Arial"/>
          <w:b/>
          <w:color w:val="000000"/>
          <w:sz w:val="22"/>
          <w:szCs w:val="22"/>
          <w:lang w:val="es-CO" w:eastAsia="en-US"/>
        </w:rPr>
      </w:pP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El artículo 2.3.4.2.2 del Decreto 1077 de 2015 establece la Metodología para la Determinación del Equilibrio entre Subsidios y las Contribuciones para los Servicios Públicos Domiciliarios de Acueducto, Alcantarillado y Aseo. En este sentido define el artículo que la Metodología debe aplicarse cada año para garantizar que las contribuciones sean suficientes para cubrir la totalidad de los subsidios que se vayan a otorgar a los estratos 1, 2 y 3.</w:t>
      </w: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Cumpliendo con el requisito legal de aplicación de la Metodología las empresas prestadoras de los Servicios Públicos deben, antes del 15 de julio de cada año, presentar al alcalde una proyección para el año siguiente del valor total de los potenciales recursos a recaudar por concepto de aportes solidarios, así como el número de usuarios atendidos, discriminados por servicio, estrato y uso, consumos y vertimientos para el caso de acueducto y alcantarillado. Igualmente, estimarán los valores correspondientes a los subsidios a otorgar en la siguiente vigencia por estrato y para cada servicio.</w:t>
      </w: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Una vez recibida las proyecciones, según lo establece el artículo citado, el Municipio debe verificarlas y estimar el déficit de Subsidios, si aplica, para luego incorporarlo al proyecto de presupuesto que se presentará al Concejo Municipal para su aprobación.</w:t>
      </w: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p>
    <w:p w:rsidR="00355BC7" w:rsidRDefault="00355BC7" w:rsidP="00355BC7">
      <w:pPr>
        <w:autoSpaceDE w:val="0"/>
        <w:autoSpaceDN w:val="0"/>
        <w:adjustRightInd w:val="0"/>
        <w:jc w:val="both"/>
        <w:rPr>
          <w:rFonts w:ascii="Arial" w:eastAsia="Calibri" w:hAnsi="Arial" w:cs="Arial"/>
          <w:color w:val="000000" w:themeColor="text1"/>
          <w:sz w:val="22"/>
          <w:szCs w:val="22"/>
          <w:lang w:val="es-CO" w:eastAsia="en-US"/>
        </w:rPr>
      </w:pPr>
      <w:r>
        <w:rPr>
          <w:rFonts w:ascii="Arial" w:eastAsia="Calibri" w:hAnsi="Arial" w:cs="Arial"/>
          <w:color w:val="000000" w:themeColor="text1"/>
          <w:sz w:val="22"/>
          <w:szCs w:val="22"/>
          <w:lang w:val="es-CO" w:eastAsia="en-US"/>
        </w:rPr>
        <w:t xml:space="preserve">En la reunión de reconocimiento institucional llevada a cabo el 1° de junio de 2020 se solicitó que el Municipio explicara la forma como adelantaba el ejercicio de planeación financiera y presupuestal a lo que respondió que los recursos se presupuestaban conforme las proyecciones que realiza la Oficina de Servicios Públicos y de acuerdo con la base de datos </w:t>
      </w:r>
      <w:r>
        <w:rPr>
          <w:rFonts w:ascii="Arial" w:eastAsia="Calibri" w:hAnsi="Arial" w:cs="Arial"/>
          <w:color w:val="000000" w:themeColor="text1"/>
          <w:sz w:val="22"/>
          <w:szCs w:val="22"/>
          <w:lang w:val="es-CO" w:eastAsia="en-US"/>
        </w:rPr>
        <w:lastRenderedPageBreak/>
        <w:t>de usuarios con que cuenta dicha Dependencia. Textualmente manifestó lo siguiente en el minuto 0:22:14</w:t>
      </w:r>
      <w:r>
        <w:rPr>
          <w:rFonts w:ascii="Arial" w:eastAsia="Calibri" w:hAnsi="Arial" w:cs="Arial"/>
          <w:color w:val="000000" w:themeColor="text1"/>
          <w:sz w:val="22"/>
          <w:szCs w:val="22"/>
          <w:vertAlign w:val="superscript"/>
          <w:lang w:val="es-CO" w:eastAsia="en-US"/>
        </w:rPr>
        <w:footnoteReference w:id="6"/>
      </w:r>
      <w:r>
        <w:rPr>
          <w:rFonts w:ascii="Arial" w:eastAsia="Calibri" w:hAnsi="Arial" w:cs="Arial"/>
          <w:color w:val="000000" w:themeColor="text1"/>
          <w:sz w:val="22"/>
          <w:szCs w:val="22"/>
          <w:lang w:val="es-CO" w:eastAsia="en-US"/>
        </w:rPr>
        <w:t>:</w:t>
      </w:r>
    </w:p>
    <w:p w:rsidR="00355BC7" w:rsidRDefault="00355BC7" w:rsidP="00355BC7">
      <w:pPr>
        <w:autoSpaceDE w:val="0"/>
        <w:autoSpaceDN w:val="0"/>
        <w:adjustRightInd w:val="0"/>
        <w:jc w:val="both"/>
        <w:rPr>
          <w:rFonts w:ascii="Arial" w:eastAsia="Calibri" w:hAnsi="Arial" w:cs="Arial"/>
          <w:i/>
          <w:iCs/>
          <w:sz w:val="22"/>
          <w:szCs w:val="22"/>
          <w:lang w:val="es-CO" w:eastAsia="en-US"/>
        </w:rPr>
      </w:pPr>
    </w:p>
    <w:p w:rsidR="00355BC7" w:rsidRPr="00752183" w:rsidRDefault="00355BC7" w:rsidP="00355BC7">
      <w:pPr>
        <w:autoSpaceDE w:val="0"/>
        <w:autoSpaceDN w:val="0"/>
        <w:adjustRightInd w:val="0"/>
        <w:ind w:left="1416"/>
        <w:jc w:val="both"/>
        <w:rPr>
          <w:rFonts w:ascii="Arial" w:eastAsia="Calibri" w:hAnsi="Arial" w:cs="Arial"/>
          <w:i/>
          <w:iCs/>
          <w:sz w:val="18"/>
          <w:szCs w:val="22"/>
          <w:lang w:val="es-CO" w:eastAsia="en-US"/>
        </w:rPr>
      </w:pPr>
      <w:r w:rsidRPr="00752183">
        <w:rPr>
          <w:rFonts w:ascii="Arial" w:eastAsia="Calibri" w:hAnsi="Arial" w:cs="Arial"/>
          <w:i/>
          <w:iCs/>
          <w:sz w:val="18"/>
          <w:szCs w:val="22"/>
          <w:lang w:val="es-CO" w:eastAsia="en-US"/>
        </w:rPr>
        <w:t>“La Unidad recibió un presupuesto aprobado de subsidios. Se desconoce la base de cálculo. En estos momentos se está haciendo un trabajo para el Decreto No. 580 de 2020. Recalculo de subsidios.</w:t>
      </w:r>
    </w:p>
    <w:p w:rsidR="00355BC7" w:rsidRPr="00752183" w:rsidRDefault="00355BC7" w:rsidP="00355BC7">
      <w:pPr>
        <w:autoSpaceDE w:val="0"/>
        <w:autoSpaceDN w:val="0"/>
        <w:adjustRightInd w:val="0"/>
        <w:ind w:left="1416"/>
        <w:jc w:val="both"/>
        <w:rPr>
          <w:rFonts w:ascii="Arial" w:eastAsia="Calibri" w:hAnsi="Arial" w:cs="Arial"/>
          <w:b/>
          <w:sz w:val="18"/>
          <w:szCs w:val="22"/>
          <w:lang w:val="es-CO" w:eastAsia="en-US"/>
        </w:rPr>
      </w:pPr>
    </w:p>
    <w:p w:rsidR="00355BC7" w:rsidRPr="00752183" w:rsidRDefault="00355BC7" w:rsidP="00355BC7">
      <w:pPr>
        <w:autoSpaceDE w:val="0"/>
        <w:autoSpaceDN w:val="0"/>
        <w:adjustRightInd w:val="0"/>
        <w:ind w:left="1416"/>
        <w:jc w:val="both"/>
        <w:rPr>
          <w:rFonts w:ascii="Arial" w:eastAsia="Calibri" w:hAnsi="Arial" w:cs="Arial"/>
          <w:iCs/>
          <w:sz w:val="18"/>
          <w:szCs w:val="22"/>
          <w:lang w:val="es-CO" w:eastAsia="en-US"/>
        </w:rPr>
      </w:pPr>
      <w:r w:rsidRPr="00752183">
        <w:rPr>
          <w:rFonts w:ascii="Arial" w:eastAsia="Calibri" w:hAnsi="Arial" w:cs="Arial"/>
          <w:i/>
          <w:sz w:val="18"/>
          <w:szCs w:val="22"/>
          <w:lang w:val="es-CO" w:eastAsia="en-US"/>
        </w:rPr>
        <w:t>Nosotros tenemos una información que es la que está registrada en el software de facturación, porque allá se factura, eh, se factura servicio público, un software y cual, ¿cómo se hace? se está haciendo en este momento el cálculo, se está tomando la base de datos actualizada de todos los suscriptores y se están calculando los subsidios sobre 16 metros cúbicos de consumo […]</w:t>
      </w:r>
      <w:r w:rsidRPr="00752183">
        <w:rPr>
          <w:rFonts w:ascii="Arial" w:eastAsia="Calibri" w:hAnsi="Arial" w:cs="Arial"/>
          <w:iCs/>
          <w:sz w:val="18"/>
          <w:szCs w:val="22"/>
          <w:lang w:val="es-CO" w:eastAsia="en-US"/>
        </w:rPr>
        <w:t>.</w:t>
      </w:r>
    </w:p>
    <w:p w:rsidR="00355BC7" w:rsidRPr="00752183" w:rsidRDefault="00355BC7" w:rsidP="00355BC7">
      <w:pPr>
        <w:autoSpaceDE w:val="0"/>
        <w:autoSpaceDN w:val="0"/>
        <w:adjustRightInd w:val="0"/>
        <w:ind w:left="1416"/>
        <w:jc w:val="both"/>
        <w:rPr>
          <w:rFonts w:ascii="Arial" w:eastAsia="Calibri" w:hAnsi="Arial" w:cs="Arial"/>
          <w:i/>
          <w:sz w:val="18"/>
          <w:szCs w:val="22"/>
          <w:lang w:val="es-CO" w:eastAsia="en-US"/>
        </w:rPr>
      </w:pPr>
    </w:p>
    <w:p w:rsidR="00355BC7" w:rsidRPr="00752183" w:rsidRDefault="00355BC7" w:rsidP="00355BC7">
      <w:pPr>
        <w:autoSpaceDE w:val="0"/>
        <w:autoSpaceDN w:val="0"/>
        <w:adjustRightInd w:val="0"/>
        <w:ind w:left="1416"/>
        <w:jc w:val="both"/>
        <w:rPr>
          <w:rFonts w:ascii="Arial" w:eastAsia="Calibri" w:hAnsi="Arial" w:cs="Arial"/>
          <w:i/>
          <w:sz w:val="18"/>
          <w:szCs w:val="22"/>
          <w:lang w:val="es-CO" w:eastAsia="en-US"/>
        </w:rPr>
      </w:pPr>
      <w:r w:rsidRPr="00752183">
        <w:rPr>
          <w:rFonts w:ascii="Arial" w:eastAsia="Calibri" w:hAnsi="Arial" w:cs="Arial"/>
          <w:i/>
          <w:sz w:val="18"/>
          <w:szCs w:val="22"/>
          <w:lang w:val="es-CO" w:eastAsia="en-US"/>
        </w:rPr>
        <w:t>Ahora teniendo en cuenta que, a mitad de año, el 15 de julio se vence el plazo por norma para la presentación del proyecto de subsidios, entonces estamos utilizando también esa misma base de datos para proyectar los subsidios del otro año. Entonces, estamos aplicando la metodología, para el cálculo de subsidios, inclusive estamos haciendo el también cruce de la aplicación del Decreto 1013, cierto? el de equilibrio, para hallar el equilibrio entre subsidios y contribuciones, esa misma base de datos se la vamos a pasar a hacienda para que hacienda tenga el soporte del usuario por usuario del porque se calculó así el subsidio y para que adicionalmente  para cuando se vaya hacer la aplicación del subsidio el otro año  se tenga el  soporte  para poder preparar mensualmente lo que se factura por parte de la unidad”, cumpliendo con la normatividad, no.</w:t>
      </w:r>
    </w:p>
    <w:p w:rsidR="00355BC7" w:rsidRPr="00752183" w:rsidRDefault="00355BC7" w:rsidP="00355BC7">
      <w:pPr>
        <w:autoSpaceDE w:val="0"/>
        <w:autoSpaceDN w:val="0"/>
        <w:adjustRightInd w:val="0"/>
        <w:ind w:left="1416"/>
        <w:jc w:val="both"/>
        <w:rPr>
          <w:rFonts w:ascii="Arial" w:eastAsia="Calibri" w:hAnsi="Arial" w:cs="Arial"/>
          <w:i/>
          <w:sz w:val="18"/>
          <w:szCs w:val="22"/>
          <w:lang w:val="es-CO" w:eastAsia="en-US"/>
        </w:rPr>
      </w:pPr>
    </w:p>
    <w:p w:rsidR="00355BC7" w:rsidRPr="00752183" w:rsidRDefault="00355BC7" w:rsidP="00355BC7">
      <w:pPr>
        <w:autoSpaceDE w:val="0"/>
        <w:autoSpaceDN w:val="0"/>
        <w:adjustRightInd w:val="0"/>
        <w:ind w:left="1416"/>
        <w:jc w:val="both"/>
        <w:rPr>
          <w:rFonts w:ascii="Arial" w:eastAsia="Calibri" w:hAnsi="Arial" w:cs="Arial"/>
          <w:i/>
          <w:sz w:val="18"/>
          <w:szCs w:val="22"/>
          <w:lang w:val="es-CO" w:eastAsia="en-US"/>
        </w:rPr>
      </w:pPr>
      <w:r w:rsidRPr="00752183">
        <w:rPr>
          <w:rFonts w:ascii="Arial" w:eastAsia="Calibri" w:hAnsi="Arial" w:cs="Arial"/>
          <w:i/>
          <w:sz w:val="18"/>
          <w:szCs w:val="22"/>
          <w:lang w:val="es-CO" w:eastAsia="en-US"/>
        </w:rPr>
        <w:t>Sobre la verificación eso se hace mensualmente en hacienda, y como en el momento no se tiene conocimiento como se calcula, procurara tenerlo actualizado</w:t>
      </w:r>
      <w:r w:rsidRPr="00752183">
        <w:rPr>
          <w:rFonts w:ascii="Arial" w:eastAsia="Calibri" w:hAnsi="Arial" w:cs="Arial"/>
          <w:iCs/>
          <w:sz w:val="18"/>
          <w:szCs w:val="22"/>
          <w:lang w:val="es-CO" w:eastAsia="en-US"/>
        </w:rPr>
        <w:t>”. (Sic)</w:t>
      </w:r>
    </w:p>
    <w:p w:rsidR="00355BC7" w:rsidRDefault="00355BC7" w:rsidP="00355BC7">
      <w:pPr>
        <w:autoSpaceDE w:val="0"/>
        <w:autoSpaceDN w:val="0"/>
        <w:adjustRightInd w:val="0"/>
        <w:rPr>
          <w:rFonts w:ascii="Arial" w:eastAsia="Calibri" w:hAnsi="Arial" w:cs="Arial"/>
          <w:b/>
          <w:color w:val="000000"/>
          <w:sz w:val="22"/>
          <w:szCs w:val="22"/>
          <w:lang w:val="es-CO" w:eastAsia="en-US"/>
        </w:rPr>
      </w:pPr>
    </w:p>
    <w:p w:rsidR="00355BC7" w:rsidRDefault="00355BC7" w:rsidP="00355BC7">
      <w:pPr>
        <w:autoSpaceDE w:val="0"/>
        <w:autoSpaceDN w:val="0"/>
        <w:adjustRightInd w:val="0"/>
        <w:rPr>
          <w:rFonts w:ascii="Arial" w:eastAsia="Calibri" w:hAnsi="Arial" w:cs="Arial"/>
          <w:b/>
          <w:color w:val="000000"/>
          <w:sz w:val="22"/>
          <w:szCs w:val="22"/>
          <w:lang w:val="es-CO" w:eastAsia="en-US"/>
        </w:rPr>
      </w:pPr>
      <w:r>
        <w:rPr>
          <w:rFonts w:ascii="Arial" w:eastAsia="Calibri" w:hAnsi="Arial" w:cs="Arial"/>
          <w:b/>
          <w:color w:val="000000"/>
          <w:sz w:val="22"/>
          <w:szCs w:val="22"/>
          <w:lang w:val="es-CO" w:eastAsia="en-US"/>
        </w:rPr>
        <w:t>SUBSIDIOS</w:t>
      </w:r>
      <w:r w:rsidR="00AE40CF">
        <w:rPr>
          <w:rFonts w:ascii="Arial" w:eastAsia="Calibri" w:hAnsi="Arial" w:cs="Arial"/>
          <w:b/>
          <w:color w:val="000000"/>
          <w:sz w:val="22"/>
          <w:szCs w:val="22"/>
          <w:lang w:val="es-CO" w:eastAsia="en-US"/>
        </w:rPr>
        <w:t>.</w:t>
      </w:r>
    </w:p>
    <w:p w:rsidR="00355BC7" w:rsidRDefault="00355BC7" w:rsidP="00355BC7">
      <w:pPr>
        <w:autoSpaceDE w:val="0"/>
        <w:autoSpaceDN w:val="0"/>
        <w:adjustRightInd w:val="0"/>
        <w:rPr>
          <w:rFonts w:ascii="Arial" w:eastAsia="Calibri" w:hAnsi="Arial" w:cs="Arial"/>
          <w:b/>
          <w:color w:val="000000"/>
          <w:sz w:val="22"/>
          <w:szCs w:val="22"/>
          <w:u w:val="single"/>
          <w:lang w:val="es-CO" w:eastAsia="en-US"/>
        </w:rPr>
      </w:pP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 xml:space="preserve">El artículo 14 de la Ley 142 de 1994, define que el Subsidio es: </w:t>
      </w:r>
      <w:r>
        <w:rPr>
          <w:rFonts w:ascii="Arial" w:eastAsia="Calibri" w:hAnsi="Arial" w:cs="Arial"/>
          <w:i/>
          <w:iCs/>
          <w:color w:val="000000"/>
          <w:sz w:val="22"/>
          <w:szCs w:val="22"/>
          <w:lang w:val="es-CO" w:eastAsia="en-US"/>
        </w:rPr>
        <w:t>“la diferencia entre lo que se paga por un bien o servicio, y el costo de éste, cuando tal costo es mayor al pago que se recibe”</w:t>
      </w:r>
      <w:r>
        <w:rPr>
          <w:rFonts w:ascii="Arial" w:eastAsia="Calibri" w:hAnsi="Arial" w:cs="Arial"/>
          <w:color w:val="000000"/>
          <w:sz w:val="22"/>
          <w:szCs w:val="22"/>
          <w:lang w:val="es-CO" w:eastAsia="en-US"/>
        </w:rPr>
        <w:t>.</w:t>
      </w:r>
    </w:p>
    <w:p w:rsidR="00355BC7" w:rsidRDefault="00355BC7" w:rsidP="00355BC7">
      <w:pPr>
        <w:autoSpaceDE w:val="0"/>
        <w:autoSpaceDN w:val="0"/>
        <w:adjustRightInd w:val="0"/>
        <w:rPr>
          <w:rFonts w:ascii="Arial" w:eastAsia="Calibri" w:hAnsi="Arial" w:cs="Arial"/>
          <w:color w:val="000000"/>
          <w:sz w:val="22"/>
          <w:szCs w:val="22"/>
          <w:highlight w:val="yellow"/>
          <w:lang w:val="es-CO" w:eastAsia="en-US"/>
        </w:rPr>
      </w:pP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Los subsidios se otorgan en los Servicios Públicos Domiciliarios de Acueducto, Alcantarillado y Aseo, para la población de estrato 1, 2 y 3. Conforme el parágrafo 2 del artículo 11 de la Ley 1176 de 2007, los municipios de categorías 2, 3, 4, 5 y 6 deben destinar como mínimo el 15</w:t>
      </w:r>
      <w:r w:rsidR="00A72BD5">
        <w:rPr>
          <w:rFonts w:ascii="Arial" w:eastAsia="Calibri" w:hAnsi="Arial" w:cs="Arial"/>
          <w:color w:val="000000"/>
          <w:sz w:val="22"/>
          <w:szCs w:val="22"/>
          <w:lang w:val="es-CO" w:eastAsia="en-US"/>
        </w:rPr>
        <w:t xml:space="preserve"> </w:t>
      </w:r>
      <w:r>
        <w:rPr>
          <w:rFonts w:ascii="Arial" w:eastAsia="Calibri" w:hAnsi="Arial" w:cs="Arial"/>
          <w:color w:val="000000"/>
          <w:sz w:val="22"/>
          <w:szCs w:val="22"/>
          <w:lang w:val="es-CO" w:eastAsia="en-US"/>
        </w:rPr>
        <w:t>% de los recursos recibidos en la correspondiente vigencia fiscal para pagar los subsidios a los estratos 1, 2 y 3.</w:t>
      </w:r>
    </w:p>
    <w:p w:rsidR="00355BC7" w:rsidRDefault="00355BC7" w:rsidP="00355BC7">
      <w:pPr>
        <w:autoSpaceDE w:val="0"/>
        <w:autoSpaceDN w:val="0"/>
        <w:adjustRightInd w:val="0"/>
        <w:jc w:val="both"/>
        <w:rPr>
          <w:rFonts w:ascii="Arial" w:eastAsia="Calibri" w:hAnsi="Arial" w:cs="Arial"/>
          <w:color w:val="000000"/>
          <w:sz w:val="22"/>
          <w:szCs w:val="22"/>
          <w:highlight w:val="yellow"/>
          <w:lang w:val="es-CO" w:eastAsia="en-US"/>
        </w:rPr>
      </w:pPr>
    </w:p>
    <w:p w:rsidR="00355BC7" w:rsidRDefault="00355BC7" w:rsidP="00355BC7">
      <w:pPr>
        <w:jc w:val="both"/>
        <w:rPr>
          <w:rFonts w:ascii="Arial" w:eastAsia="Calibri" w:hAnsi="Arial" w:cs="Arial"/>
          <w:sz w:val="22"/>
          <w:szCs w:val="22"/>
        </w:rPr>
      </w:pPr>
      <w:r>
        <w:rPr>
          <w:rFonts w:ascii="Arial" w:eastAsia="Calibri" w:hAnsi="Arial" w:cs="Arial"/>
          <w:sz w:val="22"/>
          <w:szCs w:val="22"/>
        </w:rPr>
        <w:t xml:space="preserve">El Municipio de Mitú fijó los porcentajes de subsidios y contribuciones de acueducto, alcantarillado y aseo para los estratos 1, 2, y 3, mediante el Acuerdo Municipal No. 002 del 17 de enero de 2017, así: </w:t>
      </w:r>
    </w:p>
    <w:p w:rsidR="00AE40CF" w:rsidRDefault="00AE40CF">
      <w:pPr>
        <w:rPr>
          <w:rFonts w:ascii="Arial" w:eastAsia="Calibri" w:hAnsi="Arial" w:cs="Arial"/>
          <w:sz w:val="22"/>
          <w:szCs w:val="22"/>
        </w:rPr>
      </w:pPr>
      <w:r>
        <w:rPr>
          <w:rFonts w:ascii="Arial" w:eastAsia="Calibri" w:hAnsi="Arial" w:cs="Arial"/>
          <w:sz w:val="22"/>
          <w:szCs w:val="22"/>
        </w:rPr>
        <w:br w:type="page"/>
      </w:r>
    </w:p>
    <w:tbl>
      <w:tblPr>
        <w:tblStyle w:val="Listamedia2-nfasis1"/>
        <w:tblW w:w="3444" w:type="pct"/>
        <w:jc w:val="center"/>
        <w:tblInd w:w="0" w:type="dxa"/>
        <w:tblLook w:val="04A0" w:firstRow="1" w:lastRow="0" w:firstColumn="1" w:lastColumn="0" w:noHBand="0" w:noVBand="1"/>
      </w:tblPr>
      <w:tblGrid>
        <w:gridCol w:w="1172"/>
        <w:gridCol w:w="1750"/>
        <w:gridCol w:w="2072"/>
        <w:gridCol w:w="1080"/>
      </w:tblGrid>
      <w:tr w:rsidR="00355BC7" w:rsidTr="00355BC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3" w:type="pct"/>
            <w:noWrap/>
            <w:hideMark/>
          </w:tcPr>
          <w:p w:rsidR="00355BC7" w:rsidRDefault="00355BC7">
            <w:pPr>
              <w:rPr>
                <w:rFonts w:ascii="Arial" w:eastAsiaTheme="minorEastAsia" w:hAnsi="Arial" w:cs="Arial"/>
                <w:b/>
                <w:sz w:val="20"/>
                <w:szCs w:val="20"/>
              </w:rPr>
            </w:pPr>
            <w:r>
              <w:rPr>
                <w:rFonts w:ascii="Arial" w:eastAsiaTheme="minorEastAsia" w:hAnsi="Arial" w:cs="Arial"/>
                <w:b/>
                <w:sz w:val="20"/>
                <w:szCs w:val="20"/>
              </w:rPr>
              <w:lastRenderedPageBreak/>
              <w:t>ESTRATO</w:t>
            </w:r>
          </w:p>
        </w:tc>
        <w:tc>
          <w:tcPr>
            <w:tcW w:w="1437" w:type="pct"/>
            <w:hideMark/>
          </w:tcPr>
          <w:p w:rsidR="00355BC7" w:rsidRDefault="00355BC7">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ACUEDUCTO</w:t>
            </w:r>
          </w:p>
        </w:tc>
        <w:tc>
          <w:tcPr>
            <w:tcW w:w="1702" w:type="pct"/>
            <w:hideMark/>
          </w:tcPr>
          <w:p w:rsidR="00355BC7" w:rsidRDefault="00355BC7">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ALCANTARILLADO</w:t>
            </w:r>
          </w:p>
        </w:tc>
        <w:tc>
          <w:tcPr>
            <w:tcW w:w="898" w:type="pct"/>
            <w:hideMark/>
          </w:tcPr>
          <w:p w:rsidR="00355BC7" w:rsidRDefault="00355BC7">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ASEO</w:t>
            </w:r>
          </w:p>
        </w:tc>
      </w:tr>
      <w:tr w:rsidR="00355BC7" w:rsidTr="00355B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 w:type="pct"/>
            <w:noWrap/>
          </w:tcPr>
          <w:p w:rsidR="00355BC7" w:rsidRDefault="00355BC7">
            <w:pPr>
              <w:rPr>
                <w:rFonts w:ascii="Arial" w:eastAsiaTheme="minorEastAsia" w:hAnsi="Arial" w:cs="Arial"/>
                <w:sz w:val="20"/>
                <w:szCs w:val="20"/>
                <w:lang w:val="en-US" w:eastAsia="en-US"/>
              </w:rPr>
            </w:pPr>
          </w:p>
        </w:tc>
        <w:tc>
          <w:tcPr>
            <w:tcW w:w="1437" w:type="pct"/>
            <w:hideMark/>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CARGO FIJO/CONSUMO BASICO</w:t>
            </w:r>
          </w:p>
        </w:tc>
        <w:tc>
          <w:tcPr>
            <w:tcW w:w="1702" w:type="pct"/>
            <w:hideMark/>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CARGO FIJO/VERTIMENTO BASICO</w:t>
            </w:r>
          </w:p>
        </w:tc>
        <w:tc>
          <w:tcPr>
            <w:tcW w:w="898" w:type="pct"/>
            <w:tcBorders>
              <w:right w:val="single" w:sz="8" w:space="0" w:color="4F81BD" w:themeColor="accent1"/>
            </w:tcBorders>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p>
        </w:tc>
      </w:tr>
      <w:tr w:rsidR="00355BC7" w:rsidTr="00355BC7">
        <w:trPr>
          <w:jc w:val="center"/>
        </w:trPr>
        <w:tc>
          <w:tcPr>
            <w:cnfStyle w:val="001000000000" w:firstRow="0" w:lastRow="0" w:firstColumn="1" w:lastColumn="0" w:oddVBand="0" w:evenVBand="0" w:oddHBand="0" w:evenHBand="0" w:firstRowFirstColumn="0" w:firstRowLastColumn="0" w:lastRowFirstColumn="0" w:lastRowLastColumn="0"/>
            <w:tcW w:w="963" w:type="pct"/>
            <w:noWrap/>
            <w:hideMark/>
          </w:tcPr>
          <w:p w:rsidR="00355BC7" w:rsidRDefault="00355BC7">
            <w:pPr>
              <w:jc w:val="center"/>
              <w:rPr>
                <w:rFonts w:ascii="Arial" w:eastAsiaTheme="minorEastAsia" w:hAnsi="Arial" w:cs="Arial"/>
                <w:sz w:val="20"/>
                <w:szCs w:val="20"/>
              </w:rPr>
            </w:pPr>
            <w:r>
              <w:rPr>
                <w:rFonts w:ascii="Arial" w:eastAsiaTheme="minorEastAsia" w:hAnsi="Arial" w:cs="Arial"/>
                <w:sz w:val="20"/>
                <w:szCs w:val="20"/>
              </w:rPr>
              <w:t>1</w:t>
            </w:r>
          </w:p>
        </w:tc>
        <w:tc>
          <w:tcPr>
            <w:tcW w:w="1437" w:type="pct"/>
            <w:tcBorders>
              <w:top w:val="nil"/>
              <w:left w:val="nil"/>
              <w:bottom w:val="nil"/>
              <w:right w:val="nil"/>
            </w:tcBorders>
            <w:hideMark/>
          </w:tcPr>
          <w:p w:rsidR="00355BC7"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70 %</w:t>
            </w:r>
          </w:p>
        </w:tc>
        <w:tc>
          <w:tcPr>
            <w:tcW w:w="1702" w:type="pct"/>
            <w:tcBorders>
              <w:top w:val="nil"/>
              <w:left w:val="nil"/>
              <w:bottom w:val="nil"/>
              <w:right w:val="nil"/>
            </w:tcBorders>
            <w:hideMark/>
          </w:tcPr>
          <w:p w:rsidR="00355BC7"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70 %</w:t>
            </w:r>
          </w:p>
        </w:tc>
        <w:tc>
          <w:tcPr>
            <w:tcW w:w="898" w:type="pct"/>
            <w:tcBorders>
              <w:top w:val="nil"/>
              <w:left w:val="nil"/>
              <w:bottom w:val="nil"/>
              <w:right w:val="single" w:sz="8" w:space="0" w:color="4F81BD" w:themeColor="accent1"/>
            </w:tcBorders>
            <w:hideMark/>
          </w:tcPr>
          <w:p w:rsidR="00355BC7"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70 %</w:t>
            </w:r>
          </w:p>
        </w:tc>
      </w:tr>
      <w:tr w:rsidR="00355BC7" w:rsidTr="00355B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 w:type="pct"/>
            <w:noWrap/>
            <w:hideMark/>
          </w:tcPr>
          <w:p w:rsidR="00355BC7" w:rsidRDefault="00355BC7">
            <w:pPr>
              <w:jc w:val="center"/>
              <w:rPr>
                <w:rFonts w:ascii="Arial" w:eastAsiaTheme="minorEastAsia" w:hAnsi="Arial" w:cs="Arial"/>
                <w:sz w:val="20"/>
                <w:szCs w:val="20"/>
              </w:rPr>
            </w:pPr>
            <w:r>
              <w:rPr>
                <w:rFonts w:ascii="Arial" w:eastAsiaTheme="minorEastAsia" w:hAnsi="Arial" w:cs="Arial"/>
                <w:sz w:val="20"/>
                <w:szCs w:val="20"/>
              </w:rPr>
              <w:t>2</w:t>
            </w:r>
          </w:p>
        </w:tc>
        <w:tc>
          <w:tcPr>
            <w:tcW w:w="1437" w:type="pct"/>
            <w:hideMark/>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40 %</w:t>
            </w:r>
          </w:p>
        </w:tc>
        <w:tc>
          <w:tcPr>
            <w:tcW w:w="1702" w:type="pct"/>
            <w:hideMark/>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40 %</w:t>
            </w:r>
          </w:p>
        </w:tc>
        <w:tc>
          <w:tcPr>
            <w:tcW w:w="898" w:type="pct"/>
            <w:tcBorders>
              <w:right w:val="single" w:sz="8" w:space="0" w:color="4F81BD" w:themeColor="accent1"/>
            </w:tcBorders>
            <w:hideMark/>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40 %</w:t>
            </w:r>
          </w:p>
        </w:tc>
      </w:tr>
      <w:tr w:rsidR="00355BC7" w:rsidTr="00355BC7">
        <w:trPr>
          <w:jc w:val="center"/>
        </w:trPr>
        <w:tc>
          <w:tcPr>
            <w:cnfStyle w:val="001000000000" w:firstRow="0" w:lastRow="0" w:firstColumn="1" w:lastColumn="0" w:oddVBand="0" w:evenVBand="0" w:oddHBand="0" w:evenHBand="0" w:firstRowFirstColumn="0" w:firstRowLastColumn="0" w:lastRowFirstColumn="0" w:lastRowLastColumn="0"/>
            <w:tcW w:w="963" w:type="pct"/>
            <w:noWrap/>
            <w:hideMark/>
          </w:tcPr>
          <w:p w:rsidR="00355BC7" w:rsidRDefault="00355BC7">
            <w:pPr>
              <w:jc w:val="center"/>
              <w:rPr>
                <w:rFonts w:ascii="Arial" w:eastAsiaTheme="minorEastAsia" w:hAnsi="Arial" w:cs="Arial"/>
                <w:sz w:val="20"/>
                <w:szCs w:val="20"/>
              </w:rPr>
            </w:pPr>
            <w:r>
              <w:rPr>
                <w:rFonts w:ascii="Arial" w:eastAsiaTheme="minorEastAsia" w:hAnsi="Arial" w:cs="Arial"/>
                <w:sz w:val="20"/>
                <w:szCs w:val="20"/>
              </w:rPr>
              <w:t>3</w:t>
            </w:r>
          </w:p>
        </w:tc>
        <w:tc>
          <w:tcPr>
            <w:tcW w:w="1437" w:type="pct"/>
            <w:tcBorders>
              <w:top w:val="nil"/>
              <w:left w:val="nil"/>
              <w:bottom w:val="nil"/>
              <w:right w:val="nil"/>
            </w:tcBorders>
            <w:hideMark/>
          </w:tcPr>
          <w:p w:rsidR="00355BC7"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15 %</w:t>
            </w:r>
          </w:p>
        </w:tc>
        <w:tc>
          <w:tcPr>
            <w:tcW w:w="1702" w:type="pct"/>
            <w:tcBorders>
              <w:top w:val="nil"/>
              <w:left w:val="nil"/>
              <w:bottom w:val="nil"/>
              <w:right w:val="nil"/>
            </w:tcBorders>
            <w:hideMark/>
          </w:tcPr>
          <w:p w:rsidR="00355BC7"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15 %</w:t>
            </w:r>
          </w:p>
        </w:tc>
        <w:tc>
          <w:tcPr>
            <w:tcW w:w="898" w:type="pct"/>
            <w:tcBorders>
              <w:top w:val="nil"/>
              <w:left w:val="nil"/>
              <w:bottom w:val="nil"/>
              <w:right w:val="single" w:sz="8" w:space="0" w:color="4F81BD" w:themeColor="accent1"/>
            </w:tcBorders>
            <w:hideMark/>
          </w:tcPr>
          <w:p w:rsidR="00355BC7"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15 %</w:t>
            </w:r>
          </w:p>
        </w:tc>
      </w:tr>
      <w:tr w:rsidR="00355BC7" w:rsidTr="00355B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 w:type="pct"/>
            <w:noWrap/>
          </w:tcPr>
          <w:p w:rsidR="00355BC7" w:rsidRDefault="00355BC7">
            <w:pPr>
              <w:rPr>
                <w:rFonts w:ascii="Arial" w:eastAsiaTheme="minorEastAsia" w:hAnsi="Arial" w:cs="Arial"/>
                <w:sz w:val="20"/>
                <w:szCs w:val="20"/>
                <w:lang w:val="en-US" w:eastAsia="en-US"/>
              </w:rPr>
            </w:pPr>
          </w:p>
        </w:tc>
        <w:tc>
          <w:tcPr>
            <w:tcW w:w="1437" w:type="pct"/>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p>
        </w:tc>
        <w:tc>
          <w:tcPr>
            <w:tcW w:w="1702" w:type="pct"/>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p>
        </w:tc>
        <w:tc>
          <w:tcPr>
            <w:tcW w:w="898" w:type="pct"/>
            <w:tcBorders>
              <w:right w:val="single" w:sz="8" w:space="0" w:color="4F81BD" w:themeColor="accent1"/>
            </w:tcBorders>
          </w:tcPr>
          <w:p w:rsidR="00355BC7"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p>
        </w:tc>
      </w:tr>
    </w:tbl>
    <w:p w:rsidR="00355BC7" w:rsidRDefault="00355BC7" w:rsidP="00355BC7">
      <w:pPr>
        <w:ind w:left="708" w:firstLine="708"/>
        <w:jc w:val="center"/>
        <w:rPr>
          <w:rFonts w:ascii="Arial" w:eastAsia="Calibri" w:hAnsi="Arial" w:cs="Arial"/>
          <w:sz w:val="16"/>
          <w:szCs w:val="16"/>
        </w:rPr>
      </w:pPr>
      <w:r>
        <w:rPr>
          <w:rFonts w:ascii="Arial" w:eastAsia="Calibri" w:hAnsi="Arial" w:cs="Arial"/>
          <w:sz w:val="16"/>
          <w:szCs w:val="16"/>
        </w:rPr>
        <w:t>Fuente: Acuerdo Municipal No. 002 de 2017</w:t>
      </w:r>
    </w:p>
    <w:p w:rsidR="00355BC7" w:rsidRDefault="00355BC7" w:rsidP="00355BC7">
      <w:pPr>
        <w:jc w:val="both"/>
        <w:rPr>
          <w:rFonts w:ascii="Arial" w:eastAsia="Calibri" w:hAnsi="Arial" w:cs="Arial"/>
          <w:sz w:val="22"/>
          <w:szCs w:val="22"/>
        </w:rPr>
      </w:pPr>
    </w:p>
    <w:p w:rsidR="00355BC7" w:rsidRDefault="00355BC7" w:rsidP="00355BC7">
      <w:pPr>
        <w:jc w:val="both"/>
        <w:rPr>
          <w:rFonts w:ascii="Arial" w:eastAsia="Calibri" w:hAnsi="Arial" w:cs="Arial"/>
          <w:sz w:val="22"/>
          <w:szCs w:val="22"/>
        </w:rPr>
      </w:pPr>
      <w:r>
        <w:rPr>
          <w:rFonts w:ascii="Arial" w:eastAsia="Calibri" w:hAnsi="Arial" w:cs="Arial"/>
          <w:sz w:val="22"/>
          <w:szCs w:val="22"/>
        </w:rPr>
        <w:t>El Mencionado Acuerdo no establece los porcentajes de contribuciones que deben ser cobrados a los estratos 5 y 6, y a los establecimientos de uso industrial y comercial. Según lo manifestó la Secretaría de Obras Públicas en reunión realizada de manera virtual el 1 de junio de 2020, el Municipio sólo tiene estratos 1, 2 y 3 y algunos establecimientos comerciales</w:t>
      </w:r>
      <w:r>
        <w:rPr>
          <w:rFonts w:ascii="Arial" w:eastAsia="Calibri" w:hAnsi="Arial" w:cs="Arial"/>
          <w:sz w:val="22"/>
          <w:szCs w:val="22"/>
          <w:vertAlign w:val="superscript"/>
        </w:rPr>
        <w:footnoteReference w:id="7"/>
      </w:r>
      <w:r>
        <w:rPr>
          <w:rFonts w:ascii="Arial" w:eastAsia="Calibri" w:hAnsi="Arial" w:cs="Arial"/>
          <w:sz w:val="22"/>
          <w:szCs w:val="22"/>
        </w:rPr>
        <w:t>.</w:t>
      </w:r>
    </w:p>
    <w:p w:rsidR="00355BC7" w:rsidRDefault="00355BC7" w:rsidP="00355BC7">
      <w:pPr>
        <w:jc w:val="both"/>
        <w:rPr>
          <w:rFonts w:ascii="Arial" w:eastAsia="Calibri" w:hAnsi="Arial" w:cs="Arial"/>
          <w:sz w:val="22"/>
          <w:szCs w:val="22"/>
          <w:highlight w:val="yellow"/>
        </w:rPr>
      </w:pPr>
    </w:p>
    <w:p w:rsidR="00355BC7" w:rsidRDefault="00355BC7" w:rsidP="00355BC7">
      <w:pPr>
        <w:jc w:val="both"/>
        <w:rPr>
          <w:rFonts w:ascii="Arial" w:eastAsia="Calibri" w:hAnsi="Arial" w:cs="Arial"/>
          <w:sz w:val="22"/>
          <w:szCs w:val="22"/>
        </w:rPr>
      </w:pPr>
      <w:r>
        <w:rPr>
          <w:rFonts w:ascii="Arial" w:eastAsia="Calibri" w:hAnsi="Arial" w:cs="Arial"/>
          <w:sz w:val="22"/>
          <w:szCs w:val="22"/>
        </w:rPr>
        <w:t>Revisada las ejecuciones presupuestales de gastos de inversión se observó que, en los años 2017, 2018 y 2019, el Municipio orientó aproximadamente el 11 % de la Participación de Agua Potable y Saneamiento Básico del SGP para compromiso y pago de subsidios. En el año 2020 la destinación para subsidios correspondió a lo dispuesto en el marco legal, es decir orientó el 15</w:t>
      </w:r>
      <w:r w:rsidR="00AE40CF">
        <w:rPr>
          <w:rFonts w:ascii="Arial" w:eastAsia="Calibri" w:hAnsi="Arial" w:cs="Arial"/>
          <w:sz w:val="22"/>
          <w:szCs w:val="22"/>
        </w:rPr>
        <w:t xml:space="preserve"> </w:t>
      </w:r>
      <w:r>
        <w:rPr>
          <w:rFonts w:ascii="Arial" w:eastAsia="Calibri" w:hAnsi="Arial" w:cs="Arial"/>
          <w:sz w:val="22"/>
          <w:szCs w:val="22"/>
        </w:rPr>
        <w:t>%.</w:t>
      </w:r>
    </w:p>
    <w:p w:rsidR="00355BC7" w:rsidRDefault="00355BC7" w:rsidP="00355BC7">
      <w:pPr>
        <w:jc w:val="both"/>
        <w:rPr>
          <w:rFonts w:ascii="Arial" w:eastAsia="Calibri" w:hAnsi="Arial" w:cs="Arial"/>
          <w:sz w:val="22"/>
          <w:szCs w:val="22"/>
        </w:rPr>
      </w:pPr>
    </w:p>
    <w:p w:rsidR="00355BC7" w:rsidRDefault="00355BC7" w:rsidP="00355BC7">
      <w:pPr>
        <w:jc w:val="both"/>
        <w:rPr>
          <w:rFonts w:ascii="Arial" w:eastAsia="Calibri" w:hAnsi="Arial" w:cs="Arial"/>
          <w:sz w:val="22"/>
          <w:szCs w:val="22"/>
        </w:rPr>
      </w:pPr>
      <w:r>
        <w:rPr>
          <w:rFonts w:ascii="Arial" w:eastAsia="Calibri" w:hAnsi="Arial" w:cs="Arial"/>
          <w:sz w:val="22"/>
          <w:szCs w:val="22"/>
        </w:rPr>
        <w:t xml:space="preserve">La revisión de las ejecuciones presupuestales mostró que el Municipio de Mitú hasta el 2019, sólo asignaba y comprometía un 4 % menos de los recursos de la participación de SGP-APSB para financiación de subsidios que dispone el artículo 11 de la Ley 1176 de 2007 para el pago de subsidios. </w:t>
      </w:r>
    </w:p>
    <w:p w:rsidR="00355BC7" w:rsidRDefault="00355BC7" w:rsidP="00355BC7">
      <w:pPr>
        <w:jc w:val="both"/>
        <w:rPr>
          <w:rFonts w:ascii="Arial" w:eastAsia="Calibri" w:hAnsi="Arial" w:cs="Arial"/>
          <w:sz w:val="22"/>
          <w:szCs w:val="22"/>
        </w:rPr>
      </w:pPr>
    </w:p>
    <w:p w:rsidR="00355BC7" w:rsidRDefault="00355BC7" w:rsidP="00355BC7">
      <w:pPr>
        <w:jc w:val="both"/>
        <w:rPr>
          <w:rFonts w:ascii="Arial" w:eastAsia="Calibri" w:hAnsi="Arial" w:cs="Arial"/>
          <w:sz w:val="22"/>
          <w:szCs w:val="22"/>
        </w:rPr>
      </w:pPr>
      <w:r>
        <w:rPr>
          <w:rFonts w:ascii="Arial" w:eastAsia="Calibri" w:hAnsi="Arial" w:cs="Arial"/>
          <w:sz w:val="22"/>
          <w:szCs w:val="22"/>
        </w:rPr>
        <w:t>Sin embargo, según lo manifestado por la Entidad Territorial ese 11</w:t>
      </w:r>
      <w:r w:rsidR="00AE40CF">
        <w:rPr>
          <w:rFonts w:ascii="Arial" w:eastAsia="Calibri" w:hAnsi="Arial" w:cs="Arial"/>
          <w:sz w:val="22"/>
          <w:szCs w:val="22"/>
        </w:rPr>
        <w:t xml:space="preserve"> </w:t>
      </w:r>
      <w:r>
        <w:rPr>
          <w:rFonts w:ascii="Arial" w:eastAsia="Calibri" w:hAnsi="Arial" w:cs="Arial"/>
          <w:sz w:val="22"/>
          <w:szCs w:val="22"/>
        </w:rPr>
        <w:t>% de los recursos que se transfieren a la Unidad Especial de Servicios Públicos alcanza a cubrir todas las necesidades de subsidios que se otorgan a los usuarios de los estratos 1, 2 y 3.</w:t>
      </w:r>
    </w:p>
    <w:p w:rsidR="00355BC7" w:rsidRDefault="00355BC7" w:rsidP="00355BC7">
      <w:pPr>
        <w:jc w:val="both"/>
        <w:rPr>
          <w:rFonts w:ascii="Arial" w:eastAsia="Calibri" w:hAnsi="Arial" w:cs="Arial"/>
          <w:sz w:val="22"/>
          <w:szCs w:val="22"/>
        </w:rPr>
      </w:pPr>
    </w:p>
    <w:p w:rsidR="00355BC7" w:rsidRDefault="00355BC7" w:rsidP="00355BC7">
      <w:pPr>
        <w:jc w:val="both"/>
        <w:rPr>
          <w:rFonts w:ascii="Arial" w:eastAsia="Calibri" w:hAnsi="Arial" w:cs="Arial"/>
          <w:sz w:val="22"/>
          <w:szCs w:val="22"/>
        </w:rPr>
      </w:pPr>
      <w:r>
        <w:rPr>
          <w:rFonts w:ascii="Arial" w:eastAsia="Calibri" w:hAnsi="Arial" w:cs="Arial"/>
          <w:sz w:val="22"/>
          <w:szCs w:val="22"/>
        </w:rPr>
        <w:t>Ahora bien, revisada la información sobre el Fondo de Solidaridad y Redistribución del Ingreso – FSRI, ese 4 % que no se utiliza para el pago de subsidios, no tiene disponible esos recursos en el Fondo de Solidaridad y Redistribución del Ingreso - FSRI, el cual debía permanecer en la respectiva cuenta del FSRI hasta que se definiera la aplicación de esos recursos.</w:t>
      </w:r>
    </w:p>
    <w:p w:rsidR="00355BC7" w:rsidRDefault="00355BC7" w:rsidP="00355BC7">
      <w:pPr>
        <w:jc w:val="both"/>
        <w:rPr>
          <w:rFonts w:ascii="Arial" w:eastAsia="Calibri" w:hAnsi="Arial" w:cs="Arial"/>
          <w:sz w:val="22"/>
          <w:szCs w:val="22"/>
        </w:rPr>
      </w:pPr>
    </w:p>
    <w:p w:rsidR="00AE40CF" w:rsidRDefault="00355BC7" w:rsidP="00355BC7">
      <w:pPr>
        <w:jc w:val="both"/>
        <w:rPr>
          <w:rFonts w:ascii="Arial" w:eastAsia="Calibri" w:hAnsi="Arial" w:cs="Arial"/>
          <w:sz w:val="22"/>
          <w:szCs w:val="22"/>
        </w:rPr>
      </w:pPr>
      <w:r>
        <w:rPr>
          <w:rFonts w:ascii="Arial" w:eastAsia="Calibri" w:hAnsi="Arial" w:cs="Arial"/>
          <w:sz w:val="22"/>
          <w:szCs w:val="22"/>
        </w:rPr>
        <w:t>El siguiente cuadro muestra el comportamiento de los subsidios otorgados a los estratos 1, 2 y 3 en las tres últimas vigencias.</w:t>
      </w:r>
    </w:p>
    <w:p w:rsidR="00AE40CF" w:rsidRDefault="00AE40CF">
      <w:pPr>
        <w:rPr>
          <w:rFonts w:ascii="Arial" w:eastAsia="Calibri" w:hAnsi="Arial" w:cs="Arial"/>
          <w:sz w:val="22"/>
          <w:szCs w:val="22"/>
        </w:rPr>
      </w:pPr>
      <w:r>
        <w:rPr>
          <w:rFonts w:ascii="Arial" w:eastAsia="Calibri" w:hAnsi="Arial" w:cs="Arial"/>
          <w:sz w:val="22"/>
          <w:szCs w:val="22"/>
        </w:rPr>
        <w:br w:type="page"/>
      </w:r>
    </w:p>
    <w:p w:rsidR="00355BC7" w:rsidRDefault="00355BC7" w:rsidP="00355BC7">
      <w:pPr>
        <w:ind w:left="5664" w:firstLine="708"/>
        <w:jc w:val="both"/>
        <w:rPr>
          <w:rFonts w:ascii="Arial" w:eastAsia="Calibri" w:hAnsi="Arial" w:cs="Arial"/>
          <w:sz w:val="16"/>
          <w:szCs w:val="16"/>
        </w:rPr>
      </w:pPr>
      <w:r>
        <w:rPr>
          <w:rFonts w:ascii="Arial" w:eastAsia="Calibri" w:hAnsi="Arial" w:cs="Arial"/>
          <w:sz w:val="16"/>
          <w:szCs w:val="16"/>
        </w:rPr>
        <w:lastRenderedPageBreak/>
        <w:t xml:space="preserve">                        Millones de pesos</w:t>
      </w:r>
    </w:p>
    <w:tbl>
      <w:tblPr>
        <w:tblStyle w:val="Listamedia2-nfasis1"/>
        <w:tblW w:w="5000" w:type="pct"/>
        <w:jc w:val="center"/>
        <w:tblInd w:w="0" w:type="dxa"/>
        <w:tblLook w:val="04A0" w:firstRow="1" w:lastRow="0" w:firstColumn="1" w:lastColumn="0" w:noHBand="0" w:noVBand="1"/>
      </w:tblPr>
      <w:tblGrid>
        <w:gridCol w:w="5228"/>
        <w:gridCol w:w="717"/>
        <w:gridCol w:w="717"/>
        <w:gridCol w:w="720"/>
        <w:gridCol w:w="718"/>
        <w:gridCol w:w="718"/>
      </w:tblGrid>
      <w:tr w:rsidR="00355BC7" w:rsidRPr="00AE40CF" w:rsidTr="00355BC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91" w:type="pct"/>
            <w:noWrap/>
          </w:tcPr>
          <w:p w:rsidR="00355BC7" w:rsidRPr="00752183" w:rsidRDefault="00355BC7">
            <w:pPr>
              <w:rPr>
                <w:rFonts w:ascii="Arial" w:eastAsiaTheme="minorEastAsia" w:hAnsi="Arial" w:cs="Arial"/>
                <w:b/>
                <w:sz w:val="20"/>
                <w:szCs w:val="16"/>
                <w:lang w:val="es-CO" w:eastAsia="en-US"/>
              </w:rPr>
            </w:pPr>
          </w:p>
        </w:tc>
        <w:tc>
          <w:tcPr>
            <w:tcW w:w="349" w:type="pct"/>
            <w:hideMark/>
          </w:tcPr>
          <w:p w:rsidR="00355BC7" w:rsidRPr="00752183" w:rsidRDefault="00355BC7">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16"/>
                <w:lang w:val="en-US"/>
              </w:rPr>
            </w:pPr>
            <w:r w:rsidRPr="00752183">
              <w:rPr>
                <w:rFonts w:ascii="Arial" w:eastAsiaTheme="minorEastAsia" w:hAnsi="Arial" w:cs="Arial"/>
                <w:b/>
                <w:sz w:val="20"/>
                <w:szCs w:val="16"/>
              </w:rPr>
              <w:t>2017</w:t>
            </w:r>
          </w:p>
        </w:tc>
        <w:tc>
          <w:tcPr>
            <w:tcW w:w="349" w:type="pct"/>
            <w:hideMark/>
          </w:tcPr>
          <w:p w:rsidR="00355BC7" w:rsidRPr="00752183" w:rsidRDefault="00355BC7">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16"/>
              </w:rPr>
            </w:pPr>
            <w:r w:rsidRPr="00752183">
              <w:rPr>
                <w:rFonts w:ascii="Arial" w:eastAsiaTheme="minorEastAsia" w:hAnsi="Arial" w:cs="Arial"/>
                <w:b/>
                <w:sz w:val="20"/>
                <w:szCs w:val="16"/>
              </w:rPr>
              <w:t>2018</w:t>
            </w:r>
          </w:p>
        </w:tc>
        <w:tc>
          <w:tcPr>
            <w:tcW w:w="638" w:type="pct"/>
            <w:hideMark/>
          </w:tcPr>
          <w:p w:rsidR="00355BC7" w:rsidRPr="00752183" w:rsidRDefault="00355BC7">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16"/>
              </w:rPr>
            </w:pPr>
            <w:r w:rsidRPr="00752183">
              <w:rPr>
                <w:rFonts w:ascii="Arial" w:eastAsiaTheme="minorEastAsia" w:hAnsi="Arial" w:cs="Arial"/>
                <w:b/>
                <w:sz w:val="20"/>
                <w:szCs w:val="16"/>
              </w:rPr>
              <w:t>2019</w:t>
            </w:r>
          </w:p>
        </w:tc>
        <w:tc>
          <w:tcPr>
            <w:tcW w:w="637" w:type="pct"/>
          </w:tcPr>
          <w:p w:rsidR="00355BC7" w:rsidRPr="00752183" w:rsidRDefault="00355BC7">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16"/>
              </w:rPr>
            </w:pPr>
          </w:p>
        </w:tc>
        <w:tc>
          <w:tcPr>
            <w:tcW w:w="636" w:type="pct"/>
            <w:hideMark/>
          </w:tcPr>
          <w:p w:rsidR="00355BC7" w:rsidRPr="00752183" w:rsidRDefault="00355BC7">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16"/>
              </w:rPr>
            </w:pPr>
            <w:r w:rsidRPr="00752183">
              <w:rPr>
                <w:rFonts w:ascii="Arial" w:eastAsiaTheme="minorEastAsia" w:hAnsi="Arial" w:cs="Arial"/>
                <w:b/>
                <w:sz w:val="20"/>
                <w:szCs w:val="16"/>
              </w:rPr>
              <w:t>2020</w:t>
            </w:r>
          </w:p>
        </w:tc>
      </w:tr>
      <w:tr w:rsidR="00355BC7" w:rsidRPr="00AE40CF" w:rsidTr="00355B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1" w:type="pct"/>
            <w:noWrap/>
            <w:hideMark/>
          </w:tcPr>
          <w:p w:rsidR="00355BC7" w:rsidRPr="00752183" w:rsidRDefault="00355BC7">
            <w:pPr>
              <w:rPr>
                <w:rFonts w:ascii="Arial" w:eastAsiaTheme="minorEastAsia" w:hAnsi="Arial" w:cs="Arial"/>
                <w:b/>
                <w:sz w:val="20"/>
                <w:szCs w:val="16"/>
              </w:rPr>
            </w:pPr>
            <w:r w:rsidRPr="00752183">
              <w:rPr>
                <w:rFonts w:ascii="Arial" w:eastAsiaTheme="minorEastAsia" w:hAnsi="Arial" w:cs="Arial"/>
                <w:b/>
                <w:sz w:val="20"/>
                <w:szCs w:val="16"/>
              </w:rPr>
              <w:t>1. APROPIACION</w:t>
            </w:r>
          </w:p>
        </w:tc>
        <w:tc>
          <w:tcPr>
            <w:tcW w:w="349" w:type="pct"/>
            <w:hideMark/>
          </w:tcPr>
          <w:p w:rsidR="00355BC7" w:rsidRPr="00752183" w:rsidRDefault="00355BC7">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rPr>
            </w:pPr>
            <w:r w:rsidRPr="00752183">
              <w:rPr>
                <w:rFonts w:ascii="Arial" w:eastAsiaTheme="minorEastAsia" w:hAnsi="Arial" w:cs="Arial"/>
                <w:sz w:val="20"/>
                <w:szCs w:val="16"/>
              </w:rPr>
              <w:t>326</w:t>
            </w:r>
          </w:p>
        </w:tc>
        <w:tc>
          <w:tcPr>
            <w:tcW w:w="349" w:type="pct"/>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rPr>
            </w:pPr>
            <w:r w:rsidRPr="00752183">
              <w:rPr>
                <w:rFonts w:ascii="Arial" w:eastAsiaTheme="minorEastAsia" w:hAnsi="Arial" w:cs="Arial"/>
                <w:sz w:val="20"/>
                <w:szCs w:val="16"/>
              </w:rPr>
              <w:t>313</w:t>
            </w:r>
          </w:p>
        </w:tc>
        <w:tc>
          <w:tcPr>
            <w:tcW w:w="638" w:type="pct"/>
            <w:tcBorders>
              <w:right w:val="single" w:sz="8" w:space="0" w:color="4F81BD" w:themeColor="accent1"/>
            </w:tcBorders>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rPr>
            </w:pPr>
            <w:r w:rsidRPr="00752183">
              <w:rPr>
                <w:rFonts w:ascii="Arial" w:eastAsiaTheme="minorEastAsia" w:hAnsi="Arial" w:cs="Arial"/>
                <w:sz w:val="20"/>
                <w:szCs w:val="16"/>
              </w:rPr>
              <w:t>245</w:t>
            </w:r>
          </w:p>
        </w:tc>
        <w:tc>
          <w:tcPr>
            <w:tcW w:w="637" w:type="pct"/>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rPr>
            </w:pPr>
          </w:p>
        </w:tc>
        <w:tc>
          <w:tcPr>
            <w:tcW w:w="636" w:type="pct"/>
            <w:tcBorders>
              <w:right w:val="single" w:sz="8" w:space="0" w:color="4F81BD" w:themeColor="accent1"/>
            </w:tcBorders>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rPr>
            </w:pPr>
            <w:r w:rsidRPr="00752183">
              <w:rPr>
                <w:rFonts w:ascii="Arial" w:eastAsiaTheme="minorEastAsia" w:hAnsi="Arial" w:cs="Arial"/>
                <w:sz w:val="20"/>
                <w:szCs w:val="16"/>
              </w:rPr>
              <w:t>422</w:t>
            </w:r>
          </w:p>
        </w:tc>
      </w:tr>
      <w:tr w:rsidR="00355BC7" w:rsidRPr="00AE40CF" w:rsidTr="00355BC7">
        <w:trPr>
          <w:jc w:val="center"/>
        </w:trPr>
        <w:tc>
          <w:tcPr>
            <w:cnfStyle w:val="001000000000" w:firstRow="0" w:lastRow="0" w:firstColumn="1" w:lastColumn="0" w:oddVBand="0" w:evenVBand="0" w:oddHBand="0" w:evenHBand="0" w:firstRowFirstColumn="0" w:firstRowLastColumn="0" w:lastRowFirstColumn="0" w:lastRowLastColumn="0"/>
            <w:tcW w:w="2391" w:type="pct"/>
            <w:noWrap/>
            <w:hideMark/>
          </w:tcPr>
          <w:p w:rsidR="00355BC7" w:rsidRPr="00752183" w:rsidRDefault="00355BC7">
            <w:pPr>
              <w:rPr>
                <w:rFonts w:ascii="Arial" w:eastAsiaTheme="minorEastAsia" w:hAnsi="Arial" w:cs="Arial"/>
                <w:b/>
                <w:sz w:val="20"/>
                <w:szCs w:val="16"/>
                <w:lang w:val="es-CO"/>
              </w:rPr>
            </w:pPr>
            <w:r w:rsidRPr="00752183">
              <w:rPr>
                <w:rFonts w:ascii="Arial" w:eastAsiaTheme="minorEastAsia" w:hAnsi="Arial" w:cs="Arial"/>
                <w:b/>
                <w:sz w:val="20"/>
                <w:szCs w:val="16"/>
                <w:lang w:val="es-CO"/>
              </w:rPr>
              <w:t>2. COMPROMISOS</w:t>
            </w:r>
          </w:p>
        </w:tc>
        <w:tc>
          <w:tcPr>
            <w:tcW w:w="349" w:type="pct"/>
            <w:tcBorders>
              <w:top w:val="nil"/>
              <w:left w:val="nil"/>
              <w:bottom w:val="nil"/>
              <w:right w:val="nil"/>
            </w:tcBorders>
            <w:hideMark/>
          </w:tcPr>
          <w:p w:rsidR="00355BC7" w:rsidRPr="00752183" w:rsidRDefault="00355BC7">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242</w:t>
            </w:r>
          </w:p>
        </w:tc>
        <w:tc>
          <w:tcPr>
            <w:tcW w:w="349" w:type="pct"/>
            <w:tcBorders>
              <w:top w:val="nil"/>
              <w:left w:val="nil"/>
              <w:bottom w:val="nil"/>
              <w:right w:val="nil"/>
            </w:tcBorders>
            <w:hideMark/>
          </w:tcPr>
          <w:p w:rsidR="00355BC7" w:rsidRPr="00752183"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245</w:t>
            </w:r>
          </w:p>
        </w:tc>
        <w:tc>
          <w:tcPr>
            <w:tcW w:w="638" w:type="pct"/>
            <w:tcBorders>
              <w:top w:val="nil"/>
              <w:left w:val="nil"/>
              <w:bottom w:val="nil"/>
              <w:right w:val="single" w:sz="8" w:space="0" w:color="4F81BD" w:themeColor="accent1"/>
            </w:tcBorders>
            <w:hideMark/>
          </w:tcPr>
          <w:p w:rsidR="00355BC7" w:rsidRPr="00752183"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245</w:t>
            </w:r>
          </w:p>
        </w:tc>
        <w:tc>
          <w:tcPr>
            <w:tcW w:w="637" w:type="pct"/>
            <w:tcBorders>
              <w:top w:val="nil"/>
              <w:left w:val="nil"/>
              <w:bottom w:val="nil"/>
              <w:right w:val="nil"/>
            </w:tcBorders>
          </w:tcPr>
          <w:p w:rsidR="00355BC7" w:rsidRPr="00752183"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p>
        </w:tc>
        <w:tc>
          <w:tcPr>
            <w:tcW w:w="636" w:type="pct"/>
            <w:tcBorders>
              <w:top w:val="nil"/>
              <w:left w:val="nil"/>
              <w:bottom w:val="nil"/>
              <w:right w:val="single" w:sz="8" w:space="0" w:color="4F81BD" w:themeColor="accent1"/>
            </w:tcBorders>
            <w:hideMark/>
          </w:tcPr>
          <w:p w:rsidR="00355BC7" w:rsidRPr="00752183"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422</w:t>
            </w:r>
          </w:p>
        </w:tc>
      </w:tr>
      <w:tr w:rsidR="00355BC7" w:rsidRPr="00AE40CF" w:rsidTr="00355B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1" w:type="pct"/>
            <w:noWrap/>
            <w:hideMark/>
          </w:tcPr>
          <w:p w:rsidR="00355BC7" w:rsidRPr="00752183" w:rsidRDefault="00355BC7">
            <w:pPr>
              <w:rPr>
                <w:rFonts w:ascii="Arial" w:eastAsiaTheme="minorEastAsia" w:hAnsi="Arial" w:cs="Arial"/>
                <w:b/>
                <w:sz w:val="20"/>
                <w:szCs w:val="16"/>
                <w:lang w:val="es-CO"/>
              </w:rPr>
            </w:pPr>
            <w:r w:rsidRPr="00752183">
              <w:rPr>
                <w:rFonts w:ascii="Arial" w:eastAsiaTheme="minorEastAsia" w:hAnsi="Arial" w:cs="Arial"/>
                <w:b/>
                <w:sz w:val="20"/>
                <w:szCs w:val="16"/>
                <w:lang w:val="es-CO"/>
              </w:rPr>
              <w:t>3. PAGOS</w:t>
            </w:r>
          </w:p>
        </w:tc>
        <w:tc>
          <w:tcPr>
            <w:tcW w:w="349" w:type="pct"/>
            <w:hideMark/>
          </w:tcPr>
          <w:p w:rsidR="00355BC7" w:rsidRPr="00752183" w:rsidRDefault="00355BC7">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242</w:t>
            </w:r>
          </w:p>
        </w:tc>
        <w:tc>
          <w:tcPr>
            <w:tcW w:w="349" w:type="pct"/>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245</w:t>
            </w:r>
          </w:p>
        </w:tc>
        <w:tc>
          <w:tcPr>
            <w:tcW w:w="638" w:type="pct"/>
            <w:tcBorders>
              <w:right w:val="single" w:sz="8" w:space="0" w:color="4F81BD" w:themeColor="accent1"/>
            </w:tcBorders>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245</w:t>
            </w:r>
          </w:p>
        </w:tc>
        <w:tc>
          <w:tcPr>
            <w:tcW w:w="637" w:type="pct"/>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p>
        </w:tc>
        <w:tc>
          <w:tcPr>
            <w:tcW w:w="636" w:type="pct"/>
            <w:tcBorders>
              <w:right w:val="single" w:sz="8" w:space="0" w:color="4F81BD" w:themeColor="accent1"/>
            </w:tcBorders>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422</w:t>
            </w:r>
          </w:p>
        </w:tc>
      </w:tr>
      <w:tr w:rsidR="00355BC7" w:rsidRPr="00AE40CF" w:rsidTr="00355BC7">
        <w:trPr>
          <w:jc w:val="center"/>
        </w:trPr>
        <w:tc>
          <w:tcPr>
            <w:cnfStyle w:val="001000000000" w:firstRow="0" w:lastRow="0" w:firstColumn="1" w:lastColumn="0" w:oddVBand="0" w:evenVBand="0" w:oddHBand="0" w:evenHBand="0" w:firstRowFirstColumn="0" w:firstRowLastColumn="0" w:lastRowFirstColumn="0" w:lastRowLastColumn="0"/>
            <w:tcW w:w="2391" w:type="pct"/>
            <w:noWrap/>
            <w:hideMark/>
          </w:tcPr>
          <w:p w:rsidR="00355BC7" w:rsidRPr="00752183" w:rsidRDefault="00355BC7">
            <w:pPr>
              <w:rPr>
                <w:rFonts w:ascii="Arial" w:eastAsiaTheme="minorEastAsia" w:hAnsi="Arial" w:cs="Arial"/>
                <w:b/>
                <w:sz w:val="20"/>
                <w:szCs w:val="16"/>
                <w:lang w:val="es-CO"/>
              </w:rPr>
            </w:pPr>
            <w:r w:rsidRPr="00752183">
              <w:rPr>
                <w:rFonts w:ascii="Arial" w:eastAsiaTheme="minorEastAsia" w:hAnsi="Arial" w:cs="Arial"/>
                <w:b/>
                <w:sz w:val="20"/>
                <w:szCs w:val="16"/>
                <w:lang w:val="es-CO"/>
              </w:rPr>
              <w:t>4. ASIGNACION SGP</w:t>
            </w:r>
          </w:p>
        </w:tc>
        <w:tc>
          <w:tcPr>
            <w:tcW w:w="349" w:type="pct"/>
            <w:tcBorders>
              <w:top w:val="nil"/>
              <w:left w:val="nil"/>
              <w:bottom w:val="nil"/>
              <w:right w:val="nil"/>
            </w:tcBorders>
            <w:hideMark/>
          </w:tcPr>
          <w:p w:rsidR="00355BC7" w:rsidRPr="00752183" w:rsidRDefault="00355BC7">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2.115</w:t>
            </w:r>
          </w:p>
        </w:tc>
        <w:tc>
          <w:tcPr>
            <w:tcW w:w="349" w:type="pct"/>
            <w:tcBorders>
              <w:top w:val="nil"/>
              <w:left w:val="nil"/>
              <w:bottom w:val="nil"/>
              <w:right w:val="nil"/>
            </w:tcBorders>
            <w:hideMark/>
          </w:tcPr>
          <w:p w:rsidR="00355BC7" w:rsidRPr="00752183"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2.131</w:t>
            </w:r>
          </w:p>
        </w:tc>
        <w:tc>
          <w:tcPr>
            <w:tcW w:w="638" w:type="pct"/>
            <w:tcBorders>
              <w:top w:val="nil"/>
              <w:left w:val="nil"/>
              <w:bottom w:val="nil"/>
              <w:right w:val="single" w:sz="8" w:space="0" w:color="4F81BD" w:themeColor="accent1"/>
            </w:tcBorders>
            <w:hideMark/>
          </w:tcPr>
          <w:p w:rsidR="00355BC7" w:rsidRPr="00752183"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2.345</w:t>
            </w:r>
          </w:p>
        </w:tc>
        <w:tc>
          <w:tcPr>
            <w:tcW w:w="637" w:type="pct"/>
            <w:tcBorders>
              <w:top w:val="nil"/>
              <w:left w:val="nil"/>
              <w:bottom w:val="nil"/>
              <w:right w:val="nil"/>
            </w:tcBorders>
          </w:tcPr>
          <w:p w:rsidR="00355BC7" w:rsidRPr="00752183"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p>
        </w:tc>
        <w:tc>
          <w:tcPr>
            <w:tcW w:w="636" w:type="pct"/>
            <w:tcBorders>
              <w:top w:val="nil"/>
              <w:left w:val="nil"/>
              <w:bottom w:val="nil"/>
              <w:right w:val="single" w:sz="8" w:space="0" w:color="4F81BD" w:themeColor="accent1"/>
            </w:tcBorders>
            <w:hideMark/>
          </w:tcPr>
          <w:p w:rsidR="00355BC7" w:rsidRPr="00752183" w:rsidRDefault="00355BC7">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2810</w:t>
            </w:r>
          </w:p>
        </w:tc>
      </w:tr>
      <w:tr w:rsidR="00355BC7" w:rsidRPr="00AE40CF" w:rsidTr="00355BC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2391" w:type="pct"/>
            <w:noWrap/>
            <w:hideMark/>
          </w:tcPr>
          <w:p w:rsidR="00355BC7" w:rsidRPr="00752183" w:rsidRDefault="00355BC7">
            <w:pPr>
              <w:rPr>
                <w:rFonts w:ascii="Arial" w:eastAsiaTheme="minorEastAsia" w:hAnsi="Arial" w:cs="Arial"/>
                <w:b/>
                <w:sz w:val="20"/>
                <w:szCs w:val="16"/>
                <w:lang w:val="es-CO"/>
              </w:rPr>
            </w:pPr>
            <w:r w:rsidRPr="00752183">
              <w:rPr>
                <w:rFonts w:ascii="Arial" w:eastAsiaTheme="minorEastAsia" w:hAnsi="Arial" w:cs="Arial"/>
                <w:b/>
                <w:sz w:val="20"/>
                <w:szCs w:val="16"/>
                <w:lang w:val="es-CO"/>
              </w:rPr>
              <w:t>5. PORCENTAJE DE COMPROMISOS SUBSIDIO (2/4)</w:t>
            </w:r>
          </w:p>
        </w:tc>
        <w:tc>
          <w:tcPr>
            <w:tcW w:w="349" w:type="pct"/>
            <w:hideMark/>
          </w:tcPr>
          <w:p w:rsidR="00355BC7" w:rsidRPr="00752183" w:rsidRDefault="00355BC7">
            <w:pPr>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11 %</w:t>
            </w:r>
          </w:p>
        </w:tc>
        <w:tc>
          <w:tcPr>
            <w:tcW w:w="349" w:type="pct"/>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11 %</w:t>
            </w:r>
          </w:p>
        </w:tc>
        <w:tc>
          <w:tcPr>
            <w:tcW w:w="638" w:type="pct"/>
            <w:tcBorders>
              <w:right w:val="single" w:sz="8" w:space="0" w:color="4F81BD" w:themeColor="accent1"/>
            </w:tcBorders>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10 %</w:t>
            </w:r>
          </w:p>
        </w:tc>
        <w:tc>
          <w:tcPr>
            <w:tcW w:w="637" w:type="pct"/>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p>
        </w:tc>
        <w:tc>
          <w:tcPr>
            <w:tcW w:w="636" w:type="pct"/>
            <w:tcBorders>
              <w:right w:val="single" w:sz="8" w:space="0" w:color="4F81BD" w:themeColor="accent1"/>
            </w:tcBorders>
            <w:hideMark/>
          </w:tcPr>
          <w:p w:rsidR="00355BC7" w:rsidRPr="00752183" w:rsidRDefault="00355BC7">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6"/>
                <w:lang w:val="es-CO"/>
              </w:rPr>
            </w:pPr>
            <w:r w:rsidRPr="00752183">
              <w:rPr>
                <w:rFonts w:ascii="Arial" w:eastAsiaTheme="minorEastAsia" w:hAnsi="Arial" w:cs="Arial"/>
                <w:sz w:val="20"/>
                <w:szCs w:val="16"/>
                <w:lang w:val="es-CO"/>
              </w:rPr>
              <w:t>15</w:t>
            </w:r>
            <w:r w:rsidR="00AE40CF">
              <w:rPr>
                <w:rFonts w:ascii="Arial" w:eastAsiaTheme="minorEastAsia" w:hAnsi="Arial" w:cs="Arial"/>
                <w:sz w:val="20"/>
                <w:szCs w:val="16"/>
                <w:lang w:val="es-CO"/>
              </w:rPr>
              <w:t xml:space="preserve"> </w:t>
            </w:r>
            <w:r w:rsidRPr="00752183">
              <w:rPr>
                <w:rFonts w:ascii="Arial" w:eastAsiaTheme="minorEastAsia" w:hAnsi="Arial" w:cs="Arial"/>
                <w:sz w:val="20"/>
                <w:szCs w:val="16"/>
                <w:lang w:val="es-CO"/>
              </w:rPr>
              <w:t>%</w:t>
            </w:r>
          </w:p>
        </w:tc>
      </w:tr>
    </w:tbl>
    <w:p w:rsidR="00355BC7" w:rsidRDefault="00355BC7" w:rsidP="00355BC7">
      <w:pPr>
        <w:ind w:left="708" w:firstLine="708"/>
        <w:jc w:val="center"/>
        <w:rPr>
          <w:rFonts w:ascii="Arial" w:eastAsia="Calibri" w:hAnsi="Arial" w:cs="Arial"/>
          <w:sz w:val="16"/>
          <w:szCs w:val="16"/>
        </w:rPr>
      </w:pPr>
      <w:r>
        <w:rPr>
          <w:rFonts w:ascii="Arial" w:eastAsia="Calibri" w:hAnsi="Arial" w:cs="Arial"/>
          <w:sz w:val="16"/>
          <w:szCs w:val="16"/>
        </w:rPr>
        <w:t>Fuente: ejecuciones Presupuestales 2017, 2018, 2019</w:t>
      </w:r>
    </w:p>
    <w:p w:rsidR="00355BC7" w:rsidRDefault="00355BC7" w:rsidP="00355BC7">
      <w:pPr>
        <w:autoSpaceDE w:val="0"/>
        <w:autoSpaceDN w:val="0"/>
        <w:adjustRightInd w:val="0"/>
        <w:jc w:val="both"/>
        <w:rPr>
          <w:rFonts w:ascii="Arial" w:hAnsi="Arial" w:cs="Arial"/>
          <w:b/>
          <w:bCs/>
          <w:sz w:val="22"/>
          <w:szCs w:val="22"/>
        </w:rPr>
      </w:pPr>
    </w:p>
    <w:p w:rsidR="00355BC7" w:rsidRDefault="00355BC7" w:rsidP="00355BC7">
      <w:pPr>
        <w:autoSpaceDE w:val="0"/>
        <w:autoSpaceDN w:val="0"/>
        <w:adjustRightInd w:val="0"/>
        <w:jc w:val="both"/>
        <w:rPr>
          <w:rFonts w:ascii="Arial" w:eastAsia="Calibri" w:hAnsi="Arial" w:cs="Arial"/>
          <w:b/>
          <w:bCs/>
          <w:sz w:val="22"/>
          <w:szCs w:val="22"/>
          <w:lang w:val="es-CO" w:eastAsia="en-US"/>
        </w:rPr>
      </w:pPr>
      <w:r>
        <w:rPr>
          <w:rFonts w:ascii="Arial" w:hAnsi="Arial" w:cs="Arial"/>
          <w:b/>
          <w:bCs/>
          <w:sz w:val="22"/>
          <w:szCs w:val="22"/>
        </w:rPr>
        <w:t>Aseguramiento de la Prestación</w:t>
      </w:r>
      <w:r w:rsidR="00AE40CF">
        <w:rPr>
          <w:rFonts w:ascii="Arial" w:hAnsi="Arial" w:cs="Arial"/>
          <w:b/>
          <w:bCs/>
          <w:sz w:val="22"/>
          <w:szCs w:val="22"/>
        </w:rPr>
        <w:t>.</w:t>
      </w:r>
    </w:p>
    <w:p w:rsidR="00355BC7" w:rsidRDefault="00355BC7" w:rsidP="00355BC7">
      <w:pPr>
        <w:autoSpaceDE w:val="0"/>
        <w:autoSpaceDN w:val="0"/>
        <w:adjustRightInd w:val="0"/>
        <w:jc w:val="both"/>
        <w:rPr>
          <w:rFonts w:ascii="Arial" w:eastAsia="Calibri" w:hAnsi="Arial" w:cs="Arial"/>
          <w:b/>
          <w:sz w:val="22"/>
          <w:szCs w:val="22"/>
          <w:lang w:val="es-CO" w:eastAsia="en-US"/>
        </w:rPr>
      </w:pPr>
    </w:p>
    <w:p w:rsidR="00355BC7" w:rsidRDefault="00355BC7" w:rsidP="00355BC7">
      <w:pPr>
        <w:autoSpaceDE w:val="0"/>
        <w:autoSpaceDN w:val="0"/>
        <w:adjustRightInd w:val="0"/>
        <w:jc w:val="both"/>
        <w:rPr>
          <w:rFonts w:ascii="Arial" w:eastAsia="Calibri" w:hAnsi="Arial" w:cs="Arial"/>
          <w:b/>
          <w:sz w:val="22"/>
          <w:szCs w:val="22"/>
          <w:lang w:val="es-CO" w:eastAsia="en-US"/>
        </w:rPr>
      </w:pPr>
      <w:r>
        <w:rPr>
          <w:rFonts w:ascii="Arial" w:eastAsia="Calibri" w:hAnsi="Arial" w:cs="Arial"/>
          <w:b/>
          <w:sz w:val="22"/>
          <w:szCs w:val="22"/>
          <w:lang w:val="es-CO" w:eastAsia="en-US"/>
        </w:rPr>
        <w:t>FONDO DE SOLIDARIDAD Y REDISTRIBUCION DEL INGRESOS – FSRI.</w:t>
      </w:r>
    </w:p>
    <w:p w:rsidR="00355BC7" w:rsidRDefault="00355BC7" w:rsidP="00355BC7">
      <w:pPr>
        <w:autoSpaceDE w:val="0"/>
        <w:autoSpaceDN w:val="0"/>
        <w:adjustRightInd w:val="0"/>
        <w:jc w:val="both"/>
        <w:rPr>
          <w:rFonts w:ascii="Arial" w:eastAsia="Calibri" w:hAnsi="Arial" w:cs="Arial"/>
          <w:b/>
          <w:sz w:val="22"/>
          <w:szCs w:val="22"/>
          <w:lang w:val="es-CO" w:eastAsia="en-US"/>
        </w:rPr>
      </w:pPr>
    </w:p>
    <w:p w:rsidR="00355BC7" w:rsidRDefault="00355BC7" w:rsidP="00355BC7">
      <w:pPr>
        <w:jc w:val="both"/>
        <w:rPr>
          <w:rFonts w:ascii="Arial" w:hAnsi="Arial" w:cs="Arial"/>
          <w:sz w:val="22"/>
          <w:szCs w:val="22"/>
        </w:rPr>
      </w:pPr>
      <w:r>
        <w:rPr>
          <w:rFonts w:ascii="Arial" w:hAnsi="Arial" w:cs="Arial"/>
          <w:sz w:val="22"/>
          <w:szCs w:val="22"/>
        </w:rPr>
        <w:t>El artículo 89 de la Ley 142 de 1994 definió los criterios de solidaridad y redistribución del ingreso, así:</w:t>
      </w:r>
    </w:p>
    <w:p w:rsidR="00355BC7" w:rsidRDefault="00355BC7" w:rsidP="00355BC7">
      <w:pPr>
        <w:jc w:val="both"/>
        <w:rPr>
          <w:rFonts w:ascii="Arial" w:hAnsi="Arial" w:cs="Arial"/>
          <w:sz w:val="22"/>
          <w:szCs w:val="22"/>
        </w:rPr>
      </w:pPr>
    </w:p>
    <w:p w:rsidR="00355BC7" w:rsidRPr="00752183" w:rsidRDefault="00355BC7" w:rsidP="00355BC7">
      <w:pPr>
        <w:ind w:left="1416"/>
        <w:jc w:val="both"/>
        <w:rPr>
          <w:rFonts w:ascii="Arial" w:hAnsi="Arial" w:cs="Arial"/>
          <w:i/>
          <w:sz w:val="18"/>
          <w:szCs w:val="22"/>
        </w:rPr>
      </w:pPr>
      <w:r w:rsidRPr="00752183">
        <w:rPr>
          <w:rFonts w:ascii="Arial" w:hAnsi="Arial" w:cs="Arial"/>
          <w:i/>
          <w:sz w:val="18"/>
          <w:szCs w:val="22"/>
        </w:rPr>
        <w:t>“Las comisiones de regulación exigirán gradualmente a todos quienes prestan servicios públicos que, al cobrar las tarifas que estén en vigencia al promulgarse esta Ley, distingan en las facturas entre el valor que corresponde al servicio y el factor que se aplica para dar subsidios a los usuarios de los estratos 1 y 2. Igualmente, definirán las condiciones para aplicarlos al estrato 3.</w:t>
      </w:r>
    </w:p>
    <w:p w:rsidR="00355BC7" w:rsidRPr="00752183" w:rsidRDefault="00355BC7" w:rsidP="00355BC7">
      <w:pPr>
        <w:ind w:left="1416"/>
        <w:jc w:val="both"/>
        <w:rPr>
          <w:rFonts w:ascii="Arial" w:hAnsi="Arial" w:cs="Arial"/>
          <w:i/>
          <w:sz w:val="18"/>
          <w:szCs w:val="22"/>
        </w:rPr>
      </w:pPr>
    </w:p>
    <w:p w:rsidR="00355BC7" w:rsidRPr="00752183" w:rsidRDefault="00355BC7" w:rsidP="00355BC7">
      <w:pPr>
        <w:ind w:left="1416"/>
        <w:jc w:val="both"/>
        <w:rPr>
          <w:rFonts w:ascii="Arial" w:hAnsi="Arial" w:cs="Arial"/>
          <w:sz w:val="18"/>
          <w:szCs w:val="22"/>
        </w:rPr>
      </w:pPr>
      <w:r w:rsidRPr="00752183">
        <w:rPr>
          <w:rFonts w:ascii="Arial" w:hAnsi="Arial" w:cs="Arial"/>
          <w:i/>
          <w:sz w:val="18"/>
          <w:szCs w:val="22"/>
        </w:rPr>
        <w:t xml:space="preserve">Los concejos municipales están en la obligación de crear "fondos de solidaridad y redistribución de ingresos", para que al presupuesto del municipio se incorporen las transferencias que a dichos fondos deberán hacer las empresas de servicios públicos, según el servicio de que se trate, de acuerdo con lo establecido en el artículo </w:t>
      </w:r>
      <w:r w:rsidRPr="00752183">
        <w:rPr>
          <w:rFonts w:ascii="Arial" w:hAnsi="Arial" w:cs="Arial"/>
          <w:sz w:val="18"/>
          <w:szCs w:val="22"/>
        </w:rPr>
        <w:t>89</w:t>
      </w:r>
      <w:r w:rsidRPr="00752183">
        <w:rPr>
          <w:rFonts w:ascii="Arial" w:hAnsi="Arial" w:cs="Arial"/>
          <w:i/>
          <w:sz w:val="18"/>
          <w:szCs w:val="22"/>
        </w:rPr>
        <w:t>.2 de la presente Ley. Los recursos de dichos fondos serán destinados a dar subsidios a los usuarios de estratos 1, 2 y 3, como inversión social, en los términos de esta Ley. A igual procedimiento y sistema se sujetarán los fondos distritales y departamentales que deberán ser creados por las autoridades correspondientes en cada caso”.</w:t>
      </w:r>
    </w:p>
    <w:p w:rsidR="00355BC7" w:rsidRDefault="00355BC7" w:rsidP="00355BC7">
      <w:pPr>
        <w:jc w:val="both"/>
        <w:rPr>
          <w:rFonts w:ascii="Arial" w:hAnsi="Arial" w:cs="Arial"/>
          <w:i/>
          <w:sz w:val="22"/>
          <w:szCs w:val="22"/>
        </w:rPr>
      </w:pPr>
    </w:p>
    <w:p w:rsidR="00355BC7" w:rsidRDefault="00355BC7" w:rsidP="00355BC7">
      <w:pPr>
        <w:jc w:val="both"/>
        <w:rPr>
          <w:rFonts w:ascii="Arial" w:hAnsi="Arial" w:cs="Arial"/>
          <w:sz w:val="22"/>
          <w:szCs w:val="22"/>
        </w:rPr>
      </w:pPr>
      <w:r>
        <w:rPr>
          <w:rFonts w:ascii="Arial" w:hAnsi="Arial" w:cs="Arial"/>
          <w:sz w:val="22"/>
          <w:szCs w:val="22"/>
        </w:rPr>
        <w:t>Este artículo fue reglamentado a través del Decreto 565 de 1996, actualmente compilado en el Decreto No. 1077 de 2015, en donde se dispone la naturaleza, fuentes, finalidad y el procedimiento para la administración de los Fondos.</w:t>
      </w:r>
    </w:p>
    <w:p w:rsidR="00355BC7" w:rsidRDefault="00355BC7" w:rsidP="00355BC7">
      <w:pPr>
        <w:jc w:val="both"/>
        <w:rPr>
          <w:rFonts w:ascii="Arial" w:hAnsi="Arial" w:cs="Arial"/>
          <w:i/>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Por otra parte, los Fondos de Solidaridad de Redistribución de Ingresos son considerados fondos especiales, porque su función cumple con la definición del artículo 30 del Decreto 111 de 1996. En ese sentido deben ser incorporados en el presupuesto territorial. </w:t>
      </w:r>
    </w:p>
    <w:p w:rsidR="00355BC7" w:rsidRDefault="00355BC7" w:rsidP="00355BC7">
      <w:pPr>
        <w:jc w:val="both"/>
        <w:rPr>
          <w:rFonts w:ascii="Arial" w:hAnsi="Arial" w:cs="Arial"/>
          <w:i/>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El artículo 30 del Decreto 111 de 1996 establece lo siguiente: </w:t>
      </w:r>
      <w:r>
        <w:rPr>
          <w:rFonts w:ascii="Arial" w:hAnsi="Arial" w:cs="Arial"/>
          <w:i/>
          <w:sz w:val="22"/>
          <w:szCs w:val="22"/>
        </w:rPr>
        <w:t xml:space="preserve">“Constituyen fondos especiales en el orden nacional, los ingresos definidos en la ley para la prestación de un servicio público especifico, así como los pertenecientes a fondos sin personería jurídica creados por el legislador (Ley 225/95, artículo 27)”. </w:t>
      </w:r>
      <w:r>
        <w:rPr>
          <w:rFonts w:ascii="Arial" w:hAnsi="Arial" w:cs="Arial"/>
          <w:sz w:val="22"/>
          <w:szCs w:val="22"/>
        </w:rPr>
        <w:t>Por esa razón, los FSRI deben tener el tratamiento presupuestal que establece el artículo 11 de esta norma, presupuestándose como una cuenta del ingreso.</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En el Municipio de Mitú, el Fondo de Solidaridad y Redistribución del Ingreso - FSRI fue creado a través del Acuerdo Municipal No. 023 del 19 de noviembre de 2008.</w:t>
      </w:r>
    </w:p>
    <w:p w:rsidR="00355BC7" w:rsidRDefault="00355BC7" w:rsidP="00355BC7">
      <w:pPr>
        <w:jc w:val="both"/>
        <w:rPr>
          <w:rFonts w:ascii="Arial" w:hAnsi="Arial" w:cs="Arial"/>
          <w:sz w:val="22"/>
          <w:szCs w:val="22"/>
          <w:highlight w:val="yellow"/>
        </w:rPr>
      </w:pPr>
    </w:p>
    <w:p w:rsidR="00355BC7" w:rsidRDefault="00355BC7" w:rsidP="00355BC7">
      <w:pPr>
        <w:jc w:val="both"/>
        <w:rPr>
          <w:rFonts w:ascii="Arial" w:hAnsi="Arial" w:cs="Arial"/>
          <w:sz w:val="22"/>
          <w:szCs w:val="22"/>
        </w:rPr>
      </w:pPr>
      <w:r>
        <w:rPr>
          <w:rFonts w:ascii="Arial" w:hAnsi="Arial" w:cs="Arial"/>
          <w:sz w:val="22"/>
          <w:szCs w:val="22"/>
        </w:rPr>
        <w:lastRenderedPageBreak/>
        <w:t>Sin embargo, revisado el presupuesto de rentas y las ejecuciones presupuestales de ingresos al cierre de las vigencias fiscales 2017, 2018, 2019 y 2020, el FSRI no se maneja como una cuenta del ingreso como está establecido legalmente.</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En el presupuesto el movimiento del FSRI se visualiza en la ejecución de gastos de inversión, de la siguiente manera:</w:t>
      </w:r>
    </w:p>
    <w:p w:rsidR="00355BC7" w:rsidRDefault="00355BC7" w:rsidP="00355BC7">
      <w:pPr>
        <w:jc w:val="both"/>
        <w:rPr>
          <w:rFonts w:ascii="Arial" w:hAnsi="Arial" w:cs="Arial"/>
          <w:sz w:val="22"/>
          <w:szCs w:val="22"/>
          <w:highlight w:val="cyan"/>
        </w:rPr>
      </w:pPr>
    </w:p>
    <w:p w:rsidR="00355BC7" w:rsidRDefault="00355BC7" w:rsidP="00355BC7">
      <w:pPr>
        <w:jc w:val="center"/>
        <w:rPr>
          <w:rFonts w:ascii="Arial" w:hAnsi="Arial" w:cs="Arial"/>
          <w:sz w:val="22"/>
          <w:szCs w:val="22"/>
          <w:highlight w:val="cyan"/>
        </w:rPr>
      </w:pPr>
      <w:r>
        <w:rPr>
          <w:rFonts w:ascii="Arial" w:hAnsi="Arial" w:cs="Arial"/>
          <w:noProof/>
          <w:sz w:val="22"/>
          <w:szCs w:val="22"/>
          <w:lang w:val="es-CO" w:eastAsia="es-CO"/>
        </w:rPr>
        <w:drawing>
          <wp:inline distT="0" distB="0" distL="0" distR="0">
            <wp:extent cx="3677285" cy="10795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7285" cy="1079500"/>
                    </a:xfrm>
                    <a:prstGeom prst="rect">
                      <a:avLst/>
                    </a:prstGeom>
                    <a:noFill/>
                    <a:ln>
                      <a:noFill/>
                    </a:ln>
                  </pic:spPr>
                </pic:pic>
              </a:graphicData>
            </a:graphic>
          </wp:inline>
        </w:drawing>
      </w:r>
    </w:p>
    <w:p w:rsidR="00355BC7" w:rsidRDefault="00355BC7" w:rsidP="00355BC7">
      <w:pPr>
        <w:jc w:val="both"/>
        <w:rPr>
          <w:rFonts w:ascii="Arial" w:hAnsi="Arial" w:cs="Arial"/>
          <w:sz w:val="22"/>
          <w:szCs w:val="22"/>
          <w:highlight w:val="cyan"/>
        </w:rPr>
      </w:pPr>
    </w:p>
    <w:p w:rsidR="00355BC7" w:rsidRDefault="00355BC7" w:rsidP="00355BC7">
      <w:pPr>
        <w:jc w:val="both"/>
        <w:rPr>
          <w:rFonts w:ascii="Arial" w:hAnsi="Arial" w:cs="Arial"/>
          <w:sz w:val="22"/>
          <w:szCs w:val="22"/>
        </w:rPr>
      </w:pPr>
      <w:r>
        <w:rPr>
          <w:rFonts w:ascii="Arial" w:hAnsi="Arial" w:cs="Arial"/>
          <w:sz w:val="22"/>
          <w:szCs w:val="22"/>
        </w:rPr>
        <w:t>Ahora bien, con respecto al manejo del FSRI, el Municipio manifestó que se maneja de la siguiente manera:</w:t>
      </w:r>
    </w:p>
    <w:p w:rsidR="00355BC7" w:rsidRDefault="00CF44D2" w:rsidP="00355BC7">
      <w:pPr>
        <w:jc w:val="both"/>
        <w:rPr>
          <w:rFonts w:ascii="Arial" w:hAnsi="Arial" w:cs="Arial"/>
          <w:sz w:val="22"/>
          <w:szCs w:val="22"/>
        </w:rPr>
      </w:pPr>
      <w:r>
        <w:rPr>
          <w:rFonts w:ascii="Arial" w:hAnsi="Arial" w:cs="Arial"/>
          <w:noProof/>
          <w:sz w:val="22"/>
          <w:szCs w:val="22"/>
          <w:lang w:val="es-CO" w:eastAsia="es-CO"/>
        </w:rPr>
      </w:r>
      <w:r>
        <w:rPr>
          <w:rFonts w:ascii="Arial" w:hAnsi="Arial" w:cs="Arial"/>
          <w:noProof/>
          <w:sz w:val="22"/>
          <w:szCs w:val="22"/>
          <w:lang w:val="es-CO" w:eastAsia="es-CO"/>
        </w:rPr>
        <w:pict>
          <v:shape id="Cinta perforada 71" o:spid="_x0000_s1048" type="#_x0000_t122" style="width:398.7pt;height:283.65pt;visibility:visible;mso-wrap-style:square;mso-left-percent:-10001;mso-top-percent:-10001;mso-position-horizontal:absolute;mso-position-horizontal-relative:char;mso-position-vertical:absolute;mso-position-vertical-relative:line;mso-left-percent:-10001;mso-top-percent:-10001;v-text-anchor:middle" fillcolor="#8064a2 [3207]" strokecolor="#f2f2f2 [3041]" strokeweight="3pt">
            <v:shadow on="t" color="#3f3151 [1607]" opacity=".5" offset="1pt"/>
            <v:textbox style="mso-next-textbox:#Cinta perforada 71">
              <w:txbxContent>
                <w:p w:rsidR="002B49D6" w:rsidRDefault="002B49D6" w:rsidP="00355BC7">
                  <w:pPr>
                    <w:jc w:val="center"/>
                    <w:rPr>
                      <w:rFonts w:ascii="Arial" w:hAnsi="Arial" w:cs="Arial"/>
                      <w:b/>
                      <w:i/>
                      <w:color w:val="FFFFFF" w:themeColor="background1"/>
                      <w:sz w:val="16"/>
                      <w:szCs w:val="16"/>
                      <w:lang w:val="es-CO"/>
                    </w:rPr>
                  </w:pPr>
                  <w:r>
                    <w:rPr>
                      <w:rFonts w:ascii="Arial" w:hAnsi="Arial" w:cs="Arial"/>
                      <w:b/>
                      <w:i/>
                      <w:color w:val="FFFFFF" w:themeColor="background1"/>
                      <w:sz w:val="16"/>
                      <w:szCs w:val="16"/>
                      <w:lang w:val="es-CO"/>
                    </w:rPr>
                    <w:t xml:space="preserve">RESUMEN PROCEDIMEINTO FONDO DE SOLIDARIDAD Y REDISATRIBUCION DEL INGRESO </w:t>
                  </w:r>
                </w:p>
                <w:p w:rsidR="002B49D6" w:rsidRDefault="002B49D6" w:rsidP="00355BC7">
                  <w:pPr>
                    <w:jc w:val="center"/>
                    <w:rPr>
                      <w:rFonts w:ascii="Arial" w:hAnsi="Arial" w:cs="Arial"/>
                      <w:i/>
                      <w:color w:val="FFFFFF" w:themeColor="background1"/>
                      <w:sz w:val="16"/>
                      <w:szCs w:val="16"/>
                      <w:lang w:val="es-CO"/>
                    </w:rPr>
                  </w:pPr>
                </w:p>
                <w:p w:rsidR="002B49D6" w:rsidRDefault="002B49D6" w:rsidP="00355BC7">
                  <w:pPr>
                    <w:jc w:val="both"/>
                    <w:rPr>
                      <w:rFonts w:ascii="Arial" w:eastAsia="Times New Roman" w:hAnsi="Arial" w:cs="Arial"/>
                      <w:i/>
                      <w:color w:val="FFFFFF" w:themeColor="background1"/>
                      <w:sz w:val="16"/>
                      <w:szCs w:val="16"/>
                      <w:lang w:val="es-CO" w:eastAsia="es-CO"/>
                    </w:rPr>
                  </w:pPr>
                  <w:r>
                    <w:rPr>
                      <w:rFonts w:ascii="Arial" w:eastAsia="Times New Roman" w:hAnsi="Arial" w:cs="Arial"/>
                      <w:i/>
                      <w:color w:val="FFFFFF" w:themeColor="background1"/>
                      <w:sz w:val="16"/>
                      <w:szCs w:val="16"/>
                      <w:lang w:val="es-CO" w:eastAsia="es-CO"/>
                    </w:rPr>
                    <w:t>“Que revisados los archivos correspondientes se  verifica que del 100% de SGP   Agua Potable y Saneamiento Básico que el Ministerio de Vivienda Ciudad y Territorio le asigna a este Municipio, el 15 % correspondiente  a Subsidios  se recibe en la cuenta maestra No. 48420300506-4 de manera mensual,   para luego ser  transferidos a la Unidad de Servicios Públicos,  una vez el Jefe de la Unidad solicita mediante cuenta de cobro  que se le transfieran   los Subsidios de</w:t>
                  </w:r>
                  <w:r>
                    <w:rPr>
                      <w:rFonts w:ascii="Arial" w:eastAsia="Times New Roman" w:hAnsi="Arial" w:cs="Arial"/>
                      <w:color w:val="FFFFFF" w:themeColor="background1"/>
                      <w:sz w:val="16"/>
                      <w:szCs w:val="16"/>
                      <w:lang w:val="es-CO" w:eastAsia="es-CO"/>
                    </w:rPr>
                    <w:t xml:space="preserve"> </w:t>
                  </w:r>
                  <w:r>
                    <w:rPr>
                      <w:rFonts w:ascii="Arial" w:eastAsia="Times New Roman" w:hAnsi="Arial" w:cs="Arial"/>
                      <w:i/>
                      <w:color w:val="FFFFFF" w:themeColor="background1"/>
                      <w:sz w:val="16"/>
                      <w:szCs w:val="16"/>
                      <w:lang w:val="es-CO" w:eastAsia="es-CO"/>
                    </w:rPr>
                    <w:t>Acueducto, alcantarillado y aseo de los estratos 1,2 y 3   de toda la población y de acuerdo a la facturación; que posteriormente se genera el CDP, Resolución, RP Obligación, dónde  luego   pasa al área de  Tesorería para que genere la transferencia a la cuenta bancaria   08420700026-3    de la unidad de servicios.  Al Municipio   ser el prestador directo del servicio, con estos recursos adquiere bienes y servicios tales como la compra de combustible, químicos y otros   para la prestación de los servicios públicos domiciliarios.</w:t>
                  </w:r>
                </w:p>
                <w:p w:rsidR="002B49D6" w:rsidRDefault="002B49D6" w:rsidP="00355BC7">
                  <w:pPr>
                    <w:jc w:val="both"/>
                    <w:rPr>
                      <w:rFonts w:ascii="Calibri" w:eastAsia="Times New Roman" w:hAnsi="Calibri" w:cs="Calibri"/>
                      <w:color w:val="FFFFFF" w:themeColor="background1"/>
                      <w:sz w:val="16"/>
                      <w:szCs w:val="16"/>
                      <w:lang w:val="es-CO" w:eastAsia="es-CO"/>
                    </w:rPr>
                  </w:pPr>
                </w:p>
                <w:p w:rsidR="002B49D6" w:rsidRDefault="002B49D6" w:rsidP="00355BC7">
                  <w:pPr>
                    <w:jc w:val="both"/>
                    <w:rPr>
                      <w:rFonts w:ascii="Arial" w:hAnsi="Arial" w:cs="Arial"/>
                      <w:i/>
                      <w:color w:val="FFFFFF" w:themeColor="background1"/>
                      <w:sz w:val="16"/>
                      <w:szCs w:val="16"/>
                      <w:lang w:val="es-CO"/>
                    </w:rPr>
                  </w:pPr>
                  <w:r>
                    <w:rPr>
                      <w:rFonts w:ascii="Arial" w:hAnsi="Arial" w:cs="Arial"/>
                      <w:i/>
                      <w:color w:val="FFFFFF" w:themeColor="background1"/>
                      <w:sz w:val="16"/>
                      <w:szCs w:val="16"/>
                      <w:lang w:val="es-CO"/>
                    </w:rPr>
                    <w:t>Que Se transfiere menos del 15% debido a que la Transferencia se realiza según la solicitud hecha por el Jefe de la Unidad de acuerdo con la facturación generada de los estratos 1.2. y 3.”</w:t>
                  </w:r>
                </w:p>
                <w:p w:rsidR="002B49D6" w:rsidRDefault="002B49D6" w:rsidP="00355BC7">
                  <w:pPr>
                    <w:jc w:val="center"/>
                    <w:rPr>
                      <w:color w:val="FFFFFF" w:themeColor="background1"/>
                      <w:lang w:val="es-CO"/>
                    </w:rPr>
                  </w:pPr>
                </w:p>
                <w:p w:rsidR="002B49D6" w:rsidRDefault="002B49D6" w:rsidP="00355BC7">
                  <w:pPr>
                    <w:jc w:val="center"/>
                    <w:rPr>
                      <w:i/>
                      <w:color w:val="FFFFFF" w:themeColor="background1"/>
                      <w:lang w:val="es-CO"/>
                    </w:rPr>
                  </w:pPr>
                  <w:r>
                    <w:rPr>
                      <w:i/>
                      <w:color w:val="FFFFFF" w:themeColor="background1"/>
                      <w:lang w:val="es-CO"/>
                    </w:rPr>
                    <w:t>ROSALBINA MONJE RODRIGUEZ</w:t>
                  </w:r>
                </w:p>
                <w:p w:rsidR="002B49D6" w:rsidRDefault="002B49D6" w:rsidP="00355BC7">
                  <w:pPr>
                    <w:jc w:val="center"/>
                    <w:rPr>
                      <w:color w:val="FFFFFF" w:themeColor="background1"/>
                    </w:rPr>
                  </w:pPr>
                  <w:r>
                    <w:rPr>
                      <w:i/>
                      <w:color w:val="FFFFFF" w:themeColor="background1"/>
                      <w:lang w:val="es-CO"/>
                    </w:rPr>
                    <w:t>TECNICA DE PRESUPUESTO MUNICIPAL</w:t>
                  </w:r>
                </w:p>
                <w:p w:rsidR="002B49D6" w:rsidRDefault="002B49D6" w:rsidP="00355BC7">
                  <w:pPr>
                    <w:rPr>
                      <w:color w:val="FFFFFF" w:themeColor="background1"/>
                    </w:rPr>
                  </w:pPr>
                </w:p>
              </w:txbxContent>
            </v:textbox>
            <w10:wrap type="none"/>
            <w10:anchorlock/>
          </v:shape>
        </w:pic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Analizada la manera como el Municipio de Mitú presenta en el presupuesto se concluye que la Entidad no estaba dando cumplimiento a las disposiciones vigentes sobre el manejo y administración del FSRI, toda vez que en el presupuesto los recursos que financian los subsidios no se incorporan como un fondo especial, sino que presupuesta en apropiaciones el rubro </w:t>
      </w:r>
      <w:r>
        <w:rPr>
          <w:rFonts w:ascii="Arial" w:hAnsi="Arial" w:cs="Arial"/>
          <w:b/>
          <w:bCs/>
          <w:sz w:val="22"/>
          <w:szCs w:val="22"/>
        </w:rPr>
        <w:t>“</w:t>
      </w:r>
      <w:r>
        <w:rPr>
          <w:rFonts w:ascii="Arial" w:hAnsi="Arial" w:cs="Arial"/>
          <w:i/>
          <w:iCs/>
          <w:sz w:val="22"/>
          <w:szCs w:val="22"/>
        </w:rPr>
        <w:t>15% subsidio</w:t>
      </w:r>
      <w:r>
        <w:rPr>
          <w:rFonts w:ascii="Arial" w:hAnsi="Arial" w:cs="Arial"/>
          <w:sz w:val="22"/>
          <w:szCs w:val="22"/>
        </w:rPr>
        <w:t>” cuya fuente es la Participación de Agua Potable y Saneamiento Básico.</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color w:val="000000" w:themeColor="text1"/>
          <w:sz w:val="22"/>
          <w:szCs w:val="22"/>
        </w:rPr>
      </w:pPr>
      <w:r>
        <w:rPr>
          <w:rFonts w:ascii="Arial" w:hAnsi="Arial" w:cs="Arial"/>
          <w:color w:val="000000" w:themeColor="text1"/>
          <w:sz w:val="22"/>
          <w:szCs w:val="22"/>
        </w:rPr>
        <w:t xml:space="preserve">El Fondo se financia únicamente con los recursos de la Participación de APSB del SGP. El Municipio no recauda la contribución o aporte solidarios, pues, según lo manifestado por la Entidad Territorial, esto se debe a que no cuenta con estratos 5 y 6, así como tampoco con establecimientos comerciales e industriales a quien cobrar ese impuesto. </w:t>
      </w:r>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color w:val="000000" w:themeColor="text1"/>
          <w:sz w:val="22"/>
          <w:szCs w:val="22"/>
        </w:rPr>
      </w:pPr>
      <w:r>
        <w:rPr>
          <w:rFonts w:ascii="Arial" w:hAnsi="Arial" w:cs="Arial"/>
          <w:color w:val="000000" w:themeColor="text1"/>
          <w:sz w:val="22"/>
          <w:szCs w:val="22"/>
        </w:rPr>
        <w:t xml:space="preserve">Sin embargo, teniendo en cuenta que la estratificación del Municipio no se actualiza desde 2001, el argumento de no contar con suscriptores de estratos 5 y 6 y de establecimientos comerciales e industriales, podría perder consistencia. En consecuencia, es recomendable, adelantar el ejercicio del proceso de actualización de la estratificación para identificar la posible existencia de esa clase de usuarios.  </w:t>
      </w:r>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color w:val="000000" w:themeColor="text1"/>
          <w:sz w:val="22"/>
          <w:szCs w:val="22"/>
        </w:rPr>
      </w:pPr>
      <w:r>
        <w:rPr>
          <w:rFonts w:ascii="Arial" w:hAnsi="Arial" w:cs="Arial"/>
          <w:color w:val="000000" w:themeColor="text1"/>
          <w:sz w:val="22"/>
          <w:szCs w:val="22"/>
        </w:rPr>
        <w:t xml:space="preserve">En reunión realizada en fecha 1 de junio de 2020 con el equipo de la Secretaría de Obras Públicas, que es la dependencia responsable de manejar el tema de los Servicios Públicos Domiciliarios de Acueducto, Alcantarillado y Aseo, a través de la Unidad de Servicios Públicos  se manifestó que, existe una cuenta bancaria, constituida para el recaudo de los recursos del FSRI, pero esa no es realmente la que se utiliza para el recaudo o para transferir los recursos que corresponden a subsidios al FSRI, el Municipio tiene otra cuenta la No. </w:t>
      </w:r>
      <w:r>
        <w:rPr>
          <w:rFonts w:ascii="Arial" w:eastAsia="Times New Roman" w:hAnsi="Arial" w:cs="Arial"/>
          <w:color w:val="000000" w:themeColor="text1"/>
          <w:sz w:val="22"/>
          <w:szCs w:val="22"/>
          <w:lang w:val="es-CO" w:eastAsia="es-CO"/>
        </w:rPr>
        <w:t>08420700026-3</w:t>
      </w:r>
      <w:r>
        <w:rPr>
          <w:rFonts w:ascii="Arial" w:eastAsia="Times New Roman" w:hAnsi="Arial" w:cs="Arial"/>
          <w:i/>
          <w:iCs/>
          <w:color w:val="000000" w:themeColor="text1"/>
          <w:sz w:val="22"/>
          <w:szCs w:val="22"/>
          <w:lang w:val="es-CO" w:eastAsia="es-CO"/>
        </w:rPr>
        <w:t xml:space="preserve"> </w:t>
      </w:r>
      <w:r>
        <w:rPr>
          <w:rFonts w:ascii="Arial" w:eastAsia="Times New Roman" w:hAnsi="Arial" w:cs="Arial"/>
          <w:iCs/>
          <w:color w:val="000000" w:themeColor="text1"/>
          <w:sz w:val="22"/>
          <w:szCs w:val="22"/>
          <w:lang w:val="es-CO" w:eastAsia="es-CO"/>
        </w:rPr>
        <w:t>del Banco Agrario</w:t>
      </w:r>
      <w:r>
        <w:rPr>
          <w:rFonts w:ascii="Arial" w:hAnsi="Arial" w:cs="Arial"/>
          <w:color w:val="000000" w:themeColor="text1"/>
          <w:sz w:val="22"/>
          <w:szCs w:val="22"/>
        </w:rPr>
        <w:t>, que es la que se usa también para el recaudo de la facturación por concepto de tarifas de los servicios públicos que pagan los usuarios.</w:t>
      </w:r>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color w:val="000000" w:themeColor="text1"/>
          <w:sz w:val="22"/>
          <w:szCs w:val="22"/>
        </w:rPr>
      </w:pPr>
      <w:r>
        <w:rPr>
          <w:rFonts w:ascii="Arial" w:hAnsi="Arial" w:cs="Arial"/>
          <w:color w:val="000000" w:themeColor="text1"/>
          <w:sz w:val="22"/>
          <w:szCs w:val="22"/>
        </w:rPr>
        <w:t>No obstante, contrario a lo establecido en el artículo 18 de la Ley 715</w:t>
      </w:r>
      <w:r>
        <w:rPr>
          <w:rFonts w:ascii="Arial" w:hAnsi="Arial" w:cs="Arial"/>
          <w:color w:val="000000" w:themeColor="text1"/>
          <w:sz w:val="22"/>
          <w:szCs w:val="22"/>
          <w:vertAlign w:val="superscript"/>
        </w:rPr>
        <w:footnoteReference w:id="8"/>
      </w:r>
      <w:r>
        <w:rPr>
          <w:rFonts w:ascii="Arial" w:hAnsi="Arial" w:cs="Arial"/>
          <w:color w:val="000000" w:themeColor="text1"/>
          <w:sz w:val="22"/>
          <w:szCs w:val="22"/>
        </w:rPr>
        <w:t xml:space="preserve"> de 2001, la Entidad Territorial realiza unidad de caja con los recursos de la Participación de Agua Potable y Saneamiento Básico del Sistema General de Participaciones-SGP. </w:t>
      </w:r>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sz w:val="22"/>
          <w:szCs w:val="22"/>
        </w:rPr>
      </w:pPr>
      <w:r>
        <w:rPr>
          <w:rFonts w:ascii="Arial" w:hAnsi="Arial" w:cs="Arial"/>
          <w:sz w:val="22"/>
          <w:szCs w:val="22"/>
        </w:rPr>
        <w:t>Por otra parte, el Municipio remitió información contable, en donde se pudo verificar, que, en la Contabilidad Municipal, no se encuentran registradas las cuentas en forma independiente por cada servicio prestado según lo dispone el artículo 6.4 de la Ley 142 de 1994.</w:t>
      </w:r>
    </w:p>
    <w:p w:rsidR="00355BC7" w:rsidRDefault="00355BC7" w:rsidP="00355BC7">
      <w:pPr>
        <w:autoSpaceDE w:val="0"/>
        <w:autoSpaceDN w:val="0"/>
        <w:adjustRightInd w:val="0"/>
        <w:rPr>
          <w:rFonts w:ascii="Arial" w:eastAsia="Calibri" w:hAnsi="Arial" w:cs="Arial"/>
          <w:b/>
          <w:color w:val="000000"/>
          <w:sz w:val="22"/>
          <w:szCs w:val="22"/>
          <w:lang w:eastAsia="en-US"/>
        </w:rPr>
      </w:pPr>
    </w:p>
    <w:p w:rsidR="00355BC7" w:rsidRDefault="00355BC7" w:rsidP="00355BC7">
      <w:pPr>
        <w:autoSpaceDE w:val="0"/>
        <w:autoSpaceDN w:val="0"/>
        <w:adjustRightInd w:val="0"/>
        <w:jc w:val="both"/>
        <w:rPr>
          <w:rFonts w:ascii="Arial" w:eastAsia="Calibri" w:hAnsi="Arial" w:cs="Arial"/>
          <w:b/>
          <w:bCs/>
          <w:sz w:val="22"/>
          <w:szCs w:val="22"/>
          <w:lang w:val="es-CO" w:eastAsia="en-US"/>
        </w:rPr>
      </w:pPr>
      <w:r>
        <w:rPr>
          <w:rFonts w:ascii="Arial" w:eastAsia="Calibri" w:hAnsi="Arial" w:cs="Arial"/>
          <w:b/>
          <w:bCs/>
          <w:sz w:val="22"/>
          <w:szCs w:val="22"/>
          <w:lang w:val="es-CO" w:eastAsia="en-US"/>
        </w:rPr>
        <w:t>ESTRATIFICACION.</w:t>
      </w:r>
    </w:p>
    <w:p w:rsidR="00355BC7" w:rsidRDefault="00355BC7" w:rsidP="00355BC7">
      <w:pPr>
        <w:autoSpaceDE w:val="0"/>
        <w:autoSpaceDN w:val="0"/>
        <w:adjustRightInd w:val="0"/>
        <w:jc w:val="both"/>
        <w:rPr>
          <w:rFonts w:ascii="Arial" w:eastAsia="Calibri" w:hAnsi="Arial" w:cs="Arial"/>
          <w:b/>
          <w:sz w:val="22"/>
          <w:szCs w:val="22"/>
          <w:lang w:val="es-CO" w:eastAsia="en-US"/>
        </w:rPr>
      </w:pPr>
    </w:p>
    <w:p w:rsidR="00355BC7" w:rsidRDefault="00355BC7" w:rsidP="00355BC7">
      <w:pPr>
        <w:jc w:val="both"/>
        <w:rPr>
          <w:rFonts w:ascii="Arial" w:hAnsi="Arial" w:cs="Arial"/>
          <w:sz w:val="22"/>
          <w:szCs w:val="22"/>
        </w:rPr>
      </w:pPr>
      <w:r>
        <w:rPr>
          <w:rFonts w:ascii="Arial" w:hAnsi="Arial" w:cs="Arial"/>
          <w:sz w:val="22"/>
          <w:szCs w:val="22"/>
        </w:rPr>
        <w:t>El artículo 101 de la Ley 142 de 1994 establece a los municipios la obligación de estratificar los predios de uso residencial y mantener actualizada dicha estratificación con ayuda del Comité Permanente de Estratificación Socio Económica.</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Por otra parte, la Ley 732 de 2002 establece plazos para realizar, adoptar y aplicar las estratificaciones socioeconómicas urbanas y rurales en el territorio nacional y se precisan los mecanismos de ejecución, control y atención de reclamos por el estrato asignado.</w:t>
      </w:r>
    </w:p>
    <w:p w:rsidR="00355BC7" w:rsidRDefault="00355BC7" w:rsidP="00355BC7">
      <w:pPr>
        <w:spacing w:before="180" w:after="180" w:line="264" w:lineRule="auto"/>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De igual manera el Decreto No. 0007 de 2010</w:t>
      </w:r>
      <w:r>
        <w:rPr>
          <w:rFonts w:ascii="Arial" w:eastAsia="Times New Roman" w:hAnsi="Arial" w:cs="Arial"/>
          <w:sz w:val="22"/>
          <w:szCs w:val="22"/>
          <w:vertAlign w:val="superscript"/>
          <w:lang w:val="es-CO" w:eastAsia="en-US"/>
        </w:rPr>
        <w:footnoteReference w:id="9"/>
      </w:r>
      <w:r>
        <w:rPr>
          <w:rFonts w:ascii="Arial" w:eastAsia="Times New Roman" w:hAnsi="Arial" w:cs="Arial"/>
          <w:sz w:val="22"/>
          <w:szCs w:val="22"/>
          <w:lang w:val="es-CO" w:eastAsia="en-US"/>
        </w:rPr>
        <w:t xml:space="preserve">, dispone la determinación del costo del servicio de estratificación y del monto del concurso económico, monto, máximo de la tasa, fecha y forma de pago de la contribución y algunas definiciones, entre las cuales se destaca </w:t>
      </w:r>
      <w:r>
        <w:rPr>
          <w:rFonts w:ascii="Arial" w:eastAsia="Times New Roman" w:hAnsi="Arial" w:cs="Arial"/>
          <w:sz w:val="22"/>
          <w:szCs w:val="22"/>
          <w:lang w:val="es-CO" w:eastAsia="en-US"/>
        </w:rPr>
        <w:lastRenderedPageBreak/>
        <w:t>la relacionada con “</w:t>
      </w:r>
      <w:r>
        <w:rPr>
          <w:rFonts w:ascii="Arial" w:eastAsia="Times New Roman" w:hAnsi="Arial" w:cs="Arial"/>
          <w:b/>
          <w:sz w:val="22"/>
          <w:szCs w:val="22"/>
          <w:lang w:val="es-CO" w:eastAsia="en-US"/>
        </w:rPr>
        <w:t>Actualización de la Estratificación”</w:t>
      </w:r>
      <w:r>
        <w:rPr>
          <w:rFonts w:ascii="Arial" w:eastAsia="Times New Roman" w:hAnsi="Arial" w:cs="Arial"/>
          <w:sz w:val="22"/>
          <w:szCs w:val="22"/>
          <w:vertAlign w:val="superscript"/>
          <w:lang w:val="es-CO" w:eastAsia="en-US"/>
        </w:rPr>
        <w:footnoteReference w:id="10"/>
      </w:r>
      <w:r>
        <w:rPr>
          <w:rFonts w:ascii="Arial" w:eastAsia="Times New Roman" w:hAnsi="Arial" w:cs="Arial"/>
          <w:sz w:val="22"/>
          <w:szCs w:val="22"/>
          <w:lang w:val="es-CO" w:eastAsia="en-US"/>
        </w:rPr>
        <w:t xml:space="preserve"> que invitan a las entidades territoriales a la actualización permanente de la estratificación.</w:t>
      </w:r>
    </w:p>
    <w:p w:rsidR="00355BC7" w:rsidRDefault="00355BC7" w:rsidP="00355BC7">
      <w:pPr>
        <w:jc w:val="both"/>
        <w:rPr>
          <w:rFonts w:ascii="Arial" w:hAnsi="Arial" w:cs="Arial"/>
          <w:sz w:val="22"/>
          <w:szCs w:val="22"/>
        </w:rPr>
      </w:pPr>
      <w:r>
        <w:rPr>
          <w:rFonts w:ascii="Arial" w:hAnsi="Arial" w:cs="Arial"/>
          <w:sz w:val="22"/>
          <w:szCs w:val="22"/>
        </w:rPr>
        <w:t xml:space="preserve">El Municipio de Mitú expidió el Decreto 123 del 16 de agosto de 2001, por medio del cual se adoptó los resultados de la estratificación socioeconómica respecto a los Servicios Públicos de Acueducto, Alcantarillado y Aseo del Municipio de Mitú. El Decreto indica en sus artículos 1 y 2, lo siguiente: </w:t>
      </w:r>
    </w:p>
    <w:p w:rsidR="00355BC7" w:rsidRDefault="00355BC7" w:rsidP="00355BC7">
      <w:pPr>
        <w:jc w:val="both"/>
        <w:rPr>
          <w:rFonts w:ascii="Arial" w:hAnsi="Arial" w:cs="Arial"/>
          <w:color w:val="000000" w:themeColor="text1"/>
          <w:sz w:val="22"/>
          <w:szCs w:val="22"/>
        </w:rPr>
      </w:pPr>
    </w:p>
    <w:p w:rsidR="00355BC7" w:rsidRPr="00752183" w:rsidRDefault="00355BC7" w:rsidP="00355BC7">
      <w:pPr>
        <w:ind w:left="1416"/>
        <w:jc w:val="both"/>
        <w:rPr>
          <w:rFonts w:ascii="Arial" w:hAnsi="Arial" w:cs="Arial"/>
          <w:i/>
          <w:color w:val="000000" w:themeColor="text1"/>
          <w:sz w:val="18"/>
          <w:szCs w:val="22"/>
        </w:rPr>
      </w:pPr>
      <w:r w:rsidRPr="00752183">
        <w:rPr>
          <w:rFonts w:ascii="Arial" w:hAnsi="Arial" w:cs="Arial"/>
          <w:b/>
          <w:i/>
          <w:color w:val="000000" w:themeColor="text1"/>
          <w:sz w:val="18"/>
          <w:szCs w:val="22"/>
        </w:rPr>
        <w:t>“ARTICULO PRIMERO: ADOPTESE</w:t>
      </w:r>
      <w:r w:rsidRPr="00752183">
        <w:rPr>
          <w:rFonts w:ascii="Arial" w:hAnsi="Arial" w:cs="Arial"/>
          <w:i/>
          <w:color w:val="000000" w:themeColor="text1"/>
          <w:sz w:val="18"/>
          <w:szCs w:val="22"/>
        </w:rPr>
        <w:t xml:space="preserve"> los resultados de la estratificación socioeconómica efectuada por la Secretaria de Planeación Municipal cuyo contenido es el siguiente: </w:t>
      </w:r>
    </w:p>
    <w:p w:rsidR="00355BC7" w:rsidRPr="00752183" w:rsidRDefault="00355BC7" w:rsidP="00355BC7">
      <w:pPr>
        <w:ind w:left="1416"/>
        <w:jc w:val="both"/>
        <w:rPr>
          <w:rFonts w:ascii="Arial" w:hAnsi="Arial" w:cs="Arial"/>
          <w:i/>
          <w:color w:val="000000" w:themeColor="text1"/>
          <w:sz w:val="18"/>
          <w:szCs w:val="22"/>
        </w:rPr>
      </w:pPr>
    </w:p>
    <w:p w:rsidR="00355BC7" w:rsidRPr="00752183" w:rsidRDefault="00355BC7" w:rsidP="00355BC7">
      <w:pPr>
        <w:ind w:left="1416"/>
        <w:jc w:val="both"/>
        <w:rPr>
          <w:rFonts w:ascii="Arial" w:hAnsi="Arial" w:cs="Arial"/>
          <w:i/>
          <w:color w:val="000000" w:themeColor="text1"/>
          <w:sz w:val="18"/>
          <w:szCs w:val="22"/>
        </w:rPr>
      </w:pPr>
      <w:r w:rsidRPr="00752183">
        <w:rPr>
          <w:rFonts w:ascii="Arial" w:hAnsi="Arial" w:cs="Arial"/>
          <w:b/>
          <w:i/>
          <w:color w:val="000000" w:themeColor="text1"/>
          <w:sz w:val="18"/>
          <w:szCs w:val="22"/>
        </w:rPr>
        <w:t xml:space="preserve">ARTICULO SEGUNDO: ORDENAR </w:t>
      </w:r>
      <w:r w:rsidRPr="00752183">
        <w:rPr>
          <w:rFonts w:ascii="Arial" w:hAnsi="Arial" w:cs="Arial"/>
          <w:i/>
          <w:color w:val="000000" w:themeColor="text1"/>
          <w:sz w:val="18"/>
          <w:szCs w:val="22"/>
        </w:rPr>
        <w:t>que los resultados</w:t>
      </w:r>
      <w:r w:rsidRPr="00752183">
        <w:rPr>
          <w:rFonts w:ascii="Arial" w:hAnsi="Arial" w:cs="Arial"/>
          <w:b/>
          <w:i/>
          <w:color w:val="000000" w:themeColor="text1"/>
          <w:sz w:val="18"/>
          <w:szCs w:val="22"/>
        </w:rPr>
        <w:t xml:space="preserve"> </w:t>
      </w:r>
      <w:r w:rsidRPr="00752183">
        <w:rPr>
          <w:rFonts w:ascii="Arial" w:hAnsi="Arial" w:cs="Arial"/>
          <w:i/>
          <w:color w:val="000000" w:themeColor="text1"/>
          <w:sz w:val="18"/>
          <w:szCs w:val="22"/>
        </w:rPr>
        <w:t>adoptados</w:t>
      </w:r>
      <w:r w:rsidRPr="00752183">
        <w:rPr>
          <w:rFonts w:ascii="Arial" w:hAnsi="Arial" w:cs="Arial"/>
          <w:b/>
          <w:i/>
          <w:color w:val="000000" w:themeColor="text1"/>
          <w:sz w:val="18"/>
          <w:szCs w:val="22"/>
        </w:rPr>
        <w:t xml:space="preserve"> </w:t>
      </w:r>
      <w:r w:rsidRPr="00752183">
        <w:rPr>
          <w:rFonts w:ascii="Arial" w:hAnsi="Arial" w:cs="Arial"/>
          <w:i/>
          <w:color w:val="000000" w:themeColor="text1"/>
          <w:sz w:val="18"/>
          <w:szCs w:val="22"/>
        </w:rPr>
        <w:t>sean ampliamente difundidos</w:t>
      </w:r>
      <w:r w:rsidRPr="00752183">
        <w:rPr>
          <w:rFonts w:ascii="Arial" w:hAnsi="Arial" w:cs="Arial"/>
          <w:b/>
          <w:i/>
          <w:color w:val="000000" w:themeColor="text1"/>
          <w:sz w:val="18"/>
          <w:szCs w:val="22"/>
        </w:rPr>
        <w:t xml:space="preserve"> </w:t>
      </w:r>
      <w:r w:rsidRPr="00752183">
        <w:rPr>
          <w:rFonts w:ascii="Arial" w:hAnsi="Arial" w:cs="Arial"/>
          <w:i/>
          <w:color w:val="000000" w:themeColor="text1"/>
          <w:sz w:val="18"/>
          <w:szCs w:val="22"/>
        </w:rPr>
        <w:t>en la jurisdicción municipal. Publicados en la Gaceta Municipal y en las carteleras de las entidades públicas surtas en esta Ciudad.</w:t>
      </w:r>
    </w:p>
    <w:p w:rsidR="00355BC7" w:rsidRPr="00752183" w:rsidRDefault="00355BC7" w:rsidP="00355BC7">
      <w:pPr>
        <w:ind w:left="1416"/>
        <w:jc w:val="both"/>
        <w:rPr>
          <w:rFonts w:ascii="Arial" w:hAnsi="Arial" w:cs="Arial"/>
          <w:i/>
          <w:color w:val="000000" w:themeColor="text1"/>
          <w:sz w:val="18"/>
          <w:szCs w:val="22"/>
        </w:rPr>
      </w:pPr>
    </w:p>
    <w:p w:rsidR="00355BC7" w:rsidRPr="00752183" w:rsidRDefault="00355BC7" w:rsidP="00355BC7">
      <w:pPr>
        <w:ind w:left="1416"/>
        <w:jc w:val="both"/>
        <w:rPr>
          <w:rFonts w:ascii="Arial" w:hAnsi="Arial" w:cs="Arial"/>
          <w:i/>
          <w:iCs/>
          <w:color w:val="000000" w:themeColor="text1"/>
          <w:sz w:val="18"/>
          <w:szCs w:val="22"/>
        </w:rPr>
      </w:pPr>
      <w:r w:rsidRPr="00752183">
        <w:rPr>
          <w:rFonts w:ascii="Arial" w:hAnsi="Arial" w:cs="Arial"/>
          <w:b/>
          <w:bCs/>
          <w:i/>
          <w:iCs/>
          <w:color w:val="000000" w:themeColor="text1"/>
          <w:sz w:val="18"/>
          <w:szCs w:val="22"/>
        </w:rPr>
        <w:t xml:space="preserve">ARTICULO TERCERO: DISPONER </w:t>
      </w:r>
      <w:r w:rsidRPr="00752183">
        <w:rPr>
          <w:rFonts w:ascii="Arial" w:hAnsi="Arial" w:cs="Arial"/>
          <w:i/>
          <w:iCs/>
          <w:color w:val="000000" w:themeColor="text1"/>
          <w:sz w:val="18"/>
          <w:szCs w:val="22"/>
        </w:rPr>
        <w:t>que una vez surtido el trámite anterior se proceda a Notificar este Acto Administrativo a la Superintendencia de Servicios Públicos”.</w:t>
      </w:r>
      <w:r w:rsidRPr="00752183">
        <w:rPr>
          <w:rFonts w:ascii="Arial" w:hAnsi="Arial" w:cs="Arial"/>
          <w:color w:val="000000" w:themeColor="text1"/>
          <w:sz w:val="18"/>
          <w:szCs w:val="22"/>
        </w:rPr>
        <w:t xml:space="preserve"> (Sic)</w:t>
      </w:r>
    </w:p>
    <w:p w:rsidR="00355BC7" w:rsidRDefault="00355BC7" w:rsidP="00355BC7">
      <w:pPr>
        <w:tabs>
          <w:tab w:val="left" w:pos="416"/>
        </w:tabs>
        <w:jc w:val="both"/>
        <w:rPr>
          <w:rFonts w:ascii="Arial" w:hAnsi="Arial" w:cs="Arial"/>
          <w:color w:val="000000" w:themeColor="text1"/>
          <w:sz w:val="22"/>
          <w:szCs w:val="22"/>
        </w:rPr>
      </w:pPr>
    </w:p>
    <w:p w:rsidR="00355BC7" w:rsidRDefault="00355BC7" w:rsidP="00355BC7">
      <w:pPr>
        <w:jc w:val="both"/>
        <w:rPr>
          <w:rFonts w:ascii="Arial" w:hAnsi="Arial" w:cs="Arial"/>
          <w:sz w:val="22"/>
          <w:szCs w:val="22"/>
        </w:rPr>
      </w:pPr>
      <w:r>
        <w:rPr>
          <w:rFonts w:ascii="Arial" w:hAnsi="Arial" w:cs="Arial"/>
          <w:sz w:val="22"/>
          <w:szCs w:val="22"/>
        </w:rPr>
        <w:t>El análisis del Decreto presentado arroja que dicho documento se encuentra incompleto, pues no muestra los resultados de la estratificación adelantada, es decir, no permite conocer cuántos predios existen y su respectiva clasificación de la estratificación.</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Al respecto la Administración Municipal actual manifestó que no encontró en archivos los anexos o la relación a la que se refiere el Decreto No. 123 de 2001.</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No obstante, la Administración Municipal, a pesar de no conocer los niveles de estratificación otorga subsidios aproximadamente a 1.763 usuarios de acueducto; 1.697 en alcantarillado y aseo de estratos 1 y 2, y no cobra tasa de contribución solidaria bajo el supuesto de que no existe el estrato 5 y 6, así como tampoco a establecimientos industriales y comerciales que amerite su cobro.</w:t>
      </w:r>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color w:val="000000" w:themeColor="text1"/>
          <w:sz w:val="22"/>
          <w:szCs w:val="22"/>
        </w:rPr>
      </w:pPr>
      <w:r>
        <w:rPr>
          <w:rFonts w:ascii="Arial" w:hAnsi="Arial" w:cs="Arial"/>
          <w:color w:val="000000" w:themeColor="text1"/>
          <w:sz w:val="22"/>
          <w:szCs w:val="22"/>
        </w:rPr>
        <w:t>Sobre este tema se solicitó a la Entidad Territorial adelantar la búsqueda de toda la documentación referente a la estratificación y remitirla en el menor tiempo posible.</w:t>
      </w:r>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Un panorama de este tema se obtuvo a través del último </w:t>
      </w:r>
      <w:r>
        <w:rPr>
          <w:rFonts w:ascii="Arial" w:hAnsi="Arial" w:cs="Arial"/>
          <w:bCs/>
          <w:sz w:val="22"/>
          <w:szCs w:val="22"/>
        </w:rPr>
        <w:t>Informe de Seguimiento</w:t>
      </w:r>
      <w:r>
        <w:rPr>
          <w:rFonts w:ascii="Arial" w:hAnsi="Arial" w:cs="Arial"/>
          <w:sz w:val="22"/>
          <w:szCs w:val="22"/>
        </w:rPr>
        <w:t xml:space="preserve"> realizado al Municipio de Mitú en la vigencia 2016, en virtud de la Medida de Suspensión de Giros que tenía vigente en esa fecha, en el cual se señaló que:</w:t>
      </w:r>
    </w:p>
    <w:p w:rsidR="00355BC7" w:rsidRDefault="00355BC7" w:rsidP="00355BC7">
      <w:pPr>
        <w:jc w:val="both"/>
        <w:rPr>
          <w:rFonts w:ascii="Arial" w:hAnsi="Arial" w:cs="Arial"/>
          <w:sz w:val="22"/>
          <w:szCs w:val="22"/>
        </w:rPr>
      </w:pPr>
    </w:p>
    <w:p w:rsidR="00355BC7" w:rsidRPr="00752183" w:rsidRDefault="00355BC7" w:rsidP="00355BC7">
      <w:pPr>
        <w:ind w:left="1416"/>
        <w:jc w:val="both"/>
        <w:rPr>
          <w:rFonts w:ascii="Arial" w:hAnsi="Arial" w:cs="Arial"/>
          <w:i/>
          <w:sz w:val="18"/>
          <w:szCs w:val="22"/>
        </w:rPr>
      </w:pPr>
      <w:r w:rsidRPr="00752183">
        <w:rPr>
          <w:rFonts w:ascii="Arial" w:hAnsi="Arial" w:cs="Arial"/>
          <w:i/>
          <w:sz w:val="18"/>
          <w:szCs w:val="22"/>
        </w:rPr>
        <w:t>“La estratificación fue adoptada a través del Decreto 123 de 2001, indicando que la herramienta de focalización de recursos para inversión social, esta desactualizada. De tal forma que la asignación de subsidios en los servicios de acueducto, alcantarillado y aseo no se ajusta a la realidad del Municipio.</w:t>
      </w:r>
    </w:p>
    <w:p w:rsidR="00355BC7" w:rsidRPr="00752183" w:rsidRDefault="00355BC7" w:rsidP="00355BC7">
      <w:pPr>
        <w:ind w:left="1416"/>
        <w:jc w:val="both"/>
        <w:rPr>
          <w:rFonts w:ascii="Arial" w:hAnsi="Arial" w:cs="Arial"/>
          <w:i/>
          <w:sz w:val="18"/>
          <w:szCs w:val="22"/>
        </w:rPr>
      </w:pPr>
    </w:p>
    <w:p w:rsidR="00355BC7" w:rsidRPr="00752183" w:rsidRDefault="00355BC7" w:rsidP="00355BC7">
      <w:pPr>
        <w:ind w:left="1416"/>
        <w:jc w:val="both"/>
        <w:rPr>
          <w:rFonts w:ascii="Arial" w:hAnsi="Arial" w:cs="Arial"/>
          <w:i/>
          <w:sz w:val="18"/>
          <w:szCs w:val="22"/>
        </w:rPr>
      </w:pPr>
      <w:r w:rsidRPr="00752183">
        <w:rPr>
          <w:rFonts w:ascii="Arial" w:hAnsi="Arial" w:cs="Arial"/>
          <w:i/>
          <w:sz w:val="18"/>
          <w:szCs w:val="22"/>
        </w:rPr>
        <w:lastRenderedPageBreak/>
        <w:t xml:space="preserve">Si bien la actividad está relacionada con la actualización de la estratificación, se evidencia la labor realizada por la entidad frente al DANE, en donde el Municipio solicitó al IGAC seccional Meta lo que el DANE requirió para iniciar los estudios para adoptar o actualizar una nueva estratificación. La información hace referencia a la base predial catastral del área urbana y rural del Municipio, Cartas catastrales del área urbana, plano del área urbana y rural, planos de zonas homogéneas “Físicas y Geoeconómicas, del área urbana y rural”. </w:t>
      </w:r>
    </w:p>
    <w:p w:rsidR="00355BC7" w:rsidRDefault="00355BC7" w:rsidP="00752183">
      <w:pPr>
        <w:jc w:val="both"/>
        <w:rPr>
          <w:rFonts w:ascii="Arial" w:hAnsi="Arial" w:cs="Arial"/>
          <w:i/>
          <w:sz w:val="22"/>
          <w:szCs w:val="22"/>
        </w:rPr>
      </w:pPr>
    </w:p>
    <w:p w:rsidR="00355BC7" w:rsidRDefault="00355BC7" w:rsidP="00355BC7">
      <w:pPr>
        <w:autoSpaceDE w:val="0"/>
        <w:autoSpaceDN w:val="0"/>
        <w:adjustRightInd w:val="0"/>
        <w:jc w:val="both"/>
        <w:rPr>
          <w:rFonts w:ascii="Arial" w:hAnsi="Arial" w:cs="Arial"/>
          <w:color w:val="0000FF" w:themeColor="hyperlink"/>
          <w:sz w:val="22"/>
          <w:szCs w:val="22"/>
          <w:u w:val="single"/>
          <w:lang w:val="es-CO"/>
        </w:rPr>
      </w:pPr>
      <w:r>
        <w:rPr>
          <w:rFonts w:ascii="Arial" w:hAnsi="Arial" w:cs="Arial"/>
          <w:sz w:val="22"/>
          <w:szCs w:val="22"/>
        </w:rPr>
        <w:t>Por otra parte, en la Reunión de Reconocimiento Institucional sostenida con la secretaría de Planeación Municipal realizada en forma virtual el 5 de junio de 2020, se observó que el Municipio</w:t>
      </w:r>
      <w:r>
        <w:rPr>
          <w:rFonts w:ascii="Arial" w:hAnsi="Arial" w:cs="Arial"/>
          <w:bCs/>
          <w:sz w:val="22"/>
          <w:szCs w:val="22"/>
        </w:rPr>
        <w:t xml:space="preserve"> de Mitú – Vaupés afronta transformaciones urbanísticas de gran escala, pues en la reunión se manifestó la existencia de dos Barrios “Bosques de Murillo” y </w:t>
      </w:r>
      <w:r>
        <w:rPr>
          <w:rFonts w:ascii="Arial" w:hAnsi="Arial" w:cs="Arial"/>
          <w:sz w:val="22"/>
          <w:szCs w:val="22"/>
          <w:lang w:val="es-CO"/>
        </w:rPr>
        <w:t>“Urania”. El primero, se trata de un barrio de invasión que ha venido creciendo desde hace dos años</w:t>
      </w:r>
      <w:r>
        <w:rPr>
          <w:rFonts w:ascii="Arial" w:hAnsi="Arial" w:cs="Arial"/>
          <w:sz w:val="22"/>
          <w:szCs w:val="22"/>
          <w:vertAlign w:val="superscript"/>
          <w:lang w:val="es-CO"/>
        </w:rPr>
        <w:footnoteReference w:id="11"/>
      </w:r>
      <w:r>
        <w:rPr>
          <w:rFonts w:ascii="Arial" w:hAnsi="Arial" w:cs="Arial"/>
          <w:sz w:val="22"/>
          <w:szCs w:val="22"/>
          <w:lang w:val="es-CO"/>
        </w:rPr>
        <w:t xml:space="preserve"> y en el caso del segundo se relaciona a un proyecto de vivienda de interés social que se entregaran en corto plazo y el número de viviendas equivale a 150. Esto puede ser verificado en la grabación de la reunión en el minuto 0:50 -0:59 en este enlace: </w:t>
      </w:r>
      <w:hyperlink r:id="rId21" w:history="1">
        <w:r>
          <w:rPr>
            <w:rStyle w:val="Hipervnculo"/>
            <w:rFonts w:ascii="Arial" w:hAnsi="Arial" w:cs="Arial"/>
            <w:sz w:val="22"/>
            <w:szCs w:val="22"/>
            <w:lang w:val="es-CO"/>
          </w:rPr>
          <w:t>https://web.microsoftstream.com/video/f1171728-143a-40ed-90a2-e9dfb6d610ad</w:t>
        </w:r>
      </w:hyperlink>
    </w:p>
    <w:p w:rsidR="00355BC7" w:rsidRDefault="00355BC7" w:rsidP="00355BC7">
      <w:pPr>
        <w:autoSpaceDE w:val="0"/>
        <w:autoSpaceDN w:val="0"/>
        <w:adjustRightInd w:val="0"/>
        <w:jc w:val="both"/>
        <w:rPr>
          <w:rFonts w:ascii="Arial" w:hAnsi="Arial" w:cs="Arial"/>
          <w:bCs/>
          <w:sz w:val="22"/>
          <w:szCs w:val="22"/>
        </w:rPr>
      </w:pPr>
      <w:r>
        <w:rPr>
          <w:rFonts w:ascii="Arial" w:hAnsi="Arial" w:cs="Arial"/>
          <w:sz w:val="22"/>
          <w:szCs w:val="22"/>
          <w:lang w:val="es-CO"/>
        </w:rPr>
        <w:t xml:space="preserve"> </w:t>
      </w:r>
    </w:p>
    <w:p w:rsidR="00355BC7" w:rsidRDefault="00355BC7" w:rsidP="00355BC7">
      <w:pPr>
        <w:jc w:val="both"/>
        <w:rPr>
          <w:rFonts w:ascii="Arial" w:hAnsi="Arial" w:cs="Arial"/>
          <w:bCs/>
          <w:sz w:val="22"/>
          <w:szCs w:val="22"/>
        </w:rPr>
      </w:pPr>
      <w:r>
        <w:rPr>
          <w:rFonts w:ascii="Arial" w:hAnsi="Arial" w:cs="Arial"/>
          <w:sz w:val="22"/>
          <w:szCs w:val="22"/>
        </w:rPr>
        <w:t xml:space="preserve">A pesar de esas situaciones en la revisión del Plan de Desarrollo Municipal 2020-2023 no se visualizaron proyectos relacionados con la actualización de la estratificación. </w:t>
      </w:r>
      <w:r>
        <w:rPr>
          <w:rFonts w:ascii="Arial" w:hAnsi="Arial" w:cs="Arial"/>
          <w:bCs/>
          <w:sz w:val="22"/>
          <w:szCs w:val="22"/>
        </w:rPr>
        <w:t xml:space="preserve">En consecuencia, una actualización en los términos que establecen las Leyes 142 de 1994 y 732 de 2002, y del Decreto 007 de 2010, es inminente. </w:t>
      </w:r>
    </w:p>
    <w:p w:rsidR="00355BC7" w:rsidRDefault="00355BC7" w:rsidP="00355BC7">
      <w:pPr>
        <w:autoSpaceDE w:val="0"/>
        <w:autoSpaceDN w:val="0"/>
        <w:adjustRightInd w:val="0"/>
        <w:jc w:val="both"/>
        <w:rPr>
          <w:rFonts w:ascii="Arial" w:hAnsi="Arial" w:cs="Arial"/>
          <w:bCs/>
          <w:sz w:val="22"/>
          <w:szCs w:val="22"/>
        </w:rPr>
      </w:pPr>
    </w:p>
    <w:p w:rsidR="00355BC7" w:rsidRDefault="00355BC7" w:rsidP="00355BC7">
      <w:pPr>
        <w:jc w:val="both"/>
        <w:textAlignment w:val="baseline"/>
        <w:rPr>
          <w:rFonts w:ascii="Arial" w:eastAsia="Times New Roman" w:hAnsi="Arial" w:cs="Arial"/>
          <w:b/>
          <w:sz w:val="22"/>
          <w:szCs w:val="22"/>
          <w:lang w:val="es-MX" w:eastAsia="en-US"/>
        </w:rPr>
      </w:pPr>
      <w:r>
        <w:rPr>
          <w:rFonts w:ascii="Arial" w:eastAsia="Times New Roman" w:hAnsi="Arial" w:cs="Arial"/>
          <w:b/>
          <w:bCs/>
          <w:sz w:val="22"/>
          <w:szCs w:val="22"/>
          <w:lang w:val="es-MX" w:eastAsia="en-US"/>
        </w:rPr>
        <w:t>Adopción del concurso económico por parte del Concejo Municipal</w:t>
      </w:r>
      <w:r w:rsidR="00AE40CF">
        <w:rPr>
          <w:rFonts w:ascii="Arial" w:eastAsia="Times New Roman" w:hAnsi="Arial" w:cs="Arial"/>
          <w:b/>
          <w:bCs/>
          <w:sz w:val="22"/>
          <w:szCs w:val="22"/>
          <w:lang w:val="es-MX" w:eastAsia="en-US"/>
        </w:rPr>
        <w:t>.</w:t>
      </w:r>
    </w:p>
    <w:p w:rsidR="00355BC7" w:rsidRDefault="00355BC7" w:rsidP="00355BC7">
      <w:pPr>
        <w:jc w:val="both"/>
        <w:textAlignment w:val="baseline"/>
        <w:rPr>
          <w:rFonts w:ascii="Arial" w:eastAsia="Times New Roman" w:hAnsi="Arial" w:cs="Arial"/>
          <w:sz w:val="22"/>
          <w:szCs w:val="22"/>
          <w:lang w:val="es-MX" w:eastAsia="en-US"/>
        </w:rPr>
      </w:pPr>
    </w:p>
    <w:p w:rsidR="00355BC7" w:rsidRDefault="00355BC7" w:rsidP="00355BC7">
      <w:pPr>
        <w:jc w:val="both"/>
        <w:textAlignment w:val="baseline"/>
        <w:rPr>
          <w:rFonts w:ascii="Arial" w:eastAsia="Times New Roman" w:hAnsi="Arial" w:cs="Arial"/>
          <w:sz w:val="22"/>
          <w:szCs w:val="22"/>
          <w:lang w:val="es-MX" w:eastAsia="en-US"/>
        </w:rPr>
      </w:pPr>
      <w:r>
        <w:rPr>
          <w:rFonts w:ascii="Arial" w:eastAsia="Times New Roman" w:hAnsi="Arial" w:cs="Arial"/>
          <w:sz w:val="22"/>
          <w:szCs w:val="22"/>
          <w:lang w:val="es-MX" w:eastAsia="en-US"/>
        </w:rPr>
        <w:t>La Tasa del Concurso Económico, es un tributo establecido en el artículo 11</w:t>
      </w:r>
      <w:r>
        <w:rPr>
          <w:rFonts w:ascii="Arial" w:eastAsia="Times New Roman" w:hAnsi="Arial" w:cs="Arial"/>
          <w:sz w:val="22"/>
          <w:szCs w:val="22"/>
          <w:vertAlign w:val="superscript"/>
          <w:lang w:val="es-MX" w:eastAsia="en-US"/>
        </w:rPr>
        <w:footnoteReference w:id="12"/>
      </w:r>
      <w:r>
        <w:rPr>
          <w:rFonts w:ascii="Arial" w:eastAsia="Times New Roman" w:hAnsi="Arial" w:cs="Arial"/>
          <w:sz w:val="22"/>
          <w:szCs w:val="22"/>
          <w:lang w:val="es-MX" w:eastAsia="en-US"/>
        </w:rPr>
        <w:t>de la Ley 505 de 1999, con el propósito de que las entidades territoriales cuenten con un medio de financiación para el Comité Permanente de Estratificación. El tributo se debe adoptar simultáneamente con la adaptación del sistema y método establecido por el Decreto Nacional 007</w:t>
      </w:r>
      <w:r>
        <w:rPr>
          <w:rFonts w:ascii="Arial" w:eastAsia="Times New Roman" w:hAnsi="Arial" w:cs="Arial"/>
          <w:sz w:val="22"/>
          <w:szCs w:val="22"/>
          <w:vertAlign w:val="superscript"/>
          <w:lang w:val="es-MX" w:eastAsia="en-US"/>
        </w:rPr>
        <w:t>7</w:t>
      </w:r>
      <w:r>
        <w:rPr>
          <w:rFonts w:ascii="Arial" w:eastAsia="Times New Roman" w:hAnsi="Arial" w:cs="Arial"/>
          <w:sz w:val="22"/>
          <w:szCs w:val="22"/>
          <w:lang w:val="es-MX" w:eastAsia="en-US"/>
        </w:rPr>
        <w:t xml:space="preserve"> de 2010. </w:t>
      </w:r>
    </w:p>
    <w:p w:rsidR="00355BC7" w:rsidRDefault="00355BC7" w:rsidP="00355BC7">
      <w:pPr>
        <w:jc w:val="both"/>
        <w:textAlignment w:val="baseline"/>
        <w:rPr>
          <w:rFonts w:ascii="Arial" w:eastAsia="Times New Roman" w:hAnsi="Arial" w:cs="Arial"/>
          <w:sz w:val="22"/>
          <w:szCs w:val="22"/>
          <w:lang w:val="es-MX" w:eastAsia="en-US"/>
        </w:rPr>
      </w:pPr>
    </w:p>
    <w:p w:rsidR="00355BC7" w:rsidRDefault="00355BC7" w:rsidP="00355BC7">
      <w:pPr>
        <w:jc w:val="both"/>
        <w:textAlignment w:val="baseline"/>
        <w:rPr>
          <w:rFonts w:ascii="Arial" w:eastAsia="Times New Roman" w:hAnsi="Arial" w:cs="Arial"/>
          <w:sz w:val="22"/>
          <w:szCs w:val="22"/>
          <w:lang w:val="en-US" w:eastAsia="en-US"/>
        </w:rPr>
      </w:pPr>
      <w:r>
        <w:rPr>
          <w:rFonts w:ascii="Arial" w:eastAsia="Times New Roman" w:hAnsi="Arial" w:cs="Arial"/>
          <w:sz w:val="22"/>
          <w:szCs w:val="22"/>
          <w:lang w:val="es-MX" w:eastAsia="en-US"/>
        </w:rPr>
        <w:t xml:space="preserve">En reuniones virtuales sostenidas con el equipo de las secretarias de planeación y de obras públicas el 1 y 2 de junio de 2020 manifestaron no tener incorporada en su estatuto de rentas el tributo denominado Concurso Económico. </w:t>
      </w:r>
    </w:p>
    <w:p w:rsidR="00355BC7" w:rsidRDefault="00355BC7" w:rsidP="00355BC7">
      <w:pPr>
        <w:jc w:val="both"/>
        <w:rPr>
          <w:rFonts w:ascii="Arial" w:hAnsi="Arial" w:cs="Arial"/>
          <w:b/>
          <w:bCs/>
          <w:sz w:val="22"/>
          <w:szCs w:val="22"/>
        </w:rPr>
      </w:pPr>
    </w:p>
    <w:p w:rsidR="00355BC7" w:rsidRDefault="00355BC7" w:rsidP="00355BC7">
      <w:pPr>
        <w:jc w:val="both"/>
        <w:rPr>
          <w:rFonts w:ascii="Arial" w:hAnsi="Arial" w:cs="Arial"/>
          <w:b/>
          <w:bCs/>
          <w:sz w:val="22"/>
          <w:szCs w:val="22"/>
        </w:rPr>
      </w:pPr>
      <w:r>
        <w:rPr>
          <w:rFonts w:ascii="Arial" w:hAnsi="Arial" w:cs="Arial"/>
          <w:b/>
          <w:bCs/>
          <w:sz w:val="22"/>
          <w:szCs w:val="22"/>
        </w:rPr>
        <w:t>Comité Permanente de Estratificación (CPE)</w:t>
      </w:r>
      <w:r w:rsidR="00AE40CF">
        <w:rPr>
          <w:rFonts w:ascii="Arial" w:hAnsi="Arial" w:cs="Arial"/>
          <w:b/>
          <w:bCs/>
          <w:sz w:val="22"/>
          <w:szCs w:val="22"/>
        </w:rPr>
        <w:t>.</w:t>
      </w:r>
    </w:p>
    <w:p w:rsidR="00355BC7" w:rsidRDefault="00355BC7" w:rsidP="00355BC7">
      <w:pPr>
        <w:jc w:val="both"/>
        <w:rPr>
          <w:rFonts w:ascii="Arial" w:hAnsi="Arial" w:cs="Arial"/>
          <w:b/>
          <w:bCs/>
          <w:sz w:val="22"/>
          <w:szCs w:val="22"/>
        </w:rPr>
      </w:pPr>
    </w:p>
    <w:p w:rsidR="00355BC7" w:rsidRDefault="00355BC7" w:rsidP="00355BC7">
      <w:pPr>
        <w:jc w:val="both"/>
        <w:rPr>
          <w:rFonts w:ascii="Arial" w:eastAsia="Arial Narrow" w:hAnsi="Arial" w:cs="Arial"/>
          <w:bCs/>
          <w:sz w:val="22"/>
          <w:szCs w:val="22"/>
        </w:rPr>
      </w:pPr>
      <w:r>
        <w:rPr>
          <w:rFonts w:ascii="Arial" w:hAnsi="Arial" w:cs="Arial"/>
          <w:bCs/>
          <w:sz w:val="22"/>
          <w:szCs w:val="22"/>
        </w:rPr>
        <w:t xml:space="preserve">Información base documentación tema: Decreto </w:t>
      </w:r>
      <w:r>
        <w:rPr>
          <w:rFonts w:ascii="Arial" w:eastAsia="Arial Narrow" w:hAnsi="Arial" w:cs="Arial"/>
          <w:bCs/>
          <w:sz w:val="22"/>
          <w:szCs w:val="22"/>
        </w:rPr>
        <w:t>No. 082 del 23 de julio de 2012 y Acta de Comité permanente de Estratificación No. 001 del 13 de junio de 2019.</w:t>
      </w:r>
    </w:p>
    <w:p w:rsidR="00355BC7" w:rsidRDefault="00355BC7" w:rsidP="00355BC7">
      <w:pPr>
        <w:jc w:val="both"/>
        <w:rPr>
          <w:rFonts w:ascii="Arial" w:hAnsi="Arial" w:cs="Arial"/>
          <w:sz w:val="22"/>
          <w:szCs w:val="22"/>
        </w:rPr>
      </w:pPr>
    </w:p>
    <w:p w:rsidR="00355BC7" w:rsidRDefault="00355BC7" w:rsidP="00355BC7">
      <w:pPr>
        <w:jc w:val="both"/>
        <w:rPr>
          <w:rFonts w:ascii="Arial" w:eastAsia="Arial Narrow" w:hAnsi="Arial" w:cs="Arial"/>
          <w:i/>
          <w:iCs/>
          <w:sz w:val="22"/>
          <w:szCs w:val="22"/>
        </w:rPr>
      </w:pPr>
      <w:r>
        <w:rPr>
          <w:rFonts w:ascii="Arial" w:eastAsia="Arial Narrow" w:hAnsi="Arial" w:cs="Arial"/>
          <w:sz w:val="22"/>
          <w:szCs w:val="22"/>
        </w:rPr>
        <w:t xml:space="preserve">El numeral 101.5. de la Ley </w:t>
      </w:r>
      <w:r>
        <w:rPr>
          <w:rFonts w:ascii="Arial" w:eastAsia="Arial Narrow" w:hAnsi="Arial" w:cs="Arial"/>
          <w:sz w:val="22"/>
          <w:szCs w:val="22"/>
          <w:lang w:val="es-CO"/>
        </w:rPr>
        <w:t xml:space="preserve">142 de 1994 establece a los municipios que: </w:t>
      </w:r>
      <w:r>
        <w:rPr>
          <w:rFonts w:ascii="Arial" w:eastAsia="Arial Narrow" w:hAnsi="Arial" w:cs="Arial"/>
          <w:i/>
          <w:iCs/>
          <w:sz w:val="22"/>
          <w:szCs w:val="22"/>
          <w:lang w:val="es-CO"/>
        </w:rPr>
        <w:t>“</w:t>
      </w:r>
      <w:r>
        <w:rPr>
          <w:rFonts w:ascii="Arial" w:eastAsia="Arial Narrow" w:hAnsi="Arial" w:cs="Arial"/>
          <w:i/>
          <w:iCs/>
          <w:sz w:val="22"/>
          <w:szCs w:val="22"/>
        </w:rPr>
        <w:t xml:space="preserve">Antes de iniciar los estudios conducentes a la adopción, el alcalde deberá conformar un Comité permanente </w:t>
      </w:r>
      <w:r>
        <w:rPr>
          <w:rFonts w:ascii="Arial" w:eastAsia="Arial Narrow" w:hAnsi="Arial" w:cs="Arial"/>
          <w:i/>
          <w:iCs/>
          <w:sz w:val="22"/>
          <w:szCs w:val="22"/>
        </w:rPr>
        <w:lastRenderedPageBreak/>
        <w:t>de estratificación socioeconómica que lo asesore, cuya función principal es velar por la adecuada aplicación de las metodologías suministradas por el Departamento Nacional de Planeación”.</w:t>
      </w:r>
    </w:p>
    <w:p w:rsidR="00355BC7" w:rsidRDefault="00355BC7" w:rsidP="00355BC7">
      <w:pPr>
        <w:jc w:val="both"/>
        <w:rPr>
          <w:rFonts w:ascii="Arial" w:eastAsia="Arial Narrow" w:hAnsi="Arial" w:cs="Arial"/>
          <w:i/>
          <w:iCs/>
          <w:sz w:val="22"/>
          <w:szCs w:val="22"/>
        </w:rPr>
      </w:pPr>
    </w:p>
    <w:p w:rsidR="00355BC7" w:rsidRDefault="00355BC7" w:rsidP="00355BC7">
      <w:pPr>
        <w:jc w:val="both"/>
        <w:rPr>
          <w:rFonts w:ascii="Arial" w:eastAsia="Arial Narrow" w:hAnsi="Arial" w:cs="Arial"/>
          <w:sz w:val="22"/>
          <w:szCs w:val="22"/>
          <w:lang w:val="es-MX"/>
        </w:rPr>
      </w:pPr>
      <w:r>
        <w:rPr>
          <w:rFonts w:ascii="Arial" w:eastAsia="Arial Narrow" w:hAnsi="Arial" w:cs="Arial"/>
          <w:sz w:val="22"/>
          <w:szCs w:val="22"/>
        </w:rPr>
        <w:t>En ese sentido l</w:t>
      </w:r>
      <w:r>
        <w:rPr>
          <w:rFonts w:ascii="Arial" w:eastAsia="Arial Narrow" w:hAnsi="Arial" w:cs="Arial"/>
          <w:sz w:val="22"/>
          <w:szCs w:val="22"/>
          <w:lang w:val="es-MX"/>
        </w:rPr>
        <w:t>os alcaldes distritales y municipales deberán conformar el Comité Permanente de Estratificación mediante decreto conforme lo establece el artículo 3° del Modelo de Reglamento del CPE proferido por el DNP en cumplimiento del artículo 6° de la Ley 732 de 2000 antes de iniciar el proceso de estratificación, vinculando a dicho organismo a los representantes designados por las Empresas y los representantes de la comunidad seleccionados por el Personero Municipal.</w:t>
      </w:r>
    </w:p>
    <w:p w:rsidR="00355BC7" w:rsidRDefault="00355BC7" w:rsidP="00355BC7">
      <w:pPr>
        <w:jc w:val="both"/>
        <w:rPr>
          <w:rFonts w:ascii="Arial" w:hAnsi="Arial" w:cs="Arial"/>
          <w:sz w:val="22"/>
          <w:szCs w:val="22"/>
        </w:rPr>
      </w:pPr>
    </w:p>
    <w:p w:rsidR="00355BC7" w:rsidRDefault="00355BC7" w:rsidP="00355BC7">
      <w:pPr>
        <w:jc w:val="both"/>
        <w:rPr>
          <w:rFonts w:ascii="Arial" w:eastAsia="Arial Narrow" w:hAnsi="Arial" w:cs="Arial"/>
          <w:sz w:val="22"/>
          <w:szCs w:val="22"/>
          <w:lang w:val="es-MX"/>
        </w:rPr>
      </w:pPr>
      <w:r>
        <w:rPr>
          <w:rFonts w:ascii="Arial" w:eastAsia="Arial Narrow" w:hAnsi="Arial" w:cs="Arial"/>
          <w:sz w:val="22"/>
          <w:szCs w:val="22"/>
          <w:lang w:val="es-MX"/>
        </w:rPr>
        <w:t>El CPE debe estar conformado con un número equilibrado de representantes, es decir que el número de representantes de la comunidad debe ser igual al número de representantes de las empresas, razón por la cual se deberán realizar las convocatorias necesarias para lograr dicha paridad. Se le debe informar a la comunidad que la asistencia a las sesiones del CPE es remunerada y que los integrantes de dicho Comité recibirán capacitación.</w:t>
      </w:r>
    </w:p>
    <w:p w:rsidR="00355BC7" w:rsidRDefault="00355BC7" w:rsidP="00355BC7">
      <w:pPr>
        <w:jc w:val="both"/>
        <w:rPr>
          <w:rFonts w:ascii="Arial" w:eastAsia="Arial" w:hAnsi="Arial" w:cs="Arial"/>
          <w:sz w:val="22"/>
          <w:szCs w:val="22"/>
          <w:lang w:val="es-MX"/>
        </w:rPr>
      </w:pPr>
    </w:p>
    <w:p w:rsidR="00355BC7" w:rsidRDefault="00355BC7" w:rsidP="00355BC7">
      <w:pPr>
        <w:jc w:val="both"/>
        <w:rPr>
          <w:rFonts w:ascii="Arial" w:eastAsia="Arial Narrow" w:hAnsi="Arial" w:cs="Arial"/>
          <w:sz w:val="22"/>
          <w:szCs w:val="22"/>
        </w:rPr>
      </w:pPr>
      <w:r>
        <w:rPr>
          <w:rFonts w:ascii="Arial" w:eastAsia="Arial Narrow" w:hAnsi="Arial" w:cs="Arial"/>
          <w:sz w:val="22"/>
          <w:szCs w:val="22"/>
        </w:rPr>
        <w:t xml:space="preserve">El Municipio de Mitú creó el Comité Permanente de Estratificación mediante el Decreto No. 082 del 23 de julio de 2012. Según el artículo segundo del Decreto, el Comité está integrado por los siguientes miembros que se citan textualmente como aparece en el Decreto: </w:t>
      </w:r>
    </w:p>
    <w:p w:rsidR="00355BC7" w:rsidRDefault="00355BC7" w:rsidP="00355BC7">
      <w:pPr>
        <w:jc w:val="both"/>
        <w:rPr>
          <w:rFonts w:ascii="Arial" w:eastAsia="Arial Narrow" w:hAnsi="Arial" w:cs="Arial"/>
          <w:sz w:val="22"/>
          <w:szCs w:val="22"/>
        </w:rPr>
      </w:pPr>
    </w:p>
    <w:p w:rsidR="00355BC7" w:rsidRPr="00752183" w:rsidRDefault="00AE40CF" w:rsidP="00752183">
      <w:pPr>
        <w:numPr>
          <w:ilvl w:val="0"/>
          <w:numId w:val="25"/>
        </w:numPr>
        <w:ind w:left="1428"/>
        <w:contextualSpacing/>
        <w:jc w:val="both"/>
        <w:rPr>
          <w:rFonts w:ascii="Arial" w:eastAsia="Arial Narrow" w:hAnsi="Arial" w:cs="Arial"/>
          <w:i/>
          <w:sz w:val="18"/>
          <w:szCs w:val="22"/>
        </w:rPr>
      </w:pPr>
      <w:r w:rsidRPr="00752183">
        <w:rPr>
          <w:rFonts w:ascii="Arial" w:eastAsia="Arial Narrow" w:hAnsi="Arial" w:cs="Arial"/>
          <w:i/>
          <w:sz w:val="18"/>
          <w:szCs w:val="22"/>
        </w:rPr>
        <w:t>“</w:t>
      </w:r>
      <w:r w:rsidR="00355BC7" w:rsidRPr="00752183">
        <w:rPr>
          <w:rFonts w:ascii="Arial" w:eastAsia="Arial Narrow" w:hAnsi="Arial" w:cs="Arial"/>
          <w:i/>
          <w:sz w:val="18"/>
          <w:szCs w:val="22"/>
        </w:rPr>
        <w:t>Representantes de las empresas comercializadoras de Servicios Públicos Domiciliarios residenciales (las que liquidan los valores a pagar por cada usuario).</w:t>
      </w:r>
    </w:p>
    <w:p w:rsidR="00355BC7" w:rsidRPr="00752183" w:rsidRDefault="00355BC7" w:rsidP="00752183">
      <w:pPr>
        <w:ind w:left="1068"/>
        <w:jc w:val="both"/>
        <w:rPr>
          <w:rFonts w:ascii="Arial" w:eastAsia="Arial Narrow" w:hAnsi="Arial" w:cs="Arial"/>
          <w:sz w:val="18"/>
          <w:szCs w:val="22"/>
        </w:rPr>
      </w:pPr>
    </w:p>
    <w:p w:rsidR="00355BC7" w:rsidRPr="00752183" w:rsidRDefault="00355BC7" w:rsidP="00752183">
      <w:pPr>
        <w:numPr>
          <w:ilvl w:val="0"/>
          <w:numId w:val="25"/>
        </w:numPr>
        <w:ind w:left="1428"/>
        <w:contextualSpacing/>
        <w:jc w:val="both"/>
        <w:rPr>
          <w:rFonts w:ascii="Arial" w:eastAsia="Arial Narrow" w:hAnsi="Arial" w:cs="Arial"/>
          <w:i/>
          <w:sz w:val="18"/>
          <w:szCs w:val="22"/>
        </w:rPr>
      </w:pPr>
      <w:r w:rsidRPr="00752183">
        <w:rPr>
          <w:rFonts w:ascii="Arial" w:eastAsia="Arial Narrow" w:hAnsi="Arial" w:cs="Arial"/>
          <w:i/>
          <w:sz w:val="18"/>
          <w:szCs w:val="22"/>
        </w:rPr>
        <w:t>Un representante por cada una de las siguientes empresas</w:t>
      </w:r>
      <w:r w:rsidRPr="00752183">
        <w:rPr>
          <w:rFonts w:ascii="Arial" w:eastAsia="Arial Narrow" w:hAnsi="Arial" w:cs="Arial"/>
          <w:i/>
          <w:sz w:val="18"/>
          <w:szCs w:val="22"/>
          <w:vertAlign w:val="superscript"/>
        </w:rPr>
        <w:footnoteReference w:id="13"/>
      </w:r>
      <w:r w:rsidRPr="00752183">
        <w:rPr>
          <w:rFonts w:ascii="Arial" w:eastAsia="Arial Narrow" w:hAnsi="Arial" w:cs="Arial"/>
          <w:i/>
          <w:sz w:val="18"/>
          <w:szCs w:val="22"/>
        </w:rPr>
        <w:t xml:space="preserve"> que comercializan Servicios Públicos Domiciliarios residenciales en el del Municipio de Mitú estas personas serán designadas por el representante legal de cada empresa para un período de dos (2) años sin perjuicio de ser reelegidas o removidas en cualquier tiempo, previa comunicación escrita al Señor alcalde.</w:t>
      </w:r>
    </w:p>
    <w:p w:rsidR="00355BC7" w:rsidRPr="00752183" w:rsidRDefault="00355BC7" w:rsidP="00752183">
      <w:pPr>
        <w:ind w:left="1068"/>
        <w:jc w:val="both"/>
        <w:rPr>
          <w:rFonts w:ascii="Arial" w:eastAsia="Arial Narrow" w:hAnsi="Arial" w:cs="Arial"/>
          <w:sz w:val="18"/>
          <w:szCs w:val="22"/>
        </w:rPr>
      </w:pPr>
    </w:p>
    <w:p w:rsidR="00355BC7" w:rsidRPr="00752183" w:rsidRDefault="00355BC7" w:rsidP="00752183">
      <w:pPr>
        <w:numPr>
          <w:ilvl w:val="0"/>
          <w:numId w:val="25"/>
        </w:numPr>
        <w:ind w:left="1428"/>
        <w:contextualSpacing/>
        <w:jc w:val="both"/>
        <w:rPr>
          <w:rFonts w:ascii="Arial" w:eastAsia="Arial Narrow" w:hAnsi="Arial" w:cs="Arial"/>
          <w:i/>
          <w:sz w:val="18"/>
          <w:szCs w:val="22"/>
        </w:rPr>
      </w:pPr>
      <w:r w:rsidRPr="00752183">
        <w:rPr>
          <w:rFonts w:ascii="Arial" w:eastAsia="Arial Narrow" w:hAnsi="Arial" w:cs="Arial"/>
          <w:i/>
          <w:sz w:val="18"/>
          <w:szCs w:val="22"/>
        </w:rPr>
        <w:t xml:space="preserve">Representantes de la comunidad: </w:t>
      </w:r>
    </w:p>
    <w:p w:rsidR="00355BC7" w:rsidRPr="00752183" w:rsidRDefault="00355BC7" w:rsidP="00752183">
      <w:pPr>
        <w:ind w:left="1788"/>
        <w:contextualSpacing/>
        <w:rPr>
          <w:rFonts w:ascii="Arial" w:eastAsia="Arial Narrow" w:hAnsi="Arial" w:cs="Arial"/>
          <w:sz w:val="18"/>
          <w:szCs w:val="22"/>
        </w:rPr>
      </w:pPr>
    </w:p>
    <w:p w:rsidR="00355BC7" w:rsidRPr="00752183" w:rsidRDefault="00355BC7" w:rsidP="00752183">
      <w:pPr>
        <w:ind w:left="1428"/>
        <w:contextualSpacing/>
        <w:jc w:val="both"/>
        <w:rPr>
          <w:rFonts w:ascii="Arial" w:eastAsia="Arial Narrow" w:hAnsi="Arial" w:cs="Arial"/>
          <w:i/>
          <w:sz w:val="18"/>
          <w:szCs w:val="22"/>
        </w:rPr>
      </w:pPr>
      <w:r w:rsidRPr="00752183">
        <w:rPr>
          <w:rFonts w:ascii="Arial" w:eastAsia="Arial Narrow" w:hAnsi="Arial" w:cs="Arial"/>
          <w:i/>
          <w:sz w:val="18"/>
          <w:szCs w:val="22"/>
        </w:rPr>
        <w:t>Representarán a la comunidad un número de personas igual al de las empresas antes mencionadas, pertenecientes a comunidad no organizada o a organizaciones comunitarias, cívicas, sociales o académicas. Estas personas serán designadas para un período de dos (2) años sin perjuicio de ser removidas en cualquier tiempo y sin posibilidad de ser reelegidas para los dos periodos siguientes, en atención a convocatoria del Personero o quien haga sus veces, quien informará mediante comunicación escrita al Alcalde</w:t>
      </w:r>
      <w:r w:rsidR="00AE40CF" w:rsidRPr="00752183">
        <w:rPr>
          <w:rFonts w:ascii="Arial" w:eastAsia="Arial Narrow" w:hAnsi="Arial" w:cs="Arial"/>
          <w:i/>
          <w:sz w:val="18"/>
          <w:szCs w:val="22"/>
        </w:rPr>
        <w:t>”</w:t>
      </w:r>
      <w:r w:rsidRPr="00752183">
        <w:rPr>
          <w:rFonts w:ascii="Arial" w:eastAsia="Arial Narrow" w:hAnsi="Arial" w:cs="Arial"/>
          <w:i/>
          <w:sz w:val="18"/>
          <w:szCs w:val="22"/>
        </w:rPr>
        <w:t>.</w:t>
      </w:r>
    </w:p>
    <w:p w:rsidR="00355BC7" w:rsidRDefault="00355BC7" w:rsidP="00355BC7">
      <w:pPr>
        <w:jc w:val="both"/>
        <w:rPr>
          <w:rFonts w:ascii="Arial" w:eastAsia="Arial Narrow" w:hAnsi="Arial" w:cs="Arial"/>
          <w:sz w:val="22"/>
          <w:szCs w:val="22"/>
        </w:rPr>
      </w:pPr>
    </w:p>
    <w:p w:rsidR="00355BC7" w:rsidRDefault="00355BC7" w:rsidP="00752183">
      <w:pPr>
        <w:contextualSpacing/>
        <w:jc w:val="both"/>
        <w:rPr>
          <w:rFonts w:ascii="Arial" w:eastAsia="Arial Narrow" w:hAnsi="Arial" w:cs="Arial"/>
          <w:sz w:val="22"/>
          <w:szCs w:val="22"/>
        </w:rPr>
      </w:pPr>
      <w:r>
        <w:rPr>
          <w:rFonts w:ascii="Arial" w:eastAsia="Arial Narrow" w:hAnsi="Arial" w:cs="Arial"/>
          <w:sz w:val="22"/>
          <w:szCs w:val="22"/>
        </w:rPr>
        <w:t xml:space="preserve">El mismo artículo dispuso que en el Comité Permanente de Estratificación podrán participar con voz, pero sin voto: El Personero del Municipio de Mitú o su delegado. Un Vocal de Control Social y Desarrollo de los Servicios Públicos Domiciliarios existentes en el Municipio y el Secretario de Planeación municipal o su delegado. </w:t>
      </w:r>
    </w:p>
    <w:p w:rsidR="00355BC7" w:rsidRDefault="00355BC7" w:rsidP="00355BC7">
      <w:pPr>
        <w:jc w:val="both"/>
        <w:rPr>
          <w:rFonts w:ascii="Arial" w:eastAsia="Arial Narrow" w:hAnsi="Arial" w:cs="Arial"/>
          <w:sz w:val="22"/>
          <w:szCs w:val="22"/>
        </w:rPr>
      </w:pPr>
    </w:p>
    <w:p w:rsidR="00355BC7" w:rsidRDefault="00355BC7" w:rsidP="00355BC7">
      <w:pPr>
        <w:jc w:val="both"/>
        <w:rPr>
          <w:rFonts w:ascii="Arial" w:hAnsi="Arial" w:cs="Arial"/>
          <w:sz w:val="22"/>
          <w:szCs w:val="22"/>
        </w:rPr>
      </w:pPr>
      <w:r>
        <w:rPr>
          <w:rFonts w:ascii="Arial" w:eastAsia="Arial Narrow" w:hAnsi="Arial" w:cs="Arial"/>
          <w:sz w:val="22"/>
          <w:szCs w:val="22"/>
        </w:rPr>
        <w:t>En el artículo sexto de dicho Decreto se dispuso que el Comité se reuniría en sesión ordinaria mínimo una vez cada seis meses.</w:t>
      </w:r>
    </w:p>
    <w:p w:rsidR="00355BC7" w:rsidRDefault="00355BC7" w:rsidP="00355BC7">
      <w:pPr>
        <w:jc w:val="both"/>
        <w:rPr>
          <w:rFonts w:ascii="Arial" w:hAnsi="Arial" w:cs="Arial"/>
          <w:sz w:val="22"/>
          <w:szCs w:val="22"/>
        </w:rPr>
      </w:pPr>
    </w:p>
    <w:p w:rsidR="00355BC7" w:rsidRDefault="00355BC7" w:rsidP="00355BC7">
      <w:pPr>
        <w:jc w:val="both"/>
        <w:rPr>
          <w:rFonts w:ascii="Arial" w:eastAsia="Arial Narrow" w:hAnsi="Arial" w:cs="Arial"/>
          <w:sz w:val="22"/>
          <w:szCs w:val="22"/>
        </w:rPr>
      </w:pPr>
      <w:r>
        <w:rPr>
          <w:rFonts w:ascii="Arial" w:eastAsia="Arial Narrow" w:hAnsi="Arial" w:cs="Arial"/>
          <w:sz w:val="22"/>
          <w:szCs w:val="22"/>
        </w:rPr>
        <w:lastRenderedPageBreak/>
        <w:t>Para el presente Informe el Municipio remitió 3 actas del Comité Permanente de Estratificación</w:t>
      </w:r>
    </w:p>
    <w:p w:rsidR="00355BC7" w:rsidRDefault="00355BC7" w:rsidP="00355BC7">
      <w:pPr>
        <w:jc w:val="both"/>
        <w:rPr>
          <w:rFonts w:ascii="Arial" w:eastAsia="Arial Narrow" w:hAnsi="Arial" w:cs="Arial"/>
          <w:sz w:val="22"/>
          <w:szCs w:val="22"/>
        </w:rPr>
      </w:pPr>
    </w:p>
    <w:p w:rsidR="00355BC7" w:rsidRDefault="00355BC7" w:rsidP="00355BC7">
      <w:pPr>
        <w:numPr>
          <w:ilvl w:val="0"/>
          <w:numId w:val="20"/>
        </w:numPr>
        <w:contextualSpacing/>
        <w:jc w:val="both"/>
        <w:rPr>
          <w:rFonts w:ascii="Arial" w:eastAsia="Arial Narrow" w:hAnsi="Arial" w:cs="Arial"/>
          <w:sz w:val="22"/>
          <w:szCs w:val="22"/>
        </w:rPr>
      </w:pPr>
      <w:r>
        <w:rPr>
          <w:rFonts w:ascii="Arial" w:eastAsia="Arial Narrow" w:hAnsi="Arial" w:cs="Arial"/>
          <w:sz w:val="22"/>
          <w:szCs w:val="22"/>
        </w:rPr>
        <w:t>Acta No. 001, se evidenció que en la misma solo participó un miembro con voz y con voto, es decir el representante de la Comunidad, el señor Oscar Muñoz Dasilva, según consta en el listado de asistencia anexo al Acta. El resto de los participantes correspondió a funcionarios de la Alcaldía, el Personero y un invitado del DANE. Se constató la ausencia del Vocal Social y de los representantes de la empresa de servicios públicos que hacen presencia en el Municipio.</w:t>
      </w:r>
    </w:p>
    <w:p w:rsidR="00355BC7" w:rsidRDefault="00355BC7" w:rsidP="00355BC7">
      <w:pPr>
        <w:jc w:val="both"/>
        <w:rPr>
          <w:rFonts w:ascii="Arial" w:eastAsia="Arial Narrow" w:hAnsi="Arial" w:cs="Arial"/>
          <w:sz w:val="22"/>
          <w:szCs w:val="22"/>
        </w:rPr>
      </w:pPr>
    </w:p>
    <w:p w:rsidR="00355BC7" w:rsidRDefault="00355BC7" w:rsidP="00355BC7">
      <w:pPr>
        <w:jc w:val="both"/>
        <w:rPr>
          <w:rFonts w:ascii="Arial" w:eastAsia="Arial Narrow" w:hAnsi="Arial" w:cs="Arial"/>
          <w:sz w:val="22"/>
          <w:szCs w:val="22"/>
        </w:rPr>
      </w:pPr>
      <w:r>
        <w:rPr>
          <w:rFonts w:ascii="Arial" w:eastAsia="Arial Narrow" w:hAnsi="Arial" w:cs="Arial"/>
          <w:sz w:val="22"/>
          <w:szCs w:val="22"/>
        </w:rPr>
        <w:t>Sin embargo, en la Convocatoria a la reunión la Entidad Territorial no invita a los miembros representante de las Empresas de Servicios Públicos, se evidenció la convocatoria realizada al Vocal de Control Social.</w:t>
      </w:r>
    </w:p>
    <w:p w:rsidR="00355BC7" w:rsidRDefault="00355BC7" w:rsidP="00355BC7">
      <w:pPr>
        <w:jc w:val="both"/>
        <w:rPr>
          <w:rFonts w:ascii="Arial" w:eastAsia="Arial Narrow" w:hAnsi="Arial" w:cs="Arial"/>
          <w:sz w:val="22"/>
          <w:szCs w:val="22"/>
        </w:rPr>
      </w:pPr>
    </w:p>
    <w:p w:rsidR="00355BC7" w:rsidRDefault="00355BC7" w:rsidP="00355BC7">
      <w:pPr>
        <w:numPr>
          <w:ilvl w:val="0"/>
          <w:numId w:val="20"/>
        </w:numPr>
        <w:contextualSpacing/>
        <w:jc w:val="both"/>
        <w:rPr>
          <w:rFonts w:ascii="Arial" w:eastAsia="Arial Narrow" w:hAnsi="Arial" w:cs="Arial"/>
          <w:sz w:val="22"/>
          <w:szCs w:val="22"/>
        </w:rPr>
      </w:pPr>
      <w:r>
        <w:rPr>
          <w:rFonts w:ascii="Arial" w:eastAsia="Arial Narrow" w:hAnsi="Arial" w:cs="Arial"/>
          <w:sz w:val="22"/>
          <w:szCs w:val="22"/>
        </w:rPr>
        <w:t xml:space="preserve">Acta del 9 de diciembre de 2020, la cual tuvo por objeto la elección del presidente del Comité y se presenta para socialización el proyecto de catastro multipropósito. A la reunión asistieron funcionarios de la alcaldía, dos representantes de la comunidad (Urbano-Rural) y el representante de la única empresa de servicios públicos del Municipio. </w:t>
      </w:r>
    </w:p>
    <w:p w:rsidR="00355BC7" w:rsidRDefault="00355BC7" w:rsidP="00355BC7">
      <w:pPr>
        <w:jc w:val="both"/>
        <w:rPr>
          <w:rFonts w:ascii="Arial" w:eastAsia="Arial Narrow" w:hAnsi="Arial" w:cs="Arial"/>
          <w:sz w:val="22"/>
          <w:szCs w:val="22"/>
        </w:rPr>
      </w:pPr>
    </w:p>
    <w:p w:rsidR="00355BC7" w:rsidRDefault="00355BC7" w:rsidP="00355BC7">
      <w:pPr>
        <w:numPr>
          <w:ilvl w:val="0"/>
          <w:numId w:val="20"/>
        </w:numPr>
        <w:contextualSpacing/>
        <w:jc w:val="both"/>
        <w:rPr>
          <w:rFonts w:ascii="Arial" w:eastAsia="Arial Narrow" w:hAnsi="Arial" w:cs="Arial"/>
          <w:sz w:val="22"/>
          <w:szCs w:val="22"/>
        </w:rPr>
      </w:pPr>
      <w:r>
        <w:rPr>
          <w:rFonts w:ascii="Arial" w:eastAsia="Arial Narrow" w:hAnsi="Arial" w:cs="Arial"/>
          <w:sz w:val="22"/>
          <w:szCs w:val="22"/>
        </w:rPr>
        <w:t>Acta del 30 de abril de 2021, en esta oportunidad el comité se reúne y se tratan temas relacionados con el marco legal de la estratificación y su importancia, se socializa sobre el proyecto de actualización tarifaria, catastro multipropósito y estratificación.  A la reunión asistieron funcionarios de la alcaldía, los representantes de la comunidad (Urbano-Rural) y el representante de la única empresa de servicios públicos del Municipio</w:t>
      </w:r>
    </w:p>
    <w:p w:rsidR="00355BC7" w:rsidRDefault="00355BC7" w:rsidP="00355BC7">
      <w:pPr>
        <w:jc w:val="both"/>
        <w:rPr>
          <w:rFonts w:ascii="Arial" w:hAnsi="Arial" w:cs="Arial"/>
          <w:b/>
          <w:bCs/>
          <w:sz w:val="22"/>
          <w:szCs w:val="22"/>
        </w:rPr>
      </w:pPr>
    </w:p>
    <w:p w:rsidR="00355BC7" w:rsidRDefault="00355BC7" w:rsidP="00355BC7">
      <w:pPr>
        <w:jc w:val="both"/>
        <w:rPr>
          <w:rFonts w:ascii="Arial" w:hAnsi="Arial" w:cs="Arial"/>
          <w:b/>
          <w:bCs/>
          <w:sz w:val="22"/>
          <w:szCs w:val="22"/>
        </w:rPr>
      </w:pPr>
      <w:r>
        <w:rPr>
          <w:rFonts w:ascii="Arial" w:hAnsi="Arial" w:cs="Arial"/>
          <w:b/>
          <w:bCs/>
          <w:sz w:val="22"/>
          <w:szCs w:val="22"/>
        </w:rPr>
        <w:t>Comité de Desarrollo y Control Social (CDCS).</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sz w:val="22"/>
          <w:szCs w:val="22"/>
          <w:lang w:eastAsia="en-US"/>
        </w:rPr>
      </w:pPr>
      <w:r>
        <w:rPr>
          <w:rFonts w:ascii="Arial" w:hAnsi="Arial" w:cs="Arial"/>
          <w:sz w:val="22"/>
          <w:szCs w:val="22"/>
          <w:lang w:eastAsia="en-US"/>
        </w:rPr>
        <w:t xml:space="preserve">Los Comités de Desarrollo y Control Social, son estructuras organizativas creadas por el Título V de la Ley 142 de 1994 reglamentado por el </w:t>
      </w:r>
      <w:r>
        <w:rPr>
          <w:rFonts w:ascii="Arial" w:hAnsi="Arial" w:cs="Arial"/>
          <w:color w:val="000000" w:themeColor="text1"/>
          <w:sz w:val="22"/>
          <w:szCs w:val="22"/>
        </w:rPr>
        <w:t xml:space="preserve">Decreto 1429 de 1995. Este Comité tiene como </w:t>
      </w:r>
      <w:r>
        <w:rPr>
          <w:rFonts w:ascii="Arial" w:hAnsi="Arial" w:cs="Arial"/>
          <w:sz w:val="22"/>
          <w:szCs w:val="22"/>
          <w:lang w:eastAsia="en-US"/>
        </w:rPr>
        <w:t>función principal, la de organizar la participación comunitaria en la vigilancia de la gestión y en la fiscalización de las entidades de carácter privado, oficial o mixto, que presten los Servicios Públicos Domiciliarios definidos en el artículo primero de la Ley 142 de 1994.</w:t>
      </w:r>
    </w:p>
    <w:p w:rsidR="00355BC7" w:rsidRDefault="00355BC7" w:rsidP="00355BC7">
      <w:pPr>
        <w:autoSpaceDE w:val="0"/>
        <w:autoSpaceDN w:val="0"/>
        <w:adjustRightInd w:val="0"/>
        <w:jc w:val="both"/>
        <w:rPr>
          <w:rFonts w:ascii="Arial" w:eastAsia="Calibri" w:hAnsi="Arial" w:cs="Arial"/>
          <w:sz w:val="22"/>
          <w:szCs w:val="22"/>
          <w:highlight w:val="cyan"/>
          <w:lang w:eastAsia="en-US"/>
        </w:rPr>
      </w:pPr>
    </w:p>
    <w:p w:rsidR="00355BC7" w:rsidRDefault="00355BC7" w:rsidP="00355BC7">
      <w:pPr>
        <w:jc w:val="both"/>
        <w:rPr>
          <w:rFonts w:ascii="Arial" w:hAnsi="Arial" w:cs="Arial"/>
          <w:color w:val="000000" w:themeColor="text1"/>
          <w:sz w:val="22"/>
          <w:szCs w:val="22"/>
        </w:rPr>
      </w:pPr>
      <w:r>
        <w:rPr>
          <w:rFonts w:ascii="Arial" w:hAnsi="Arial" w:cs="Arial"/>
          <w:color w:val="000000" w:themeColor="text1"/>
          <w:sz w:val="22"/>
          <w:szCs w:val="22"/>
        </w:rPr>
        <w:t>El Municipio aportó la Resolución No. 383 del 26 de julio de 2011, mediante la cual se reconoce el Comité de Desarrollo y Control Social de los Servicios Públicos de Mitú, el cual en su artículo primero señala:</w:t>
      </w:r>
    </w:p>
    <w:p w:rsidR="00355BC7" w:rsidRDefault="00355BC7" w:rsidP="00355BC7">
      <w:pPr>
        <w:jc w:val="both"/>
        <w:rPr>
          <w:rFonts w:ascii="Arial" w:hAnsi="Arial" w:cs="Arial"/>
          <w:color w:val="000000" w:themeColor="text1"/>
          <w:sz w:val="22"/>
          <w:szCs w:val="22"/>
        </w:rPr>
      </w:pPr>
    </w:p>
    <w:p w:rsidR="00355BC7" w:rsidRPr="00752183" w:rsidRDefault="00355BC7" w:rsidP="00752183">
      <w:pPr>
        <w:ind w:left="1416"/>
        <w:jc w:val="both"/>
        <w:rPr>
          <w:rFonts w:ascii="Arial" w:hAnsi="Arial" w:cs="Arial"/>
          <w:i/>
          <w:color w:val="000000" w:themeColor="text1"/>
          <w:sz w:val="18"/>
          <w:szCs w:val="18"/>
        </w:rPr>
      </w:pPr>
      <w:r w:rsidRPr="00752183">
        <w:rPr>
          <w:rFonts w:ascii="Arial" w:hAnsi="Arial" w:cs="Arial"/>
          <w:i/>
          <w:color w:val="000000" w:themeColor="text1"/>
          <w:sz w:val="18"/>
          <w:szCs w:val="18"/>
        </w:rPr>
        <w:t xml:space="preserve">“ARTICULO PRIMERO: Reconocer el Comité de Desarrollo y Control Social de los servicios públicos domiciliarios de Mitú, el cual, de acuerdo con el acta de conformación anexa a este acto administrativo estará integrado por los siguientes miembros: </w:t>
      </w:r>
    </w:p>
    <w:p w:rsidR="00355BC7" w:rsidRPr="00AD4D0F" w:rsidRDefault="00355BC7" w:rsidP="00752183">
      <w:pPr>
        <w:ind w:left="2832"/>
        <w:jc w:val="both"/>
        <w:rPr>
          <w:rFonts w:ascii="Arial" w:hAnsi="Arial" w:cs="Arial"/>
          <w:sz w:val="18"/>
          <w:szCs w:val="18"/>
          <w:lang w:eastAsia="en-US"/>
        </w:rPr>
      </w:pPr>
    </w:p>
    <w:tbl>
      <w:tblPr>
        <w:tblStyle w:val="Listaclara-nfasis3"/>
        <w:tblW w:w="8320" w:type="dxa"/>
        <w:jc w:val="center"/>
        <w:tblInd w:w="0" w:type="dxa"/>
        <w:tblLook w:val="0620" w:firstRow="1" w:lastRow="0" w:firstColumn="0" w:lastColumn="0" w:noHBand="1" w:noVBand="1"/>
      </w:tblPr>
      <w:tblGrid>
        <w:gridCol w:w="2828"/>
        <w:gridCol w:w="2876"/>
        <w:gridCol w:w="2616"/>
      </w:tblGrid>
      <w:tr w:rsidR="00355BC7" w:rsidRPr="00AD4D0F" w:rsidTr="00752183">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8" w:space="0" w:color="9BBB59" w:themeColor="accent3"/>
              <w:left w:val="single" w:sz="8" w:space="0" w:color="9BBB59" w:themeColor="accent3"/>
              <w:bottom w:val="nil"/>
              <w:right w:val="nil"/>
            </w:tcBorders>
            <w:hideMark/>
          </w:tcPr>
          <w:p w:rsidR="00355BC7" w:rsidRPr="00752183" w:rsidRDefault="00355BC7">
            <w:pPr>
              <w:rPr>
                <w:rFonts w:ascii="Arial" w:hAnsi="Arial" w:cs="Arial"/>
                <w:i/>
                <w:iCs/>
                <w:sz w:val="18"/>
                <w:szCs w:val="18"/>
                <w:lang w:eastAsia="en-US"/>
              </w:rPr>
            </w:pPr>
            <w:r w:rsidRPr="00752183">
              <w:rPr>
                <w:rFonts w:ascii="Arial" w:hAnsi="Arial" w:cs="Arial"/>
                <w:i/>
                <w:iCs/>
                <w:sz w:val="18"/>
                <w:szCs w:val="18"/>
              </w:rPr>
              <w:t xml:space="preserve">NOMBRE </w:t>
            </w:r>
          </w:p>
        </w:tc>
        <w:tc>
          <w:tcPr>
            <w:tcW w:w="2876" w:type="dxa"/>
            <w:tcBorders>
              <w:top w:val="single" w:sz="8" w:space="0" w:color="9BBB59" w:themeColor="accent3"/>
              <w:left w:val="nil"/>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 xml:space="preserve">IDENTIFICACION </w:t>
            </w:r>
          </w:p>
        </w:tc>
        <w:tc>
          <w:tcPr>
            <w:tcW w:w="2616" w:type="dxa"/>
            <w:tcBorders>
              <w:top w:val="single" w:sz="8" w:space="0" w:color="9BBB59" w:themeColor="accent3"/>
              <w:left w:val="nil"/>
              <w:bottom w:val="nil"/>
              <w:right w:val="single" w:sz="8" w:space="0" w:color="9BBB59" w:themeColor="accent3"/>
            </w:tcBorders>
            <w:hideMark/>
          </w:tcPr>
          <w:p w:rsidR="00355BC7" w:rsidRPr="00752183" w:rsidRDefault="00355BC7">
            <w:pPr>
              <w:jc w:val="center"/>
              <w:rPr>
                <w:rFonts w:ascii="Arial" w:hAnsi="Arial" w:cs="Arial"/>
                <w:i/>
                <w:iCs/>
                <w:sz w:val="18"/>
                <w:szCs w:val="18"/>
              </w:rPr>
            </w:pPr>
            <w:r w:rsidRPr="00752183">
              <w:rPr>
                <w:rFonts w:ascii="Arial" w:hAnsi="Arial" w:cs="Arial"/>
                <w:i/>
                <w:iCs/>
                <w:sz w:val="18"/>
                <w:szCs w:val="18"/>
              </w:rPr>
              <w:t>CARGO</w:t>
            </w:r>
          </w:p>
        </w:tc>
      </w:tr>
      <w:tr w:rsidR="00355BC7" w:rsidRPr="00AD4D0F" w:rsidTr="00752183">
        <w:trPr>
          <w:jc w:val="center"/>
        </w:trPr>
        <w:tc>
          <w:tcPr>
            <w:tcW w:w="0" w:type="auto"/>
            <w:tcBorders>
              <w:top w:val="nil"/>
              <w:left w:val="single" w:sz="8" w:space="0" w:color="9BBB59" w:themeColor="accent3"/>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Luis Eduardo Guigua Arroyave</w:t>
            </w:r>
          </w:p>
        </w:tc>
        <w:tc>
          <w:tcPr>
            <w:tcW w:w="0" w:type="auto"/>
            <w:tcBorders>
              <w:top w:val="nil"/>
              <w:left w:val="nil"/>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CC. 18.202.525</w:t>
            </w:r>
          </w:p>
        </w:tc>
        <w:tc>
          <w:tcPr>
            <w:tcW w:w="0" w:type="auto"/>
            <w:tcBorders>
              <w:top w:val="nil"/>
              <w:left w:val="nil"/>
              <w:bottom w:val="nil"/>
              <w:right w:val="single" w:sz="8" w:space="0" w:color="9BBB59" w:themeColor="accent3"/>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Vocal de Control</w:t>
            </w:r>
          </w:p>
        </w:tc>
      </w:tr>
      <w:tr w:rsidR="00355BC7" w:rsidRPr="00AD4D0F" w:rsidTr="00752183">
        <w:trPr>
          <w:jc w:val="center"/>
        </w:trPr>
        <w:tc>
          <w:tcPr>
            <w:tcW w:w="0" w:type="auto"/>
            <w:tcBorders>
              <w:top w:val="nil"/>
              <w:left w:val="single" w:sz="8" w:space="0" w:color="9BBB59" w:themeColor="accent3"/>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Alvaro Lavao Dusán</w:t>
            </w:r>
          </w:p>
        </w:tc>
        <w:tc>
          <w:tcPr>
            <w:tcW w:w="0" w:type="auto"/>
            <w:tcBorders>
              <w:top w:val="nil"/>
              <w:left w:val="nil"/>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CC 4.904.289</w:t>
            </w:r>
          </w:p>
        </w:tc>
        <w:tc>
          <w:tcPr>
            <w:tcW w:w="0" w:type="auto"/>
            <w:tcBorders>
              <w:top w:val="nil"/>
              <w:left w:val="nil"/>
              <w:bottom w:val="nil"/>
              <w:right w:val="single" w:sz="8" w:space="0" w:color="9BBB59" w:themeColor="accent3"/>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Fiscal</w:t>
            </w:r>
          </w:p>
        </w:tc>
      </w:tr>
      <w:tr w:rsidR="00355BC7" w:rsidRPr="00AD4D0F" w:rsidTr="00752183">
        <w:trPr>
          <w:jc w:val="center"/>
        </w:trPr>
        <w:tc>
          <w:tcPr>
            <w:tcW w:w="0" w:type="auto"/>
            <w:tcBorders>
              <w:top w:val="nil"/>
              <w:left w:val="single" w:sz="8" w:space="0" w:color="9BBB59" w:themeColor="accent3"/>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Maria Ismery Parra</w:t>
            </w:r>
          </w:p>
        </w:tc>
        <w:tc>
          <w:tcPr>
            <w:tcW w:w="0" w:type="auto"/>
            <w:tcBorders>
              <w:top w:val="nil"/>
              <w:left w:val="nil"/>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CC 36.274.654</w:t>
            </w:r>
          </w:p>
        </w:tc>
        <w:tc>
          <w:tcPr>
            <w:tcW w:w="0" w:type="auto"/>
            <w:tcBorders>
              <w:top w:val="nil"/>
              <w:left w:val="nil"/>
              <w:bottom w:val="nil"/>
              <w:right w:val="single" w:sz="8" w:space="0" w:color="9BBB59" w:themeColor="accent3"/>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Tesorera</w:t>
            </w:r>
          </w:p>
        </w:tc>
      </w:tr>
      <w:tr w:rsidR="00355BC7" w:rsidRPr="00AD4D0F" w:rsidTr="00752183">
        <w:trPr>
          <w:jc w:val="center"/>
        </w:trPr>
        <w:tc>
          <w:tcPr>
            <w:tcW w:w="0" w:type="auto"/>
            <w:tcBorders>
              <w:top w:val="nil"/>
              <w:left w:val="single" w:sz="8" w:space="0" w:color="9BBB59" w:themeColor="accent3"/>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Maria Esperanza Ladino Vogoya</w:t>
            </w:r>
          </w:p>
        </w:tc>
        <w:tc>
          <w:tcPr>
            <w:tcW w:w="0" w:type="auto"/>
            <w:tcBorders>
              <w:top w:val="nil"/>
              <w:left w:val="nil"/>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CC 40.383.754</w:t>
            </w:r>
          </w:p>
        </w:tc>
        <w:tc>
          <w:tcPr>
            <w:tcW w:w="0" w:type="auto"/>
            <w:tcBorders>
              <w:top w:val="nil"/>
              <w:left w:val="nil"/>
              <w:bottom w:val="nil"/>
              <w:right w:val="single" w:sz="8" w:space="0" w:color="9BBB59" w:themeColor="accent3"/>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Secretaria</w:t>
            </w:r>
          </w:p>
        </w:tc>
      </w:tr>
      <w:tr w:rsidR="00355BC7" w:rsidRPr="00AD4D0F" w:rsidTr="00752183">
        <w:trPr>
          <w:jc w:val="center"/>
        </w:trPr>
        <w:tc>
          <w:tcPr>
            <w:tcW w:w="0" w:type="auto"/>
            <w:tcBorders>
              <w:top w:val="nil"/>
              <w:left w:val="single" w:sz="8" w:space="0" w:color="9BBB59" w:themeColor="accent3"/>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lastRenderedPageBreak/>
              <w:t>Pedro Ramirez Andrade</w:t>
            </w:r>
          </w:p>
        </w:tc>
        <w:tc>
          <w:tcPr>
            <w:tcW w:w="0" w:type="auto"/>
            <w:tcBorders>
              <w:top w:val="nil"/>
              <w:left w:val="nil"/>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CC 18.201.799</w:t>
            </w:r>
          </w:p>
        </w:tc>
        <w:tc>
          <w:tcPr>
            <w:tcW w:w="0" w:type="auto"/>
            <w:tcBorders>
              <w:top w:val="nil"/>
              <w:left w:val="nil"/>
              <w:bottom w:val="nil"/>
              <w:right w:val="single" w:sz="8" w:space="0" w:color="9BBB59" w:themeColor="accent3"/>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Veedor</w:t>
            </w:r>
          </w:p>
        </w:tc>
      </w:tr>
      <w:tr w:rsidR="00355BC7" w:rsidRPr="00AD4D0F" w:rsidTr="00752183">
        <w:trPr>
          <w:jc w:val="center"/>
        </w:trPr>
        <w:tc>
          <w:tcPr>
            <w:tcW w:w="0" w:type="auto"/>
            <w:tcBorders>
              <w:top w:val="nil"/>
              <w:left w:val="single" w:sz="8" w:space="0" w:color="9BBB59" w:themeColor="accent3"/>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Edison León Arias</w:t>
            </w:r>
          </w:p>
        </w:tc>
        <w:tc>
          <w:tcPr>
            <w:tcW w:w="0" w:type="auto"/>
            <w:tcBorders>
              <w:top w:val="nil"/>
              <w:left w:val="nil"/>
              <w:bottom w:val="nil"/>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CC 7.489.537</w:t>
            </w:r>
          </w:p>
        </w:tc>
        <w:tc>
          <w:tcPr>
            <w:tcW w:w="0" w:type="auto"/>
            <w:tcBorders>
              <w:top w:val="nil"/>
              <w:left w:val="nil"/>
              <w:bottom w:val="nil"/>
              <w:right w:val="single" w:sz="8" w:space="0" w:color="9BBB59" w:themeColor="accent3"/>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Veedor</w:t>
            </w:r>
          </w:p>
        </w:tc>
      </w:tr>
      <w:tr w:rsidR="00355BC7" w:rsidRPr="00AD4D0F" w:rsidTr="00752183">
        <w:trPr>
          <w:jc w:val="center"/>
        </w:trPr>
        <w:tc>
          <w:tcPr>
            <w:tcW w:w="0" w:type="auto"/>
            <w:tcBorders>
              <w:top w:val="nil"/>
              <w:left w:val="single" w:sz="8" w:space="0" w:color="9BBB59" w:themeColor="accent3"/>
              <w:bottom w:val="single" w:sz="8" w:space="0" w:color="9BBB59" w:themeColor="accent3"/>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Nubia Buriticá</w:t>
            </w:r>
          </w:p>
        </w:tc>
        <w:tc>
          <w:tcPr>
            <w:tcW w:w="0" w:type="auto"/>
            <w:tcBorders>
              <w:top w:val="nil"/>
              <w:left w:val="nil"/>
              <w:bottom w:val="single" w:sz="8" w:space="0" w:color="9BBB59" w:themeColor="accent3"/>
              <w:right w:val="nil"/>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CC 24.770.281</w:t>
            </w:r>
          </w:p>
        </w:tc>
        <w:tc>
          <w:tcPr>
            <w:tcW w:w="0" w:type="auto"/>
            <w:tcBorders>
              <w:top w:val="nil"/>
              <w:left w:val="nil"/>
              <w:bottom w:val="single" w:sz="8" w:space="0" w:color="9BBB59" w:themeColor="accent3"/>
              <w:right w:val="single" w:sz="8" w:space="0" w:color="9BBB59" w:themeColor="accent3"/>
            </w:tcBorders>
            <w:hideMark/>
          </w:tcPr>
          <w:p w:rsidR="00355BC7" w:rsidRPr="00752183" w:rsidRDefault="00355BC7">
            <w:pPr>
              <w:rPr>
                <w:rFonts w:ascii="Arial" w:hAnsi="Arial" w:cs="Arial"/>
                <w:i/>
                <w:iCs/>
                <w:sz w:val="18"/>
                <w:szCs w:val="18"/>
              </w:rPr>
            </w:pPr>
            <w:r w:rsidRPr="00752183">
              <w:rPr>
                <w:rFonts w:ascii="Arial" w:hAnsi="Arial" w:cs="Arial"/>
                <w:i/>
                <w:iCs/>
                <w:sz w:val="18"/>
                <w:szCs w:val="18"/>
              </w:rPr>
              <w:t>Veedor</w:t>
            </w:r>
          </w:p>
        </w:tc>
      </w:tr>
    </w:tbl>
    <w:p w:rsidR="00355BC7" w:rsidRDefault="00355BC7" w:rsidP="00355BC7">
      <w:pPr>
        <w:jc w:val="both"/>
        <w:rPr>
          <w:rFonts w:ascii="Arial" w:hAnsi="Arial" w:cs="Arial"/>
          <w:color w:val="000000" w:themeColor="text1"/>
          <w:sz w:val="22"/>
          <w:szCs w:val="22"/>
          <w:lang w:val="en-US"/>
        </w:rPr>
      </w:pPr>
    </w:p>
    <w:p w:rsidR="00355BC7" w:rsidRDefault="00355BC7" w:rsidP="00355BC7">
      <w:pPr>
        <w:jc w:val="both"/>
        <w:rPr>
          <w:rFonts w:ascii="Arial" w:hAnsi="Arial" w:cs="Arial"/>
          <w:sz w:val="22"/>
          <w:szCs w:val="22"/>
        </w:rPr>
      </w:pPr>
      <w:r>
        <w:rPr>
          <w:rFonts w:ascii="Arial" w:hAnsi="Arial" w:cs="Arial"/>
          <w:color w:val="000000" w:themeColor="text1"/>
          <w:sz w:val="22"/>
          <w:szCs w:val="22"/>
          <w:lang w:val="es-CO"/>
        </w:rPr>
        <w:t xml:space="preserve">El Decreto anexa la notificación realizada al señor </w:t>
      </w:r>
      <w:r>
        <w:rPr>
          <w:rFonts w:ascii="Arial" w:hAnsi="Arial" w:cs="Arial"/>
          <w:sz w:val="22"/>
          <w:szCs w:val="22"/>
        </w:rPr>
        <w:t>Luis Eduardo Quigua Arroyave, como Vocal de Control y el Acta de la Asamblea mediante la cual se constituyó el Comité de Desarrollo y Control Social, listado de asistencia firmado por los asistentes de fecha 21 de junio de 2011.</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color w:val="000000" w:themeColor="text1"/>
          <w:sz w:val="22"/>
          <w:szCs w:val="22"/>
          <w:lang w:val="es-CO"/>
        </w:rPr>
      </w:pPr>
      <w:r>
        <w:rPr>
          <w:rFonts w:ascii="Arial" w:hAnsi="Arial" w:cs="Arial"/>
          <w:sz w:val="22"/>
          <w:szCs w:val="22"/>
        </w:rPr>
        <w:t>La Administración Municipal no aportó evidencias sobre el funcionamiento reciente del Comité y sobre si sus miembros siguen activos.</w:t>
      </w:r>
    </w:p>
    <w:p w:rsidR="00355BC7" w:rsidRDefault="00355BC7" w:rsidP="00355BC7">
      <w:pPr>
        <w:jc w:val="both"/>
        <w:rPr>
          <w:rFonts w:ascii="Arial" w:hAnsi="Arial" w:cs="Arial"/>
          <w:color w:val="000000" w:themeColor="text1"/>
          <w:sz w:val="22"/>
          <w:szCs w:val="22"/>
          <w:lang w:val="es-CO"/>
        </w:rPr>
      </w:pPr>
    </w:p>
    <w:p w:rsidR="00355BC7" w:rsidRDefault="00355BC7" w:rsidP="00355BC7">
      <w:pPr>
        <w:jc w:val="both"/>
        <w:rPr>
          <w:rFonts w:ascii="Arial" w:hAnsi="Arial" w:cs="Arial"/>
          <w:color w:val="000000" w:themeColor="text1"/>
          <w:sz w:val="22"/>
          <w:szCs w:val="22"/>
        </w:rPr>
      </w:pPr>
      <w:r>
        <w:rPr>
          <w:rFonts w:ascii="Arial" w:hAnsi="Arial" w:cs="Arial"/>
          <w:color w:val="000000" w:themeColor="text1"/>
          <w:sz w:val="22"/>
          <w:szCs w:val="22"/>
          <w:lang w:val="es-CO"/>
        </w:rPr>
        <w:t xml:space="preserve">No obstante, en un </w:t>
      </w:r>
      <w:r>
        <w:rPr>
          <w:rFonts w:ascii="Arial" w:hAnsi="Arial" w:cs="Arial"/>
          <w:color w:val="000000" w:themeColor="text1"/>
          <w:sz w:val="22"/>
          <w:szCs w:val="22"/>
        </w:rPr>
        <w:t>informe de evaluación realizado por la Superintendencia de Servicios Públicos “</w:t>
      </w:r>
      <w:r>
        <w:rPr>
          <w:rFonts w:ascii="Arial" w:hAnsi="Arial" w:cs="Arial"/>
          <w:i/>
          <w:sz w:val="22"/>
          <w:szCs w:val="22"/>
        </w:rPr>
        <w:t>EVALUACIÓN INTEGRAL DE PRESTADORES UNIDAD ESPECIAL DE SERVICIOS PUBLICOS DOMICILIARIOS DEL MUNICIPIO DE MITÚ”</w:t>
      </w:r>
      <w:r>
        <w:rPr>
          <w:rFonts w:ascii="Arial" w:hAnsi="Arial" w:cs="Arial"/>
          <w:i/>
          <w:sz w:val="22"/>
          <w:szCs w:val="22"/>
          <w:vertAlign w:val="superscript"/>
        </w:rPr>
        <w:footnoteReference w:id="14"/>
      </w:r>
      <w:r>
        <w:rPr>
          <w:rFonts w:ascii="Arial" w:hAnsi="Arial" w:cs="Arial"/>
          <w:i/>
          <w:sz w:val="22"/>
          <w:szCs w:val="22"/>
        </w:rPr>
        <w:t xml:space="preserve">, en diciembre de 2019 </w:t>
      </w:r>
      <w:r>
        <w:rPr>
          <w:rFonts w:ascii="Arial" w:hAnsi="Arial" w:cs="Arial"/>
          <w:color w:val="000000" w:themeColor="text1"/>
          <w:sz w:val="22"/>
          <w:szCs w:val="22"/>
        </w:rPr>
        <w:t>al Municipio de Mitú, en virtud de una visita de inspección que realizó la Superintendencia de Servicios Públicos al Municipio en diciembre de 2019, se manifestó:</w:t>
      </w:r>
    </w:p>
    <w:p w:rsidR="00355BC7" w:rsidRDefault="00355BC7" w:rsidP="00355BC7">
      <w:pPr>
        <w:jc w:val="both"/>
        <w:rPr>
          <w:rFonts w:ascii="Arial" w:hAnsi="Arial" w:cs="Arial"/>
          <w:color w:val="000000" w:themeColor="text1"/>
          <w:sz w:val="22"/>
          <w:szCs w:val="22"/>
        </w:rPr>
      </w:pPr>
    </w:p>
    <w:p w:rsidR="00355BC7" w:rsidRPr="00752183" w:rsidRDefault="00355BC7" w:rsidP="00355BC7">
      <w:pPr>
        <w:ind w:left="1416"/>
        <w:jc w:val="both"/>
        <w:rPr>
          <w:rFonts w:ascii="Arial" w:hAnsi="Arial" w:cs="Arial"/>
          <w:b/>
          <w:i/>
          <w:color w:val="000000" w:themeColor="text1"/>
          <w:sz w:val="18"/>
          <w:szCs w:val="22"/>
        </w:rPr>
      </w:pPr>
      <w:r w:rsidRPr="00752183">
        <w:rPr>
          <w:rFonts w:ascii="Arial" w:hAnsi="Arial" w:cs="Arial"/>
          <w:b/>
          <w:i/>
          <w:color w:val="000000" w:themeColor="text1"/>
          <w:sz w:val="18"/>
          <w:szCs w:val="22"/>
        </w:rPr>
        <w:t>“Comité de Desarrollo y Control Social – CDCS y Vocal de Control</w:t>
      </w:r>
    </w:p>
    <w:p w:rsidR="00355BC7" w:rsidRPr="00752183" w:rsidRDefault="00355BC7" w:rsidP="00355BC7">
      <w:pPr>
        <w:jc w:val="both"/>
        <w:rPr>
          <w:rFonts w:ascii="Arial" w:hAnsi="Arial" w:cs="Arial"/>
          <w:i/>
          <w:color w:val="000000" w:themeColor="text1"/>
          <w:sz w:val="18"/>
          <w:szCs w:val="22"/>
        </w:rPr>
      </w:pPr>
    </w:p>
    <w:p w:rsidR="00355BC7" w:rsidRPr="00752183" w:rsidRDefault="00355BC7" w:rsidP="00355BC7">
      <w:pPr>
        <w:ind w:left="1416"/>
        <w:jc w:val="both"/>
        <w:rPr>
          <w:rFonts w:ascii="Arial" w:hAnsi="Arial" w:cs="Arial"/>
          <w:i/>
          <w:sz w:val="18"/>
          <w:szCs w:val="22"/>
        </w:rPr>
      </w:pPr>
      <w:r w:rsidRPr="00752183">
        <w:rPr>
          <w:rFonts w:ascii="Arial" w:hAnsi="Arial" w:cs="Arial"/>
          <w:i/>
          <w:sz w:val="18"/>
          <w:szCs w:val="22"/>
        </w:rPr>
        <w:t>En el SUI se evidenció que en el municipio está constituido el CDCS y que se eligió vocal de control de servicios públicos dentro del mismo comité. Igualmente, en el SUI se encontró la Resolución No. 383 del 25 de julio de 2011, por medio de la cual la administración municipal reconoció el CDCS de los servicios públicos de Mitú; al señor Luis Eduardo Quigua Arroyave, identificado con C.C. 18’202.525, como vocal de control de servicios públicos del municipio, a la fecha de hoy continua en el cargo.</w:t>
      </w:r>
    </w:p>
    <w:p w:rsidR="00355BC7" w:rsidRDefault="00355BC7" w:rsidP="00355BC7">
      <w:pPr>
        <w:rPr>
          <w:rFonts w:ascii="Arial" w:hAnsi="Arial" w:cs="Arial"/>
          <w:sz w:val="22"/>
          <w:szCs w:val="22"/>
        </w:rPr>
      </w:pPr>
    </w:p>
    <w:p w:rsidR="00355BC7" w:rsidRDefault="00355BC7" w:rsidP="00355BC7">
      <w:pPr>
        <w:rPr>
          <w:rFonts w:ascii="Arial" w:hAnsi="Arial" w:cs="Arial"/>
          <w:i/>
          <w:iCs/>
          <w:sz w:val="22"/>
          <w:szCs w:val="22"/>
        </w:rPr>
      </w:pPr>
      <w:r>
        <w:rPr>
          <w:rFonts w:ascii="Arial" w:hAnsi="Arial" w:cs="Arial"/>
          <w:iCs/>
          <w:sz w:val="22"/>
          <w:szCs w:val="22"/>
        </w:rPr>
        <w:t>Continua el documento señalando que:</w:t>
      </w:r>
    </w:p>
    <w:p w:rsidR="00355BC7" w:rsidRDefault="00355BC7" w:rsidP="00752183">
      <w:pPr>
        <w:rPr>
          <w:rFonts w:ascii="Arial" w:hAnsi="Arial" w:cs="Arial"/>
          <w:i/>
          <w:iCs/>
          <w:sz w:val="22"/>
          <w:szCs w:val="22"/>
        </w:rPr>
      </w:pPr>
    </w:p>
    <w:p w:rsidR="00355BC7" w:rsidRPr="00752183" w:rsidRDefault="00355BC7" w:rsidP="00355BC7">
      <w:pPr>
        <w:ind w:left="1416"/>
        <w:rPr>
          <w:rFonts w:ascii="Arial" w:hAnsi="Arial" w:cs="Arial"/>
          <w:i/>
          <w:iCs/>
          <w:sz w:val="18"/>
          <w:szCs w:val="22"/>
        </w:rPr>
      </w:pPr>
      <w:r w:rsidRPr="00752183">
        <w:rPr>
          <w:rFonts w:ascii="Arial" w:hAnsi="Arial" w:cs="Arial"/>
          <w:i/>
          <w:iCs/>
          <w:sz w:val="18"/>
          <w:szCs w:val="22"/>
        </w:rPr>
        <w:t>“Se verificó en el enlace http://apinternas.superservicios.gov.co/vocalesweb/publicacion/mapa.jsf?d=25 y se encuentra registrado el señor Luis Eduardo Quigua Arroyave”</w:t>
      </w:r>
      <w:r w:rsidRPr="00752183">
        <w:rPr>
          <w:rFonts w:ascii="Arial" w:hAnsi="Arial" w:cs="Arial"/>
          <w:i/>
          <w:iCs/>
          <w:sz w:val="18"/>
          <w:szCs w:val="22"/>
          <w:vertAlign w:val="superscript"/>
        </w:rPr>
        <w:footnoteReference w:id="15"/>
      </w:r>
      <w:r w:rsidRPr="00752183">
        <w:rPr>
          <w:rFonts w:ascii="Arial" w:hAnsi="Arial" w:cs="Arial"/>
          <w:i/>
          <w:iCs/>
          <w:sz w:val="18"/>
          <w:szCs w:val="22"/>
        </w:rPr>
        <w:t>.</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color w:val="000000" w:themeColor="text1"/>
          <w:sz w:val="22"/>
          <w:szCs w:val="22"/>
        </w:rPr>
      </w:pPr>
      <w:r>
        <w:rPr>
          <w:rFonts w:ascii="Arial" w:hAnsi="Arial" w:cs="Arial"/>
          <w:color w:val="000000" w:themeColor="text1"/>
          <w:sz w:val="22"/>
          <w:szCs w:val="22"/>
        </w:rPr>
        <w:t>Es recomendable que la Entidad Territorial ubique a los miembros activos del Comité o en su defecto en el evento de no encontrarlos convoque una asamblea para reestablecer los miembros y reactive el Comité.</w:t>
      </w:r>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b/>
          <w:sz w:val="22"/>
          <w:szCs w:val="22"/>
        </w:rPr>
      </w:pPr>
      <w:r>
        <w:rPr>
          <w:rFonts w:ascii="Arial" w:hAnsi="Arial" w:cs="Arial"/>
          <w:b/>
          <w:sz w:val="22"/>
          <w:szCs w:val="22"/>
        </w:rPr>
        <w:t>REGIMEN TARIFARIO</w:t>
      </w:r>
      <w:r w:rsidR="00AD4D0F">
        <w:rPr>
          <w:rFonts w:ascii="Arial" w:hAnsi="Arial" w:cs="Arial"/>
          <w:b/>
          <w:sz w:val="22"/>
          <w:szCs w:val="22"/>
        </w:rPr>
        <w:t>.</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Sobre este tema en particular no se recibieron documentos que evidenciara la adopción del régimen tarifario, así como tampoco sobre el Plan de Inversiones Tarifarias.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Sin embargo, en el marco de las reuniones de reconocimiento institucional realizado de manera virtual entre el 27 de mayo y el 5 de junio de 2020, el Municipio manifestó que el marco tarifario está regulado en la Resolución No. 287 de 2015. En ese sentido, en la </w:t>
      </w:r>
      <w:r>
        <w:rPr>
          <w:rFonts w:ascii="Arial" w:hAnsi="Arial" w:cs="Arial"/>
          <w:sz w:val="22"/>
          <w:szCs w:val="22"/>
        </w:rPr>
        <w:lastRenderedPageBreak/>
        <w:t>reunión del 1 de junio con la Secretaria de Obras municipal se manifestó lo siguiente en el tiempo 1:18:49 de la grabación de la reunión</w:t>
      </w:r>
      <w:r>
        <w:rPr>
          <w:rFonts w:ascii="Arial" w:hAnsi="Arial" w:cs="Arial"/>
          <w:sz w:val="22"/>
          <w:szCs w:val="22"/>
          <w:vertAlign w:val="superscript"/>
        </w:rPr>
        <w:footnoteReference w:id="16"/>
      </w:r>
      <w:r>
        <w:rPr>
          <w:rFonts w:ascii="Arial" w:hAnsi="Arial" w:cs="Arial"/>
          <w:sz w:val="22"/>
          <w:szCs w:val="22"/>
        </w:rPr>
        <w:t>:</w:t>
      </w:r>
    </w:p>
    <w:p w:rsidR="00355BC7" w:rsidRDefault="00355BC7" w:rsidP="00355BC7">
      <w:pPr>
        <w:jc w:val="both"/>
        <w:rPr>
          <w:rFonts w:ascii="Arial" w:hAnsi="Arial" w:cs="Arial"/>
          <w:b/>
          <w:sz w:val="22"/>
          <w:szCs w:val="22"/>
        </w:rPr>
      </w:pPr>
      <w:r>
        <w:rPr>
          <w:rFonts w:ascii="Arial" w:hAnsi="Arial" w:cs="Arial"/>
          <w:b/>
          <w:sz w:val="22"/>
          <w:szCs w:val="22"/>
        </w:rPr>
        <w:t xml:space="preserve"> </w:t>
      </w:r>
    </w:p>
    <w:p w:rsidR="00355BC7" w:rsidRPr="00752183" w:rsidRDefault="00355BC7" w:rsidP="00355BC7">
      <w:pPr>
        <w:ind w:left="1416"/>
        <w:contextualSpacing/>
        <w:jc w:val="both"/>
        <w:rPr>
          <w:rFonts w:ascii="Arial" w:hAnsi="Arial" w:cs="Arial"/>
          <w:i/>
          <w:sz w:val="18"/>
          <w:szCs w:val="22"/>
        </w:rPr>
      </w:pPr>
      <w:r w:rsidRPr="00752183">
        <w:rPr>
          <w:rFonts w:ascii="Arial" w:hAnsi="Arial" w:cs="Arial"/>
          <w:i/>
          <w:sz w:val="18"/>
          <w:szCs w:val="22"/>
        </w:rPr>
        <w:t>“En el año 2015 hubo una consultoría, un Plan de Aseguramiento Urbano, y en ese plan de aseguramiento le entregaron a la Unidad las tarifas de servicio públicos bajo la Resolución 287, ..eh,  digamos en ese momento hicieron el cálculo de las tarifas y entregaron un estudio tarifario, pero no entregaron como el Excel, ni la base de cálculo de las tarifas, entonces digamos que no tenemos conocimiento de que plan de obras o inversión utilizaron para calcular ese CMI, ese Costo Medio de Inversión de las Tarifas, eh…, no se sabe, pero obviamente, digamos  que, que  de SGP si se han hecho, bueno desde los dos lado  se han hecho inversiones, pero la tarifa, es una tarifa que esta desactualizada, es una tarifa pues, realmente muy baja, pero ya el Municipio está en proceso para empezar actualizar las tarifas con la Resolución 825 de 2017</w:t>
      </w:r>
      <w:r w:rsidRPr="00752183">
        <w:rPr>
          <w:rFonts w:ascii="Arial" w:hAnsi="Arial" w:cs="Arial"/>
          <w:i/>
          <w:sz w:val="18"/>
          <w:szCs w:val="22"/>
          <w:vertAlign w:val="superscript"/>
        </w:rPr>
        <w:footnoteReference w:id="17"/>
      </w:r>
      <w:r w:rsidRPr="00752183">
        <w:rPr>
          <w:rFonts w:ascii="Arial" w:hAnsi="Arial" w:cs="Arial"/>
          <w:i/>
          <w:sz w:val="18"/>
          <w:szCs w:val="22"/>
        </w:rPr>
        <w:t xml:space="preserve">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Adicionalmente, en la misma reunión se manifestó que al régimen tarifario, se le han hecho las indexaciones que autoriza la Comisión Reguladora de Agua Potable y Saneamiento Básico - CRA, pero no se ha actualizado el estudio tarifario de acueducto, alcantarillado, y aseo, los cuales se encuentran vencidos. Finalmente se expresó que se encontraban en el proceso de la formulación del proyecto de actualización.</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A partir de la descripción realizada por el Municipio, se puede concluir que el marco tarifario que implementa la Entidad Territorial se encuentra desactualizado y adicionalmente el instrumento legal que rige el lineamiento del costo de la tarifa la utilizan sin conocimiento de las bases del calculo que se utilizó para su adopción.</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Por otra parte, se desconoce sí al momento de la aprobación y expedición del marco tarifario el Municipio lo socializó con la comunidad, esto en virtud de lo establecido en los artículos 5.1.1.1 y </w:t>
      </w:r>
      <w:r>
        <w:rPr>
          <w:rFonts w:ascii="Arial" w:eastAsia="Calibri" w:hAnsi="Arial" w:cs="Arial"/>
          <w:sz w:val="22"/>
          <w:szCs w:val="22"/>
          <w:lang w:val="es-CO"/>
        </w:rPr>
        <w:t>5.1.1.2</w:t>
      </w:r>
      <w:r>
        <w:rPr>
          <w:rFonts w:ascii="Arial" w:hAnsi="Arial" w:cs="Arial"/>
          <w:sz w:val="22"/>
          <w:szCs w:val="22"/>
        </w:rPr>
        <w:t xml:space="preserve"> de la Resolución No. 151 de 2001 de la Comisión de Regulación de Agua Potable y Saneamiento Básico relacionado con la remisión de estudio tarifario a la Superintendencia de Servicios Públicos y CRA para su revisión y por otro lado la socialización con la comunidad y vocal de control.</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Es recomendable, que el Municipio de celeridad a la formulación del proyecto de actualización del marco tarifario.</w:t>
      </w:r>
    </w:p>
    <w:p w:rsidR="00355BC7" w:rsidRDefault="00355BC7" w:rsidP="00355BC7">
      <w:pPr>
        <w:jc w:val="both"/>
        <w:rPr>
          <w:rFonts w:ascii="Arial" w:hAnsi="Arial" w:cs="Arial"/>
          <w:sz w:val="22"/>
          <w:szCs w:val="22"/>
        </w:rPr>
      </w:pPr>
    </w:p>
    <w:p w:rsidR="00355BC7" w:rsidRDefault="00355BC7" w:rsidP="00355BC7">
      <w:pPr>
        <w:autoSpaceDE w:val="0"/>
        <w:autoSpaceDN w:val="0"/>
        <w:adjustRightInd w:val="0"/>
        <w:ind w:firstLine="2"/>
        <w:jc w:val="both"/>
        <w:rPr>
          <w:rFonts w:ascii="Arial" w:hAnsi="Arial" w:cs="Arial"/>
          <w:sz w:val="22"/>
          <w:szCs w:val="22"/>
        </w:rPr>
      </w:pPr>
      <w:r>
        <w:rPr>
          <w:rFonts w:ascii="Arial" w:hAnsi="Arial" w:cs="Arial"/>
          <w:sz w:val="22"/>
          <w:szCs w:val="22"/>
        </w:rPr>
        <w:t xml:space="preserve">Finalmente, a través del informe </w:t>
      </w:r>
      <w:r>
        <w:rPr>
          <w:rFonts w:ascii="Arial" w:hAnsi="Arial" w:cs="Arial"/>
          <w:i/>
          <w:sz w:val="22"/>
          <w:szCs w:val="22"/>
        </w:rPr>
        <w:t>“EVALUACIÓN INTEGRAL DE PRESTADORES UNIDAD ESPECIAL DE SERVICIOS PUBLICOS DOMICILIARIOS DEL MUNICIPIO DE MIT’U”</w:t>
      </w:r>
      <w:r>
        <w:rPr>
          <w:rFonts w:ascii="Arial" w:hAnsi="Arial" w:cs="Arial"/>
          <w:sz w:val="22"/>
          <w:szCs w:val="22"/>
        </w:rPr>
        <w:t xml:space="preserve"> de diciembre de 2019 realizado por la Superintendencia de Servicios Públicos en diciembre de 2019, se conoció que el Municipio de Mitú no hace una correcta aplicación de los porcentajes de subsidios, de la siguiente manera se pronunció la Superintendencia en su informe:</w:t>
      </w:r>
    </w:p>
    <w:p w:rsidR="00355BC7" w:rsidRDefault="00355BC7" w:rsidP="00355BC7">
      <w:pPr>
        <w:autoSpaceDE w:val="0"/>
        <w:autoSpaceDN w:val="0"/>
        <w:adjustRightInd w:val="0"/>
        <w:ind w:firstLine="2"/>
        <w:jc w:val="both"/>
        <w:rPr>
          <w:rFonts w:ascii="Arial" w:hAnsi="Arial" w:cs="Arial"/>
          <w:sz w:val="22"/>
          <w:szCs w:val="22"/>
        </w:rPr>
      </w:pPr>
    </w:p>
    <w:p w:rsidR="00355BC7" w:rsidRDefault="00355BC7" w:rsidP="00355BC7">
      <w:pPr>
        <w:autoSpaceDE w:val="0"/>
        <w:autoSpaceDN w:val="0"/>
        <w:adjustRightInd w:val="0"/>
        <w:ind w:firstLine="2"/>
        <w:jc w:val="both"/>
        <w:rPr>
          <w:rFonts w:ascii="Arial" w:eastAsia="Calibri" w:hAnsi="Arial" w:cs="Arial"/>
          <w:i/>
          <w:sz w:val="22"/>
          <w:szCs w:val="22"/>
          <w:lang w:val="es-CO"/>
        </w:rPr>
      </w:pPr>
      <w:r>
        <w:rPr>
          <w:rFonts w:ascii="Arial" w:eastAsia="Calibri" w:hAnsi="Arial" w:cs="Arial"/>
          <w:i/>
          <w:sz w:val="22"/>
          <w:szCs w:val="22"/>
          <w:lang w:val="es-CO"/>
        </w:rPr>
        <w:lastRenderedPageBreak/>
        <w:t>“Los subsidios y contribuciones definidos por el Municipio a través del acuerdo 002 de enero de 2017. Este acuerdo aplica para las vigencias 2017 al 2021. Con esta información, se verifica la aplicación del acuerdo</w:t>
      </w:r>
      <w:r>
        <w:rPr>
          <w:rFonts w:ascii="Arial" w:eastAsia="Calibri" w:hAnsi="Arial" w:cs="Arial"/>
          <w:i/>
          <w:sz w:val="22"/>
          <w:szCs w:val="22"/>
          <w:lang w:val="es-CO"/>
        </w:rPr>
        <w:footnoteReference w:id="18"/>
      </w:r>
      <w:r>
        <w:rPr>
          <w:rFonts w:ascii="Arial" w:eastAsia="Calibri" w:hAnsi="Arial" w:cs="Arial"/>
          <w:i/>
          <w:sz w:val="22"/>
          <w:szCs w:val="22"/>
          <w:lang w:val="es-CO"/>
        </w:rPr>
        <w:t>”.</w:t>
      </w:r>
    </w:p>
    <w:p w:rsidR="00355BC7" w:rsidRDefault="00355BC7" w:rsidP="00355BC7">
      <w:pPr>
        <w:ind w:left="1416"/>
        <w:contextualSpacing/>
        <w:jc w:val="both"/>
        <w:rPr>
          <w:rFonts w:ascii="Arial" w:eastAsia="Calibri" w:hAnsi="Arial" w:cs="Arial"/>
          <w:i/>
          <w:sz w:val="18"/>
          <w:szCs w:val="18"/>
          <w:lang w:val="es-CO"/>
        </w:rPr>
      </w:pPr>
    </w:p>
    <w:p w:rsidR="00355BC7" w:rsidRDefault="00355BC7" w:rsidP="00355BC7">
      <w:pPr>
        <w:ind w:left="1416"/>
        <w:contextualSpacing/>
        <w:jc w:val="center"/>
        <w:rPr>
          <w:rFonts w:ascii="Arial" w:eastAsia="Calibri" w:hAnsi="Arial" w:cs="Arial"/>
          <w:b/>
          <w:i/>
          <w:sz w:val="18"/>
          <w:szCs w:val="18"/>
          <w:lang w:val="es-CO"/>
        </w:rPr>
      </w:pPr>
      <w:r>
        <w:rPr>
          <w:rFonts w:ascii="Arial" w:eastAsia="Calibri" w:hAnsi="Arial" w:cs="Arial"/>
          <w:b/>
          <w:i/>
          <w:sz w:val="18"/>
          <w:szCs w:val="18"/>
          <w:lang w:val="es-CO"/>
        </w:rPr>
        <w:t>Imagen 49 Aplicación de Subsidios-Variación de tarifas Acueducto</w:t>
      </w:r>
    </w:p>
    <w:tbl>
      <w:tblPr>
        <w:tblpPr w:leftFromText="180" w:rightFromText="180" w:vertAnchor="text" w:tblpXSpec="center" w:tblpY="1"/>
        <w:tblOverlap w:val="never"/>
        <w:tblW w:w="0" w:type="dxa"/>
        <w:tblBorders>
          <w:top w:val="single" w:sz="4" w:space="0" w:color="auto"/>
        </w:tblBorders>
        <w:tblLayout w:type="fixed"/>
        <w:tblLook w:val="04A0" w:firstRow="1" w:lastRow="0" w:firstColumn="1" w:lastColumn="0" w:noHBand="0" w:noVBand="1"/>
      </w:tblPr>
      <w:tblGrid>
        <w:gridCol w:w="567"/>
        <w:gridCol w:w="567"/>
        <w:gridCol w:w="850"/>
        <w:gridCol w:w="992"/>
        <w:gridCol w:w="866"/>
        <w:gridCol w:w="1134"/>
        <w:gridCol w:w="850"/>
        <w:gridCol w:w="709"/>
        <w:gridCol w:w="992"/>
        <w:gridCol w:w="836"/>
        <w:gridCol w:w="992"/>
      </w:tblGrid>
      <w:tr w:rsidR="00355BC7" w:rsidTr="00355BC7">
        <w:trPr>
          <w:gridBefore w:val="3"/>
          <w:wBefore w:w="1984" w:type="dxa"/>
          <w:trHeight w:val="986"/>
        </w:trPr>
        <w:tc>
          <w:tcPr>
            <w:tcW w:w="992" w:type="dxa"/>
            <w:tcBorders>
              <w:top w:val="single" w:sz="4" w:space="0" w:color="auto"/>
              <w:left w:val="nil"/>
              <w:bottom w:val="nil"/>
              <w:right w:val="single" w:sz="4" w:space="0" w:color="auto"/>
            </w:tcBorders>
            <w:hideMark/>
          </w:tcPr>
          <w:p w:rsidR="00355BC7" w:rsidRDefault="00355BC7"/>
        </w:tc>
        <w:tc>
          <w:tcPr>
            <w:tcW w:w="2850" w:type="dxa"/>
            <w:gridSpan w:val="3"/>
            <w:tcBorders>
              <w:top w:val="single" w:sz="4" w:space="0" w:color="auto"/>
              <w:left w:val="nil"/>
              <w:bottom w:val="nil"/>
              <w:right w:val="single" w:sz="4" w:space="0" w:color="auto"/>
            </w:tcBorders>
            <w:hideMark/>
          </w:tcPr>
          <w:p w:rsidR="00355BC7" w:rsidRDefault="00355BC7">
            <w:pPr>
              <w:rPr>
                <w:rFonts w:ascii="Arial" w:eastAsia="Calibri" w:hAnsi="Arial" w:cs="Arial"/>
                <w:b/>
                <w:sz w:val="16"/>
                <w:szCs w:val="16"/>
                <w:lang w:val="es-CO" w:eastAsia="en-US"/>
              </w:rPr>
            </w:pPr>
            <w:r>
              <w:rPr>
                <w:rFonts w:ascii="Arial" w:eastAsia="Calibri" w:hAnsi="Arial" w:cs="Arial"/>
                <w:b/>
                <w:sz w:val="16"/>
                <w:szCs w:val="16"/>
                <w:lang w:val="es-CO" w:eastAsia="en-US"/>
              </w:rPr>
              <w:t>FACTURA SUI ACUEDUCTO(A)</w:t>
            </w:r>
          </w:p>
        </w:tc>
        <w:tc>
          <w:tcPr>
            <w:tcW w:w="1701" w:type="dxa"/>
            <w:gridSpan w:val="2"/>
            <w:tcBorders>
              <w:top w:val="single" w:sz="4" w:space="0" w:color="auto"/>
              <w:left w:val="single" w:sz="4" w:space="0" w:color="auto"/>
              <w:bottom w:val="nil"/>
              <w:right w:val="single" w:sz="4" w:space="0" w:color="auto"/>
            </w:tcBorders>
            <w:hideMark/>
          </w:tcPr>
          <w:p w:rsidR="00355BC7" w:rsidRDefault="00355BC7">
            <w:pPr>
              <w:rPr>
                <w:rFonts w:ascii="Arial" w:eastAsia="Calibri" w:hAnsi="Arial" w:cs="Arial"/>
                <w:b/>
                <w:sz w:val="16"/>
                <w:szCs w:val="16"/>
                <w:lang w:val="es-CO" w:eastAsia="en-US"/>
              </w:rPr>
            </w:pPr>
            <w:r>
              <w:rPr>
                <w:rFonts w:ascii="Arial" w:eastAsia="Calibri" w:hAnsi="Arial" w:cs="Arial"/>
                <w:b/>
                <w:sz w:val="16"/>
                <w:szCs w:val="16"/>
                <w:lang w:val="es-CO" w:eastAsia="en-US"/>
              </w:rPr>
              <w:t>PORCENTAJE (%) DE SUBSIDIO</w:t>
            </w:r>
          </w:p>
        </w:tc>
        <w:tc>
          <w:tcPr>
            <w:tcW w:w="1828" w:type="dxa"/>
            <w:gridSpan w:val="2"/>
            <w:tcBorders>
              <w:top w:val="single" w:sz="4" w:space="0" w:color="auto"/>
              <w:left w:val="single" w:sz="4" w:space="0" w:color="auto"/>
              <w:bottom w:val="nil"/>
              <w:right w:val="single" w:sz="4" w:space="0" w:color="auto"/>
            </w:tcBorders>
            <w:hideMark/>
          </w:tcPr>
          <w:p w:rsidR="00355BC7" w:rsidRDefault="00355BC7">
            <w:pPr>
              <w:rPr>
                <w:rFonts w:ascii="Arial" w:eastAsia="Calibri" w:hAnsi="Arial" w:cs="Arial"/>
                <w:b/>
                <w:sz w:val="16"/>
                <w:szCs w:val="16"/>
                <w:lang w:val="es-CO" w:eastAsia="en-US"/>
              </w:rPr>
            </w:pPr>
            <w:r>
              <w:rPr>
                <w:rFonts w:ascii="Arial" w:eastAsia="Calibri" w:hAnsi="Arial" w:cs="Arial"/>
                <w:b/>
                <w:sz w:val="16"/>
                <w:szCs w:val="16"/>
                <w:lang w:val="es-CO" w:eastAsia="en-US"/>
              </w:rPr>
              <w:t>PORCENTAJE ACTUALIZACION APLICADO</w:t>
            </w:r>
          </w:p>
        </w:tc>
      </w:tr>
      <w:tr w:rsidR="00355BC7" w:rsidTr="00355BC7">
        <w:trPr>
          <w:trHeight w:val="1503"/>
        </w:trPr>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Año</w:t>
            </w: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Mes</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No. Factura</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ESTRATO/USO</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CF</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USU/MES</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C*C</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BASICO</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($M3)</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C*C</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COMPLE</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($/M3)</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CF</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Usu/mes</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C*C</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BASICO ($/m3)</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CF</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Usu/mes</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C*C</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BASICO</w:t>
            </w:r>
          </w:p>
          <w:p w:rsidR="00355BC7" w:rsidRDefault="00355BC7">
            <w:pPr>
              <w:rPr>
                <w:rFonts w:ascii="Arial" w:eastAsia="Calibri" w:hAnsi="Arial" w:cs="Arial"/>
                <w:b/>
                <w:sz w:val="14"/>
                <w:szCs w:val="14"/>
                <w:lang w:val="es-CO" w:eastAsia="en-US"/>
              </w:rPr>
            </w:pPr>
            <w:r>
              <w:rPr>
                <w:rFonts w:ascii="Arial" w:eastAsia="Calibri" w:hAnsi="Arial" w:cs="Arial"/>
                <w:b/>
                <w:sz w:val="14"/>
                <w:szCs w:val="14"/>
                <w:lang w:val="es-CO" w:eastAsia="en-US"/>
              </w:rPr>
              <w:t>($/m3)</w:t>
            </w:r>
          </w:p>
        </w:tc>
      </w:tr>
      <w:tr w:rsidR="00355BC7" w:rsidTr="00355BC7">
        <w:trPr>
          <w:trHeight w:val="295"/>
        </w:trPr>
        <w:tc>
          <w:tcPr>
            <w:tcW w:w="567" w:type="dxa"/>
            <w:vMerge w:val="restart"/>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b/>
                <w:sz w:val="14"/>
                <w:szCs w:val="14"/>
                <w:lang w:val="es-CO" w:eastAsia="en-US"/>
              </w:rPr>
            </w:pPr>
            <w:r>
              <w:rPr>
                <w:rFonts w:ascii="Arial" w:eastAsia="Calibri" w:hAnsi="Arial" w:cs="Arial"/>
                <w:b/>
                <w:sz w:val="14"/>
                <w:szCs w:val="14"/>
                <w:lang w:val="es-CO" w:eastAsia="en-US"/>
              </w:rPr>
              <w:t>2017</w:t>
            </w: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241754</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sz w:val="14"/>
                <w:szCs w:val="14"/>
                <w:lang w:val="es-CO" w:eastAsia="en-US"/>
              </w:rPr>
            </w:pPr>
            <w:r>
              <w:rPr>
                <w:rFonts w:ascii="Arial" w:eastAsia="Calibri" w:hAnsi="Arial" w:cs="Arial"/>
                <w:sz w:val="14"/>
                <w:szCs w:val="14"/>
                <w:lang w:val="es-CO" w:eastAsia="en-US"/>
              </w:rPr>
              <w:t>1</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791,43</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321,8445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-63%</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-63%</w:t>
            </w:r>
          </w:p>
        </w:tc>
        <w:tc>
          <w:tcPr>
            <w:tcW w:w="83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r>
      <w:tr w:rsidR="00355BC7" w:rsidTr="00355BC7">
        <w:trPr>
          <w:trHeight w:val="152"/>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241782</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sz w:val="14"/>
                <w:szCs w:val="14"/>
                <w:lang w:val="es-CO" w:eastAsia="en-US"/>
              </w:rPr>
            </w:pPr>
            <w:r>
              <w:rPr>
                <w:rFonts w:ascii="Arial" w:eastAsia="Calibri" w:hAnsi="Arial" w:cs="Arial"/>
                <w:sz w:val="14"/>
                <w:szCs w:val="14"/>
                <w:lang w:val="es-CO" w:eastAsia="en-US"/>
              </w:rPr>
              <w:t>2</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1347,57</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548,0055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-37%</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-37%</w:t>
            </w:r>
          </w:p>
        </w:tc>
        <w:tc>
          <w:tcPr>
            <w:tcW w:w="83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r>
      <w:tr w:rsidR="00355BC7" w:rsidTr="00355BC7">
        <w:trPr>
          <w:trHeight w:val="322"/>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242057</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sz w:val="14"/>
                <w:szCs w:val="14"/>
                <w:lang w:val="es-CO" w:eastAsia="en-US"/>
              </w:rPr>
            </w:pPr>
            <w:r>
              <w:rPr>
                <w:rFonts w:ascii="Arial" w:eastAsia="Calibri" w:hAnsi="Arial" w:cs="Arial"/>
                <w:sz w:val="14"/>
                <w:szCs w:val="14"/>
                <w:lang w:val="es-CO" w:eastAsia="en-US"/>
              </w:rPr>
              <w:t>3</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1860.93</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756,7695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-13%</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-13%</w:t>
            </w:r>
          </w:p>
        </w:tc>
        <w:tc>
          <w:tcPr>
            <w:tcW w:w="83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r>
      <w:tr w:rsidR="00355BC7" w:rsidTr="00355BC7">
        <w:trPr>
          <w:trHeight w:val="259"/>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242065</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sz w:val="14"/>
                <w:szCs w:val="14"/>
                <w:lang w:val="es-CO" w:eastAsia="en-US"/>
              </w:rPr>
              <w:t>Comercial</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1069,5</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434,925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-50%</w:t>
            </w:r>
          </w:p>
        </w:tc>
        <w:tc>
          <w:tcPr>
            <w:tcW w:w="83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r>
      <w:tr w:rsidR="00355BC7" w:rsidTr="00355BC7">
        <w:trPr>
          <w:trHeight w:val="331"/>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sz w:val="14"/>
                <w:szCs w:val="14"/>
                <w:lang w:val="es-CO" w:eastAsia="en-US"/>
              </w:rPr>
              <w:t>Comercial</w:t>
            </w:r>
          </w:p>
        </w:tc>
        <w:tc>
          <w:tcPr>
            <w:tcW w:w="86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83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r>
      <w:tr w:rsidR="00355BC7" w:rsidTr="00355BC7">
        <w:trPr>
          <w:trHeight w:val="224"/>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242168</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4"/>
                <w:szCs w:val="14"/>
                <w:lang w:val="es-CO" w:eastAsia="en-US"/>
              </w:rPr>
            </w:pPr>
            <w:r>
              <w:rPr>
                <w:rFonts w:ascii="Arial" w:eastAsia="Calibri" w:hAnsi="Arial" w:cs="Arial"/>
                <w:sz w:val="14"/>
                <w:szCs w:val="14"/>
                <w:lang w:val="es-CO" w:eastAsia="en-US"/>
              </w:rPr>
              <w:t>Oficial</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2139</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869,85</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869,85</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-11%</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79%</w:t>
            </w:r>
          </w:p>
        </w:tc>
      </w:tr>
      <w:tr w:rsidR="00355BC7" w:rsidTr="00355BC7">
        <w:trPr>
          <w:trHeight w:val="260"/>
        </w:trPr>
        <w:tc>
          <w:tcPr>
            <w:tcW w:w="567" w:type="dxa"/>
            <w:vMerge w:val="restart"/>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b/>
                <w:sz w:val="14"/>
                <w:szCs w:val="14"/>
                <w:lang w:val="es-CO" w:eastAsia="en-US"/>
              </w:rPr>
            </w:pPr>
            <w:r>
              <w:rPr>
                <w:rFonts w:ascii="Arial" w:eastAsia="Calibri" w:hAnsi="Arial" w:cs="Arial"/>
                <w:b/>
                <w:sz w:val="14"/>
                <w:szCs w:val="14"/>
                <w:lang w:val="es-CO" w:eastAsia="en-US"/>
              </w:rPr>
              <w:t>2018</w:t>
            </w: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ENE</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253336</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941.97</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383.05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-58%</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-58%</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19%</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19%</w:t>
            </w:r>
          </w:p>
        </w:tc>
      </w:tr>
      <w:tr w:rsidR="00355BC7" w:rsidTr="00355BC7">
        <w:trPr>
          <w:trHeight w:val="295"/>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ENE</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253507</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1488,89</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605.45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-33%</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-33%</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10%</w:t>
            </w:r>
          </w:p>
        </w:tc>
      </w:tr>
      <w:tr w:rsidR="00355BC7" w:rsidTr="00355BC7">
        <w:trPr>
          <w:trHeight w:val="304"/>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ENE</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253335</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1944,60</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790.76</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-12%</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-12%</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4%</w:t>
            </w:r>
          </w:p>
        </w:tc>
      </w:tr>
      <w:tr w:rsidR="00355BC7" w:rsidTr="00355BC7">
        <w:trPr>
          <w:trHeight w:val="259"/>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ENE</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253337</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Comercial</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3326,95</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1352,88</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50%</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211%</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211%</w:t>
            </w:r>
          </w:p>
        </w:tc>
      </w:tr>
      <w:tr w:rsidR="00355BC7" w:rsidTr="00355BC7">
        <w:trPr>
          <w:trHeight w:val="304"/>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ENE</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Industrial</w:t>
            </w:r>
          </w:p>
        </w:tc>
        <w:tc>
          <w:tcPr>
            <w:tcW w:w="86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83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r>
      <w:tr w:rsidR="00355BC7" w:rsidTr="00355BC7">
        <w:trPr>
          <w:trHeight w:val="304"/>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ENE</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253452</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Oficial</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2218</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901.9375</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901.93</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4%</w:t>
            </w:r>
          </w:p>
        </w:tc>
      </w:tr>
      <w:tr w:rsidR="00355BC7" w:rsidTr="00355BC7">
        <w:trPr>
          <w:trHeight w:val="34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259975</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941,97</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383,05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-58%</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-58%</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r>
      <w:tr w:rsidR="00355BC7" w:rsidTr="00355BC7">
        <w:trPr>
          <w:trHeight w:val="304"/>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260153</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1488,89</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605,45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-33%</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-33%</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r>
      <w:tr w:rsidR="00355BC7" w:rsidTr="00355BC7">
        <w:trPr>
          <w:trHeight w:val="313"/>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259974</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1944,60</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790,76</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-12%</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-12%</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r>
      <w:tr w:rsidR="00355BC7" w:rsidTr="00355BC7">
        <w:trPr>
          <w:trHeight w:val="349"/>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259976</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comercial</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332695</w:t>
            </w: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50%</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r>
      <w:tr w:rsidR="00355BC7" w:rsidTr="00355BC7">
        <w:trPr>
          <w:trHeight w:val="20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industrial</w:t>
            </w:r>
          </w:p>
        </w:tc>
        <w:tc>
          <w:tcPr>
            <w:tcW w:w="86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83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r>
      <w:tr w:rsidR="00355BC7" w:rsidTr="00355BC7">
        <w:trPr>
          <w:trHeight w:val="241"/>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JUN</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260098</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Oficial</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2218</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901.9375</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901.93</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r>
      <w:tr w:rsidR="00355BC7" w:rsidTr="00355BC7">
        <w:trPr>
          <w:trHeight w:val="241"/>
        </w:trPr>
        <w:tc>
          <w:tcPr>
            <w:tcW w:w="567" w:type="dxa"/>
            <w:vMerge w:val="restart"/>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b/>
                <w:sz w:val="14"/>
                <w:szCs w:val="14"/>
                <w:lang w:val="es-CO" w:eastAsia="en-US"/>
              </w:rPr>
            </w:pPr>
            <w:r>
              <w:rPr>
                <w:rFonts w:ascii="Arial" w:eastAsia="Calibri" w:hAnsi="Arial" w:cs="Arial"/>
                <w:b/>
                <w:sz w:val="14"/>
                <w:szCs w:val="14"/>
                <w:lang w:val="es-CO" w:eastAsia="en-US"/>
              </w:rPr>
              <w:t>2018</w:t>
            </w: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DIC</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271792</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941.97</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383.05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sz w:val="14"/>
                <w:szCs w:val="14"/>
                <w:lang w:val="es-CO" w:eastAsia="en-US"/>
              </w:rPr>
            </w:pPr>
            <w:r>
              <w:rPr>
                <w:rFonts w:ascii="Arial" w:eastAsia="Calibri" w:hAnsi="Arial" w:cs="Arial"/>
                <w:sz w:val="14"/>
                <w:szCs w:val="14"/>
                <w:lang w:val="es-CO" w:eastAsia="en-US"/>
              </w:rPr>
              <w:t>-58%</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sz w:val="14"/>
                <w:szCs w:val="14"/>
                <w:lang w:val="es-CO" w:eastAsia="en-US"/>
              </w:rPr>
            </w:pPr>
            <w:r>
              <w:rPr>
                <w:rFonts w:ascii="Arial" w:eastAsia="Calibri" w:hAnsi="Arial" w:cs="Arial"/>
                <w:sz w:val="14"/>
                <w:szCs w:val="14"/>
                <w:lang w:val="es-CO" w:eastAsia="en-US"/>
              </w:rPr>
              <w:t>-58%</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r>
      <w:tr w:rsidR="00355BC7" w:rsidTr="00355BC7">
        <w:trPr>
          <w:trHeight w:val="34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DIC</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272001</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1488.89</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606.45</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sz w:val="14"/>
                <w:szCs w:val="14"/>
                <w:lang w:val="es-CO" w:eastAsia="en-US"/>
              </w:rPr>
            </w:pPr>
            <w:r>
              <w:rPr>
                <w:rFonts w:ascii="Arial" w:eastAsia="Calibri" w:hAnsi="Arial" w:cs="Arial"/>
                <w:sz w:val="14"/>
                <w:szCs w:val="14"/>
                <w:lang w:val="es-CO" w:eastAsia="en-US"/>
              </w:rPr>
              <w:t>-33%</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sz w:val="14"/>
                <w:szCs w:val="14"/>
                <w:lang w:val="es-CO" w:eastAsia="en-US"/>
              </w:rPr>
            </w:pPr>
            <w:r>
              <w:rPr>
                <w:rFonts w:ascii="Arial" w:eastAsia="Calibri" w:hAnsi="Arial" w:cs="Arial"/>
                <w:sz w:val="14"/>
                <w:szCs w:val="14"/>
                <w:lang w:val="es-CO" w:eastAsia="en-US"/>
              </w:rPr>
              <w:t>-33%</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r>
      <w:tr w:rsidR="00355BC7" w:rsidTr="00355BC7">
        <w:trPr>
          <w:trHeight w:val="465"/>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DIC</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271780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3</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1944.60</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790.76</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4"/>
                <w:szCs w:val="14"/>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sz w:val="14"/>
                <w:szCs w:val="14"/>
                <w:lang w:val="es-CO" w:eastAsia="en-US"/>
              </w:rPr>
            </w:pPr>
            <w:r>
              <w:rPr>
                <w:rFonts w:ascii="Arial" w:eastAsia="Calibri" w:hAnsi="Arial" w:cs="Arial"/>
                <w:sz w:val="14"/>
                <w:szCs w:val="14"/>
                <w:lang w:val="es-CO" w:eastAsia="en-US"/>
              </w:rPr>
              <w:t>-12%</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sz w:val="14"/>
                <w:szCs w:val="14"/>
                <w:lang w:val="es-CO" w:eastAsia="en-US"/>
              </w:rPr>
            </w:pPr>
            <w:r>
              <w:rPr>
                <w:rFonts w:ascii="Arial" w:eastAsia="Calibri" w:hAnsi="Arial" w:cs="Arial"/>
                <w:sz w:val="14"/>
                <w:szCs w:val="14"/>
                <w:lang w:val="es-CO" w:eastAsia="en-US"/>
              </w:rPr>
              <w:t>-12%</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4"/>
                <w:szCs w:val="14"/>
                <w:lang w:val="es-CO" w:eastAsia="en-US"/>
              </w:rPr>
            </w:pPr>
            <w:r>
              <w:rPr>
                <w:rFonts w:ascii="Arial" w:eastAsia="Calibri" w:hAnsi="Arial" w:cs="Arial"/>
                <w:sz w:val="14"/>
                <w:szCs w:val="14"/>
                <w:lang w:val="es-CO" w:eastAsia="en-US"/>
              </w:rPr>
              <w:t>0%</w:t>
            </w:r>
          </w:p>
        </w:tc>
      </w:tr>
      <w:tr w:rsidR="00355BC7" w:rsidTr="00355BC7">
        <w:trPr>
          <w:trHeight w:val="385"/>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DIC</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271791</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comercial</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332695</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1352.88</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sz w:val="16"/>
                <w:szCs w:val="16"/>
                <w:lang w:val="es-CO" w:eastAsia="en-US"/>
              </w:rPr>
            </w:pPr>
            <w:r>
              <w:rPr>
                <w:rFonts w:ascii="Arial" w:eastAsia="Calibri" w:hAnsi="Arial" w:cs="Arial"/>
                <w:sz w:val="16"/>
                <w:szCs w:val="16"/>
                <w:lang w:val="es-CO" w:eastAsia="en-US"/>
              </w:rPr>
              <w:t>50%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sz w:val="16"/>
                <w:szCs w:val="16"/>
                <w:lang w:val="es-CO" w:eastAsia="en-US"/>
              </w:rPr>
            </w:pPr>
            <w:r>
              <w:rPr>
                <w:rFonts w:ascii="Arial" w:eastAsia="Calibri" w:hAnsi="Arial" w:cs="Arial"/>
                <w:sz w:val="16"/>
                <w:szCs w:val="16"/>
                <w:lang w:val="es-CO" w:eastAsia="en-US"/>
              </w:rPr>
              <w:t>50%</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0%</w:t>
            </w:r>
          </w:p>
        </w:tc>
      </w:tr>
      <w:tr w:rsidR="00355BC7" w:rsidTr="00355BC7">
        <w:trPr>
          <w:trHeight w:val="277"/>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DIC</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industrial</w:t>
            </w:r>
          </w:p>
        </w:tc>
        <w:tc>
          <w:tcPr>
            <w:tcW w:w="86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c>
          <w:tcPr>
            <w:tcW w:w="836"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6"/>
                <w:szCs w:val="16"/>
                <w:lang w:val="es-CO" w:eastAsia="en-US"/>
              </w:rPr>
            </w:pPr>
          </w:p>
        </w:tc>
      </w:tr>
      <w:tr w:rsidR="00355BC7" w:rsidTr="00355BC7">
        <w:trPr>
          <w:trHeight w:val="17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4"/>
                <w:szCs w:val="14"/>
                <w:lang w:val="es-CO" w:eastAsia="en-US"/>
              </w:rPr>
            </w:pPr>
          </w:p>
        </w:tc>
        <w:tc>
          <w:tcPr>
            <w:tcW w:w="567"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DIC</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271951</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Oficial</w:t>
            </w:r>
          </w:p>
        </w:tc>
        <w:tc>
          <w:tcPr>
            <w:tcW w:w="86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2218</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901.93.75</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901.93</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0%</w:t>
            </w:r>
          </w:p>
        </w:tc>
        <w:tc>
          <w:tcPr>
            <w:tcW w:w="8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6"/>
                <w:szCs w:val="16"/>
                <w:lang w:val="es-CO" w:eastAsia="en-US"/>
              </w:rPr>
            </w:pPr>
            <w:r>
              <w:rPr>
                <w:rFonts w:ascii="Arial" w:eastAsia="Calibri" w:hAnsi="Arial" w:cs="Arial"/>
                <w:sz w:val="16"/>
                <w:szCs w:val="16"/>
                <w:lang w:val="es-CO" w:eastAsia="en-US"/>
              </w:rPr>
              <w:t>0%</w:t>
            </w:r>
          </w:p>
        </w:tc>
      </w:tr>
    </w:tbl>
    <w:p w:rsidR="00355BC7" w:rsidRDefault="00355BC7" w:rsidP="00355BC7">
      <w:pPr>
        <w:ind w:left="1416"/>
        <w:contextualSpacing/>
        <w:jc w:val="both"/>
        <w:rPr>
          <w:rFonts w:ascii="Arial" w:eastAsia="Calibri" w:hAnsi="Arial" w:cs="Arial"/>
          <w:i/>
          <w:sz w:val="18"/>
          <w:szCs w:val="18"/>
          <w:lang w:val="es-CO"/>
        </w:rPr>
      </w:pPr>
    </w:p>
    <w:p w:rsidR="00355BC7" w:rsidRDefault="00355BC7" w:rsidP="00355BC7">
      <w:pPr>
        <w:ind w:left="1416"/>
        <w:contextualSpacing/>
        <w:jc w:val="center"/>
        <w:rPr>
          <w:rFonts w:ascii="Arial" w:eastAsia="Calibri" w:hAnsi="Arial" w:cs="Arial"/>
          <w:b/>
          <w:bCs/>
          <w:i/>
          <w:sz w:val="18"/>
          <w:szCs w:val="18"/>
          <w:highlight w:val="yellow"/>
          <w:lang w:val="es-CO"/>
        </w:rPr>
      </w:pPr>
    </w:p>
    <w:p w:rsidR="00355BC7" w:rsidRDefault="00355BC7" w:rsidP="00355BC7">
      <w:pPr>
        <w:ind w:left="1416"/>
        <w:contextualSpacing/>
        <w:jc w:val="center"/>
        <w:rPr>
          <w:rFonts w:ascii="Arial" w:eastAsia="Calibri" w:hAnsi="Arial" w:cs="Arial"/>
          <w:b/>
          <w:bCs/>
          <w:i/>
          <w:sz w:val="18"/>
          <w:szCs w:val="18"/>
          <w:lang w:val="es-CO"/>
        </w:rPr>
      </w:pPr>
      <w:r>
        <w:rPr>
          <w:rFonts w:ascii="Arial" w:eastAsia="Calibri" w:hAnsi="Arial" w:cs="Arial"/>
          <w:b/>
          <w:bCs/>
          <w:i/>
          <w:sz w:val="18"/>
          <w:szCs w:val="18"/>
          <w:lang w:val="es-CO"/>
        </w:rPr>
        <w:lastRenderedPageBreak/>
        <w:t>Imagen 50 Aplicación de Subsidios- Variación de tarifas Alcantarillado</w:t>
      </w:r>
    </w:p>
    <w:p w:rsidR="00355BC7" w:rsidRDefault="00355BC7" w:rsidP="00355BC7">
      <w:pPr>
        <w:ind w:left="1416"/>
        <w:contextualSpacing/>
        <w:jc w:val="both"/>
        <w:rPr>
          <w:rFonts w:ascii="Arial" w:eastAsia="Calibri" w:hAnsi="Arial" w:cs="Arial"/>
          <w:b/>
          <w:i/>
          <w:sz w:val="18"/>
          <w:szCs w:val="18"/>
          <w:lang w:val="es-CO"/>
        </w:rPr>
      </w:pPr>
    </w:p>
    <w:tbl>
      <w:tblPr>
        <w:tblStyle w:val="Tablaconcuadrcula"/>
        <w:tblW w:w="0" w:type="dxa"/>
        <w:tblInd w:w="-147" w:type="dxa"/>
        <w:tblLayout w:type="fixed"/>
        <w:tblLook w:val="04A0" w:firstRow="1" w:lastRow="0" w:firstColumn="1" w:lastColumn="0" w:noHBand="0" w:noVBand="1"/>
      </w:tblPr>
      <w:tblGrid>
        <w:gridCol w:w="568"/>
        <w:gridCol w:w="567"/>
        <w:gridCol w:w="708"/>
        <w:gridCol w:w="1157"/>
        <w:gridCol w:w="849"/>
        <w:gridCol w:w="1171"/>
        <w:gridCol w:w="805"/>
        <w:gridCol w:w="991"/>
        <w:gridCol w:w="847"/>
        <w:gridCol w:w="989"/>
        <w:gridCol w:w="562"/>
      </w:tblGrid>
      <w:tr w:rsidR="00355BC7" w:rsidTr="00355BC7">
        <w:trPr>
          <w:trHeight w:val="295"/>
        </w:trPr>
        <w:tc>
          <w:tcPr>
            <w:tcW w:w="568" w:type="dxa"/>
            <w:vMerge w:val="restart"/>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eastAsia="Calibri" w:hAnsi="Arial" w:cs="Arial"/>
                <w:b/>
                <w:i/>
                <w:sz w:val="12"/>
                <w:szCs w:val="12"/>
                <w:lang w:val="es-CO"/>
              </w:rPr>
            </w:pP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Año</w:t>
            </w:r>
          </w:p>
        </w:tc>
        <w:tc>
          <w:tcPr>
            <w:tcW w:w="567" w:type="dxa"/>
            <w:vMerge w:val="restart"/>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eastAsia="Calibri" w:hAnsi="Arial" w:cs="Arial"/>
                <w:b/>
                <w:i/>
                <w:sz w:val="12"/>
                <w:szCs w:val="12"/>
                <w:lang w:val="es-CO"/>
              </w:rPr>
            </w:pP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Mes</w:t>
            </w:r>
          </w:p>
        </w:tc>
        <w:tc>
          <w:tcPr>
            <w:tcW w:w="708" w:type="dxa"/>
            <w:vMerge w:val="restart"/>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eastAsia="Calibri" w:hAnsi="Arial" w:cs="Arial"/>
                <w:b/>
                <w:i/>
                <w:sz w:val="12"/>
                <w:szCs w:val="12"/>
                <w:lang w:val="es-CO"/>
              </w:rPr>
            </w:pP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No.</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Factura</w:t>
            </w:r>
          </w:p>
        </w:tc>
        <w:tc>
          <w:tcPr>
            <w:tcW w:w="1157" w:type="dxa"/>
            <w:vMerge w:val="restart"/>
            <w:tcBorders>
              <w:top w:val="single" w:sz="4" w:space="0" w:color="auto"/>
              <w:left w:val="single" w:sz="4" w:space="0" w:color="auto"/>
              <w:bottom w:val="single" w:sz="4" w:space="0" w:color="auto"/>
              <w:right w:val="single" w:sz="4" w:space="0" w:color="auto"/>
            </w:tcBorders>
          </w:tcPr>
          <w:p w:rsidR="00355BC7" w:rsidRDefault="00355BC7">
            <w:pPr>
              <w:spacing w:after="160" w:line="252" w:lineRule="auto"/>
              <w:rPr>
                <w:rFonts w:ascii="Arial" w:eastAsia="Calibri" w:hAnsi="Arial" w:cs="Arial"/>
                <w:b/>
                <w:i/>
                <w:sz w:val="12"/>
                <w:szCs w:val="12"/>
                <w:lang w:val="es-CO"/>
              </w:rPr>
            </w:pP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Estrato/</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uso</w:t>
            </w:r>
          </w:p>
        </w:tc>
        <w:tc>
          <w:tcPr>
            <w:tcW w:w="2825" w:type="dxa"/>
            <w:gridSpan w:val="3"/>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FACRURASUI ALCANTARILLADO</w:t>
            </w:r>
          </w:p>
          <w:p w:rsidR="00355BC7" w:rsidRDefault="00355BC7">
            <w:pPr>
              <w:jc w:val="center"/>
              <w:rPr>
                <w:rFonts w:ascii="Arial" w:eastAsia="Calibri" w:hAnsi="Arial" w:cs="Arial"/>
                <w:b/>
                <w:i/>
                <w:sz w:val="12"/>
                <w:szCs w:val="12"/>
                <w:lang w:val="es-CO"/>
              </w:rPr>
            </w:pPr>
          </w:p>
        </w:tc>
        <w:tc>
          <w:tcPr>
            <w:tcW w:w="1838" w:type="dxa"/>
            <w:gridSpan w:val="2"/>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PORCENTAJE %SUBSIDIO</w:t>
            </w:r>
          </w:p>
          <w:p w:rsidR="00355BC7" w:rsidRDefault="00355BC7">
            <w:pPr>
              <w:jc w:val="center"/>
              <w:rPr>
                <w:rFonts w:ascii="Arial" w:eastAsia="Calibri" w:hAnsi="Arial" w:cs="Arial"/>
                <w:b/>
                <w:i/>
                <w:sz w:val="12"/>
                <w:szCs w:val="12"/>
                <w:lang w:val="es-CO"/>
              </w:rPr>
            </w:pPr>
          </w:p>
        </w:tc>
        <w:tc>
          <w:tcPr>
            <w:tcW w:w="1551" w:type="dxa"/>
            <w:gridSpan w:val="2"/>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eastAsia="Calibri" w:hAnsi="Arial" w:cs="Arial"/>
                <w:b/>
                <w:i/>
                <w:sz w:val="12"/>
                <w:szCs w:val="12"/>
                <w:lang w:val="es-CO"/>
              </w:rPr>
            </w:pP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PORCENTAJE%</w:t>
            </w:r>
          </w:p>
        </w:tc>
      </w:tr>
      <w:tr w:rsidR="00355BC7" w:rsidTr="00355BC7">
        <w:trPr>
          <w:trHeight w:val="94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i/>
                <w:sz w:val="12"/>
                <w:szCs w:val="12"/>
                <w:lang w:val="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i/>
                <w:sz w:val="12"/>
                <w:szCs w:val="12"/>
                <w:lang w:val="es-CO"/>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i/>
                <w:sz w:val="12"/>
                <w:szCs w:val="12"/>
                <w:lang w:val="es-CO"/>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i/>
                <w:sz w:val="12"/>
                <w:szCs w:val="12"/>
                <w:lang w:val="es-CO"/>
              </w:rPr>
            </w:pPr>
          </w:p>
        </w:tc>
        <w:tc>
          <w:tcPr>
            <w:tcW w:w="849"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CF usu/mes</w:t>
            </w:r>
          </w:p>
        </w:tc>
        <w:tc>
          <w:tcPr>
            <w:tcW w:w="1171"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 xml:space="preserve">C*C </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 xml:space="preserve">Básico </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($/m3)</w:t>
            </w:r>
          </w:p>
        </w:tc>
        <w:tc>
          <w:tcPr>
            <w:tcW w:w="80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C*C</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Comple</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($/m3)</w:t>
            </w:r>
          </w:p>
        </w:tc>
        <w:tc>
          <w:tcPr>
            <w:tcW w:w="991"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CF</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Usu/mes</w:t>
            </w:r>
          </w:p>
        </w:tc>
        <w:tc>
          <w:tcPr>
            <w:tcW w:w="84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C*C</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Básico ($/m3)</w:t>
            </w:r>
          </w:p>
          <w:p w:rsidR="00355BC7" w:rsidRDefault="00355BC7">
            <w:pPr>
              <w:jc w:val="center"/>
              <w:rPr>
                <w:rFonts w:ascii="Arial" w:eastAsia="Calibri" w:hAnsi="Arial" w:cs="Arial"/>
                <w:b/>
                <w:i/>
                <w:sz w:val="12"/>
                <w:szCs w:val="12"/>
                <w:lang w:val="es-CO"/>
              </w:rPr>
            </w:pPr>
          </w:p>
        </w:tc>
        <w:tc>
          <w:tcPr>
            <w:tcW w:w="989"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CF</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Usu/mes</w:t>
            </w:r>
          </w:p>
        </w:tc>
        <w:tc>
          <w:tcPr>
            <w:tcW w:w="562"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C*C</w:t>
            </w:r>
          </w:p>
          <w:p w:rsidR="00355BC7" w:rsidRDefault="00355BC7">
            <w:pPr>
              <w:jc w:val="center"/>
              <w:rPr>
                <w:rFonts w:ascii="Arial" w:eastAsia="Calibri" w:hAnsi="Arial" w:cs="Arial"/>
                <w:b/>
                <w:i/>
                <w:sz w:val="12"/>
                <w:szCs w:val="12"/>
                <w:lang w:val="es-CO"/>
              </w:rPr>
            </w:pPr>
            <w:r>
              <w:rPr>
                <w:rFonts w:ascii="Arial" w:eastAsia="Calibri" w:hAnsi="Arial" w:cs="Arial"/>
                <w:b/>
                <w:i/>
                <w:sz w:val="12"/>
                <w:szCs w:val="12"/>
                <w:lang w:val="es-CO"/>
              </w:rPr>
              <w:t>Básico ($/m3)</w:t>
            </w:r>
          </w:p>
          <w:p w:rsidR="00355BC7" w:rsidRDefault="00355BC7">
            <w:pPr>
              <w:jc w:val="center"/>
              <w:rPr>
                <w:rFonts w:ascii="Arial" w:eastAsia="Calibri" w:hAnsi="Arial" w:cs="Arial"/>
                <w:b/>
                <w:i/>
                <w:sz w:val="12"/>
                <w:szCs w:val="12"/>
                <w:lang w:val="es-CO"/>
              </w:rPr>
            </w:pPr>
          </w:p>
        </w:tc>
      </w:tr>
    </w:tbl>
    <w:tbl>
      <w:tblPr>
        <w:tblpPr w:leftFromText="180" w:rightFromText="180" w:vertAnchor="text" w:tblpXSpec="center" w:tblpY="1"/>
        <w:tblOverlap w:val="never"/>
        <w:tblW w:w="0" w:type="dxa"/>
        <w:tblBorders>
          <w:top w:val="single" w:sz="4" w:space="0" w:color="auto"/>
        </w:tblBorders>
        <w:tblLayout w:type="fixed"/>
        <w:tblLook w:val="04A0" w:firstRow="1" w:lastRow="0" w:firstColumn="1" w:lastColumn="0" w:noHBand="0" w:noVBand="1"/>
      </w:tblPr>
      <w:tblGrid>
        <w:gridCol w:w="696"/>
        <w:gridCol w:w="564"/>
        <w:gridCol w:w="618"/>
        <w:gridCol w:w="1236"/>
        <w:gridCol w:w="850"/>
        <w:gridCol w:w="1134"/>
        <w:gridCol w:w="709"/>
        <w:gridCol w:w="992"/>
        <w:gridCol w:w="993"/>
        <w:gridCol w:w="850"/>
        <w:gridCol w:w="568"/>
      </w:tblGrid>
      <w:tr w:rsidR="00355BC7" w:rsidTr="00355BC7">
        <w:trPr>
          <w:trHeight w:val="295"/>
        </w:trPr>
        <w:tc>
          <w:tcPr>
            <w:tcW w:w="696" w:type="dxa"/>
            <w:vMerge w:val="restart"/>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b/>
                <w:sz w:val="12"/>
                <w:szCs w:val="12"/>
              </w:rPr>
            </w:pPr>
            <w:r>
              <w:rPr>
                <w:rFonts w:ascii="Arial" w:eastAsia="Calibri" w:hAnsi="Arial" w:cs="Arial"/>
                <w:b/>
                <w:sz w:val="12"/>
                <w:szCs w:val="12"/>
              </w:rPr>
              <w:t>2017</w:t>
            </w: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241754</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sz w:val="12"/>
                <w:szCs w:val="12"/>
              </w:rPr>
            </w:pPr>
            <w:r>
              <w:rPr>
                <w:rFonts w:ascii="Arial" w:eastAsia="Calibri" w:hAnsi="Arial" w:cs="Arial"/>
                <w:sz w:val="12"/>
                <w:szCs w:val="12"/>
              </w:rPr>
              <w:t>1</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503,57</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89,762</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-63%</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-63%</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152"/>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241782</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sz w:val="12"/>
                <w:szCs w:val="12"/>
              </w:rPr>
            </w:pPr>
            <w:r>
              <w:rPr>
                <w:rFonts w:ascii="Arial" w:eastAsia="Calibri" w:hAnsi="Arial" w:cs="Arial"/>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857,43</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152,838</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-37%</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-37%</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322"/>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242057</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eastAsia="Calibri" w:hAnsi="Arial" w:cs="Arial"/>
                <w:sz w:val="12"/>
                <w:szCs w:val="12"/>
              </w:rPr>
            </w:pPr>
            <w:r>
              <w:rPr>
                <w:rFonts w:ascii="Arial" w:eastAsia="Calibri" w:hAnsi="Arial" w:cs="Arial"/>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1129,63</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201,358</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-17%</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-17%</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259"/>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242065</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2"/>
                <w:szCs w:val="12"/>
              </w:rPr>
            </w:pPr>
            <w:r>
              <w:rPr>
                <w:rFonts w:ascii="Arial" w:eastAsia="Calibri" w:hAnsi="Arial" w:cs="Arial"/>
                <w:sz w:val="12"/>
                <w:szCs w:val="12"/>
              </w:rPr>
              <w:t>Comercial</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2041,5</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363,9</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331"/>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2"/>
                <w:szCs w:val="12"/>
              </w:rPr>
            </w:pPr>
            <w:r>
              <w:rPr>
                <w:rFonts w:ascii="Arial" w:eastAsia="Calibri" w:hAnsi="Arial" w:cs="Arial"/>
                <w:sz w:val="12"/>
                <w:szCs w:val="12"/>
              </w:rPr>
              <w:t>Industrial</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3"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224"/>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242168</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b/>
                <w:sz w:val="12"/>
                <w:szCs w:val="12"/>
              </w:rPr>
            </w:pPr>
            <w:r>
              <w:rPr>
                <w:rFonts w:ascii="Arial" w:eastAsia="Calibri" w:hAnsi="Arial" w:cs="Arial"/>
                <w:sz w:val="12"/>
                <w:szCs w:val="12"/>
              </w:rPr>
              <w:t>Oficial</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1361</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242,6</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242,6</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260"/>
        </w:trPr>
        <w:tc>
          <w:tcPr>
            <w:tcW w:w="696" w:type="dxa"/>
            <w:vMerge w:val="restart"/>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eastAsia="Calibri" w:hAnsi="Arial" w:cs="Arial"/>
                <w:b/>
                <w:sz w:val="12"/>
                <w:szCs w:val="12"/>
              </w:rPr>
            </w:pPr>
            <w:r>
              <w:rPr>
                <w:rFonts w:ascii="Arial" w:eastAsia="Calibri" w:hAnsi="Arial" w:cs="Arial"/>
                <w:b/>
                <w:sz w:val="12"/>
                <w:szCs w:val="12"/>
              </w:rPr>
              <w:t>2018</w:t>
            </w: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ENE</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253336</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599,2</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133,4</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-58%</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-58%</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19%</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49%</w:t>
            </w:r>
          </w:p>
        </w:tc>
      </w:tr>
      <w:tr w:rsidR="00355BC7" w:rsidTr="00355BC7">
        <w:trPr>
          <w:trHeight w:val="295"/>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ENE</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253507</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947,2</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210,8</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-33%</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-33%</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38%</w:t>
            </w:r>
          </w:p>
        </w:tc>
      </w:tr>
      <w:tr w:rsidR="00355BC7" w:rsidTr="00355BC7">
        <w:trPr>
          <w:trHeight w:val="304"/>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ENE</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253335</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1237,1</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275,3</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37%</w:t>
            </w:r>
          </w:p>
        </w:tc>
      </w:tr>
      <w:tr w:rsidR="00355BC7" w:rsidTr="00355BC7">
        <w:trPr>
          <w:trHeight w:val="259"/>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ENE</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253337</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Comercial</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2116,5</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471,0</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4%</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29%</w:t>
            </w:r>
          </w:p>
        </w:tc>
      </w:tr>
      <w:tr w:rsidR="00355BC7" w:rsidTr="00355BC7">
        <w:trPr>
          <w:trHeight w:val="304"/>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ENE</w:t>
            </w:r>
          </w:p>
        </w:tc>
        <w:tc>
          <w:tcPr>
            <w:tcW w:w="61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Industrial</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3"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304"/>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ENE</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253452</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Oficial</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1411</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314</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314</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3,67%</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29,43%</w:t>
            </w:r>
          </w:p>
        </w:tc>
      </w:tr>
      <w:tr w:rsidR="00355BC7" w:rsidTr="00355BC7">
        <w:trPr>
          <w:trHeight w:val="340"/>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259975</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599,2</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133,4</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-58%</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-58%</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04"/>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260153</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947,2</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210,8</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-33%</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-33%</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13"/>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259974</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1237,1</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275,3</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13"/>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259976</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Comercial</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2116,5</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471,0</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13"/>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Industrial</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3"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313"/>
        </w:trPr>
        <w:tc>
          <w:tcPr>
            <w:tcW w:w="696" w:type="dxa"/>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JUN</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260098</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Oficial</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1411</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314</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314</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13"/>
        </w:trPr>
        <w:tc>
          <w:tcPr>
            <w:tcW w:w="696" w:type="dxa"/>
            <w:tcBorders>
              <w:top w:val="nil"/>
              <w:left w:val="single" w:sz="4" w:space="0" w:color="auto"/>
              <w:bottom w:val="nil"/>
              <w:right w:val="single" w:sz="4" w:space="0" w:color="auto"/>
            </w:tcBorders>
            <w:vAlign w:val="center"/>
            <w:hideMark/>
          </w:tcPr>
          <w:p w:rsidR="00355BC7" w:rsidRDefault="00355BC7">
            <w:pPr>
              <w:rPr>
                <w:rFonts w:ascii="Arial" w:eastAsia="Calibri" w:hAnsi="Arial" w:cs="Arial"/>
                <w:b/>
                <w:sz w:val="12"/>
                <w:szCs w:val="12"/>
              </w:rPr>
            </w:pPr>
            <w:r>
              <w:rPr>
                <w:rFonts w:ascii="Arial" w:eastAsia="Calibri" w:hAnsi="Arial" w:cs="Arial"/>
                <w:b/>
                <w:sz w:val="12"/>
                <w:szCs w:val="12"/>
              </w:rPr>
              <w:t>2018</w:t>
            </w: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DIC</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271792</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599,2</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133,4</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-58%</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-58%</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13"/>
        </w:trPr>
        <w:tc>
          <w:tcPr>
            <w:tcW w:w="696" w:type="dxa"/>
            <w:tcBorders>
              <w:top w:val="nil"/>
              <w:left w:val="single" w:sz="4" w:space="0" w:color="auto"/>
              <w:bottom w:val="nil"/>
              <w:right w:val="single" w:sz="4" w:space="0" w:color="auto"/>
            </w:tcBorders>
            <w:vAlign w:val="center"/>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hAnsi="Arial" w:cs="Arial"/>
                <w:sz w:val="12"/>
                <w:szCs w:val="12"/>
              </w:rPr>
            </w:pPr>
            <w:r>
              <w:rPr>
                <w:rFonts w:ascii="Arial" w:eastAsia="Calibri" w:hAnsi="Arial" w:cs="Arial"/>
                <w:sz w:val="12"/>
                <w:szCs w:val="12"/>
              </w:rPr>
              <w:t>DIC</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272001</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947,2</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210,8</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-33%</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-33%</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13"/>
        </w:trPr>
        <w:tc>
          <w:tcPr>
            <w:tcW w:w="696" w:type="dxa"/>
            <w:tcBorders>
              <w:top w:val="nil"/>
              <w:left w:val="single" w:sz="4" w:space="0" w:color="auto"/>
              <w:bottom w:val="nil"/>
              <w:right w:val="single" w:sz="4" w:space="0" w:color="auto"/>
            </w:tcBorders>
            <w:vAlign w:val="center"/>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hAnsi="Arial" w:cs="Arial"/>
                <w:sz w:val="12"/>
                <w:szCs w:val="12"/>
              </w:rPr>
            </w:pPr>
            <w:r>
              <w:rPr>
                <w:rFonts w:ascii="Arial" w:eastAsia="Calibri" w:hAnsi="Arial" w:cs="Arial"/>
                <w:sz w:val="12"/>
                <w:szCs w:val="12"/>
              </w:rPr>
              <w:t>DIC</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271790</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1237,1</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275,3</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-12%</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13"/>
        </w:trPr>
        <w:tc>
          <w:tcPr>
            <w:tcW w:w="696" w:type="dxa"/>
            <w:tcBorders>
              <w:top w:val="nil"/>
              <w:left w:val="single" w:sz="4" w:space="0" w:color="auto"/>
              <w:bottom w:val="nil"/>
              <w:right w:val="single" w:sz="4" w:space="0" w:color="auto"/>
            </w:tcBorders>
            <w:vAlign w:val="center"/>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hAnsi="Arial" w:cs="Arial"/>
                <w:sz w:val="12"/>
                <w:szCs w:val="12"/>
              </w:rPr>
            </w:pPr>
            <w:r>
              <w:rPr>
                <w:rFonts w:ascii="Arial" w:eastAsia="Calibri" w:hAnsi="Arial" w:cs="Arial"/>
                <w:sz w:val="12"/>
                <w:szCs w:val="12"/>
              </w:rPr>
              <w:t>DIC</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271791</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Comercial</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2116,5</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471</w:t>
            </w: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50%</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r w:rsidR="00355BC7" w:rsidTr="00355BC7">
        <w:trPr>
          <w:trHeight w:val="313"/>
        </w:trPr>
        <w:tc>
          <w:tcPr>
            <w:tcW w:w="696" w:type="dxa"/>
            <w:tcBorders>
              <w:top w:val="nil"/>
              <w:left w:val="single" w:sz="4" w:space="0" w:color="auto"/>
              <w:bottom w:val="nil"/>
              <w:right w:val="single" w:sz="4" w:space="0" w:color="auto"/>
            </w:tcBorders>
            <w:vAlign w:val="center"/>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hAnsi="Arial" w:cs="Arial"/>
                <w:sz w:val="12"/>
                <w:szCs w:val="12"/>
              </w:rPr>
            </w:pPr>
            <w:r>
              <w:rPr>
                <w:rFonts w:ascii="Arial" w:eastAsia="Calibri" w:hAnsi="Arial" w:cs="Arial"/>
                <w:sz w:val="12"/>
                <w:szCs w:val="12"/>
              </w:rPr>
              <w:t>DIC</w:t>
            </w:r>
          </w:p>
        </w:tc>
        <w:tc>
          <w:tcPr>
            <w:tcW w:w="61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Industrial</w:t>
            </w: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1134"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709"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2"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993"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850"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c>
          <w:tcPr>
            <w:tcW w:w="568" w:type="dxa"/>
            <w:tcBorders>
              <w:top w:val="single" w:sz="4" w:space="0" w:color="auto"/>
              <w:left w:val="single" w:sz="4" w:space="0" w:color="auto"/>
              <w:bottom w:val="single" w:sz="4" w:space="0" w:color="auto"/>
              <w:right w:val="single" w:sz="4" w:space="0" w:color="auto"/>
            </w:tcBorders>
          </w:tcPr>
          <w:p w:rsidR="00355BC7" w:rsidRDefault="00355BC7">
            <w:pPr>
              <w:rPr>
                <w:rFonts w:ascii="Arial" w:eastAsia="Calibri" w:hAnsi="Arial" w:cs="Arial"/>
                <w:sz w:val="12"/>
                <w:szCs w:val="12"/>
              </w:rPr>
            </w:pPr>
          </w:p>
        </w:tc>
      </w:tr>
      <w:tr w:rsidR="00355BC7" w:rsidTr="00355BC7">
        <w:trPr>
          <w:trHeight w:val="313"/>
        </w:trPr>
        <w:tc>
          <w:tcPr>
            <w:tcW w:w="696" w:type="dxa"/>
            <w:tcBorders>
              <w:top w:val="nil"/>
              <w:left w:val="single" w:sz="4" w:space="0" w:color="auto"/>
              <w:bottom w:val="single" w:sz="4" w:space="0" w:color="auto"/>
              <w:right w:val="single" w:sz="4" w:space="0" w:color="auto"/>
            </w:tcBorders>
            <w:vAlign w:val="center"/>
          </w:tcPr>
          <w:p w:rsidR="00355BC7" w:rsidRDefault="00355BC7">
            <w:pPr>
              <w:rPr>
                <w:rFonts w:ascii="Arial" w:eastAsia="Calibri" w:hAnsi="Arial" w:cs="Arial"/>
                <w:b/>
                <w:sz w:val="12"/>
                <w:szCs w:val="12"/>
              </w:rPr>
            </w:pPr>
          </w:p>
        </w:tc>
        <w:tc>
          <w:tcPr>
            <w:tcW w:w="56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hAnsi="Arial" w:cs="Arial"/>
                <w:sz w:val="12"/>
                <w:szCs w:val="12"/>
              </w:rPr>
            </w:pPr>
            <w:r>
              <w:rPr>
                <w:rFonts w:ascii="Arial" w:eastAsia="Calibri" w:hAnsi="Arial" w:cs="Arial"/>
                <w:sz w:val="12"/>
                <w:szCs w:val="12"/>
              </w:rPr>
              <w:t>DIC</w:t>
            </w:r>
          </w:p>
        </w:tc>
        <w:tc>
          <w:tcPr>
            <w:tcW w:w="61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271951</w:t>
            </w:r>
          </w:p>
        </w:tc>
        <w:tc>
          <w:tcPr>
            <w:tcW w:w="123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Oficial</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1411</w:t>
            </w:r>
          </w:p>
        </w:tc>
        <w:tc>
          <w:tcPr>
            <w:tcW w:w="1134"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314</w:t>
            </w:r>
          </w:p>
        </w:tc>
        <w:tc>
          <w:tcPr>
            <w:tcW w:w="709"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314</w:t>
            </w:r>
          </w:p>
        </w:tc>
        <w:tc>
          <w:tcPr>
            <w:tcW w:w="992"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993"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850"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c>
          <w:tcPr>
            <w:tcW w:w="568"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eastAsia="Calibri" w:hAnsi="Arial" w:cs="Arial"/>
                <w:sz w:val="12"/>
                <w:szCs w:val="12"/>
              </w:rPr>
            </w:pPr>
            <w:r>
              <w:rPr>
                <w:rFonts w:ascii="Arial" w:eastAsia="Calibri" w:hAnsi="Arial" w:cs="Arial"/>
                <w:sz w:val="12"/>
                <w:szCs w:val="12"/>
              </w:rPr>
              <w:t>0%</w:t>
            </w:r>
          </w:p>
        </w:tc>
      </w:tr>
    </w:tbl>
    <w:p w:rsidR="00355BC7" w:rsidRDefault="00355BC7" w:rsidP="00355BC7">
      <w:pPr>
        <w:tabs>
          <w:tab w:val="left" w:pos="709"/>
        </w:tabs>
        <w:ind w:left="1276" w:hanging="1558"/>
        <w:contextualSpacing/>
        <w:rPr>
          <w:rFonts w:ascii="Arial" w:eastAsia="Calibri" w:hAnsi="Arial" w:cs="Arial"/>
          <w:i/>
          <w:sz w:val="18"/>
          <w:szCs w:val="18"/>
          <w:lang w:val="es-CO"/>
        </w:rPr>
      </w:pPr>
      <w:r>
        <w:rPr>
          <w:rFonts w:ascii="Arial" w:eastAsia="Calibri" w:hAnsi="Arial" w:cs="Arial"/>
          <w:sz w:val="18"/>
          <w:szCs w:val="18"/>
          <w:lang w:val="es-CO"/>
        </w:rPr>
        <w:t xml:space="preserve">Fuente: </w:t>
      </w:r>
      <w:r>
        <w:rPr>
          <w:rFonts w:ascii="Arial" w:eastAsia="Calibri" w:hAnsi="Arial" w:cs="Arial"/>
          <w:i/>
          <w:sz w:val="18"/>
          <w:szCs w:val="18"/>
          <w:lang w:val="es-CO"/>
        </w:rPr>
        <w:t>Informe de evaluación Superservcios Públicos - SUI -Facturas</w:t>
      </w:r>
    </w:p>
    <w:p w:rsidR="00355BC7" w:rsidRDefault="00355BC7" w:rsidP="00355BC7">
      <w:pPr>
        <w:autoSpaceDE w:val="0"/>
        <w:autoSpaceDN w:val="0"/>
        <w:adjustRightInd w:val="0"/>
        <w:ind w:left="1416" w:hanging="1558"/>
        <w:rPr>
          <w:rFonts w:ascii="Arial" w:eastAsia="Calibri" w:hAnsi="Arial" w:cs="Arial"/>
          <w:i/>
          <w:sz w:val="18"/>
          <w:szCs w:val="18"/>
          <w:lang w:val="es-CO"/>
        </w:rPr>
      </w:pPr>
    </w:p>
    <w:p w:rsidR="00355BC7" w:rsidRPr="00752183" w:rsidRDefault="00355BC7" w:rsidP="00752183">
      <w:pPr>
        <w:autoSpaceDE w:val="0"/>
        <w:autoSpaceDN w:val="0"/>
        <w:adjustRightInd w:val="0"/>
        <w:ind w:left="1276"/>
        <w:jc w:val="both"/>
        <w:rPr>
          <w:rFonts w:ascii="Arial" w:eastAsia="Calibri" w:hAnsi="Arial" w:cs="Arial"/>
          <w:i/>
          <w:sz w:val="18"/>
          <w:szCs w:val="22"/>
          <w:lang w:val="es-CO"/>
        </w:rPr>
      </w:pPr>
      <w:r w:rsidRPr="00752183">
        <w:rPr>
          <w:rFonts w:ascii="Arial" w:eastAsia="Calibri" w:hAnsi="Arial" w:cs="Arial"/>
          <w:i/>
          <w:sz w:val="18"/>
          <w:szCs w:val="22"/>
          <w:lang w:val="es-CO"/>
        </w:rPr>
        <w:t>“De acuerdo con la información analizada en las Tablas 16 y 17, los porcentajes de subsidios aplicados vía facturación no corresponden a los aprobados mediante acuerdos de Concejo</w:t>
      </w:r>
      <w:r w:rsidRPr="00752183">
        <w:rPr>
          <w:rFonts w:ascii="Arial" w:eastAsia="Calibri" w:hAnsi="Arial" w:cs="Arial"/>
          <w:i/>
          <w:sz w:val="18"/>
          <w:szCs w:val="22"/>
          <w:vertAlign w:val="superscript"/>
          <w:lang w:val="es-CO"/>
        </w:rPr>
        <w:footnoteReference w:id="19"/>
      </w:r>
      <w:r w:rsidRPr="00752183">
        <w:rPr>
          <w:rFonts w:ascii="Arial" w:eastAsia="Calibri" w:hAnsi="Arial" w:cs="Arial"/>
          <w:i/>
          <w:sz w:val="18"/>
          <w:szCs w:val="22"/>
          <w:lang w:val="es-CO"/>
        </w:rPr>
        <w:t>”.</w:t>
      </w:r>
    </w:p>
    <w:p w:rsidR="00355BC7" w:rsidRPr="00752183" w:rsidRDefault="00355BC7" w:rsidP="00752183">
      <w:pPr>
        <w:autoSpaceDE w:val="0"/>
        <w:autoSpaceDN w:val="0"/>
        <w:adjustRightInd w:val="0"/>
        <w:ind w:left="1418"/>
        <w:jc w:val="both"/>
        <w:rPr>
          <w:rFonts w:ascii="Arial" w:eastAsia="Calibri" w:hAnsi="Arial" w:cs="Arial"/>
          <w:b/>
          <w:bCs/>
          <w:i/>
          <w:sz w:val="18"/>
          <w:szCs w:val="22"/>
          <w:lang w:val="es-CO"/>
        </w:rPr>
      </w:pPr>
    </w:p>
    <w:p w:rsidR="00355BC7" w:rsidRPr="00752183" w:rsidRDefault="00355BC7" w:rsidP="00752183">
      <w:pPr>
        <w:autoSpaceDE w:val="0"/>
        <w:autoSpaceDN w:val="0"/>
        <w:adjustRightInd w:val="0"/>
        <w:ind w:left="1276"/>
        <w:jc w:val="both"/>
        <w:rPr>
          <w:rFonts w:ascii="Arial" w:eastAsia="Calibri" w:hAnsi="Arial" w:cs="Arial"/>
          <w:i/>
          <w:sz w:val="18"/>
          <w:szCs w:val="22"/>
          <w:lang w:val="es-CO"/>
        </w:rPr>
      </w:pPr>
      <w:r w:rsidRPr="00752183">
        <w:rPr>
          <w:rFonts w:ascii="Arial" w:eastAsia="Calibri" w:hAnsi="Arial" w:cs="Arial"/>
          <w:b/>
          <w:i/>
          <w:sz w:val="18"/>
          <w:szCs w:val="22"/>
          <w:lang w:val="es-CO"/>
        </w:rPr>
        <w:t>“Requerimiento No 6:</w:t>
      </w:r>
      <w:r w:rsidRPr="00752183">
        <w:rPr>
          <w:rFonts w:ascii="Arial" w:eastAsia="Calibri" w:hAnsi="Arial" w:cs="Arial"/>
          <w:i/>
          <w:sz w:val="18"/>
          <w:szCs w:val="22"/>
          <w:lang w:val="es-CO"/>
        </w:rPr>
        <w:t xml:space="preserve"> El prestador deberá presentar las explicaciones correspondientes a las diferencias encontradas en las tablas 16 y 17 respecto a la aplicación del acuerdo de subsidios y contribuciones”.</w:t>
      </w:r>
    </w:p>
    <w:p w:rsidR="00355BC7" w:rsidRDefault="00355BC7" w:rsidP="00355BC7">
      <w:pPr>
        <w:autoSpaceDE w:val="0"/>
        <w:autoSpaceDN w:val="0"/>
        <w:adjustRightInd w:val="0"/>
        <w:ind w:left="-142"/>
        <w:jc w:val="both"/>
        <w:rPr>
          <w:rFonts w:ascii="Arial" w:eastAsia="Calibri" w:hAnsi="Arial" w:cs="Arial"/>
          <w:i/>
          <w:sz w:val="22"/>
          <w:szCs w:val="22"/>
          <w:lang w:val="es-CO"/>
        </w:rPr>
      </w:pPr>
    </w:p>
    <w:p w:rsidR="00355BC7" w:rsidRDefault="00355BC7" w:rsidP="00355BC7">
      <w:pPr>
        <w:autoSpaceDE w:val="0"/>
        <w:autoSpaceDN w:val="0"/>
        <w:adjustRightInd w:val="0"/>
        <w:ind w:left="-142"/>
        <w:jc w:val="both"/>
        <w:rPr>
          <w:rFonts w:ascii="Arial" w:eastAsia="Calibri" w:hAnsi="Arial" w:cs="Arial"/>
          <w:i/>
          <w:sz w:val="22"/>
          <w:szCs w:val="22"/>
          <w:lang w:val="es-CO"/>
        </w:rPr>
      </w:pPr>
      <w:r>
        <w:rPr>
          <w:rFonts w:ascii="Arial" w:eastAsia="Calibri" w:hAnsi="Arial" w:cs="Arial"/>
          <w:sz w:val="22"/>
          <w:szCs w:val="22"/>
          <w:lang w:val="es-CO"/>
        </w:rPr>
        <w:lastRenderedPageBreak/>
        <w:t xml:space="preserve">Continua el informe señalando: </w:t>
      </w:r>
      <w:r>
        <w:rPr>
          <w:rFonts w:ascii="Arial" w:eastAsia="Calibri" w:hAnsi="Arial" w:cs="Arial"/>
          <w:i/>
          <w:sz w:val="22"/>
          <w:szCs w:val="22"/>
          <w:lang w:val="es-CO"/>
        </w:rPr>
        <w:t>“Luego de verificar el cobro realizado a los suscriptores mediante la facturación se observa que el prestador está haciendo una presunta aplicación de tarifa plena, calculada con la suma del cargo fijo más el consumo estándar de 20 m3”.</w:t>
      </w:r>
    </w:p>
    <w:p w:rsidR="00355BC7" w:rsidRDefault="00355BC7" w:rsidP="00355BC7">
      <w:pPr>
        <w:ind w:left="-142"/>
        <w:contextualSpacing/>
        <w:jc w:val="both"/>
        <w:rPr>
          <w:rFonts w:ascii="Arial" w:hAnsi="Arial" w:cs="Arial"/>
          <w:i/>
          <w:sz w:val="22"/>
          <w:szCs w:val="22"/>
          <w:lang w:val="es-CO"/>
        </w:rPr>
      </w:pPr>
    </w:p>
    <w:p w:rsidR="00355BC7" w:rsidRDefault="00355BC7" w:rsidP="00355BC7">
      <w:pPr>
        <w:autoSpaceDE w:val="0"/>
        <w:autoSpaceDN w:val="0"/>
        <w:adjustRightInd w:val="0"/>
        <w:ind w:left="-142"/>
        <w:jc w:val="both"/>
        <w:rPr>
          <w:rFonts w:ascii="Arial" w:eastAsia="Calibri" w:hAnsi="Arial" w:cs="Arial"/>
          <w:sz w:val="22"/>
          <w:szCs w:val="22"/>
          <w:lang w:val="es-CO"/>
        </w:rPr>
      </w:pPr>
      <w:r>
        <w:rPr>
          <w:rFonts w:ascii="Arial" w:eastAsia="Calibri" w:hAnsi="Arial" w:cs="Arial"/>
          <w:sz w:val="22"/>
          <w:szCs w:val="22"/>
          <w:lang w:val="es-CO"/>
        </w:rPr>
        <w:t>Ahora bien, para indagar sobre la aplicación de los porcentajes de subsidios, se solicitaron al Municipio algunas facturas de Servicios Públicos de diferentes estratos, en donde efectivamente se constató que frente al porcentaje de subsidio que fija el Acuerdo No 002 de 2017, el subsidio se está aplicando por encima de los porcentajes asignados.</w:t>
      </w:r>
    </w:p>
    <w:p w:rsidR="00355BC7" w:rsidRDefault="00355BC7" w:rsidP="00355BC7">
      <w:pPr>
        <w:autoSpaceDE w:val="0"/>
        <w:autoSpaceDN w:val="0"/>
        <w:adjustRightInd w:val="0"/>
        <w:ind w:left="-142"/>
        <w:jc w:val="both"/>
        <w:rPr>
          <w:rFonts w:ascii="Arial" w:eastAsia="Calibri" w:hAnsi="Arial" w:cs="Arial"/>
          <w:sz w:val="22"/>
          <w:szCs w:val="22"/>
          <w:lang w:val="es-CO"/>
        </w:rPr>
      </w:pPr>
    </w:p>
    <w:p w:rsidR="00355BC7" w:rsidRDefault="00355BC7" w:rsidP="00355BC7">
      <w:pPr>
        <w:tabs>
          <w:tab w:val="left" w:pos="142"/>
        </w:tabs>
        <w:autoSpaceDE w:val="0"/>
        <w:autoSpaceDN w:val="0"/>
        <w:adjustRightInd w:val="0"/>
        <w:ind w:hanging="142"/>
        <w:jc w:val="both"/>
        <w:rPr>
          <w:rFonts w:ascii="Arial" w:eastAsia="Calibri" w:hAnsi="Arial" w:cs="Arial"/>
          <w:sz w:val="22"/>
          <w:szCs w:val="22"/>
          <w:lang w:val="es-CO"/>
        </w:rPr>
      </w:pPr>
      <w:r>
        <w:rPr>
          <w:rFonts w:ascii="Arial" w:eastAsia="Calibri" w:hAnsi="Arial" w:cs="Arial"/>
          <w:sz w:val="22"/>
          <w:szCs w:val="22"/>
          <w:lang w:val="es-CO"/>
        </w:rPr>
        <w:t>A continuación, algunas imágenes de facturas suministradas por el Municipio:</w:t>
      </w:r>
    </w:p>
    <w:p w:rsidR="00AD4D0F" w:rsidRDefault="00AD4D0F">
      <w:pPr>
        <w:rPr>
          <w:rFonts w:ascii="Arial" w:hAnsi="Arial" w:cs="Arial"/>
          <w:sz w:val="22"/>
          <w:szCs w:val="22"/>
          <w:lang w:val="es-CO"/>
        </w:rPr>
      </w:pPr>
      <w:r>
        <w:rPr>
          <w:rFonts w:ascii="Arial" w:hAnsi="Arial" w:cs="Arial"/>
          <w:sz w:val="22"/>
          <w:szCs w:val="22"/>
          <w:lang w:val="es-CO"/>
        </w:rPr>
        <w:br w:type="page"/>
      </w:r>
    </w:p>
    <w:p w:rsidR="00355BC7" w:rsidRDefault="00355BC7" w:rsidP="00355BC7">
      <w:pPr>
        <w:jc w:val="center"/>
        <w:rPr>
          <w:rFonts w:ascii="Arial" w:hAnsi="Arial" w:cs="Arial"/>
          <w:sz w:val="22"/>
          <w:szCs w:val="22"/>
        </w:rPr>
      </w:pPr>
      <w:r>
        <w:rPr>
          <w:rFonts w:ascii="Arial" w:hAnsi="Arial" w:cs="Arial"/>
          <w:noProof/>
          <w:sz w:val="22"/>
          <w:szCs w:val="22"/>
          <w:lang w:val="es-CO" w:eastAsia="es-CO"/>
        </w:rPr>
        <w:lastRenderedPageBreak/>
        <w:drawing>
          <wp:inline distT="0" distB="0" distL="0" distR="0">
            <wp:extent cx="5690870" cy="667321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0870" cy="6673215"/>
                    </a:xfrm>
                    <a:prstGeom prst="rect">
                      <a:avLst/>
                    </a:prstGeom>
                    <a:noFill/>
                    <a:ln>
                      <a:noFill/>
                    </a:ln>
                  </pic:spPr>
                </pic:pic>
              </a:graphicData>
            </a:graphic>
          </wp:inline>
        </w:drawing>
      </w:r>
    </w:p>
    <w:p w:rsidR="00355BC7" w:rsidRDefault="00355BC7" w:rsidP="00355BC7">
      <w:pPr>
        <w:ind w:left="708" w:firstLine="708"/>
        <w:contextualSpacing/>
        <w:jc w:val="both"/>
        <w:rPr>
          <w:rFonts w:ascii="Arial" w:hAnsi="Arial" w:cs="Arial"/>
          <w:i/>
          <w:sz w:val="16"/>
          <w:szCs w:val="16"/>
        </w:rPr>
      </w:pPr>
      <w:r>
        <w:rPr>
          <w:rFonts w:ascii="Arial" w:hAnsi="Arial" w:cs="Arial"/>
          <w:sz w:val="16"/>
          <w:szCs w:val="16"/>
        </w:rPr>
        <w:t xml:space="preserve">FUENTE: </w:t>
      </w:r>
      <w:r>
        <w:rPr>
          <w:rFonts w:ascii="Arial" w:hAnsi="Arial" w:cs="Arial"/>
          <w:i/>
          <w:sz w:val="16"/>
          <w:szCs w:val="16"/>
        </w:rPr>
        <w:t>Factura de Servicios Públicos Mitú – Vaupés - Estrato 2 bajo</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noProof/>
          <w:sz w:val="22"/>
          <w:szCs w:val="22"/>
          <w:lang w:val="es-CO" w:eastAsia="es-CO"/>
        </w:rPr>
        <w:lastRenderedPageBreak/>
        <w:drawing>
          <wp:inline distT="0" distB="0" distL="0" distR="0">
            <wp:extent cx="5398770" cy="63620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8770" cy="6362065"/>
                    </a:xfrm>
                    <a:prstGeom prst="rect">
                      <a:avLst/>
                    </a:prstGeom>
                    <a:noFill/>
                    <a:ln>
                      <a:noFill/>
                    </a:ln>
                  </pic:spPr>
                </pic:pic>
              </a:graphicData>
            </a:graphic>
          </wp:inline>
        </w:drawing>
      </w:r>
    </w:p>
    <w:p w:rsidR="00355BC7" w:rsidRDefault="00355BC7" w:rsidP="00355BC7">
      <w:pPr>
        <w:ind w:firstLine="708"/>
        <w:jc w:val="both"/>
        <w:rPr>
          <w:rFonts w:ascii="Arial" w:hAnsi="Arial" w:cs="Arial"/>
          <w:i/>
          <w:sz w:val="16"/>
          <w:szCs w:val="16"/>
        </w:rPr>
      </w:pPr>
      <w:r>
        <w:rPr>
          <w:rFonts w:ascii="Arial" w:hAnsi="Arial" w:cs="Arial"/>
          <w:sz w:val="16"/>
          <w:szCs w:val="16"/>
        </w:rPr>
        <w:t xml:space="preserve">FUENTE: </w:t>
      </w:r>
      <w:r>
        <w:rPr>
          <w:rFonts w:ascii="Arial" w:hAnsi="Arial" w:cs="Arial"/>
          <w:i/>
          <w:sz w:val="16"/>
          <w:szCs w:val="16"/>
        </w:rPr>
        <w:t>Factura de Servicios Públicos Mitú – Vaupés - Estrato 1 bajo</w:t>
      </w:r>
    </w:p>
    <w:p w:rsidR="00355BC7" w:rsidRDefault="00355BC7" w:rsidP="00355BC7">
      <w:pPr>
        <w:jc w:val="both"/>
        <w:rPr>
          <w:rFonts w:ascii="Arial" w:hAnsi="Arial" w:cs="Arial"/>
          <w:sz w:val="16"/>
          <w:szCs w:val="16"/>
        </w:rPr>
      </w:pP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p>
    <w:p w:rsidR="00355BC7" w:rsidRDefault="00355BC7" w:rsidP="00355BC7">
      <w:pPr>
        <w:autoSpaceDE w:val="0"/>
        <w:autoSpaceDN w:val="0"/>
        <w:adjustRightInd w:val="0"/>
        <w:jc w:val="both"/>
        <w:rPr>
          <w:rFonts w:ascii="Arial" w:hAnsi="Arial" w:cs="Arial"/>
          <w:b/>
          <w:sz w:val="22"/>
          <w:szCs w:val="22"/>
        </w:rPr>
      </w:pPr>
      <w:r>
        <w:rPr>
          <w:rFonts w:ascii="Arial" w:hAnsi="Arial" w:cs="Arial"/>
          <w:b/>
          <w:noProof/>
          <w:sz w:val="22"/>
          <w:szCs w:val="22"/>
          <w:lang w:val="es-CO" w:eastAsia="es-CO"/>
        </w:rPr>
        <w:lastRenderedPageBreak/>
        <w:drawing>
          <wp:inline distT="0" distB="0" distL="0" distR="0">
            <wp:extent cx="5476875" cy="645922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6875" cy="6459220"/>
                    </a:xfrm>
                    <a:prstGeom prst="rect">
                      <a:avLst/>
                    </a:prstGeom>
                    <a:noFill/>
                    <a:ln>
                      <a:noFill/>
                    </a:ln>
                  </pic:spPr>
                </pic:pic>
              </a:graphicData>
            </a:graphic>
          </wp:inline>
        </w:drawing>
      </w:r>
    </w:p>
    <w:p w:rsidR="00355BC7" w:rsidRDefault="00355BC7" w:rsidP="00355BC7">
      <w:pPr>
        <w:ind w:firstLine="708"/>
        <w:jc w:val="center"/>
        <w:rPr>
          <w:rFonts w:ascii="Arial" w:hAnsi="Arial" w:cs="Arial"/>
          <w:i/>
          <w:sz w:val="16"/>
          <w:szCs w:val="16"/>
        </w:rPr>
      </w:pPr>
      <w:r>
        <w:rPr>
          <w:rFonts w:ascii="Arial" w:hAnsi="Arial" w:cs="Arial"/>
          <w:sz w:val="16"/>
          <w:szCs w:val="16"/>
        </w:rPr>
        <w:t xml:space="preserve">FUENTE: </w:t>
      </w:r>
      <w:r>
        <w:rPr>
          <w:rFonts w:ascii="Arial" w:hAnsi="Arial" w:cs="Arial"/>
          <w:i/>
          <w:sz w:val="16"/>
          <w:szCs w:val="16"/>
        </w:rPr>
        <w:t>Factura de Servicios Públicos Mitú - Vaupés - Estrato 3 bajo</w:t>
      </w:r>
    </w:p>
    <w:p w:rsidR="00355BC7" w:rsidRDefault="00355BC7" w:rsidP="00355BC7">
      <w:pPr>
        <w:autoSpaceDE w:val="0"/>
        <w:autoSpaceDN w:val="0"/>
        <w:adjustRightInd w:val="0"/>
        <w:jc w:val="both"/>
        <w:rPr>
          <w:rFonts w:ascii="Arial" w:hAnsi="Arial" w:cs="Arial"/>
          <w:b/>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El siguiente ejercicio muestra lo comentado, en donde se encontró que el valor liquidado en las facturas por concepto de subsidio es inferior en todos los estratos en los Servicios de Acueducto y Alcantarillado.</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lastRenderedPageBreak/>
        <w:t>En el Servicio de Aseo los porcentajes son coincidentes, lo que indica que se están aplicando lo contemplado en el Acuerdo No. 002 de 2017.</w:t>
      </w:r>
    </w:p>
    <w:p w:rsidR="00355BC7" w:rsidRDefault="00355BC7" w:rsidP="00355BC7">
      <w:pPr>
        <w:autoSpaceDE w:val="0"/>
        <w:autoSpaceDN w:val="0"/>
        <w:adjustRightInd w:val="0"/>
        <w:jc w:val="both"/>
        <w:rPr>
          <w:rFonts w:ascii="Arial" w:hAnsi="Arial" w:cs="Arial"/>
          <w:b/>
          <w:sz w:val="22"/>
          <w:szCs w:val="22"/>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622"/>
        <w:gridCol w:w="2257"/>
        <w:gridCol w:w="1501"/>
      </w:tblGrid>
      <w:tr w:rsidR="00355BC7" w:rsidTr="00355BC7">
        <w:trPr>
          <w:trHeight w:val="462"/>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hAnsi="Arial" w:cs="Arial"/>
                <w:b/>
                <w:sz w:val="22"/>
                <w:szCs w:val="22"/>
              </w:rPr>
            </w:pPr>
            <w:r>
              <w:rPr>
                <w:rFonts w:ascii="Arial" w:hAnsi="Arial" w:cs="Arial"/>
                <w:b/>
                <w:sz w:val="22"/>
                <w:szCs w:val="22"/>
              </w:rPr>
              <w:t>ACUERDO /FACTURAS</w:t>
            </w:r>
          </w:p>
          <w:p w:rsidR="00355BC7" w:rsidRDefault="00355BC7">
            <w:pPr>
              <w:autoSpaceDE w:val="0"/>
              <w:autoSpaceDN w:val="0"/>
              <w:adjustRightInd w:val="0"/>
              <w:jc w:val="center"/>
              <w:rPr>
                <w:rFonts w:ascii="Arial" w:hAnsi="Arial" w:cs="Arial"/>
                <w:b/>
                <w:sz w:val="22"/>
                <w:szCs w:val="22"/>
              </w:rPr>
            </w:pPr>
            <w:r>
              <w:rPr>
                <w:rFonts w:ascii="Arial" w:hAnsi="Arial" w:cs="Arial"/>
                <w:b/>
                <w:sz w:val="22"/>
                <w:szCs w:val="22"/>
              </w:rPr>
              <w:t>ESTRATO 1</w:t>
            </w:r>
          </w:p>
        </w:tc>
        <w:tc>
          <w:tcPr>
            <w:tcW w:w="162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2"/>
                <w:szCs w:val="22"/>
              </w:rPr>
            </w:pPr>
            <w:r>
              <w:rPr>
                <w:rFonts w:ascii="Arial" w:hAnsi="Arial" w:cs="Arial"/>
                <w:b/>
                <w:sz w:val="22"/>
                <w:szCs w:val="22"/>
              </w:rPr>
              <w:t xml:space="preserve">ACUEDUCTO </w:t>
            </w:r>
          </w:p>
        </w:tc>
        <w:tc>
          <w:tcPr>
            <w:tcW w:w="225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sz w:val="22"/>
                <w:szCs w:val="22"/>
              </w:rPr>
            </w:pPr>
            <w:r>
              <w:rPr>
                <w:rFonts w:ascii="Arial" w:hAnsi="Arial" w:cs="Arial"/>
                <w:b/>
                <w:sz w:val="22"/>
                <w:szCs w:val="22"/>
              </w:rPr>
              <w:t>ALCANTARILLADO</w:t>
            </w:r>
          </w:p>
          <w:p w:rsidR="00355BC7" w:rsidRDefault="00355BC7">
            <w:pPr>
              <w:jc w:val="center"/>
              <w:rPr>
                <w:rFonts w:ascii="Arial" w:hAnsi="Arial" w:cs="Arial"/>
                <w:b/>
                <w:sz w:val="22"/>
                <w:szCs w:val="22"/>
              </w:rPr>
            </w:pPr>
          </w:p>
        </w:tc>
        <w:tc>
          <w:tcPr>
            <w:tcW w:w="1527"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2"/>
                <w:szCs w:val="22"/>
              </w:rPr>
            </w:pPr>
            <w:r>
              <w:rPr>
                <w:rFonts w:ascii="Arial" w:hAnsi="Arial" w:cs="Arial"/>
                <w:b/>
                <w:sz w:val="22"/>
                <w:szCs w:val="22"/>
              </w:rPr>
              <w:t xml:space="preserve">ASEO </w:t>
            </w:r>
          </w:p>
        </w:tc>
      </w:tr>
      <w:tr w:rsidR="00355BC7" w:rsidTr="00355BC7">
        <w:trPr>
          <w:trHeight w:val="548"/>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Porcentaje dispuesto Acuerdo No 002 de 2017 </w:t>
            </w:r>
          </w:p>
        </w:tc>
        <w:tc>
          <w:tcPr>
            <w:tcW w:w="1622" w:type="dxa"/>
            <w:tcBorders>
              <w:top w:val="single" w:sz="4" w:space="0" w:color="auto"/>
              <w:left w:val="single" w:sz="4" w:space="0" w:color="auto"/>
              <w:bottom w:val="single" w:sz="4" w:space="0" w:color="auto"/>
              <w:right w:val="single" w:sz="4" w:space="0" w:color="auto"/>
            </w:tcBorders>
            <w:hideMark/>
          </w:tcPr>
          <w:p w:rsidR="00355BC7" w:rsidRDefault="00CF44D2">
            <w:pPr>
              <w:jc w:val="center"/>
              <w:rPr>
                <w:rFonts w:ascii="Arial" w:hAnsi="Arial" w:cs="Arial"/>
                <w:b/>
                <w:sz w:val="22"/>
                <w:szCs w:val="22"/>
              </w:rPr>
            </w:pPr>
            <w:r>
              <w:rPr>
                <w:noProof/>
                <w:lang w:val="es-CO" w:eastAsia="es-CO"/>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70" o:spid="_x0000_s1026" type="#_x0000_t103" style="position:absolute;left:0;text-align:left;margin-left:48.8pt;margin-top:4.15pt;width:14.85pt;height:3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" adj="17188,20497,5400" fillcolor="#ffca08" strokecolor="#bc9404" strokeweight="1.5pt"/>
              </w:pict>
            </w:r>
            <w:r w:rsidR="00355BC7">
              <w:rPr>
                <w:rFonts w:ascii="Arial" w:hAnsi="Arial" w:cs="Arial"/>
                <w:b/>
                <w:color w:val="0070C0"/>
                <w:sz w:val="22"/>
                <w:szCs w:val="22"/>
              </w:rPr>
              <w:t>70 %</w:t>
            </w:r>
          </w:p>
        </w:tc>
        <w:tc>
          <w:tcPr>
            <w:tcW w:w="2257" w:type="dxa"/>
            <w:tcBorders>
              <w:top w:val="single" w:sz="4" w:space="0" w:color="auto"/>
              <w:left w:val="single" w:sz="4" w:space="0" w:color="auto"/>
              <w:bottom w:val="single" w:sz="4" w:space="0" w:color="auto"/>
              <w:right w:val="single" w:sz="4" w:space="0" w:color="auto"/>
            </w:tcBorders>
            <w:hideMark/>
          </w:tcPr>
          <w:p w:rsidR="00355BC7" w:rsidRDefault="00CF44D2">
            <w:pPr>
              <w:jc w:val="center"/>
              <w:rPr>
                <w:rFonts w:ascii="Arial" w:hAnsi="Arial" w:cs="Arial"/>
                <w:b/>
                <w:sz w:val="22"/>
                <w:szCs w:val="22"/>
              </w:rPr>
            </w:pPr>
            <w:r>
              <w:rPr>
                <w:noProof/>
                <w:lang w:val="es-CO" w:eastAsia="es-CO"/>
              </w:rPr>
              <w:pict>
                <v:shape id="Flecha curvada hacia la izquierda 69" o:spid="_x0000_s1047" type="#_x0000_t103" style="position:absolute;left:0;text-align:left;margin-left:69.05pt;margin-top:4.1pt;width:14.5pt;height:3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" adj="17298,20525,5400" fillcolor="#ffca08" strokecolor="#bc9404" strokeweight="1.5pt"/>
              </w:pict>
            </w:r>
            <w:r w:rsidR="00355BC7">
              <w:rPr>
                <w:rFonts w:ascii="Arial" w:hAnsi="Arial" w:cs="Arial"/>
                <w:b/>
                <w:color w:val="0070C0"/>
                <w:sz w:val="22"/>
                <w:szCs w:val="22"/>
              </w:rPr>
              <w:t>70 %</w:t>
            </w:r>
          </w:p>
        </w:tc>
        <w:tc>
          <w:tcPr>
            <w:tcW w:w="1527" w:type="dxa"/>
            <w:tcBorders>
              <w:top w:val="single" w:sz="4" w:space="0" w:color="auto"/>
              <w:left w:val="single" w:sz="4" w:space="0" w:color="auto"/>
              <w:bottom w:val="single" w:sz="4" w:space="0" w:color="auto"/>
              <w:right w:val="single" w:sz="4" w:space="0" w:color="auto"/>
            </w:tcBorders>
            <w:hideMark/>
          </w:tcPr>
          <w:p w:rsidR="00355BC7" w:rsidRDefault="00CF44D2">
            <w:pPr>
              <w:jc w:val="center"/>
              <w:rPr>
                <w:rFonts w:ascii="Arial" w:hAnsi="Arial" w:cs="Arial"/>
                <w:b/>
                <w:sz w:val="22"/>
                <w:szCs w:val="22"/>
              </w:rPr>
            </w:pPr>
            <w:r>
              <w:rPr>
                <w:noProof/>
                <w:lang w:val="es-CO" w:eastAsia="es-CO"/>
              </w:rPr>
              <w:pict>
                <v:shape id="Flecha curvada hacia la izquierda 68" o:spid="_x0000_s1046" type="#_x0000_t103" style="position:absolute;left:0;text-align:left;margin-left:48.55pt;margin-top:3.65pt;width:14.4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" adj="17353,20538,5400" fillcolor="#e84c22" strokecolor="#aa3516" strokeweight="1.5pt"/>
              </w:pict>
            </w:r>
            <w:r w:rsidR="00355BC7">
              <w:rPr>
                <w:rFonts w:ascii="Arial" w:hAnsi="Arial" w:cs="Arial"/>
                <w:b/>
                <w:color w:val="0070C0"/>
                <w:sz w:val="22"/>
                <w:szCs w:val="22"/>
              </w:rPr>
              <w:t>70 %</w:t>
            </w:r>
          </w:p>
        </w:tc>
      </w:tr>
      <w:tr w:rsidR="00355BC7" w:rsidTr="00355BC7">
        <w:trPr>
          <w:trHeight w:val="548"/>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Porcentaje descontado en </w:t>
            </w:r>
            <w:r>
              <w:rPr>
                <w:rFonts w:ascii="Arial" w:hAnsi="Arial" w:cs="Arial"/>
                <w:b/>
                <w:sz w:val="22"/>
                <w:szCs w:val="22"/>
                <w:u w:val="thick"/>
              </w:rPr>
              <w:t xml:space="preserve">Factura No. 300,916 </w:t>
            </w:r>
          </w:p>
        </w:tc>
        <w:tc>
          <w:tcPr>
            <w:tcW w:w="162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color w:val="0070C0"/>
                <w:sz w:val="22"/>
                <w:szCs w:val="22"/>
              </w:rPr>
            </w:pPr>
            <w:r>
              <w:rPr>
                <w:rFonts w:ascii="Arial" w:hAnsi="Arial" w:cs="Arial"/>
                <w:b/>
                <w:color w:val="0070C0"/>
                <w:sz w:val="22"/>
                <w:szCs w:val="22"/>
              </w:rPr>
              <w:t>58 %</w:t>
            </w:r>
          </w:p>
        </w:tc>
        <w:tc>
          <w:tcPr>
            <w:tcW w:w="2257"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color w:val="0070C0"/>
                <w:sz w:val="22"/>
                <w:szCs w:val="22"/>
              </w:rPr>
            </w:pPr>
            <w:r>
              <w:rPr>
                <w:rFonts w:ascii="Arial" w:hAnsi="Arial" w:cs="Arial"/>
                <w:b/>
                <w:color w:val="0070C0"/>
                <w:sz w:val="22"/>
                <w:szCs w:val="22"/>
              </w:rPr>
              <w:t>59 %</w:t>
            </w:r>
          </w:p>
        </w:tc>
        <w:tc>
          <w:tcPr>
            <w:tcW w:w="1527"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color w:val="0070C0"/>
                <w:sz w:val="22"/>
                <w:szCs w:val="22"/>
              </w:rPr>
            </w:pPr>
            <w:r>
              <w:rPr>
                <w:rFonts w:ascii="Arial" w:hAnsi="Arial" w:cs="Arial"/>
                <w:b/>
                <w:color w:val="0070C0"/>
                <w:sz w:val="22"/>
                <w:szCs w:val="22"/>
              </w:rPr>
              <w:t>70 %</w:t>
            </w:r>
          </w:p>
        </w:tc>
      </w:tr>
      <w:tr w:rsidR="00355BC7" w:rsidTr="00355BC7">
        <w:trPr>
          <w:trHeight w:val="548"/>
        </w:trPr>
        <w:tc>
          <w:tcPr>
            <w:tcW w:w="3470"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jc w:val="both"/>
              <w:rPr>
                <w:rFonts w:ascii="Arial" w:hAnsi="Arial" w:cs="Arial"/>
                <w:b/>
                <w:sz w:val="22"/>
                <w:szCs w:val="22"/>
              </w:rPr>
            </w:pPr>
          </w:p>
        </w:tc>
        <w:tc>
          <w:tcPr>
            <w:tcW w:w="1622"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0070C0"/>
                <w:sz w:val="22"/>
                <w:szCs w:val="22"/>
              </w:rPr>
            </w:pPr>
          </w:p>
        </w:tc>
        <w:tc>
          <w:tcPr>
            <w:tcW w:w="225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0070C0"/>
                <w:sz w:val="22"/>
                <w:szCs w:val="22"/>
              </w:rPr>
            </w:pPr>
          </w:p>
        </w:tc>
        <w:tc>
          <w:tcPr>
            <w:tcW w:w="152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0070C0"/>
                <w:sz w:val="22"/>
                <w:szCs w:val="22"/>
              </w:rPr>
            </w:pPr>
          </w:p>
        </w:tc>
      </w:tr>
      <w:tr w:rsidR="00355BC7" w:rsidTr="00355BC7">
        <w:trPr>
          <w:trHeight w:val="548"/>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ACUERDO /FACTURAS-ESTRATO 2 </w:t>
            </w:r>
          </w:p>
        </w:tc>
        <w:tc>
          <w:tcPr>
            <w:tcW w:w="162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2"/>
                <w:szCs w:val="22"/>
              </w:rPr>
            </w:pPr>
            <w:r>
              <w:rPr>
                <w:rFonts w:ascii="Arial" w:hAnsi="Arial" w:cs="Arial"/>
                <w:b/>
                <w:sz w:val="22"/>
                <w:szCs w:val="22"/>
              </w:rPr>
              <w:t>ACUEDUCTO</w:t>
            </w:r>
          </w:p>
        </w:tc>
        <w:tc>
          <w:tcPr>
            <w:tcW w:w="225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sz w:val="22"/>
                <w:szCs w:val="22"/>
              </w:rPr>
            </w:pPr>
            <w:r>
              <w:rPr>
                <w:rFonts w:ascii="Arial" w:hAnsi="Arial" w:cs="Arial"/>
                <w:b/>
                <w:sz w:val="22"/>
                <w:szCs w:val="22"/>
              </w:rPr>
              <w:t>ALCANTARILLADO</w:t>
            </w:r>
          </w:p>
          <w:p w:rsidR="00355BC7" w:rsidRDefault="00355BC7">
            <w:pPr>
              <w:jc w:val="center"/>
              <w:rPr>
                <w:rFonts w:ascii="Arial" w:hAnsi="Arial" w:cs="Arial"/>
                <w:b/>
                <w:sz w:val="22"/>
                <w:szCs w:val="22"/>
              </w:rPr>
            </w:pPr>
          </w:p>
        </w:tc>
        <w:tc>
          <w:tcPr>
            <w:tcW w:w="1527"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2"/>
                <w:szCs w:val="22"/>
              </w:rPr>
            </w:pPr>
            <w:r>
              <w:rPr>
                <w:rFonts w:ascii="Arial" w:hAnsi="Arial" w:cs="Arial"/>
                <w:b/>
                <w:sz w:val="22"/>
                <w:szCs w:val="22"/>
              </w:rPr>
              <w:t xml:space="preserve">ASEO </w:t>
            </w:r>
          </w:p>
        </w:tc>
      </w:tr>
      <w:tr w:rsidR="00355BC7" w:rsidTr="00355BC7">
        <w:trPr>
          <w:trHeight w:val="606"/>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Porcentaje dispuesto Acuerdo No 002 de 2017  </w:t>
            </w:r>
          </w:p>
        </w:tc>
        <w:tc>
          <w:tcPr>
            <w:tcW w:w="1622" w:type="dxa"/>
            <w:tcBorders>
              <w:top w:val="single" w:sz="4" w:space="0" w:color="auto"/>
              <w:left w:val="single" w:sz="4" w:space="0" w:color="auto"/>
              <w:bottom w:val="single" w:sz="4" w:space="0" w:color="auto"/>
              <w:right w:val="single" w:sz="4" w:space="0" w:color="auto"/>
            </w:tcBorders>
            <w:hideMark/>
          </w:tcPr>
          <w:p w:rsidR="00355BC7" w:rsidRDefault="00CF44D2">
            <w:pPr>
              <w:jc w:val="center"/>
              <w:rPr>
                <w:rFonts w:ascii="Arial" w:hAnsi="Arial" w:cs="Arial"/>
                <w:b/>
                <w:color w:val="2B8222"/>
                <w:sz w:val="22"/>
                <w:szCs w:val="22"/>
              </w:rPr>
            </w:pPr>
            <w:r>
              <w:rPr>
                <w:noProof/>
                <w:lang w:val="es-CO" w:eastAsia="es-CO"/>
              </w:rPr>
              <w:pict>
                <v:shape id="Flecha curvada hacia la izquierda 67" o:spid="_x0000_s1045" type="#_x0000_t103" style="position:absolute;left:0;text-align:left;margin-left:48.85pt;margin-top:9.95pt;width:14.85pt;height:3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" adj="16998,20450,5400" fillcolor="#ffca08" strokecolor="#bc9404" strokeweight="1.5pt"/>
              </w:pict>
            </w:r>
          </w:p>
          <w:p w:rsidR="00355BC7" w:rsidRDefault="00355BC7">
            <w:pPr>
              <w:jc w:val="center"/>
              <w:rPr>
                <w:rFonts w:ascii="Arial" w:hAnsi="Arial" w:cs="Arial"/>
                <w:b/>
                <w:color w:val="2B8222"/>
                <w:sz w:val="22"/>
                <w:szCs w:val="22"/>
              </w:rPr>
            </w:pPr>
            <w:r>
              <w:rPr>
                <w:rFonts w:ascii="Arial" w:hAnsi="Arial" w:cs="Arial"/>
                <w:b/>
                <w:color w:val="2B8222"/>
                <w:sz w:val="22"/>
                <w:szCs w:val="22"/>
              </w:rPr>
              <w:t>40 %</w:t>
            </w:r>
          </w:p>
        </w:tc>
        <w:tc>
          <w:tcPr>
            <w:tcW w:w="2257" w:type="dxa"/>
            <w:tcBorders>
              <w:top w:val="single" w:sz="4" w:space="0" w:color="auto"/>
              <w:left w:val="single" w:sz="4" w:space="0" w:color="auto"/>
              <w:bottom w:val="single" w:sz="4" w:space="0" w:color="auto"/>
              <w:right w:val="single" w:sz="4" w:space="0" w:color="auto"/>
            </w:tcBorders>
            <w:hideMark/>
          </w:tcPr>
          <w:p w:rsidR="00355BC7" w:rsidRDefault="00CF44D2">
            <w:pPr>
              <w:jc w:val="center"/>
              <w:rPr>
                <w:rFonts w:ascii="Arial" w:hAnsi="Arial" w:cs="Arial"/>
                <w:b/>
                <w:color w:val="2B8222"/>
                <w:sz w:val="22"/>
                <w:szCs w:val="22"/>
              </w:rPr>
            </w:pPr>
            <w:r>
              <w:rPr>
                <w:noProof/>
                <w:lang w:val="es-CO" w:eastAsia="es-CO"/>
              </w:rPr>
              <w:pict>
                <v:shape id="Flecha curvada hacia la izquierda 66" o:spid="_x0000_s1044" type="#_x0000_t103" style="position:absolute;left:0;text-align:left;margin-left:67.9pt;margin-top:10.7pt;width:13.7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" adj="17574,20594,4614" fillcolor="#ffca08" strokecolor="#bc9404" strokeweight="1.5pt"/>
              </w:pict>
            </w:r>
          </w:p>
          <w:p w:rsidR="00355BC7" w:rsidRDefault="00355BC7">
            <w:pPr>
              <w:jc w:val="center"/>
              <w:rPr>
                <w:rFonts w:ascii="Arial" w:hAnsi="Arial" w:cs="Arial"/>
                <w:b/>
                <w:color w:val="2B8222"/>
                <w:sz w:val="22"/>
                <w:szCs w:val="22"/>
              </w:rPr>
            </w:pPr>
            <w:r>
              <w:rPr>
                <w:rFonts w:ascii="Arial" w:hAnsi="Arial" w:cs="Arial"/>
                <w:b/>
                <w:color w:val="2B8222"/>
                <w:sz w:val="22"/>
                <w:szCs w:val="22"/>
              </w:rPr>
              <w:t>40 %</w:t>
            </w:r>
          </w:p>
        </w:tc>
        <w:tc>
          <w:tcPr>
            <w:tcW w:w="152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2B8222"/>
                <w:sz w:val="22"/>
                <w:szCs w:val="22"/>
              </w:rPr>
            </w:pPr>
          </w:p>
          <w:p w:rsidR="00355BC7" w:rsidRDefault="00355BC7">
            <w:pPr>
              <w:jc w:val="center"/>
              <w:rPr>
                <w:rFonts w:ascii="Arial" w:hAnsi="Arial" w:cs="Arial"/>
                <w:b/>
                <w:color w:val="2B8222"/>
                <w:sz w:val="22"/>
                <w:szCs w:val="22"/>
              </w:rPr>
            </w:pPr>
            <w:r>
              <w:rPr>
                <w:rFonts w:ascii="Arial" w:hAnsi="Arial" w:cs="Arial"/>
                <w:b/>
                <w:color w:val="2B8222"/>
                <w:sz w:val="22"/>
                <w:szCs w:val="22"/>
              </w:rPr>
              <w:t>40 %</w:t>
            </w:r>
          </w:p>
        </w:tc>
      </w:tr>
      <w:tr w:rsidR="00355BC7" w:rsidTr="00355BC7">
        <w:trPr>
          <w:trHeight w:val="606"/>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Porcentaje descontado en </w:t>
            </w:r>
            <w:r>
              <w:rPr>
                <w:rFonts w:ascii="Arial" w:hAnsi="Arial" w:cs="Arial"/>
                <w:b/>
                <w:sz w:val="22"/>
                <w:szCs w:val="22"/>
                <w:u w:val="thick"/>
              </w:rPr>
              <w:t xml:space="preserve">Factura No. 302,092 </w:t>
            </w:r>
          </w:p>
        </w:tc>
        <w:tc>
          <w:tcPr>
            <w:tcW w:w="162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color w:val="2B8222"/>
                <w:sz w:val="22"/>
                <w:szCs w:val="22"/>
              </w:rPr>
            </w:pPr>
            <w:r>
              <w:rPr>
                <w:rFonts w:ascii="Arial" w:hAnsi="Arial" w:cs="Arial"/>
                <w:b/>
                <w:color w:val="2B8222"/>
                <w:sz w:val="22"/>
                <w:szCs w:val="22"/>
              </w:rPr>
              <w:t>33 %</w:t>
            </w:r>
          </w:p>
        </w:tc>
        <w:tc>
          <w:tcPr>
            <w:tcW w:w="2257"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color w:val="2B8222"/>
                <w:sz w:val="22"/>
                <w:szCs w:val="22"/>
              </w:rPr>
            </w:pPr>
            <w:r>
              <w:rPr>
                <w:rFonts w:ascii="Arial" w:hAnsi="Arial" w:cs="Arial"/>
                <w:b/>
                <w:color w:val="2B8222"/>
                <w:sz w:val="22"/>
                <w:szCs w:val="22"/>
              </w:rPr>
              <w:t>34 %</w:t>
            </w:r>
          </w:p>
        </w:tc>
        <w:tc>
          <w:tcPr>
            <w:tcW w:w="1527" w:type="dxa"/>
            <w:tcBorders>
              <w:top w:val="single" w:sz="4" w:space="0" w:color="auto"/>
              <w:left w:val="single" w:sz="4" w:space="0" w:color="auto"/>
              <w:bottom w:val="single" w:sz="4" w:space="0" w:color="auto"/>
              <w:right w:val="single" w:sz="4" w:space="0" w:color="auto"/>
            </w:tcBorders>
            <w:hideMark/>
          </w:tcPr>
          <w:p w:rsidR="00355BC7" w:rsidRDefault="00CF44D2">
            <w:pPr>
              <w:jc w:val="center"/>
              <w:rPr>
                <w:rFonts w:ascii="Arial" w:hAnsi="Arial" w:cs="Arial"/>
                <w:b/>
                <w:color w:val="2B8222"/>
                <w:sz w:val="22"/>
                <w:szCs w:val="22"/>
              </w:rPr>
            </w:pPr>
            <w:r>
              <w:rPr>
                <w:noProof/>
                <w:lang w:val="es-CO" w:eastAsia="es-CO"/>
              </w:rPr>
              <w:pict>
                <v:shape id="Flecha curvada hacia la izquierda 65" o:spid="_x0000_s1043" type="#_x0000_t103" style="position:absolute;left:0;text-align:left;margin-left:48.55pt;margin-top:-18.25pt;width:14.5pt;height:3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" adj="17345,20536,5400" fillcolor="#e84c22" strokecolor="#aa3516" strokeweight="1.5pt"/>
              </w:pict>
            </w:r>
            <w:r w:rsidR="00355BC7">
              <w:rPr>
                <w:rFonts w:ascii="Arial" w:hAnsi="Arial" w:cs="Arial"/>
                <w:b/>
                <w:color w:val="2B8222"/>
                <w:sz w:val="22"/>
                <w:szCs w:val="22"/>
              </w:rPr>
              <w:t>40 %</w:t>
            </w:r>
          </w:p>
        </w:tc>
      </w:tr>
      <w:tr w:rsidR="00355BC7" w:rsidTr="00355BC7">
        <w:trPr>
          <w:trHeight w:val="606"/>
        </w:trPr>
        <w:tc>
          <w:tcPr>
            <w:tcW w:w="3470"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jc w:val="both"/>
              <w:rPr>
                <w:rFonts w:ascii="Arial" w:hAnsi="Arial" w:cs="Arial"/>
                <w:b/>
                <w:sz w:val="22"/>
                <w:szCs w:val="22"/>
              </w:rPr>
            </w:pPr>
          </w:p>
        </w:tc>
        <w:tc>
          <w:tcPr>
            <w:tcW w:w="1622"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4BACC6" w:themeColor="accent5"/>
                <w:sz w:val="22"/>
                <w:szCs w:val="22"/>
              </w:rPr>
            </w:pPr>
          </w:p>
        </w:tc>
        <w:tc>
          <w:tcPr>
            <w:tcW w:w="225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4BACC6" w:themeColor="accent5"/>
                <w:sz w:val="22"/>
                <w:szCs w:val="22"/>
              </w:rPr>
            </w:pPr>
          </w:p>
        </w:tc>
        <w:tc>
          <w:tcPr>
            <w:tcW w:w="152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4BACC6" w:themeColor="accent5"/>
                <w:sz w:val="22"/>
                <w:szCs w:val="22"/>
              </w:rPr>
            </w:pPr>
          </w:p>
        </w:tc>
      </w:tr>
      <w:tr w:rsidR="00355BC7" w:rsidTr="00355BC7">
        <w:trPr>
          <w:trHeight w:val="606"/>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ACUERDO /FACTURAS ESTRATO 3</w:t>
            </w:r>
          </w:p>
        </w:tc>
        <w:tc>
          <w:tcPr>
            <w:tcW w:w="162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2"/>
                <w:szCs w:val="22"/>
              </w:rPr>
            </w:pPr>
            <w:r>
              <w:rPr>
                <w:rFonts w:ascii="Arial" w:hAnsi="Arial" w:cs="Arial"/>
                <w:b/>
                <w:sz w:val="22"/>
                <w:szCs w:val="22"/>
              </w:rPr>
              <w:t>ACUEDUCTO</w:t>
            </w:r>
          </w:p>
        </w:tc>
        <w:tc>
          <w:tcPr>
            <w:tcW w:w="225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sz w:val="22"/>
                <w:szCs w:val="22"/>
              </w:rPr>
            </w:pPr>
            <w:r>
              <w:rPr>
                <w:rFonts w:ascii="Arial" w:hAnsi="Arial" w:cs="Arial"/>
                <w:b/>
                <w:sz w:val="22"/>
                <w:szCs w:val="22"/>
              </w:rPr>
              <w:t>ALCANTARILLADO</w:t>
            </w:r>
          </w:p>
          <w:p w:rsidR="00355BC7" w:rsidRDefault="00355BC7">
            <w:pPr>
              <w:jc w:val="center"/>
              <w:rPr>
                <w:rFonts w:ascii="Arial" w:hAnsi="Arial" w:cs="Arial"/>
                <w:b/>
                <w:sz w:val="22"/>
                <w:szCs w:val="22"/>
              </w:rPr>
            </w:pPr>
          </w:p>
        </w:tc>
        <w:tc>
          <w:tcPr>
            <w:tcW w:w="1527"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2"/>
                <w:szCs w:val="22"/>
              </w:rPr>
            </w:pPr>
            <w:r>
              <w:rPr>
                <w:rFonts w:ascii="Arial" w:hAnsi="Arial" w:cs="Arial"/>
                <w:b/>
                <w:sz w:val="22"/>
                <w:szCs w:val="22"/>
              </w:rPr>
              <w:t>ASEO</w:t>
            </w:r>
          </w:p>
        </w:tc>
      </w:tr>
      <w:tr w:rsidR="00355BC7" w:rsidTr="00355BC7">
        <w:trPr>
          <w:trHeight w:val="606"/>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Porcentaje dispuesto Acuerdo No 002 de 2017  </w:t>
            </w:r>
          </w:p>
        </w:tc>
        <w:tc>
          <w:tcPr>
            <w:tcW w:w="1622"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7F7F7F" w:themeColor="text1" w:themeTint="80"/>
                <w:sz w:val="22"/>
                <w:szCs w:val="22"/>
              </w:rPr>
            </w:pPr>
          </w:p>
          <w:p w:rsidR="00355BC7" w:rsidRDefault="00CF44D2">
            <w:pPr>
              <w:jc w:val="center"/>
              <w:rPr>
                <w:rFonts w:ascii="Arial" w:hAnsi="Arial" w:cs="Arial"/>
                <w:b/>
                <w:color w:val="7F7F7F" w:themeColor="text1" w:themeTint="80"/>
                <w:sz w:val="22"/>
                <w:szCs w:val="22"/>
              </w:rPr>
            </w:pPr>
            <w:r>
              <w:rPr>
                <w:noProof/>
                <w:lang w:val="es-CO" w:eastAsia="es-CO"/>
              </w:rPr>
              <w:pict>
                <v:shape id="Flecha curvada hacia la izquierda 64" o:spid="_x0000_s1042" type="#_x0000_t103" style="position:absolute;left:0;text-align:left;margin-left:44.9pt;margin-top:.1pt;width:16.75pt;height:3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" adj="16623,20356,5400" fillcolor="#ffca08" strokecolor="#bc9404" strokeweight="1.5pt"/>
              </w:pict>
            </w:r>
            <w:r w:rsidR="00355BC7">
              <w:rPr>
                <w:rFonts w:ascii="Arial" w:hAnsi="Arial" w:cs="Arial"/>
                <w:b/>
                <w:color w:val="7F7F7F" w:themeColor="text1" w:themeTint="80"/>
                <w:sz w:val="22"/>
                <w:szCs w:val="22"/>
              </w:rPr>
              <w:t>15 %</w:t>
            </w:r>
          </w:p>
        </w:tc>
        <w:tc>
          <w:tcPr>
            <w:tcW w:w="225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7F7F7F" w:themeColor="text1" w:themeTint="80"/>
                <w:sz w:val="22"/>
                <w:szCs w:val="22"/>
              </w:rPr>
            </w:pPr>
          </w:p>
          <w:p w:rsidR="00355BC7" w:rsidRDefault="00CF44D2">
            <w:pPr>
              <w:jc w:val="center"/>
              <w:rPr>
                <w:rFonts w:ascii="Arial" w:hAnsi="Arial" w:cs="Arial"/>
                <w:b/>
                <w:color w:val="7F7F7F" w:themeColor="text1" w:themeTint="80"/>
                <w:sz w:val="22"/>
                <w:szCs w:val="22"/>
              </w:rPr>
            </w:pPr>
            <w:r>
              <w:rPr>
                <w:noProof/>
                <w:lang w:val="es-CO" w:eastAsia="es-CO"/>
              </w:rPr>
              <w:pict>
                <v:shape id="Flecha curvada hacia la izquierda 63" o:spid="_x0000_s1041" type="#_x0000_t103" style="position:absolute;left:0;text-align:left;margin-left:63.6pt;margin-top:.1pt;width:16.05pt;height: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" adj="16619,20355,5400" fillcolor="#ffca08" strokecolor="#bc9404" strokeweight="1.5pt"/>
              </w:pict>
            </w:r>
            <w:r w:rsidR="00355BC7">
              <w:rPr>
                <w:rFonts w:ascii="Arial" w:hAnsi="Arial" w:cs="Arial"/>
                <w:b/>
                <w:color w:val="7F7F7F" w:themeColor="text1" w:themeTint="80"/>
                <w:sz w:val="22"/>
                <w:szCs w:val="22"/>
              </w:rPr>
              <w:t>15 %</w:t>
            </w:r>
          </w:p>
        </w:tc>
        <w:tc>
          <w:tcPr>
            <w:tcW w:w="1527" w:type="dxa"/>
            <w:tcBorders>
              <w:top w:val="single" w:sz="4" w:space="0" w:color="auto"/>
              <w:left w:val="single" w:sz="4" w:space="0" w:color="auto"/>
              <w:bottom w:val="single" w:sz="4" w:space="0" w:color="auto"/>
              <w:right w:val="single" w:sz="4" w:space="0" w:color="auto"/>
            </w:tcBorders>
          </w:tcPr>
          <w:p w:rsidR="00355BC7" w:rsidRDefault="00355BC7">
            <w:pPr>
              <w:jc w:val="center"/>
              <w:rPr>
                <w:rFonts w:ascii="Arial" w:hAnsi="Arial" w:cs="Arial"/>
                <w:b/>
                <w:color w:val="7F7F7F" w:themeColor="text1" w:themeTint="80"/>
                <w:sz w:val="22"/>
                <w:szCs w:val="22"/>
              </w:rPr>
            </w:pPr>
          </w:p>
          <w:p w:rsidR="00355BC7" w:rsidRDefault="00355BC7">
            <w:pPr>
              <w:jc w:val="center"/>
              <w:rPr>
                <w:rFonts w:ascii="Arial" w:hAnsi="Arial" w:cs="Arial"/>
                <w:b/>
                <w:color w:val="7F7F7F" w:themeColor="text1" w:themeTint="80"/>
                <w:sz w:val="22"/>
                <w:szCs w:val="22"/>
              </w:rPr>
            </w:pPr>
            <w:r>
              <w:rPr>
                <w:rFonts w:ascii="Arial" w:hAnsi="Arial" w:cs="Arial"/>
                <w:b/>
                <w:color w:val="7F7F7F" w:themeColor="text1" w:themeTint="80"/>
                <w:sz w:val="22"/>
                <w:szCs w:val="22"/>
              </w:rPr>
              <w:t>15 %</w:t>
            </w:r>
          </w:p>
        </w:tc>
      </w:tr>
      <w:tr w:rsidR="00355BC7" w:rsidTr="00355BC7">
        <w:trPr>
          <w:trHeight w:val="695"/>
        </w:trPr>
        <w:tc>
          <w:tcPr>
            <w:tcW w:w="3470"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Porcentaje descontado en </w:t>
            </w:r>
            <w:r>
              <w:rPr>
                <w:rFonts w:ascii="Arial" w:hAnsi="Arial" w:cs="Arial"/>
                <w:b/>
                <w:sz w:val="22"/>
                <w:szCs w:val="22"/>
                <w:u w:val="thick"/>
              </w:rPr>
              <w:t xml:space="preserve">Factura No. 302,303 </w:t>
            </w:r>
          </w:p>
        </w:tc>
        <w:tc>
          <w:tcPr>
            <w:tcW w:w="1622"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color w:val="7F7F7F" w:themeColor="text1" w:themeTint="80"/>
                <w:sz w:val="22"/>
                <w:szCs w:val="22"/>
              </w:rPr>
            </w:pPr>
            <w:r>
              <w:rPr>
                <w:rFonts w:ascii="Arial" w:hAnsi="Arial" w:cs="Arial"/>
                <w:b/>
                <w:color w:val="7F7F7F" w:themeColor="text1" w:themeTint="80"/>
                <w:sz w:val="22"/>
                <w:szCs w:val="22"/>
              </w:rPr>
              <w:t>12 %</w:t>
            </w:r>
          </w:p>
        </w:tc>
        <w:tc>
          <w:tcPr>
            <w:tcW w:w="2257"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color w:val="7F7F7F" w:themeColor="text1" w:themeTint="80"/>
                <w:sz w:val="22"/>
                <w:szCs w:val="22"/>
              </w:rPr>
            </w:pPr>
            <w:r>
              <w:rPr>
                <w:rFonts w:ascii="Arial" w:hAnsi="Arial" w:cs="Arial"/>
                <w:b/>
                <w:color w:val="7F7F7F" w:themeColor="text1" w:themeTint="80"/>
                <w:sz w:val="22"/>
                <w:szCs w:val="22"/>
              </w:rPr>
              <w:t>13 %</w:t>
            </w:r>
          </w:p>
        </w:tc>
        <w:tc>
          <w:tcPr>
            <w:tcW w:w="1527" w:type="dxa"/>
            <w:tcBorders>
              <w:top w:val="single" w:sz="4" w:space="0" w:color="auto"/>
              <w:left w:val="single" w:sz="4" w:space="0" w:color="auto"/>
              <w:bottom w:val="single" w:sz="4" w:space="0" w:color="auto"/>
              <w:right w:val="single" w:sz="4" w:space="0" w:color="auto"/>
            </w:tcBorders>
            <w:hideMark/>
          </w:tcPr>
          <w:p w:rsidR="00355BC7" w:rsidRDefault="00CF44D2">
            <w:pPr>
              <w:jc w:val="center"/>
              <w:rPr>
                <w:rFonts w:ascii="Arial" w:hAnsi="Arial" w:cs="Arial"/>
                <w:b/>
                <w:color w:val="7F7F7F" w:themeColor="text1" w:themeTint="80"/>
                <w:sz w:val="22"/>
                <w:szCs w:val="22"/>
              </w:rPr>
            </w:pPr>
            <w:r>
              <w:rPr>
                <w:noProof/>
                <w:lang w:val="es-CO" w:eastAsia="es-CO"/>
              </w:rPr>
              <w:pict>
                <v:shape id="Flecha curvada hacia la izquierda 62" o:spid="_x0000_s1040" type="#_x0000_t103" style="position:absolute;left:0;text-align:left;margin-left:45.8pt;margin-top:-18.2pt;width:14.1pt;height: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" adj="17224,20506,5400" fillcolor="#e84c22" strokecolor="#aa3516" strokeweight="1.5pt"/>
              </w:pict>
            </w:r>
            <w:r w:rsidR="00355BC7">
              <w:rPr>
                <w:rFonts w:ascii="Arial" w:hAnsi="Arial" w:cs="Arial"/>
                <w:b/>
                <w:color w:val="7F7F7F" w:themeColor="text1" w:themeTint="80"/>
                <w:sz w:val="22"/>
                <w:szCs w:val="22"/>
              </w:rPr>
              <w:t>15 %</w:t>
            </w:r>
          </w:p>
        </w:tc>
      </w:tr>
    </w:tbl>
    <w:p w:rsidR="00355BC7" w:rsidRDefault="00355BC7" w:rsidP="00355BC7">
      <w:pPr>
        <w:autoSpaceDE w:val="0"/>
        <w:autoSpaceDN w:val="0"/>
        <w:adjustRightInd w:val="0"/>
        <w:jc w:val="center"/>
        <w:rPr>
          <w:rFonts w:ascii="Arial" w:hAnsi="Arial" w:cs="Arial"/>
          <w:sz w:val="20"/>
          <w:szCs w:val="20"/>
        </w:rPr>
      </w:pPr>
      <w:r>
        <w:rPr>
          <w:rFonts w:ascii="Arial" w:hAnsi="Arial" w:cs="Arial"/>
          <w:sz w:val="20"/>
          <w:szCs w:val="20"/>
        </w:rPr>
        <w:t>Fuente: Acuerdo No. 002/2017 Consejo Municipal de Mitú- Facturas de Servicios Públicos 2020</w:t>
      </w:r>
    </w:p>
    <w:p w:rsidR="00355BC7" w:rsidRDefault="00355BC7" w:rsidP="00355BC7">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5549"/>
      </w:tblGrid>
      <w:tr w:rsidR="00355BC7" w:rsidTr="00355BC7">
        <w:trPr>
          <w:trHeight w:val="1863"/>
        </w:trPr>
        <w:tc>
          <w:tcPr>
            <w:tcW w:w="5549"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jc w:val="both"/>
              <w:rPr>
                <w:rFonts w:ascii="Arial" w:hAnsi="Arial" w:cs="Arial"/>
                <w:b/>
                <w:sz w:val="22"/>
                <w:szCs w:val="22"/>
                <w:u w:val="thick"/>
              </w:rPr>
            </w:pPr>
            <w:r>
              <w:rPr>
                <w:rFonts w:ascii="Arial" w:hAnsi="Arial" w:cs="Arial"/>
                <w:b/>
                <w:sz w:val="22"/>
                <w:szCs w:val="22"/>
                <w:u w:val="thick"/>
              </w:rPr>
              <w:t xml:space="preserve">Convenciones </w:t>
            </w:r>
          </w:p>
          <w:p w:rsidR="00355BC7" w:rsidRDefault="00CF44D2">
            <w:pPr>
              <w:autoSpaceDE w:val="0"/>
              <w:autoSpaceDN w:val="0"/>
              <w:adjustRightInd w:val="0"/>
              <w:jc w:val="both"/>
              <w:rPr>
                <w:rFonts w:ascii="Arial" w:hAnsi="Arial" w:cs="Arial"/>
                <w:b/>
                <w:color w:val="2B8222"/>
                <w:sz w:val="22"/>
                <w:szCs w:val="22"/>
              </w:rPr>
            </w:pPr>
            <w:r>
              <w:rPr>
                <w:noProof/>
                <w:lang w:val="es-CO" w:eastAsia="es-CO"/>
              </w:rPr>
              <w:pict>
                <v:shape id="Flecha curvada hacia la izquierda 61" o:spid="_x0000_s1039" type="#_x0000_t103" style="position:absolute;left:0;text-align:left;margin-left:1.8pt;margin-top:6pt;width:14.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" adj="16181,20245,5400" fillcolor="#ffca08" strokecolor="#bc9404" strokeweight="1.5pt"/>
              </w:pict>
            </w:r>
            <w:r>
              <w:rPr>
                <w:noProof/>
                <w:lang w:val="es-CO" w:eastAsia="es-CO"/>
              </w:rPr>
              <w:pict>
                <v:shapetype id="_x0000_t32" coordsize="21600,21600" o:spt="32" o:oned="t" path="m,l21600,21600e" filled="f">
                  <v:path arrowok="t" fillok="f" o:connecttype="none"/>
                  <o:lock v:ext="edit" shapetype="t"/>
                </v:shapetype>
                <v:shape id="Conector recto de flecha 60" o:spid="_x0000_s1038" type="#_x0000_t32" style="position:absolute;left:0;text-align:left;margin-left:23.7pt;margin-top:11.9pt;width:59.8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" strokecolor="#4a7ebb">
                  <v:stroke endarrow="block"/>
                </v:shape>
              </w:pict>
            </w:r>
          </w:p>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                               Muestra las diferencias entre lo </w:t>
            </w:r>
          </w:p>
          <w:p w:rsidR="00355BC7" w:rsidRDefault="00355BC7">
            <w:pPr>
              <w:autoSpaceDE w:val="0"/>
              <w:autoSpaceDN w:val="0"/>
              <w:adjustRightInd w:val="0"/>
              <w:jc w:val="both"/>
              <w:rPr>
                <w:rFonts w:ascii="Arial" w:hAnsi="Arial" w:cs="Arial"/>
                <w:b/>
                <w:sz w:val="22"/>
                <w:szCs w:val="22"/>
              </w:rPr>
            </w:pPr>
          </w:p>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dispuesto en el acuerdo y lo registrado en facturas </w:t>
            </w:r>
          </w:p>
          <w:p w:rsidR="00355BC7" w:rsidRDefault="00CF44D2">
            <w:pPr>
              <w:autoSpaceDE w:val="0"/>
              <w:autoSpaceDN w:val="0"/>
              <w:adjustRightInd w:val="0"/>
              <w:jc w:val="both"/>
              <w:rPr>
                <w:rFonts w:ascii="Arial" w:hAnsi="Arial" w:cs="Arial"/>
                <w:b/>
                <w:sz w:val="22"/>
                <w:szCs w:val="22"/>
              </w:rPr>
            </w:pPr>
            <w:r>
              <w:rPr>
                <w:noProof/>
                <w:lang w:val="es-CO" w:eastAsia="es-CO"/>
              </w:rPr>
              <w:pict>
                <v:shape id="Flecha curvada hacia la izquierda 59" o:spid="_x0000_s1037" type="#_x0000_t103" style="position:absolute;left:0;text-align:left;margin-left:3.35pt;margin-top:6.3pt;width:13.7pt;height: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" adj="16749,20387,5400" fillcolor="#e84c22" strokecolor="#aa3516" strokeweight="1.5pt"/>
              </w:pict>
            </w:r>
            <w:r>
              <w:rPr>
                <w:noProof/>
                <w:lang w:val="es-CO" w:eastAsia="es-CO"/>
              </w:rPr>
              <w:pict>
                <v:shape id="Conector recto de flecha 58" o:spid="_x0000_s1036" type="#_x0000_t32" style="position:absolute;left:0;text-align:left;margin-left:20.95pt;margin-top:16.75pt;width:40.7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" strokecolor="#0f6fc6" strokeweight="1pt">
                  <v:stroke endarrow="block"/>
                </v:shape>
              </w:pict>
            </w:r>
          </w:p>
          <w:p w:rsidR="00355BC7" w:rsidRDefault="00355BC7">
            <w:pPr>
              <w:autoSpaceDE w:val="0"/>
              <w:autoSpaceDN w:val="0"/>
              <w:adjustRightInd w:val="0"/>
              <w:jc w:val="both"/>
              <w:rPr>
                <w:rFonts w:ascii="Arial" w:hAnsi="Arial" w:cs="Arial"/>
                <w:b/>
                <w:sz w:val="22"/>
                <w:szCs w:val="22"/>
              </w:rPr>
            </w:pPr>
          </w:p>
          <w:p w:rsidR="00355BC7" w:rsidRDefault="00355BC7">
            <w:pPr>
              <w:autoSpaceDE w:val="0"/>
              <w:autoSpaceDN w:val="0"/>
              <w:adjustRightInd w:val="0"/>
              <w:jc w:val="both"/>
              <w:rPr>
                <w:rFonts w:ascii="Arial" w:hAnsi="Arial" w:cs="Arial"/>
                <w:b/>
                <w:sz w:val="22"/>
                <w:szCs w:val="22"/>
              </w:rPr>
            </w:pPr>
            <w:r>
              <w:rPr>
                <w:rFonts w:ascii="Arial" w:hAnsi="Arial" w:cs="Arial"/>
                <w:b/>
                <w:sz w:val="22"/>
                <w:szCs w:val="22"/>
              </w:rPr>
              <w:t xml:space="preserve">                      Muestra que el porcentaje dispuesto en el acuerdo es igual al liquidado en la factura. </w:t>
            </w:r>
          </w:p>
          <w:p w:rsidR="00355BC7" w:rsidRDefault="00355BC7">
            <w:pPr>
              <w:autoSpaceDE w:val="0"/>
              <w:autoSpaceDN w:val="0"/>
              <w:adjustRightInd w:val="0"/>
              <w:jc w:val="both"/>
              <w:rPr>
                <w:rFonts w:ascii="Arial" w:hAnsi="Arial" w:cs="Arial"/>
                <w:b/>
                <w:sz w:val="22"/>
                <w:szCs w:val="22"/>
              </w:rPr>
            </w:pPr>
          </w:p>
        </w:tc>
      </w:tr>
    </w:tbl>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b/>
          <w:sz w:val="22"/>
          <w:szCs w:val="22"/>
        </w:rPr>
      </w:pPr>
      <w:r>
        <w:rPr>
          <w:rFonts w:ascii="Arial" w:hAnsi="Arial" w:cs="Arial"/>
          <w:b/>
          <w:sz w:val="22"/>
          <w:szCs w:val="22"/>
        </w:rPr>
        <w:t xml:space="preserve">PLAN DEPARTAMENTAL DE AGUA </w:t>
      </w:r>
      <w:r w:rsidR="00AD4D0F">
        <w:rPr>
          <w:rFonts w:ascii="Arial" w:hAnsi="Arial" w:cs="Arial"/>
          <w:b/>
          <w:sz w:val="22"/>
          <w:szCs w:val="22"/>
        </w:rPr>
        <w:t>–</w:t>
      </w:r>
      <w:r>
        <w:rPr>
          <w:rFonts w:ascii="Arial" w:hAnsi="Arial" w:cs="Arial"/>
          <w:b/>
          <w:sz w:val="22"/>
          <w:szCs w:val="22"/>
        </w:rPr>
        <w:t xml:space="preserve"> PDA</w:t>
      </w:r>
      <w:r w:rsidR="00AD4D0F">
        <w:rPr>
          <w:rFonts w:ascii="Arial" w:hAnsi="Arial" w:cs="Arial"/>
          <w:b/>
          <w:sz w:val="22"/>
          <w:szCs w:val="22"/>
        </w:rPr>
        <w:t>.</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El Municipio de Mitú se encuentra vinculado al Plan Departamental de Agua a través del Convenio No. 018 de 2009. La vinculación del Municipio inició en el 2009 y se extiende hasta el 2028. La cláusula cuarta del Convenio estableció los recursos que aportaría el </w:t>
      </w:r>
      <w:r>
        <w:rPr>
          <w:rFonts w:ascii="Arial" w:hAnsi="Arial" w:cs="Arial"/>
          <w:sz w:val="22"/>
          <w:szCs w:val="22"/>
        </w:rPr>
        <w:lastRenderedPageBreak/>
        <w:t>Municipio para la financiación de programas de inversión e infraestructura y subsidios</w:t>
      </w:r>
      <w:r>
        <w:rPr>
          <w:rFonts w:ascii="Arial" w:hAnsi="Arial" w:cs="Arial"/>
          <w:sz w:val="22"/>
          <w:szCs w:val="22"/>
          <w:vertAlign w:val="superscript"/>
        </w:rPr>
        <w:footnoteReference w:id="20"/>
      </w:r>
      <w:r>
        <w:rPr>
          <w:rFonts w:ascii="Arial" w:hAnsi="Arial" w:cs="Arial"/>
          <w:sz w:val="22"/>
          <w:szCs w:val="22"/>
        </w:rPr>
        <w:t>. La siguiente tabla ilustra sobre los valores a los que se comprometió el Municipio:</w:t>
      </w:r>
    </w:p>
    <w:p w:rsidR="00355BC7" w:rsidRDefault="00355BC7" w:rsidP="00355BC7">
      <w:pPr>
        <w:jc w:val="both"/>
        <w:rPr>
          <w:rFonts w:ascii="Arial" w:hAnsi="Arial" w:cs="Arial"/>
          <w:sz w:val="22"/>
          <w:szCs w:val="22"/>
        </w:rPr>
      </w:pPr>
    </w:p>
    <w:p w:rsidR="00355BC7" w:rsidRDefault="00355BC7" w:rsidP="00752183">
      <w:pPr>
        <w:ind w:right="1325"/>
        <w:jc w:val="right"/>
        <w:rPr>
          <w:rFonts w:ascii="Arial" w:hAnsi="Arial" w:cs="Arial"/>
          <w:sz w:val="18"/>
          <w:szCs w:val="18"/>
        </w:rPr>
      </w:pPr>
      <w:r>
        <w:rPr>
          <w:rFonts w:ascii="Arial" w:hAnsi="Arial" w:cs="Arial"/>
          <w:sz w:val="18"/>
          <w:szCs w:val="18"/>
        </w:rPr>
        <w:t>Pesos</w:t>
      </w:r>
    </w:p>
    <w:tbl>
      <w:tblPr>
        <w:tblW w:w="6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2835"/>
        <w:gridCol w:w="2126"/>
      </w:tblGrid>
      <w:tr w:rsidR="00355BC7" w:rsidTr="00355BC7">
        <w:trPr>
          <w:trHeight w:val="42"/>
          <w:tblHeader/>
          <w:jc w:val="center"/>
        </w:trPr>
        <w:tc>
          <w:tcPr>
            <w:tcW w:w="6346" w:type="dxa"/>
            <w:gridSpan w:val="3"/>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0"/>
                <w:szCs w:val="20"/>
                <w:lang w:val="es-CO"/>
              </w:rPr>
            </w:pPr>
            <w:r>
              <w:rPr>
                <w:rFonts w:ascii="Arial" w:hAnsi="Arial" w:cs="Arial"/>
                <w:b/>
                <w:sz w:val="20"/>
                <w:szCs w:val="20"/>
                <w:lang w:val="es-CO"/>
              </w:rPr>
              <w:t>APORTES DEL MUNICIPIO DE MITÚ AL PDA DEL DEPARTAMENTO DEL VAUPÉS</w:t>
            </w:r>
          </w:p>
        </w:tc>
      </w:tr>
      <w:tr w:rsidR="00355BC7" w:rsidTr="00355BC7">
        <w:trPr>
          <w:trHeight w:val="647"/>
          <w:tblHeader/>
          <w:jc w:val="center"/>
        </w:trPr>
        <w:tc>
          <w:tcPr>
            <w:tcW w:w="1385" w:type="dxa"/>
            <w:vMerge w:val="restart"/>
            <w:tcBorders>
              <w:top w:val="single" w:sz="4" w:space="0" w:color="auto"/>
              <w:left w:val="single" w:sz="4" w:space="0" w:color="auto"/>
              <w:bottom w:val="single" w:sz="4" w:space="0" w:color="auto"/>
              <w:right w:val="single" w:sz="4" w:space="0" w:color="auto"/>
            </w:tcBorders>
          </w:tcPr>
          <w:p w:rsidR="00355BC7" w:rsidRDefault="00355BC7">
            <w:pPr>
              <w:rPr>
                <w:rFonts w:ascii="Arial" w:hAnsi="Arial" w:cs="Arial"/>
                <w:b/>
                <w:sz w:val="20"/>
                <w:szCs w:val="20"/>
                <w:lang w:val="es-CO"/>
              </w:rPr>
            </w:pPr>
          </w:p>
          <w:p w:rsidR="00355BC7" w:rsidRDefault="00355BC7">
            <w:pPr>
              <w:rPr>
                <w:rFonts w:ascii="Arial" w:hAnsi="Arial" w:cs="Arial"/>
                <w:b/>
                <w:sz w:val="20"/>
                <w:szCs w:val="20"/>
              </w:rPr>
            </w:pPr>
            <w:r>
              <w:rPr>
                <w:rFonts w:ascii="Arial" w:hAnsi="Arial" w:cs="Arial"/>
                <w:b/>
                <w:sz w:val="20"/>
                <w:szCs w:val="20"/>
              </w:rPr>
              <w:t>VIGENCIA</w:t>
            </w:r>
          </w:p>
          <w:p w:rsidR="00355BC7" w:rsidRDefault="00355BC7">
            <w:pPr>
              <w:rPr>
                <w:rFonts w:ascii="Arial" w:hAnsi="Arial" w:cs="Arial"/>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0"/>
                <w:szCs w:val="20"/>
              </w:rPr>
            </w:pPr>
            <w:r>
              <w:rPr>
                <w:rFonts w:ascii="Arial" w:hAnsi="Arial" w:cs="Arial"/>
                <w:b/>
                <w:sz w:val="20"/>
                <w:szCs w:val="20"/>
              </w:rPr>
              <w:t>SISTEMA GENERAL DE PARTICIPACIONES</w:t>
            </w:r>
          </w:p>
        </w:tc>
      </w:tr>
      <w:tr w:rsidR="00355BC7" w:rsidTr="00355BC7">
        <w:trPr>
          <w:trHeight w:val="70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5BC7" w:rsidRDefault="00355BC7">
            <w:pPr>
              <w:rPr>
                <w:rFonts w:ascii="Arial" w:hAnsi="Arial" w:cs="Arial"/>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hAnsi="Arial" w:cs="Arial"/>
                <w:b/>
                <w:sz w:val="20"/>
                <w:szCs w:val="20"/>
                <w:lang w:val="es-CO"/>
              </w:rPr>
            </w:pPr>
            <w:r>
              <w:rPr>
                <w:rFonts w:ascii="Arial" w:hAnsi="Arial" w:cs="Arial"/>
                <w:b/>
                <w:sz w:val="20"/>
                <w:szCs w:val="20"/>
                <w:lang w:val="es-CO"/>
              </w:rPr>
              <w:t>Aportes para inversión en infraestructura</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rPr>
                <w:rFonts w:ascii="Arial" w:hAnsi="Arial" w:cs="Arial"/>
                <w:b/>
                <w:sz w:val="20"/>
                <w:szCs w:val="20"/>
                <w:lang w:val="es-CO"/>
              </w:rPr>
            </w:pPr>
            <w:r>
              <w:rPr>
                <w:rFonts w:ascii="Arial" w:hAnsi="Arial" w:cs="Arial"/>
                <w:b/>
                <w:sz w:val="20"/>
                <w:szCs w:val="20"/>
                <w:lang w:val="es-CO"/>
              </w:rPr>
              <w:t>Aportes para Subsidios</w:t>
            </w:r>
          </w:p>
        </w:tc>
      </w:tr>
      <w:tr w:rsidR="00355BC7" w:rsidTr="00355BC7">
        <w:trPr>
          <w:trHeight w:val="109"/>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2009</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$71.055.498</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$106.583.240</w:t>
            </w:r>
          </w:p>
        </w:tc>
      </w:tr>
      <w:tr w:rsidR="00355BC7" w:rsidTr="00355BC7">
        <w:trPr>
          <w:trHeight w:val="211"/>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2010</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$68.042.742</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$102.064.114</w:t>
            </w:r>
          </w:p>
        </w:tc>
      </w:tr>
      <w:tr w:rsidR="00355BC7" w:rsidTr="00355BC7">
        <w:trPr>
          <w:trHeight w:val="129"/>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2011</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$72.125.307</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$108.187.960</w:t>
            </w:r>
          </w:p>
        </w:tc>
      </w:tr>
      <w:tr w:rsidR="00355BC7" w:rsidTr="00355BC7">
        <w:trPr>
          <w:trHeight w:val="218"/>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2012</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$76.452.825</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$114.679.238</w:t>
            </w:r>
          </w:p>
        </w:tc>
      </w:tr>
      <w:tr w:rsidR="00355BC7" w:rsidTr="00355BC7">
        <w:trPr>
          <w:trHeight w:val="135"/>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2013</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$81.039.995</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$121.559.992</w:t>
            </w:r>
          </w:p>
        </w:tc>
      </w:tr>
      <w:tr w:rsidR="00355BC7" w:rsidTr="00355BC7">
        <w:trPr>
          <w:trHeight w:val="129"/>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2014</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$85.902.395</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$128.853.592</w:t>
            </w:r>
          </w:p>
        </w:tc>
      </w:tr>
      <w:tr w:rsidR="00355BC7" w:rsidTr="00355BC7">
        <w:trPr>
          <w:trHeight w:val="161"/>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2015</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$91.056.538</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$136.584.807</w:t>
            </w:r>
          </w:p>
        </w:tc>
      </w:tr>
      <w:tr w:rsidR="00355BC7" w:rsidTr="00355BC7">
        <w:trPr>
          <w:trHeight w:val="225"/>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2016</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$96.519.931</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$144.779.896</w:t>
            </w:r>
          </w:p>
        </w:tc>
      </w:tr>
      <w:tr w:rsidR="00355BC7" w:rsidTr="00355BC7">
        <w:trPr>
          <w:trHeight w:val="217"/>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2017</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$102.311.126</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$153.466.689</w:t>
            </w:r>
          </w:p>
        </w:tc>
      </w:tr>
      <w:tr w:rsidR="00355BC7" w:rsidTr="00355BC7">
        <w:trPr>
          <w:trHeight w:val="210"/>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2018</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$108.449.794</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$162.674.691</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2019</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$114.956.782</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$172.435.172</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2020</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$121.854.188</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$182.781.283</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2021</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$129.165.440</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$193.748.160</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2022</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$136.915.366</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$205.373.049</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2023</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$145.130.288</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$217.695.432</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2024</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$153.838.105</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$230.757.158</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2025</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$163.068.392</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$244.602.588</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2026</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$172.852.495</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$259.278.743</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2027</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$183.223.645</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$274.835.467</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sz w:val="20"/>
                <w:szCs w:val="20"/>
                <w:lang w:val="es-CO"/>
              </w:rPr>
            </w:pPr>
            <w:r>
              <w:rPr>
                <w:rFonts w:ascii="Arial" w:hAnsi="Arial" w:cs="Arial"/>
                <w:sz w:val="20"/>
                <w:szCs w:val="20"/>
                <w:lang w:val="es-CO"/>
              </w:rPr>
              <w:t>2028</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$194.217.064</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sz w:val="20"/>
                <w:szCs w:val="20"/>
                <w:lang w:val="es-CO"/>
              </w:rPr>
            </w:pPr>
            <w:r>
              <w:rPr>
                <w:rFonts w:ascii="Arial" w:hAnsi="Arial" w:cs="Arial"/>
                <w:sz w:val="20"/>
                <w:szCs w:val="20"/>
                <w:lang w:val="es-CO"/>
              </w:rPr>
              <w:t>$291.325.595</w:t>
            </w:r>
          </w:p>
        </w:tc>
      </w:tr>
      <w:tr w:rsidR="00355BC7" w:rsidTr="00355BC7">
        <w:trPr>
          <w:trHeight w:val="103"/>
          <w:jc w:val="center"/>
        </w:trPr>
        <w:tc>
          <w:tcPr>
            <w:tcW w:w="1385" w:type="dxa"/>
            <w:tcBorders>
              <w:top w:val="single" w:sz="4" w:space="0" w:color="auto"/>
              <w:left w:val="single" w:sz="4" w:space="0" w:color="auto"/>
              <w:bottom w:val="single" w:sz="4" w:space="0" w:color="auto"/>
              <w:right w:val="single" w:sz="4" w:space="0" w:color="auto"/>
            </w:tcBorders>
            <w:hideMark/>
          </w:tcPr>
          <w:p w:rsidR="00355BC7" w:rsidRDefault="00355BC7">
            <w:pPr>
              <w:jc w:val="center"/>
              <w:rPr>
                <w:rFonts w:ascii="Arial" w:hAnsi="Arial" w:cs="Arial"/>
                <w:b/>
                <w:sz w:val="20"/>
                <w:szCs w:val="20"/>
                <w:lang w:val="es-CO"/>
              </w:rPr>
            </w:pPr>
            <w:r>
              <w:rPr>
                <w:rFonts w:ascii="Arial" w:hAnsi="Arial" w:cs="Arial"/>
                <w:b/>
                <w:sz w:val="20"/>
                <w:szCs w:val="20"/>
                <w:lang w:val="es-CO"/>
              </w:rPr>
              <w:t>TOTAL</w:t>
            </w:r>
          </w:p>
        </w:tc>
        <w:tc>
          <w:tcPr>
            <w:tcW w:w="2835"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b/>
                <w:sz w:val="20"/>
                <w:szCs w:val="20"/>
                <w:lang w:val="es-CO"/>
              </w:rPr>
            </w:pPr>
            <w:r>
              <w:rPr>
                <w:rFonts w:ascii="Arial" w:hAnsi="Arial" w:cs="Arial"/>
                <w:sz w:val="20"/>
                <w:szCs w:val="20"/>
                <w:lang w:val="es-CO"/>
              </w:rPr>
              <w:t>$</w:t>
            </w:r>
            <w:r>
              <w:rPr>
                <w:rFonts w:ascii="Arial" w:hAnsi="Arial" w:cs="Arial"/>
                <w:b/>
                <w:sz w:val="20"/>
                <w:szCs w:val="20"/>
                <w:lang w:val="es-CO"/>
              </w:rPr>
              <w:t>2.368.177.916</w:t>
            </w:r>
          </w:p>
        </w:tc>
        <w:tc>
          <w:tcPr>
            <w:tcW w:w="2126" w:type="dxa"/>
            <w:tcBorders>
              <w:top w:val="single" w:sz="4" w:space="0" w:color="auto"/>
              <w:left w:val="single" w:sz="4" w:space="0" w:color="auto"/>
              <w:bottom w:val="single" w:sz="4" w:space="0" w:color="auto"/>
              <w:right w:val="single" w:sz="4" w:space="0" w:color="auto"/>
            </w:tcBorders>
            <w:hideMark/>
          </w:tcPr>
          <w:p w:rsidR="00355BC7" w:rsidRDefault="00355BC7">
            <w:pPr>
              <w:jc w:val="right"/>
              <w:rPr>
                <w:rFonts w:ascii="Arial" w:hAnsi="Arial" w:cs="Arial"/>
                <w:b/>
                <w:sz w:val="20"/>
                <w:szCs w:val="20"/>
                <w:lang w:val="es-CO"/>
              </w:rPr>
            </w:pPr>
            <w:r>
              <w:rPr>
                <w:rFonts w:ascii="Arial" w:hAnsi="Arial" w:cs="Arial"/>
                <w:sz w:val="20"/>
                <w:szCs w:val="20"/>
                <w:lang w:val="es-CO"/>
              </w:rPr>
              <w:t>$</w:t>
            </w:r>
            <w:r>
              <w:rPr>
                <w:rFonts w:ascii="Arial" w:hAnsi="Arial" w:cs="Arial"/>
                <w:b/>
                <w:sz w:val="20"/>
                <w:szCs w:val="20"/>
                <w:lang w:val="es-CO"/>
              </w:rPr>
              <w:t>3.552.266.866</w:t>
            </w:r>
          </w:p>
        </w:tc>
      </w:tr>
    </w:tbl>
    <w:p w:rsidR="00355BC7" w:rsidRDefault="00355BC7" w:rsidP="00355BC7">
      <w:pPr>
        <w:jc w:val="center"/>
        <w:rPr>
          <w:rFonts w:ascii="Arial" w:hAnsi="Arial" w:cs="Arial"/>
          <w:sz w:val="16"/>
          <w:szCs w:val="16"/>
        </w:rPr>
      </w:pPr>
      <w:r>
        <w:rPr>
          <w:rFonts w:ascii="Arial" w:hAnsi="Arial" w:cs="Arial"/>
          <w:sz w:val="16"/>
          <w:szCs w:val="16"/>
        </w:rPr>
        <w:t>Fuente: PDA Vaupés</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Aunque en el Convenio estableció que se trasladarían recursos para subsidios, el reporte publicado en la página web del Minvivienda sobre las transferencias, muestra que por ese concepto se transfirieron recursos para subsidios hasta el 2012.</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Según información reportada en la página web del Ministerio de Vivienda, Ciudad y Territorio, al Consorcio FIA le han transferido recursos de la Participación de APSB del SGP por $2.602 millones</w:t>
      </w:r>
      <w:r>
        <w:rPr>
          <w:rFonts w:ascii="Arial" w:hAnsi="Arial" w:cs="Arial"/>
          <w:sz w:val="22"/>
          <w:szCs w:val="22"/>
          <w:vertAlign w:val="superscript"/>
        </w:rPr>
        <w:footnoteReference w:id="21"/>
      </w:r>
      <w:r>
        <w:rPr>
          <w:rFonts w:ascii="Arial" w:hAnsi="Arial" w:cs="Arial"/>
          <w:sz w:val="22"/>
          <w:szCs w:val="22"/>
        </w:rPr>
        <w:t>.</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lastRenderedPageBreak/>
        <w:t xml:space="preserve">Conforme a la comunicación recibida por el Director Administrativo del Plan Departamental de Agua del Departamento del Vaupés en fecha 23 de septiembre de 2021 y radicada bajo el No. 1-2021-084178, en el Municipio de Mitú se han realizado inversiones por $5.103 millones, de los cuales $$2.778 millones corresponden a los aportes al PDA realizado por el municipio desde el 2009 hasta 2021 y $2.325 millones con aportes de SGP_APSB del departamento del Vaupés. La siguiente relación muestra las inversiones realizadas </w:t>
      </w:r>
    </w:p>
    <w:p w:rsidR="00355BC7" w:rsidRDefault="00355BC7" w:rsidP="00355BC7">
      <w:pPr>
        <w:spacing w:line="252" w:lineRule="auto"/>
        <w:jc w:val="both"/>
        <w:rPr>
          <w:rFonts w:ascii="Arial" w:hAnsi="Arial" w:cs="Arial"/>
          <w:sz w:val="22"/>
          <w:szCs w:val="22"/>
        </w:rPr>
      </w:pPr>
    </w:p>
    <w:tbl>
      <w:tblPr>
        <w:tblW w:w="0" w:type="dxa"/>
        <w:tblLayout w:type="fixed"/>
        <w:tblCellMar>
          <w:left w:w="0" w:type="dxa"/>
          <w:right w:w="0" w:type="dxa"/>
        </w:tblCellMar>
        <w:tblLook w:val="04A0" w:firstRow="1" w:lastRow="0" w:firstColumn="1" w:lastColumn="0" w:noHBand="0" w:noVBand="1"/>
      </w:tblPr>
      <w:tblGrid>
        <w:gridCol w:w="1474"/>
        <w:gridCol w:w="1068"/>
        <w:gridCol w:w="1134"/>
        <w:gridCol w:w="2977"/>
        <w:gridCol w:w="906"/>
        <w:gridCol w:w="6"/>
        <w:gridCol w:w="1260"/>
        <w:gridCol w:w="6"/>
      </w:tblGrid>
      <w:tr w:rsidR="00355BC7" w:rsidTr="00355BC7">
        <w:trPr>
          <w:gridAfter w:val="1"/>
          <w:wAfter w:w="6" w:type="dxa"/>
          <w:trHeight w:val="300"/>
          <w:tblHeader/>
        </w:trPr>
        <w:tc>
          <w:tcPr>
            <w:tcW w:w="1474"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b/>
                <w:bCs/>
                <w:color w:val="000000"/>
                <w:sz w:val="16"/>
                <w:szCs w:val="16"/>
                <w:lang w:eastAsia="en-US"/>
              </w:rPr>
              <w:t>FUENTE</w:t>
            </w:r>
          </w:p>
        </w:tc>
        <w:tc>
          <w:tcPr>
            <w:tcW w:w="1068"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b/>
                <w:bCs/>
                <w:color w:val="000000"/>
                <w:sz w:val="16"/>
                <w:szCs w:val="16"/>
                <w:lang w:eastAsia="en-US"/>
              </w:rPr>
              <w:t>CONTRATO</w:t>
            </w:r>
          </w:p>
        </w:tc>
        <w:tc>
          <w:tcPr>
            <w:tcW w:w="1134"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b/>
                <w:bCs/>
                <w:color w:val="000000"/>
                <w:sz w:val="16"/>
                <w:szCs w:val="16"/>
                <w:lang w:eastAsia="en-US"/>
              </w:rPr>
              <w:t>FECHA DE CONTRATO</w:t>
            </w:r>
          </w:p>
        </w:tc>
        <w:tc>
          <w:tcPr>
            <w:tcW w:w="2977"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b/>
                <w:bCs/>
                <w:color w:val="000000"/>
                <w:sz w:val="16"/>
                <w:szCs w:val="16"/>
                <w:lang w:eastAsia="en-US"/>
              </w:rPr>
              <w:t>OBJETO</w:t>
            </w:r>
          </w:p>
        </w:tc>
        <w:tc>
          <w:tcPr>
            <w:tcW w:w="906"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b/>
                <w:bCs/>
                <w:color w:val="000000"/>
                <w:sz w:val="16"/>
                <w:szCs w:val="16"/>
                <w:lang w:eastAsia="en-US"/>
              </w:rPr>
              <w:t>CDR</w:t>
            </w:r>
          </w:p>
        </w:tc>
        <w:tc>
          <w:tcPr>
            <w:tcW w:w="1266"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b/>
                <w:bCs/>
                <w:color w:val="000000"/>
                <w:sz w:val="16"/>
                <w:szCs w:val="16"/>
                <w:lang w:eastAsia="en-US"/>
              </w:rPr>
              <w:t xml:space="preserve">VALOR CONTRATO </w:t>
            </w:r>
          </w:p>
        </w:tc>
      </w:tr>
      <w:tr w:rsidR="00355BC7" w:rsidTr="00355BC7">
        <w:trPr>
          <w:gridAfter w:val="1"/>
          <w:wAfter w:w="6" w:type="dxa"/>
          <w:trHeight w:val="1618"/>
        </w:trPr>
        <w:tc>
          <w:tcPr>
            <w:tcW w:w="147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RECURSOS SIN SITUACION DE FONDO DEL DEPARTAMENTO</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286 de 2018</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3 DE AGOSTO DE 2018</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IMPLEMENTACION DE PLAN DE GESTION SOCIAL PAP-PDA DEL DEPARTAMENTO DE VAUPES (MUNICIPIO DE MITU, TARAIRA Y CARURU) EN LAS LINEAS DE CAPACITACION Y PARTICIPACION CIUDADANA, ASI COMO EL PROGRAMA INNOVACION RURAL Y PROYECTO EDUCATIVO NUESTRA TIERRA</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CDR 3159</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$188.848.240 </w:t>
            </w:r>
          </w:p>
        </w:tc>
      </w:tr>
      <w:tr w:rsidR="00355BC7" w:rsidTr="00355BC7">
        <w:trPr>
          <w:gridAfter w:val="1"/>
          <w:wAfter w:w="6" w:type="dxa"/>
          <w:trHeight w:val="1020"/>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DEPARTAMENTO</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223 de 2018</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23 DE OCTUBRE DE 2018</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ELABORACION DE ESTUDIOS Y DISEÑOS PARA DAR SOLUCION DEFINITIVA A LA PROBLEMATIVA DE LAS REDES DE ALCANTARILLADO SANITARIO EN LOS BARRIOS 7 DE AGOSTO, BELARMINO CORREA Y VIVIENDAS CERCANAS AL BATALLON DEL MUNICPIO DE MITU, DEPARTAMENTO DE VAUPES</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CDR 4547</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$450.410.419 </w:t>
            </w:r>
          </w:p>
        </w:tc>
      </w:tr>
      <w:tr w:rsidR="00355BC7" w:rsidTr="00355BC7">
        <w:trPr>
          <w:gridAfter w:val="1"/>
          <w:wAfter w:w="6" w:type="dxa"/>
          <w:trHeight w:val="1058"/>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DEPARTAMENTO</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265 de 2017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07 DE JUNIO DE 2017</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CELEBRAR CONVENIO INTERADMINISTRATIVO CON EL MUNICIPIO DE MITU PARA TRANSFERIR RECURSOS CORRESPONDIENTES COMO APOYO PARA LA CULMINACION DE LA OBRA PLANTA DE TRATAMIENTO DE AGUA POTABLE-PTAP, DEL MUNICIPIO DE MTU</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CDP 00632</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$374.196.385 </w:t>
            </w:r>
          </w:p>
        </w:tc>
      </w:tr>
      <w:tr w:rsidR="00355BC7" w:rsidTr="00355BC7">
        <w:trPr>
          <w:gridAfter w:val="1"/>
          <w:wAfter w:w="6" w:type="dxa"/>
          <w:trHeight w:val="940"/>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DEPARTAMENTO</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221 de 2015</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20 DE MAYO DE 2015</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jc w:val="both"/>
              <w:rPr>
                <w:rFonts w:ascii="Arial" w:hAnsi="Arial" w:cs="Arial"/>
                <w:sz w:val="16"/>
                <w:szCs w:val="16"/>
                <w:lang w:eastAsia="en-US"/>
              </w:rPr>
            </w:pPr>
            <w:r>
              <w:rPr>
                <w:rFonts w:ascii="Arial" w:hAnsi="Arial" w:cs="Arial"/>
                <w:color w:val="000000"/>
                <w:sz w:val="16"/>
                <w:szCs w:val="16"/>
                <w:lang w:eastAsia="en-US"/>
              </w:rPr>
              <w:t>IMPLEMENTACION DEL PLAN DE ASEGURAMIENTO PARA LA PRESTACION DE LOS SERVICIOS PUBLICOS DOMICILIARIOS DE AGUA POTABLE Y SANEAMIENTO BASICO DEL PDA VAUPES EN LOS MUNICIPIOS DE MITU, CARURU Y TARAIRA.</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CDP 00306, 00312, 00318, 00319, 00325</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$540.637.152 </w:t>
            </w:r>
          </w:p>
        </w:tc>
      </w:tr>
      <w:tr w:rsidR="00355BC7" w:rsidTr="00355BC7">
        <w:trPr>
          <w:gridAfter w:val="1"/>
          <w:wAfter w:w="6" w:type="dxa"/>
          <w:trHeight w:val="50"/>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DEPARTAMENTO</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127 DE 2011</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8 DE JUNIO DE 2011</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 xml:space="preserve">REFORMULACION DE LOS ESTUDIOS Y DISEÑOS PARA LA CLAUSURA Y POST CLAURSURA DEL BOTADERO A CIELO ABIERTO DEL MUNICIPIO DE MITU, DEPARTAMENTO DE VAUPES; ELABORACION Y/O FORMULACION DE LOS DISEÑOS DEFINITIVOS DE LOS SISTEMAS DE ACUEDUCTOS DE LAS COMUNIDADES INDIGENAS DE VILLA FATIMA, TAPURUCUARA, ACARUCUARA, YAPU, MANDI Y YURUPARI DEL MUNICIPIO DE MITU, DEPARTAMENTO DE VAUPES; Y ESTUDIOS RELACIONADOS CON EL CATASTRO DE REDES DE LOS </w:t>
            </w:r>
            <w:r>
              <w:rPr>
                <w:rFonts w:ascii="Arial" w:hAnsi="Arial" w:cs="Arial"/>
                <w:color w:val="000000"/>
                <w:sz w:val="16"/>
                <w:szCs w:val="16"/>
                <w:lang w:eastAsia="en-US"/>
              </w:rPr>
              <w:lastRenderedPageBreak/>
              <w:t>SISTEMAS DE ACUEDUCTO Y ALCANTARILLADO DEL MUNICPIO DE MITU, DEPARTAMENTO DE VAUPES</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lastRenderedPageBreak/>
              <w:t>001-002-021-022-023</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$434.983.760 </w:t>
            </w:r>
          </w:p>
        </w:tc>
      </w:tr>
      <w:tr w:rsidR="00355BC7" w:rsidTr="00355BC7">
        <w:trPr>
          <w:gridAfter w:val="1"/>
          <w:wAfter w:w="6" w:type="dxa"/>
          <w:trHeight w:val="626"/>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DEPARTAMENTO</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200 DE 2011</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26 DE SEPTIEMBRE DE 2011</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SUMINISTRO DE 375 MICROMEDIDORES E INSTALACION DE 1295 MICROMEDIDORES EN EL SISTEMA DE DISTRIBUCION DE ACUEDUCTO DEL MUNICIPIO DE MITU, DEPARTAMENTO DE VAUPES</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CDR 36</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$335.597.750 </w:t>
            </w:r>
          </w:p>
        </w:tc>
      </w:tr>
      <w:tr w:rsidR="00355BC7" w:rsidTr="00355BC7">
        <w:trPr>
          <w:gridAfter w:val="1"/>
          <w:wAfter w:w="6" w:type="dxa"/>
          <w:trHeight w:val="1619"/>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Mitú</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225 DE 2015</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20 DE MAYO DE 2015</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jc w:val="both"/>
              <w:rPr>
                <w:rFonts w:ascii="Arial" w:hAnsi="Arial" w:cs="Arial"/>
                <w:sz w:val="16"/>
                <w:szCs w:val="16"/>
                <w:lang w:eastAsia="en-US"/>
              </w:rPr>
            </w:pPr>
            <w:r>
              <w:rPr>
                <w:rFonts w:ascii="Arial" w:hAnsi="Arial" w:cs="Arial"/>
                <w:color w:val="000000"/>
                <w:sz w:val="16"/>
                <w:szCs w:val="16"/>
                <w:lang w:eastAsia="en-US"/>
              </w:rPr>
              <w:t>ESTUDIOS Y DISEÑOS PARA SISTEMAS DE ACUEDUCTO CON SUMINISTRO DE AGUA POTABLE EN LAS COMUNIDADES INDÍGENAS DE MURUTINGA, SANTA CATALINA, SAN JOAQUÍN, NUEVA REFORMA, PUERTO LIMÓN, SAN ANTONIO, WACARA, SAN JAVIER DE GUARACU DEL MUNICIPIO DE MITÚ, DEPARTAMENTO DEL VAUPÉS</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CDP 0306-0312-0318-0319-0325</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$822.996.800 </w:t>
            </w:r>
          </w:p>
        </w:tc>
      </w:tr>
      <w:tr w:rsidR="00355BC7" w:rsidTr="00355BC7">
        <w:trPr>
          <w:gridAfter w:val="1"/>
          <w:wAfter w:w="6" w:type="dxa"/>
          <w:trHeight w:val="1050"/>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Mitú</w:t>
            </w:r>
          </w:p>
        </w:tc>
        <w:tc>
          <w:tcPr>
            <w:tcW w:w="10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025 DE 2011-CONVENIO INTERADMINISTRATIVO</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29 DE JUNIO DE 2011</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AUNAR ESFUERZOS PARA LA EJECUCION DEL PROYECTO: CONSTRUCCION DE LAS OBRAS RESTANTES PARA LA PUESTA EN FUNCIONAMIENTO DEL RELLENO SANITARIO LOCAL DEL MUNICIPIO DE MITU</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CDR 27</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$142.998.373 </w:t>
            </w:r>
          </w:p>
        </w:tc>
      </w:tr>
      <w:tr w:rsidR="00355BC7" w:rsidTr="00355BC7">
        <w:trPr>
          <w:gridAfter w:val="1"/>
          <w:wAfter w:w="6" w:type="dxa"/>
          <w:trHeight w:val="870"/>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Mitú</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201 DE 2011</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26 DE SEPTIEMBRE DE 2011</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CONSTRUCCION DE OBRAS COMPLEMENTARIAS CERRAMIENTO PERIMETRAL Y BODEGA DE ALMACENAMIENTO PARA LA PLANTA DE AGUA POTABLE DEL MUNICIPIO DE MITU, DEPARMENTO DE VAUPES</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CDR 35</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$338.635.675 </w:t>
            </w:r>
          </w:p>
        </w:tc>
      </w:tr>
      <w:tr w:rsidR="00355BC7" w:rsidTr="00355BC7">
        <w:trPr>
          <w:gridAfter w:val="1"/>
          <w:wAfter w:w="6" w:type="dxa"/>
          <w:trHeight w:val="973"/>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Mitú</w:t>
            </w:r>
          </w:p>
        </w:tc>
        <w:tc>
          <w:tcPr>
            <w:tcW w:w="10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008 DE 2009-CONVENIO INTERADMINISTRATIVO</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19 DE MARZO DE 2009</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APOYO INSTITUCIONAL PARA LA OPERACIÓN DEL NUEVO SISTEMA DE ABASTECIMIENTO DE AGUA POTABLE PARA LA CABECERA MUNICIPAL DE MITU, DEPARTAMENTO DE VAUPES</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NA</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$199.416.300 </w:t>
            </w:r>
          </w:p>
        </w:tc>
      </w:tr>
      <w:tr w:rsidR="00355BC7" w:rsidTr="00355BC7">
        <w:trPr>
          <w:gridAfter w:val="1"/>
          <w:wAfter w:w="6" w:type="dxa"/>
          <w:trHeight w:val="564"/>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Mitú</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138 DE 2015</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08 DE ABRIL DE 2015</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APOYO A LA GESTIÓN PARA LA IMPLEMENTACIÓN DEL PLAN DE GESTIÓN SOCIAL PAP-PDA 2015 TODO EL DEPARTAMENTO, VAUPÉS, ORINOQUÍA</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CDR 4</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$359.820.000 </w:t>
            </w:r>
          </w:p>
        </w:tc>
      </w:tr>
      <w:tr w:rsidR="00355BC7" w:rsidTr="00355BC7">
        <w:trPr>
          <w:gridAfter w:val="1"/>
          <w:wAfter w:w="6" w:type="dxa"/>
          <w:trHeight w:val="53"/>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Mitú</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267 DE 2019</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27 DE MARZO DE 2019</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IMPLEMENTACIÓN PLAN AMBIENTAL 2018 PAP-PDA VAUPÉS</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CDR 6528</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$838.323.770 </w:t>
            </w:r>
          </w:p>
        </w:tc>
      </w:tr>
      <w:tr w:rsidR="00355BC7" w:rsidTr="00355BC7">
        <w:trPr>
          <w:gridAfter w:val="1"/>
          <w:wAfter w:w="6" w:type="dxa"/>
          <w:trHeight w:val="484"/>
        </w:trPr>
        <w:tc>
          <w:tcPr>
            <w:tcW w:w="147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SGP - Mitú</w:t>
            </w:r>
          </w:p>
        </w:tc>
        <w:tc>
          <w:tcPr>
            <w:tcW w:w="10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377 DE 2019</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11 de julio de 2019</w:t>
            </w:r>
          </w:p>
        </w:tc>
        <w:tc>
          <w:tcPr>
            <w:tcW w:w="29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55BC7" w:rsidRDefault="00355BC7">
            <w:pPr>
              <w:rPr>
                <w:rFonts w:ascii="Arial" w:hAnsi="Arial" w:cs="Arial"/>
                <w:sz w:val="16"/>
                <w:szCs w:val="16"/>
                <w:lang w:eastAsia="en-US"/>
              </w:rPr>
            </w:pPr>
            <w:r>
              <w:rPr>
                <w:rFonts w:ascii="Arial" w:hAnsi="Arial" w:cs="Arial"/>
                <w:color w:val="000000"/>
                <w:sz w:val="16"/>
                <w:szCs w:val="16"/>
                <w:lang w:eastAsia="en-US"/>
              </w:rPr>
              <w:t>interventoría técnica, administrativa y financiera a la elaboración de los estudios y diseños para dar solución definitiva a la problemática de las redes del alcantarillado sanitario en los barrios 7 de agosto, Belarmino correa y viviendas cercanas al batallón del municipio de Mitú, Departamento de Vaupés</w:t>
            </w:r>
          </w:p>
        </w:tc>
        <w:tc>
          <w:tcPr>
            <w:tcW w:w="90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CDR 7082</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 xml:space="preserve">$75.956.510 </w:t>
            </w:r>
          </w:p>
        </w:tc>
      </w:tr>
      <w:tr w:rsidR="00355BC7" w:rsidTr="00355BC7">
        <w:trPr>
          <w:trHeight w:val="300"/>
        </w:trPr>
        <w:tc>
          <w:tcPr>
            <w:tcW w:w="7565" w:type="dxa"/>
            <w:gridSpan w:val="6"/>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TOTAL</w:t>
            </w:r>
          </w:p>
        </w:tc>
        <w:tc>
          <w:tcPr>
            <w:tcW w:w="1266"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55BC7" w:rsidRDefault="00355BC7">
            <w:pPr>
              <w:jc w:val="center"/>
              <w:rPr>
                <w:rFonts w:ascii="Arial" w:hAnsi="Arial" w:cs="Arial"/>
                <w:sz w:val="16"/>
                <w:szCs w:val="16"/>
                <w:lang w:eastAsia="en-US"/>
              </w:rPr>
            </w:pPr>
            <w:r>
              <w:rPr>
                <w:rFonts w:ascii="Arial" w:hAnsi="Arial" w:cs="Arial"/>
                <w:color w:val="000000"/>
                <w:sz w:val="16"/>
                <w:szCs w:val="16"/>
                <w:lang w:eastAsia="en-US"/>
              </w:rPr>
              <w:t>$5.102.821.134</w:t>
            </w:r>
          </w:p>
        </w:tc>
      </w:tr>
    </w:tbl>
    <w:p w:rsidR="00355BC7" w:rsidRDefault="00355BC7" w:rsidP="00355BC7">
      <w:pPr>
        <w:jc w:val="both"/>
        <w:rPr>
          <w:rFonts w:ascii="Arial" w:hAnsi="Arial" w:cs="Arial"/>
          <w:sz w:val="16"/>
          <w:szCs w:val="16"/>
        </w:rPr>
      </w:pPr>
      <w:r>
        <w:rPr>
          <w:rFonts w:ascii="Arial" w:hAnsi="Arial" w:cs="Arial"/>
          <w:b/>
          <w:sz w:val="16"/>
          <w:szCs w:val="16"/>
        </w:rPr>
        <w:t>Fuente:</w:t>
      </w:r>
      <w:r>
        <w:rPr>
          <w:rFonts w:ascii="Arial" w:hAnsi="Arial" w:cs="Arial"/>
          <w:sz w:val="16"/>
          <w:szCs w:val="16"/>
        </w:rPr>
        <w:t xml:space="preserve"> Plan Departamental de Agua –Vaupés -2021</w:t>
      </w:r>
    </w:p>
    <w:p w:rsidR="00355BC7" w:rsidRDefault="00355BC7" w:rsidP="00355BC7">
      <w:pPr>
        <w:jc w:val="both"/>
        <w:rPr>
          <w:rFonts w:ascii="Arial" w:hAnsi="Arial" w:cs="Arial"/>
          <w:sz w:val="16"/>
          <w:szCs w:val="16"/>
        </w:rPr>
      </w:pP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lastRenderedPageBreak/>
        <w:t xml:space="preserve">La relación de los proyectos financiados con el SGP- APSB del Municipio y certificados por la Dirección Administrativa del PDA del Vaupés sugiere que se ha ejecutado un mayor valor de acuerdo con el monto recibido, esto se explicaría por los rendimientos financieros que se han generado a lo largo de los años.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Es recomendable, que el Municipio de Mitú investigue sobre los recursos disponibles y se involucre de una manera más dinámica en la ejecución de los proyectos. Toda vez que el Municipio solo tiene disponible de los recursos de la Participación de Agua Potable y Saneamiento Básico menos del 15 % para inversión.</w:t>
      </w:r>
    </w:p>
    <w:p w:rsidR="00355BC7" w:rsidRDefault="00355BC7" w:rsidP="00355BC7">
      <w:pPr>
        <w:autoSpaceDE w:val="0"/>
        <w:autoSpaceDN w:val="0"/>
        <w:adjustRightInd w:val="0"/>
        <w:jc w:val="both"/>
        <w:rPr>
          <w:rFonts w:ascii="Arial" w:eastAsia="Calibri" w:hAnsi="Arial" w:cs="Arial"/>
          <w:b/>
          <w:sz w:val="22"/>
          <w:szCs w:val="22"/>
          <w:highlight w:val="yellow"/>
          <w:lang w:eastAsia="en-US"/>
        </w:rPr>
      </w:pPr>
    </w:p>
    <w:p w:rsidR="00355BC7" w:rsidRDefault="00355BC7" w:rsidP="00355BC7">
      <w:pPr>
        <w:rPr>
          <w:rFonts w:ascii="Arial" w:hAnsi="Arial" w:cs="Arial"/>
          <w:sz w:val="22"/>
          <w:szCs w:val="22"/>
        </w:rPr>
      </w:pPr>
      <w:r>
        <w:rPr>
          <w:rFonts w:ascii="Arial" w:hAnsi="Arial" w:cs="Arial"/>
          <w:b/>
          <w:sz w:val="22"/>
          <w:szCs w:val="22"/>
        </w:rPr>
        <w:t>CONTRATACION</w:t>
      </w:r>
      <w:r w:rsidR="00AD4D0F">
        <w:rPr>
          <w:rFonts w:ascii="Arial" w:hAnsi="Arial" w:cs="Arial"/>
          <w:b/>
          <w:sz w:val="22"/>
          <w:szCs w:val="22"/>
        </w:rPr>
        <w:t>.</w:t>
      </w:r>
    </w:p>
    <w:p w:rsidR="00355BC7" w:rsidRDefault="00355BC7" w:rsidP="00355BC7">
      <w:pPr>
        <w:autoSpaceDE w:val="0"/>
        <w:autoSpaceDN w:val="0"/>
        <w:adjustRightInd w:val="0"/>
        <w:jc w:val="both"/>
        <w:rPr>
          <w:rFonts w:ascii="Arial" w:hAnsi="Arial" w:cs="Arial"/>
          <w:b/>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 xml:space="preserve">Para el presente Informe Diagnostico el Municipio remitió información sobre contratación de la vigencia 2019 y 2020. La información de los años 2017, 2018, fue descargada del portal SECOP. </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eastAsia="Times New Roman" w:hAnsi="Arial" w:cs="Arial"/>
          <w:sz w:val="22"/>
          <w:szCs w:val="22"/>
          <w:lang w:val="es-CO" w:eastAsia="en-US"/>
        </w:rPr>
      </w:pPr>
      <w:r>
        <w:rPr>
          <w:rFonts w:ascii="Arial" w:hAnsi="Arial" w:cs="Arial"/>
          <w:sz w:val="22"/>
          <w:szCs w:val="22"/>
        </w:rPr>
        <w:t>La revisión de la información muestra que las actuaciones en materia contractual ascendieron a $</w:t>
      </w:r>
      <w:r>
        <w:rPr>
          <w:rFonts w:ascii="Arial" w:eastAsia="Times New Roman" w:hAnsi="Arial" w:cs="Arial"/>
          <w:sz w:val="22"/>
          <w:szCs w:val="22"/>
          <w:lang w:val="es-CO" w:eastAsia="en-US"/>
        </w:rPr>
        <w:t>1.088 millones en el 2017, $</w:t>
      </w:r>
      <w:r>
        <w:rPr>
          <w:rFonts w:ascii="Arial" w:eastAsia="Times New Roman" w:hAnsi="Arial" w:cs="Arial"/>
          <w:bCs/>
          <w:sz w:val="22"/>
          <w:szCs w:val="22"/>
          <w:lang w:val="es-CO" w:eastAsia="en-US"/>
        </w:rPr>
        <w:t xml:space="preserve">620.58.352 millones en </w:t>
      </w:r>
      <w:r>
        <w:rPr>
          <w:rFonts w:ascii="Arial" w:eastAsia="Times New Roman" w:hAnsi="Arial" w:cs="Arial"/>
          <w:sz w:val="22"/>
          <w:szCs w:val="22"/>
          <w:lang w:val="es-CO" w:eastAsia="en-US"/>
        </w:rPr>
        <w:t xml:space="preserve">2018, $1.276 millones en 2019 y </w:t>
      </w:r>
      <w:r>
        <w:rPr>
          <w:rFonts w:ascii="Arial" w:hAnsi="Arial" w:cs="Arial"/>
          <w:sz w:val="22"/>
          <w:szCs w:val="22"/>
          <w:lang w:val="es-CO"/>
        </w:rPr>
        <w:t>$161.923.305 en 2020</w:t>
      </w:r>
      <w:r>
        <w:rPr>
          <w:rFonts w:ascii="Arial" w:eastAsia="Times New Roman" w:hAnsi="Arial" w:cs="Arial"/>
          <w:sz w:val="22"/>
          <w:szCs w:val="22"/>
          <w:lang w:val="es-CO" w:eastAsia="en-US"/>
        </w:rPr>
        <w:t>.</w:t>
      </w:r>
    </w:p>
    <w:p w:rsidR="00355BC7" w:rsidRDefault="00355BC7" w:rsidP="00355BC7">
      <w:pPr>
        <w:autoSpaceDE w:val="0"/>
        <w:autoSpaceDN w:val="0"/>
        <w:adjustRightInd w:val="0"/>
        <w:jc w:val="both"/>
        <w:rPr>
          <w:rFonts w:ascii="Arial" w:eastAsia="Times New Roman" w:hAnsi="Arial" w:cs="Arial"/>
          <w:sz w:val="22"/>
          <w:szCs w:val="22"/>
          <w:lang w:val="es-CO" w:eastAsia="en-US"/>
        </w:rPr>
      </w:pPr>
    </w:p>
    <w:p w:rsidR="00355BC7" w:rsidRDefault="00355BC7" w:rsidP="00355BC7">
      <w:pPr>
        <w:autoSpaceDE w:val="0"/>
        <w:autoSpaceDN w:val="0"/>
        <w:adjustRightInd w:val="0"/>
        <w:jc w:val="both"/>
        <w:rPr>
          <w:rFonts w:ascii="Arial" w:eastAsia="CenturyGothic" w:hAnsi="Arial" w:cs="Arial"/>
          <w:sz w:val="22"/>
          <w:szCs w:val="22"/>
          <w:lang w:val="es-CO"/>
        </w:rPr>
      </w:pPr>
      <w:r>
        <w:rPr>
          <w:rFonts w:ascii="Arial" w:eastAsia="CenturyGothic" w:hAnsi="Arial" w:cs="Arial"/>
          <w:sz w:val="22"/>
          <w:szCs w:val="22"/>
          <w:lang w:val="es-CO"/>
        </w:rPr>
        <w:t xml:space="preserve">El análisis de los datos mostró que la mayoría de objetos contractuales se encuentran en el marco de las actividades elegibles de gasto que establece el artículo 11 de la Ley 1176 de 2007 con excepción de los Contratos No. 170 del 2017 por valor de $4.621.760, el No. 105 de 2019 por $17.180.198 y el No. 245 de 2020 por </w:t>
      </w:r>
      <w:r>
        <w:rPr>
          <w:rFonts w:ascii="Arial" w:hAnsi="Arial" w:cs="Arial"/>
          <w:sz w:val="22"/>
          <w:szCs w:val="22"/>
          <w:lang w:val="es-CO"/>
        </w:rPr>
        <w:t>$466.485</w:t>
      </w:r>
      <w:r>
        <w:rPr>
          <w:rFonts w:ascii="Arial" w:eastAsia="CenturyGothic" w:hAnsi="Arial" w:cs="Arial"/>
          <w:sz w:val="22"/>
          <w:szCs w:val="22"/>
          <w:lang w:val="es-CO"/>
        </w:rPr>
        <w:t>, cuyas actividades debieron ser financiadas con recursos provenientes de la tarifa y/o con recursos propios de libre destinación, toda vez que la financiación de gastos como combustibles y gastos de personal son inherentes a la operación del proceso.</w:t>
      </w:r>
    </w:p>
    <w:p w:rsidR="00355BC7" w:rsidRDefault="00355BC7" w:rsidP="00355BC7">
      <w:pPr>
        <w:autoSpaceDE w:val="0"/>
        <w:autoSpaceDN w:val="0"/>
        <w:adjustRightInd w:val="0"/>
        <w:jc w:val="both"/>
        <w:rPr>
          <w:rFonts w:ascii="Arial" w:eastAsia="Times New Roman" w:hAnsi="Arial" w:cs="Arial"/>
          <w:sz w:val="22"/>
          <w:szCs w:val="22"/>
          <w:lang w:val="es-CO" w:eastAsia="en-US"/>
        </w:rPr>
      </w:pPr>
    </w:p>
    <w:p w:rsidR="00355BC7" w:rsidRDefault="00355BC7" w:rsidP="00355BC7">
      <w:pPr>
        <w:autoSpaceDE w:val="0"/>
        <w:autoSpaceDN w:val="0"/>
        <w:adjustRightInd w:val="0"/>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 xml:space="preserve">Los siguientes cuadros muestran la relación contractual de la Entidad Territorial de los cuatro últimos años y que fueron financiados con la participación de agua potable y saneamiento básico. </w:t>
      </w:r>
    </w:p>
    <w:p w:rsidR="00355BC7" w:rsidRDefault="00355BC7" w:rsidP="00355BC7">
      <w:pPr>
        <w:rPr>
          <w:rFonts w:ascii="Arial" w:eastAsia="Times New Roman" w:hAnsi="Arial" w:cs="Arial"/>
          <w:sz w:val="22"/>
          <w:szCs w:val="22"/>
          <w:lang w:val="es-CO" w:eastAsia="en-US"/>
        </w:rPr>
      </w:pPr>
      <w:r>
        <w:rPr>
          <w:rFonts w:ascii="Arial" w:eastAsia="Times New Roman" w:hAnsi="Arial" w:cs="Arial"/>
          <w:sz w:val="22"/>
          <w:szCs w:val="22"/>
          <w:lang w:val="es-CO" w:eastAsia="en-US"/>
        </w:rPr>
        <w:br w:type="page"/>
      </w:r>
    </w:p>
    <w:p w:rsidR="00355BC7" w:rsidRDefault="00355BC7" w:rsidP="00355BC7">
      <w:pPr>
        <w:autoSpaceDE w:val="0"/>
        <w:autoSpaceDN w:val="0"/>
        <w:adjustRightInd w:val="0"/>
        <w:jc w:val="both"/>
        <w:rPr>
          <w:rFonts w:ascii="Arial" w:eastAsia="Times New Roman" w:hAnsi="Arial" w:cs="Arial"/>
          <w:sz w:val="22"/>
          <w:szCs w:val="22"/>
          <w:lang w:val="es-CO" w:eastAsia="en-US"/>
        </w:rPr>
      </w:pPr>
    </w:p>
    <w:p w:rsidR="00355BC7" w:rsidRDefault="00355BC7" w:rsidP="00355BC7">
      <w:pPr>
        <w:rPr>
          <w:rFonts w:ascii="Arial" w:eastAsia="Times New Roman" w:hAnsi="Arial" w:cs="Arial"/>
          <w:b/>
          <w:sz w:val="22"/>
          <w:szCs w:val="22"/>
          <w:lang w:val="es-CO" w:eastAsia="en-US"/>
        </w:rPr>
      </w:pPr>
      <w:r>
        <w:rPr>
          <w:rFonts w:ascii="Arial" w:eastAsia="Times New Roman" w:hAnsi="Arial" w:cs="Arial"/>
          <w:b/>
          <w:sz w:val="22"/>
          <w:szCs w:val="22"/>
          <w:lang w:val="es-CO" w:eastAsia="en-US"/>
        </w:rPr>
        <w:t>RELACION CONTRACTIUAL 2017</w:t>
      </w:r>
      <w:r w:rsidR="00AD4D0F">
        <w:rPr>
          <w:rFonts w:ascii="Arial" w:eastAsia="Times New Roman" w:hAnsi="Arial" w:cs="Arial"/>
          <w:b/>
          <w:sz w:val="22"/>
          <w:szCs w:val="22"/>
          <w:lang w:val="es-CO" w:eastAsia="en-US"/>
        </w:rPr>
        <w:t>.</w:t>
      </w:r>
    </w:p>
    <w:p w:rsidR="00355BC7" w:rsidRDefault="00355BC7" w:rsidP="00355BC7">
      <w:pPr>
        <w:ind w:left="7080" w:firstLine="708"/>
        <w:rPr>
          <w:rFonts w:ascii="Arial" w:eastAsia="Times New Roman" w:hAnsi="Arial" w:cs="Arial"/>
          <w:sz w:val="16"/>
          <w:szCs w:val="16"/>
          <w:lang w:val="es-CO" w:eastAsia="en-US"/>
        </w:rPr>
      </w:pPr>
      <w:r>
        <w:rPr>
          <w:rFonts w:ascii="Arial" w:eastAsia="Times New Roman" w:hAnsi="Arial" w:cs="Arial"/>
          <w:sz w:val="16"/>
          <w:szCs w:val="16"/>
          <w:lang w:val="es-CO" w:eastAsia="en-US"/>
        </w:rPr>
        <w:t>Pesos</w:t>
      </w:r>
    </w:p>
    <w:p w:rsidR="00355BC7" w:rsidRDefault="00355BC7" w:rsidP="00355BC7">
      <w:pPr>
        <w:rPr>
          <w:rFonts w:ascii="Arial" w:eastAsia="Times New Roman" w:hAnsi="Arial" w:cs="Arial"/>
          <w:b/>
          <w:sz w:val="22"/>
          <w:szCs w:val="22"/>
          <w:lang w:val="es-CO" w:eastAsia="en-US"/>
        </w:rPr>
      </w:pPr>
      <w:r>
        <w:rPr>
          <w:rFonts w:ascii="Arial" w:hAnsi="Arial" w:cs="Arial"/>
          <w:noProof/>
          <w:lang w:val="es-CO" w:eastAsia="es-CO"/>
        </w:rPr>
        <w:drawing>
          <wp:inline distT="0" distB="0" distL="0" distR="0">
            <wp:extent cx="5817235" cy="312229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7235" cy="3122295"/>
                    </a:xfrm>
                    <a:prstGeom prst="rect">
                      <a:avLst/>
                    </a:prstGeom>
                    <a:noFill/>
                    <a:ln>
                      <a:noFill/>
                    </a:ln>
                  </pic:spPr>
                </pic:pic>
              </a:graphicData>
            </a:graphic>
          </wp:inline>
        </w:drawing>
      </w:r>
    </w:p>
    <w:p w:rsidR="00355BC7" w:rsidRDefault="00355BC7" w:rsidP="00355BC7">
      <w:pPr>
        <w:autoSpaceDE w:val="0"/>
        <w:autoSpaceDN w:val="0"/>
        <w:adjustRightInd w:val="0"/>
        <w:jc w:val="center"/>
        <w:rPr>
          <w:rFonts w:ascii="Arial" w:eastAsia="CenturyGothic" w:hAnsi="Arial" w:cs="Arial"/>
          <w:sz w:val="16"/>
          <w:szCs w:val="16"/>
        </w:rPr>
      </w:pPr>
      <w:r>
        <w:rPr>
          <w:rFonts w:ascii="Arial" w:eastAsia="CenturyGothic" w:hAnsi="Arial" w:cs="Arial"/>
          <w:sz w:val="16"/>
          <w:szCs w:val="16"/>
        </w:rPr>
        <w:t>Fuente: SECOP</w:t>
      </w:r>
    </w:p>
    <w:p w:rsidR="00355BC7" w:rsidRDefault="00355BC7" w:rsidP="00355BC7">
      <w:pPr>
        <w:rPr>
          <w:rFonts w:ascii="Arial" w:eastAsia="Times New Roman" w:hAnsi="Arial" w:cs="Arial"/>
          <w:b/>
          <w:sz w:val="22"/>
          <w:szCs w:val="22"/>
          <w:lang w:val="es-CO" w:eastAsia="en-US"/>
        </w:rPr>
      </w:pPr>
    </w:p>
    <w:p w:rsidR="00355BC7" w:rsidRDefault="00355BC7" w:rsidP="00355BC7">
      <w:pPr>
        <w:rPr>
          <w:rFonts w:ascii="Arial" w:eastAsia="Times New Roman" w:hAnsi="Arial" w:cs="Arial"/>
          <w:b/>
          <w:sz w:val="22"/>
          <w:szCs w:val="22"/>
          <w:lang w:val="es-CO" w:eastAsia="en-US"/>
        </w:rPr>
      </w:pPr>
      <w:r>
        <w:rPr>
          <w:rFonts w:ascii="Arial" w:eastAsia="Times New Roman" w:hAnsi="Arial" w:cs="Arial"/>
          <w:b/>
          <w:sz w:val="22"/>
          <w:szCs w:val="22"/>
          <w:lang w:val="es-CO" w:eastAsia="en-US"/>
        </w:rPr>
        <w:t>RELACION CONTRACTIUAL 2018</w:t>
      </w:r>
      <w:r w:rsidR="00AD4D0F">
        <w:rPr>
          <w:rFonts w:ascii="Arial" w:eastAsia="Times New Roman" w:hAnsi="Arial" w:cs="Arial"/>
          <w:b/>
          <w:sz w:val="22"/>
          <w:szCs w:val="22"/>
          <w:lang w:val="es-CO" w:eastAsia="en-US"/>
        </w:rPr>
        <w:t>.</w:t>
      </w:r>
    </w:p>
    <w:p w:rsidR="00355BC7" w:rsidRDefault="00355BC7" w:rsidP="00355BC7">
      <w:pPr>
        <w:autoSpaceDE w:val="0"/>
        <w:autoSpaceDN w:val="0"/>
        <w:adjustRightInd w:val="0"/>
        <w:jc w:val="both"/>
        <w:rPr>
          <w:rFonts w:ascii="Arial" w:eastAsia="CenturyGothic" w:hAnsi="Arial" w:cs="Arial"/>
          <w:sz w:val="22"/>
          <w:szCs w:val="22"/>
        </w:rPr>
      </w:pPr>
    </w:p>
    <w:p w:rsidR="00355BC7" w:rsidRDefault="00355BC7" w:rsidP="00355BC7">
      <w:pPr>
        <w:autoSpaceDE w:val="0"/>
        <w:autoSpaceDN w:val="0"/>
        <w:adjustRightInd w:val="0"/>
        <w:ind w:left="7080" w:firstLine="708"/>
        <w:jc w:val="center"/>
        <w:rPr>
          <w:rFonts w:ascii="Arial" w:eastAsia="CenturyGothic" w:hAnsi="Arial" w:cs="Arial"/>
          <w:sz w:val="16"/>
          <w:szCs w:val="16"/>
          <w:lang w:val="es-CO"/>
        </w:rPr>
      </w:pPr>
      <w:r>
        <w:rPr>
          <w:rFonts w:ascii="Arial" w:eastAsia="CenturyGothic" w:hAnsi="Arial" w:cs="Arial"/>
          <w:sz w:val="16"/>
          <w:szCs w:val="16"/>
          <w:lang w:val="es-CO"/>
        </w:rPr>
        <w:t>Pesos</w:t>
      </w:r>
    </w:p>
    <w:p w:rsidR="00355BC7" w:rsidRDefault="00355BC7" w:rsidP="00355BC7">
      <w:pPr>
        <w:autoSpaceDE w:val="0"/>
        <w:autoSpaceDN w:val="0"/>
        <w:adjustRightInd w:val="0"/>
        <w:jc w:val="center"/>
        <w:rPr>
          <w:rFonts w:ascii="Arial" w:eastAsia="CenturyGothic" w:hAnsi="Arial" w:cs="Arial"/>
          <w:sz w:val="22"/>
          <w:szCs w:val="22"/>
          <w:lang w:val="es-CO"/>
        </w:rPr>
      </w:pPr>
      <w:r>
        <w:rPr>
          <w:rFonts w:ascii="Arial" w:hAnsi="Arial" w:cs="Arial"/>
          <w:noProof/>
          <w:lang w:val="es-CO" w:eastAsia="es-CO"/>
        </w:rPr>
        <w:drawing>
          <wp:inline distT="0" distB="0" distL="0" distR="0">
            <wp:extent cx="5583555" cy="25292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3555" cy="2529205"/>
                    </a:xfrm>
                    <a:prstGeom prst="rect">
                      <a:avLst/>
                    </a:prstGeom>
                    <a:noFill/>
                    <a:ln>
                      <a:noFill/>
                    </a:ln>
                  </pic:spPr>
                </pic:pic>
              </a:graphicData>
            </a:graphic>
          </wp:inline>
        </w:drawing>
      </w:r>
    </w:p>
    <w:p w:rsidR="00355BC7" w:rsidRDefault="00355BC7" w:rsidP="00355BC7">
      <w:pPr>
        <w:autoSpaceDE w:val="0"/>
        <w:autoSpaceDN w:val="0"/>
        <w:adjustRightInd w:val="0"/>
        <w:ind w:firstLine="708"/>
        <w:jc w:val="center"/>
        <w:rPr>
          <w:rFonts w:ascii="Arial" w:eastAsia="CenturyGothic" w:hAnsi="Arial" w:cs="Arial"/>
          <w:sz w:val="16"/>
          <w:szCs w:val="16"/>
        </w:rPr>
      </w:pPr>
      <w:r>
        <w:rPr>
          <w:rFonts w:ascii="Arial" w:eastAsia="CenturyGothic" w:hAnsi="Arial" w:cs="Arial"/>
          <w:sz w:val="16"/>
          <w:szCs w:val="16"/>
        </w:rPr>
        <w:t>Fuente: SECOP</w:t>
      </w:r>
    </w:p>
    <w:p w:rsidR="00355BC7" w:rsidRDefault="00355BC7" w:rsidP="00355BC7">
      <w:pPr>
        <w:tabs>
          <w:tab w:val="left" w:pos="1526"/>
        </w:tabs>
        <w:autoSpaceDE w:val="0"/>
        <w:autoSpaceDN w:val="0"/>
        <w:adjustRightInd w:val="0"/>
        <w:jc w:val="both"/>
        <w:rPr>
          <w:rFonts w:ascii="Arial" w:eastAsia="CenturyGothic" w:hAnsi="Arial" w:cs="Arial"/>
          <w:sz w:val="22"/>
          <w:szCs w:val="22"/>
          <w:lang w:val="es-CO"/>
        </w:rPr>
      </w:pPr>
    </w:p>
    <w:p w:rsidR="00355BC7" w:rsidRDefault="00355BC7" w:rsidP="00355BC7">
      <w:pPr>
        <w:rPr>
          <w:rFonts w:ascii="Arial" w:eastAsia="CenturyGothic" w:hAnsi="Arial" w:cs="Arial"/>
          <w:sz w:val="22"/>
          <w:szCs w:val="22"/>
          <w:lang w:val="es-CO"/>
        </w:rPr>
      </w:pPr>
      <w:r>
        <w:rPr>
          <w:rFonts w:ascii="Arial" w:eastAsia="Times New Roman" w:hAnsi="Arial" w:cs="Arial"/>
          <w:b/>
          <w:sz w:val="22"/>
          <w:szCs w:val="22"/>
          <w:lang w:val="es-CO" w:eastAsia="en-US"/>
        </w:rPr>
        <w:t>CONTRATACION 2019</w:t>
      </w:r>
      <w:r w:rsidR="00AD4D0F">
        <w:rPr>
          <w:rFonts w:ascii="Arial" w:eastAsia="Times New Roman" w:hAnsi="Arial" w:cs="Arial"/>
          <w:b/>
          <w:sz w:val="22"/>
          <w:szCs w:val="22"/>
          <w:lang w:val="es-CO" w:eastAsia="en-US"/>
        </w:rPr>
        <w:t>.</w:t>
      </w:r>
    </w:p>
    <w:p w:rsidR="00355BC7" w:rsidRDefault="00355BC7" w:rsidP="00355BC7">
      <w:pPr>
        <w:autoSpaceDE w:val="0"/>
        <w:autoSpaceDN w:val="0"/>
        <w:adjustRightInd w:val="0"/>
        <w:jc w:val="both"/>
        <w:rPr>
          <w:rFonts w:ascii="Arial" w:eastAsia="CenturyGothic" w:hAnsi="Arial" w:cs="Arial"/>
          <w:sz w:val="22"/>
          <w:szCs w:val="22"/>
          <w:lang w:val="es-CO"/>
        </w:rPr>
      </w:pPr>
    </w:p>
    <w:tbl>
      <w:tblPr>
        <w:tblStyle w:val="Listaclara-nfasis3"/>
        <w:tblW w:w="0" w:type="dxa"/>
        <w:tblInd w:w="0" w:type="dxa"/>
        <w:tblLayout w:type="fixed"/>
        <w:tblLook w:val="0620" w:firstRow="1" w:lastRow="0" w:firstColumn="0" w:lastColumn="0" w:noHBand="1" w:noVBand="1"/>
      </w:tblPr>
      <w:tblGrid>
        <w:gridCol w:w="1123"/>
        <w:gridCol w:w="1363"/>
        <w:gridCol w:w="1536"/>
        <w:gridCol w:w="1638"/>
        <w:gridCol w:w="1417"/>
        <w:gridCol w:w="1418"/>
        <w:gridCol w:w="1134"/>
      </w:tblGrid>
      <w:tr w:rsidR="00355BC7" w:rsidTr="00355BC7">
        <w:trPr>
          <w:cnfStyle w:val="100000000000" w:firstRow="1" w:lastRow="0" w:firstColumn="0" w:lastColumn="0" w:oddVBand="0" w:evenVBand="0" w:oddHBand="0" w:evenHBand="0" w:firstRowFirstColumn="0" w:firstRowLastColumn="0" w:lastRowFirstColumn="0" w:lastRowLastColumn="0"/>
        </w:trPr>
        <w:tc>
          <w:tcPr>
            <w:tcW w:w="1123" w:type="dxa"/>
            <w:tcBorders>
              <w:top w:val="single" w:sz="8" w:space="0" w:color="9BBB59" w:themeColor="accent3"/>
              <w:left w:val="single" w:sz="8" w:space="0" w:color="9BBB59" w:themeColor="accent3"/>
              <w:bottom w:val="nil"/>
              <w:right w:val="nil"/>
            </w:tcBorders>
            <w:hideMark/>
          </w:tcPr>
          <w:p w:rsidR="00355BC7" w:rsidRDefault="00355BC7">
            <w:pPr>
              <w:rPr>
                <w:rFonts w:ascii="Arial" w:hAnsi="Arial" w:cs="Arial"/>
                <w:color w:val="auto"/>
                <w:sz w:val="16"/>
                <w:szCs w:val="16"/>
                <w:lang w:val="en-US"/>
              </w:rPr>
            </w:pPr>
            <w:r>
              <w:rPr>
                <w:rFonts w:ascii="Arial" w:hAnsi="Arial" w:cs="Arial"/>
                <w:color w:val="auto"/>
                <w:sz w:val="16"/>
                <w:szCs w:val="16"/>
                <w:lang w:val="en-US"/>
              </w:rPr>
              <w:lastRenderedPageBreak/>
              <w:t>No. CONTRATO</w:t>
            </w:r>
          </w:p>
        </w:tc>
        <w:tc>
          <w:tcPr>
            <w:tcW w:w="1363" w:type="dxa"/>
            <w:tcBorders>
              <w:top w:val="single" w:sz="8" w:space="0" w:color="9BBB59" w:themeColor="accent3"/>
              <w:left w:val="nil"/>
              <w:bottom w:val="nil"/>
              <w:right w:val="nil"/>
            </w:tcBorders>
            <w:hideMark/>
          </w:tcPr>
          <w:p w:rsidR="00355BC7" w:rsidRDefault="00355BC7">
            <w:pPr>
              <w:rPr>
                <w:rFonts w:ascii="Arial" w:hAnsi="Arial" w:cs="Arial"/>
                <w:color w:val="auto"/>
                <w:sz w:val="16"/>
                <w:szCs w:val="16"/>
                <w:lang w:val="en-US"/>
              </w:rPr>
            </w:pPr>
            <w:r>
              <w:rPr>
                <w:rFonts w:ascii="Arial" w:hAnsi="Arial" w:cs="Arial"/>
                <w:color w:val="auto"/>
                <w:sz w:val="16"/>
                <w:szCs w:val="16"/>
                <w:lang w:val="en-US"/>
              </w:rPr>
              <w:t xml:space="preserve">CONTRATISTA </w:t>
            </w:r>
          </w:p>
        </w:tc>
        <w:tc>
          <w:tcPr>
            <w:tcW w:w="1536" w:type="dxa"/>
            <w:tcBorders>
              <w:top w:val="single" w:sz="8" w:space="0" w:color="9BBB59" w:themeColor="accent3"/>
              <w:left w:val="nil"/>
              <w:bottom w:val="nil"/>
              <w:right w:val="nil"/>
            </w:tcBorders>
            <w:hideMark/>
          </w:tcPr>
          <w:p w:rsidR="00355BC7" w:rsidRDefault="00355BC7">
            <w:pPr>
              <w:rPr>
                <w:rFonts w:ascii="Arial" w:hAnsi="Arial" w:cs="Arial"/>
                <w:color w:val="auto"/>
                <w:sz w:val="16"/>
                <w:szCs w:val="16"/>
                <w:lang w:val="en-US"/>
              </w:rPr>
            </w:pPr>
            <w:r>
              <w:rPr>
                <w:rFonts w:ascii="Arial" w:hAnsi="Arial" w:cs="Arial"/>
                <w:color w:val="auto"/>
                <w:sz w:val="16"/>
                <w:szCs w:val="16"/>
                <w:lang w:val="en-US"/>
              </w:rPr>
              <w:t>OBJETO</w:t>
            </w:r>
          </w:p>
          <w:p w:rsidR="00355BC7" w:rsidRDefault="00355BC7">
            <w:pPr>
              <w:rPr>
                <w:rFonts w:ascii="Arial" w:hAnsi="Arial" w:cs="Arial"/>
                <w:sz w:val="16"/>
                <w:szCs w:val="16"/>
                <w:lang w:val="en-US"/>
              </w:rPr>
            </w:pPr>
            <w:r>
              <w:rPr>
                <w:rFonts w:ascii="Arial" w:hAnsi="Arial" w:cs="Arial"/>
                <w:color w:val="auto"/>
                <w:sz w:val="16"/>
                <w:szCs w:val="16"/>
                <w:lang w:val="en-US"/>
              </w:rPr>
              <w:t>CONTRATO</w:t>
            </w:r>
          </w:p>
        </w:tc>
        <w:tc>
          <w:tcPr>
            <w:tcW w:w="1638" w:type="dxa"/>
            <w:tcBorders>
              <w:top w:val="single" w:sz="8" w:space="0" w:color="9BBB59" w:themeColor="accent3"/>
              <w:left w:val="nil"/>
              <w:bottom w:val="nil"/>
              <w:right w:val="nil"/>
            </w:tcBorders>
            <w:hideMark/>
          </w:tcPr>
          <w:p w:rsidR="00355BC7" w:rsidRDefault="00355BC7">
            <w:pPr>
              <w:rPr>
                <w:rFonts w:ascii="Arial" w:hAnsi="Arial" w:cs="Arial"/>
                <w:sz w:val="16"/>
                <w:szCs w:val="16"/>
                <w:lang w:val="en-US"/>
              </w:rPr>
            </w:pPr>
            <w:r>
              <w:rPr>
                <w:rFonts w:ascii="Arial" w:hAnsi="Arial" w:cs="Arial"/>
                <w:color w:val="auto"/>
                <w:sz w:val="16"/>
                <w:szCs w:val="16"/>
                <w:lang w:val="en-US"/>
              </w:rPr>
              <w:t>VALOR</w:t>
            </w:r>
          </w:p>
        </w:tc>
        <w:tc>
          <w:tcPr>
            <w:tcW w:w="1417" w:type="dxa"/>
            <w:tcBorders>
              <w:top w:val="single" w:sz="8" w:space="0" w:color="9BBB59" w:themeColor="accent3"/>
              <w:left w:val="nil"/>
              <w:bottom w:val="nil"/>
              <w:right w:val="nil"/>
            </w:tcBorders>
            <w:hideMark/>
          </w:tcPr>
          <w:p w:rsidR="00355BC7" w:rsidRDefault="00355BC7">
            <w:pPr>
              <w:rPr>
                <w:rFonts w:ascii="Arial" w:hAnsi="Arial" w:cs="Arial"/>
                <w:color w:val="auto"/>
                <w:sz w:val="16"/>
                <w:szCs w:val="16"/>
                <w:lang w:val="en-US"/>
              </w:rPr>
            </w:pPr>
            <w:r>
              <w:rPr>
                <w:rFonts w:ascii="Arial" w:hAnsi="Arial" w:cs="Arial"/>
                <w:color w:val="auto"/>
                <w:sz w:val="16"/>
                <w:szCs w:val="16"/>
                <w:lang w:val="en-US"/>
              </w:rPr>
              <w:t>FECHA</w:t>
            </w:r>
          </w:p>
          <w:p w:rsidR="00355BC7" w:rsidRDefault="00355BC7">
            <w:pPr>
              <w:rPr>
                <w:rFonts w:ascii="Arial" w:hAnsi="Arial" w:cs="Arial"/>
                <w:sz w:val="16"/>
                <w:szCs w:val="16"/>
                <w:lang w:val="en-US"/>
              </w:rPr>
            </w:pPr>
            <w:r>
              <w:rPr>
                <w:rFonts w:ascii="Arial" w:hAnsi="Arial" w:cs="Arial"/>
                <w:color w:val="auto"/>
                <w:sz w:val="16"/>
                <w:szCs w:val="16"/>
                <w:lang w:val="en-US"/>
              </w:rPr>
              <w:t>CONTRATO</w:t>
            </w:r>
          </w:p>
        </w:tc>
        <w:tc>
          <w:tcPr>
            <w:tcW w:w="1418" w:type="dxa"/>
            <w:tcBorders>
              <w:top w:val="single" w:sz="8" w:space="0" w:color="9BBB59" w:themeColor="accent3"/>
              <w:left w:val="nil"/>
              <w:bottom w:val="nil"/>
              <w:right w:val="nil"/>
            </w:tcBorders>
            <w:hideMark/>
          </w:tcPr>
          <w:p w:rsidR="00355BC7" w:rsidRDefault="00355BC7">
            <w:pPr>
              <w:rPr>
                <w:rFonts w:ascii="Arial" w:hAnsi="Arial" w:cs="Arial"/>
                <w:sz w:val="16"/>
                <w:szCs w:val="16"/>
                <w:lang w:val="en-US"/>
              </w:rPr>
            </w:pPr>
            <w:r>
              <w:rPr>
                <w:rFonts w:ascii="Arial" w:hAnsi="Arial" w:cs="Arial"/>
                <w:color w:val="auto"/>
                <w:sz w:val="16"/>
                <w:szCs w:val="16"/>
                <w:lang w:val="en-US"/>
              </w:rPr>
              <w:t>CDP</w:t>
            </w:r>
          </w:p>
        </w:tc>
        <w:tc>
          <w:tcPr>
            <w:tcW w:w="1134" w:type="dxa"/>
            <w:tcBorders>
              <w:top w:val="single" w:sz="8" w:space="0" w:color="9BBB59" w:themeColor="accent3"/>
              <w:left w:val="nil"/>
              <w:bottom w:val="nil"/>
              <w:right w:val="single" w:sz="8" w:space="0" w:color="9BBB59" w:themeColor="accent3"/>
            </w:tcBorders>
            <w:hideMark/>
          </w:tcPr>
          <w:p w:rsidR="00355BC7" w:rsidRDefault="00355BC7">
            <w:pPr>
              <w:rPr>
                <w:rFonts w:ascii="Arial" w:hAnsi="Arial" w:cs="Arial"/>
                <w:sz w:val="16"/>
                <w:szCs w:val="16"/>
                <w:lang w:val="en-US"/>
              </w:rPr>
            </w:pPr>
            <w:r>
              <w:rPr>
                <w:rFonts w:ascii="Arial" w:hAnsi="Arial" w:cs="Arial"/>
                <w:color w:val="auto"/>
                <w:sz w:val="16"/>
                <w:szCs w:val="16"/>
                <w:lang w:val="en-US"/>
              </w:rPr>
              <w:t>RP</w:t>
            </w:r>
          </w:p>
        </w:tc>
      </w:tr>
      <w:tr w:rsidR="00355BC7" w:rsidTr="00355BC7">
        <w:tc>
          <w:tcPr>
            <w:tcW w:w="1123" w:type="dxa"/>
            <w:tcBorders>
              <w:top w:val="nil"/>
              <w:left w:val="single" w:sz="8" w:space="0" w:color="9BBB59" w:themeColor="accent3"/>
              <w:bottom w:val="nil"/>
              <w:right w:val="nil"/>
            </w:tcBorders>
            <w:hideMark/>
          </w:tcPr>
          <w:p w:rsidR="00355BC7" w:rsidRDefault="00355BC7">
            <w:pPr>
              <w:rPr>
                <w:rFonts w:ascii="Arial" w:hAnsi="Arial" w:cs="Arial"/>
                <w:sz w:val="16"/>
                <w:szCs w:val="16"/>
                <w:lang w:val="en-US"/>
              </w:rPr>
            </w:pPr>
            <w:r>
              <w:rPr>
                <w:rFonts w:ascii="Arial" w:hAnsi="Arial" w:cs="Arial"/>
                <w:sz w:val="16"/>
                <w:szCs w:val="16"/>
                <w:lang w:val="en-US"/>
              </w:rPr>
              <w:t>208</w:t>
            </w:r>
          </w:p>
        </w:tc>
        <w:tc>
          <w:tcPr>
            <w:tcW w:w="1363" w:type="dxa"/>
            <w:tcBorders>
              <w:top w:val="nil"/>
              <w:left w:val="nil"/>
              <w:bottom w:val="nil"/>
              <w:right w:val="nil"/>
            </w:tcBorders>
            <w:hideMark/>
          </w:tcPr>
          <w:p w:rsidR="00355BC7" w:rsidRDefault="00355BC7">
            <w:pPr>
              <w:rPr>
                <w:rFonts w:ascii="Arial" w:hAnsi="Arial" w:cs="Arial"/>
                <w:sz w:val="16"/>
                <w:szCs w:val="16"/>
                <w:lang w:val="en-US"/>
              </w:rPr>
            </w:pPr>
            <w:r>
              <w:rPr>
                <w:rFonts w:ascii="Arial" w:hAnsi="Arial" w:cs="Arial"/>
                <w:sz w:val="16"/>
                <w:szCs w:val="16"/>
                <w:lang w:val="en-US"/>
              </w:rPr>
              <w:t>Miguel Antonio Bambague Murcia</w:t>
            </w:r>
          </w:p>
        </w:tc>
        <w:tc>
          <w:tcPr>
            <w:tcW w:w="1536"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 xml:space="preserve">Adquisición de Equipos para contingencias y emergencias en la operación del servicio público domiciliario de acueducto y alcantarillado del Municipio de Mitú </w:t>
            </w:r>
          </w:p>
        </w:tc>
        <w:tc>
          <w:tcPr>
            <w:tcW w:w="1638"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$127.735.875</w:t>
            </w:r>
          </w:p>
        </w:tc>
        <w:tc>
          <w:tcPr>
            <w:tcW w:w="1417"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26/08/2019</w:t>
            </w:r>
          </w:p>
        </w:tc>
        <w:tc>
          <w:tcPr>
            <w:tcW w:w="1418"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715/716/717</w:t>
            </w:r>
          </w:p>
        </w:tc>
        <w:tc>
          <w:tcPr>
            <w:tcW w:w="1134" w:type="dxa"/>
            <w:tcBorders>
              <w:top w:val="nil"/>
              <w:left w:val="nil"/>
              <w:bottom w:val="nil"/>
              <w:right w:val="single" w:sz="8" w:space="0" w:color="9BBB59" w:themeColor="accent3"/>
            </w:tcBorders>
            <w:hideMark/>
          </w:tcPr>
          <w:p w:rsidR="00355BC7" w:rsidRDefault="00355BC7">
            <w:pPr>
              <w:rPr>
                <w:rFonts w:ascii="Arial" w:hAnsi="Arial" w:cs="Arial"/>
                <w:sz w:val="16"/>
                <w:szCs w:val="16"/>
                <w:lang w:val="es-CO"/>
              </w:rPr>
            </w:pPr>
            <w:r>
              <w:rPr>
                <w:rFonts w:ascii="Arial" w:hAnsi="Arial" w:cs="Arial"/>
                <w:sz w:val="16"/>
                <w:szCs w:val="16"/>
                <w:lang w:val="es-CO"/>
              </w:rPr>
              <w:t>1147/1148/</w:t>
            </w:r>
          </w:p>
          <w:p w:rsidR="00355BC7" w:rsidRDefault="00355BC7">
            <w:pPr>
              <w:rPr>
                <w:rFonts w:ascii="Arial" w:hAnsi="Arial" w:cs="Arial"/>
                <w:sz w:val="16"/>
                <w:szCs w:val="16"/>
                <w:lang w:val="es-CO"/>
              </w:rPr>
            </w:pPr>
            <w:r>
              <w:rPr>
                <w:rFonts w:ascii="Arial" w:hAnsi="Arial" w:cs="Arial"/>
                <w:sz w:val="16"/>
                <w:szCs w:val="16"/>
                <w:lang w:val="es-CO"/>
              </w:rPr>
              <w:t>1149</w:t>
            </w:r>
          </w:p>
        </w:tc>
      </w:tr>
      <w:tr w:rsidR="00355BC7" w:rsidTr="00355BC7">
        <w:tc>
          <w:tcPr>
            <w:tcW w:w="1123" w:type="dxa"/>
            <w:tcBorders>
              <w:top w:val="nil"/>
              <w:left w:val="single" w:sz="8" w:space="0" w:color="9BBB59" w:themeColor="accent3"/>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100</w:t>
            </w:r>
          </w:p>
        </w:tc>
        <w:tc>
          <w:tcPr>
            <w:tcW w:w="1363"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Esperanza Judith Buitrago Cuevas</w:t>
            </w:r>
          </w:p>
        </w:tc>
        <w:tc>
          <w:tcPr>
            <w:tcW w:w="1536"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Suministro productos químico para la planta de tratamiento de agua potable del Municipio de Mitú departamento de Vaupés</w:t>
            </w:r>
          </w:p>
        </w:tc>
        <w:tc>
          <w:tcPr>
            <w:tcW w:w="1638"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$150.328.827</w:t>
            </w:r>
          </w:p>
        </w:tc>
        <w:tc>
          <w:tcPr>
            <w:tcW w:w="1417"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18 /03/2019</w:t>
            </w:r>
          </w:p>
        </w:tc>
        <w:tc>
          <w:tcPr>
            <w:tcW w:w="1418"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00032/1008/</w:t>
            </w:r>
          </w:p>
        </w:tc>
        <w:tc>
          <w:tcPr>
            <w:tcW w:w="1134" w:type="dxa"/>
            <w:tcBorders>
              <w:top w:val="nil"/>
              <w:left w:val="nil"/>
              <w:bottom w:val="nil"/>
              <w:right w:val="single" w:sz="8" w:space="0" w:color="9BBB59" w:themeColor="accent3"/>
            </w:tcBorders>
            <w:hideMark/>
          </w:tcPr>
          <w:p w:rsidR="00355BC7" w:rsidRDefault="00355BC7">
            <w:pPr>
              <w:rPr>
                <w:rFonts w:ascii="Arial" w:hAnsi="Arial" w:cs="Arial"/>
                <w:sz w:val="16"/>
                <w:szCs w:val="16"/>
                <w:lang w:val="es-CO"/>
              </w:rPr>
            </w:pPr>
            <w:r>
              <w:rPr>
                <w:rFonts w:ascii="Arial" w:hAnsi="Arial" w:cs="Arial"/>
                <w:sz w:val="16"/>
                <w:szCs w:val="16"/>
                <w:lang w:val="es-CO"/>
              </w:rPr>
              <w:t>00085/</w:t>
            </w:r>
          </w:p>
        </w:tc>
      </w:tr>
      <w:tr w:rsidR="00355BC7" w:rsidTr="00355BC7">
        <w:tc>
          <w:tcPr>
            <w:tcW w:w="1123" w:type="dxa"/>
            <w:tcBorders>
              <w:top w:val="nil"/>
              <w:left w:val="single" w:sz="8" w:space="0" w:color="9BBB59" w:themeColor="accent3"/>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232</w:t>
            </w:r>
          </w:p>
        </w:tc>
        <w:tc>
          <w:tcPr>
            <w:tcW w:w="1363"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 xml:space="preserve">José León David bastidas </w:t>
            </w:r>
          </w:p>
        </w:tc>
        <w:tc>
          <w:tcPr>
            <w:tcW w:w="1536"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Interventoría Técnica, Administrativa, Financiera y Ambiental para el Proyecto: Optimización de la Planta de Tratamiento de agua potable y la planta de tratamiento de aguas residuales, Municipio de Mitú</w:t>
            </w:r>
          </w:p>
        </w:tc>
        <w:tc>
          <w:tcPr>
            <w:tcW w:w="1638"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$74.034.660</w:t>
            </w:r>
          </w:p>
        </w:tc>
        <w:tc>
          <w:tcPr>
            <w:tcW w:w="1417"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12/11/2019</w:t>
            </w:r>
          </w:p>
        </w:tc>
        <w:tc>
          <w:tcPr>
            <w:tcW w:w="1418"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0801/0801</w:t>
            </w:r>
          </w:p>
        </w:tc>
        <w:tc>
          <w:tcPr>
            <w:tcW w:w="1134" w:type="dxa"/>
            <w:tcBorders>
              <w:top w:val="nil"/>
              <w:left w:val="nil"/>
              <w:bottom w:val="nil"/>
              <w:right w:val="single" w:sz="8" w:space="0" w:color="9BBB59" w:themeColor="accent3"/>
            </w:tcBorders>
            <w:hideMark/>
          </w:tcPr>
          <w:p w:rsidR="00355BC7" w:rsidRDefault="00355BC7">
            <w:pPr>
              <w:rPr>
                <w:rFonts w:ascii="Arial" w:hAnsi="Arial" w:cs="Arial"/>
                <w:sz w:val="16"/>
                <w:szCs w:val="16"/>
                <w:lang w:val="es-CO"/>
              </w:rPr>
            </w:pPr>
            <w:r>
              <w:rPr>
                <w:rFonts w:ascii="Arial" w:hAnsi="Arial" w:cs="Arial"/>
                <w:sz w:val="16"/>
                <w:szCs w:val="16"/>
                <w:lang w:val="es-CO"/>
              </w:rPr>
              <w:t>01465/1466</w:t>
            </w:r>
          </w:p>
        </w:tc>
      </w:tr>
      <w:tr w:rsidR="00355BC7" w:rsidTr="00355BC7">
        <w:tc>
          <w:tcPr>
            <w:tcW w:w="1123" w:type="dxa"/>
            <w:tcBorders>
              <w:top w:val="nil"/>
              <w:left w:val="single" w:sz="8" w:space="0" w:color="9BBB59" w:themeColor="accent3"/>
              <w:bottom w:val="single" w:sz="8" w:space="0" w:color="9BBB59" w:themeColor="accent3"/>
              <w:right w:val="nil"/>
            </w:tcBorders>
            <w:hideMark/>
          </w:tcPr>
          <w:p w:rsidR="00355BC7" w:rsidRDefault="00355BC7">
            <w:pPr>
              <w:rPr>
                <w:rFonts w:ascii="Arial" w:hAnsi="Arial" w:cs="Arial"/>
                <w:sz w:val="16"/>
                <w:szCs w:val="16"/>
                <w:lang w:val="es-CO"/>
              </w:rPr>
            </w:pPr>
            <w:r>
              <w:rPr>
                <w:rFonts w:ascii="Arial" w:hAnsi="Arial" w:cs="Arial"/>
                <w:sz w:val="16"/>
                <w:szCs w:val="16"/>
                <w:lang w:val="es-CO"/>
              </w:rPr>
              <w:t>230</w:t>
            </w:r>
          </w:p>
        </w:tc>
        <w:tc>
          <w:tcPr>
            <w:tcW w:w="1363" w:type="dxa"/>
            <w:tcBorders>
              <w:top w:val="nil"/>
              <w:left w:val="nil"/>
              <w:bottom w:val="single" w:sz="8" w:space="0" w:color="9BBB59" w:themeColor="accent3"/>
              <w:right w:val="nil"/>
            </w:tcBorders>
            <w:hideMark/>
          </w:tcPr>
          <w:p w:rsidR="00355BC7" w:rsidRDefault="00355BC7">
            <w:pPr>
              <w:rPr>
                <w:rFonts w:ascii="Arial" w:hAnsi="Arial" w:cs="Arial"/>
                <w:sz w:val="16"/>
                <w:szCs w:val="16"/>
                <w:lang w:val="es-CO"/>
              </w:rPr>
            </w:pPr>
            <w:r>
              <w:rPr>
                <w:rFonts w:ascii="Arial" w:hAnsi="Arial" w:cs="Arial"/>
                <w:sz w:val="16"/>
                <w:szCs w:val="16"/>
                <w:lang w:val="es-CO"/>
              </w:rPr>
              <w:t>UNION TEMPORAL AGUAS DE MITÚ</w:t>
            </w:r>
          </w:p>
        </w:tc>
        <w:tc>
          <w:tcPr>
            <w:tcW w:w="1536" w:type="dxa"/>
            <w:tcBorders>
              <w:top w:val="nil"/>
              <w:left w:val="nil"/>
              <w:bottom w:val="single" w:sz="8" w:space="0" w:color="9BBB59" w:themeColor="accent3"/>
              <w:right w:val="nil"/>
            </w:tcBorders>
          </w:tcPr>
          <w:p w:rsidR="00355BC7" w:rsidRDefault="00355BC7">
            <w:pPr>
              <w:rPr>
                <w:rFonts w:ascii="Arial" w:hAnsi="Arial" w:cs="Arial"/>
                <w:sz w:val="16"/>
                <w:szCs w:val="16"/>
                <w:lang w:val="es-CO"/>
              </w:rPr>
            </w:pPr>
            <w:r>
              <w:rPr>
                <w:rFonts w:ascii="Arial" w:hAnsi="Arial" w:cs="Arial"/>
                <w:sz w:val="16"/>
                <w:szCs w:val="16"/>
                <w:lang w:val="es-CO"/>
              </w:rPr>
              <w:t>Optimización de plantas de Tratamiento de Agua Potable y Agua residual del Municipio de Mitú</w:t>
            </w: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b/>
                <w:sz w:val="16"/>
                <w:szCs w:val="16"/>
                <w:lang w:val="es-CO"/>
              </w:rPr>
            </w:pPr>
            <w:r>
              <w:rPr>
                <w:rFonts w:ascii="Arial" w:hAnsi="Arial" w:cs="Arial"/>
                <w:b/>
                <w:sz w:val="16"/>
                <w:szCs w:val="16"/>
                <w:lang w:val="es-CO"/>
              </w:rPr>
              <w:t xml:space="preserve">TOTAL, CONTRATACION          </w:t>
            </w:r>
          </w:p>
        </w:tc>
        <w:tc>
          <w:tcPr>
            <w:tcW w:w="1638" w:type="dxa"/>
            <w:tcBorders>
              <w:top w:val="nil"/>
              <w:left w:val="nil"/>
              <w:bottom w:val="single" w:sz="8" w:space="0" w:color="9BBB59" w:themeColor="accent3"/>
              <w:right w:val="nil"/>
            </w:tcBorders>
          </w:tcPr>
          <w:p w:rsidR="00355BC7" w:rsidRDefault="00355BC7">
            <w:pPr>
              <w:rPr>
                <w:rFonts w:ascii="Arial" w:hAnsi="Arial" w:cs="Arial"/>
                <w:sz w:val="16"/>
                <w:szCs w:val="16"/>
                <w:lang w:val="es-CO"/>
              </w:rPr>
            </w:pPr>
            <w:r>
              <w:rPr>
                <w:rFonts w:ascii="Arial" w:hAnsi="Arial" w:cs="Arial"/>
                <w:sz w:val="16"/>
                <w:szCs w:val="16"/>
                <w:lang w:val="es-CO"/>
              </w:rPr>
              <w:t>$923.284.970,50</w:t>
            </w: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b/>
                <w:sz w:val="16"/>
                <w:szCs w:val="16"/>
                <w:lang w:val="es-CO"/>
              </w:rPr>
            </w:pPr>
            <w:r>
              <w:rPr>
                <w:rFonts w:ascii="Arial" w:hAnsi="Arial" w:cs="Arial"/>
                <w:b/>
                <w:sz w:val="16"/>
                <w:szCs w:val="16"/>
                <w:lang w:val="es-CO"/>
              </w:rPr>
              <w:t>$1.275. 384..333</w:t>
            </w:r>
          </w:p>
        </w:tc>
        <w:tc>
          <w:tcPr>
            <w:tcW w:w="1417" w:type="dxa"/>
            <w:tcBorders>
              <w:top w:val="nil"/>
              <w:left w:val="nil"/>
              <w:bottom w:val="single" w:sz="8" w:space="0" w:color="9BBB59" w:themeColor="accent3"/>
              <w:right w:val="nil"/>
            </w:tcBorders>
            <w:hideMark/>
          </w:tcPr>
          <w:p w:rsidR="00355BC7" w:rsidRDefault="00355BC7">
            <w:pPr>
              <w:ind w:left="31"/>
              <w:rPr>
                <w:rFonts w:ascii="Arial" w:hAnsi="Arial" w:cs="Arial"/>
                <w:sz w:val="16"/>
                <w:szCs w:val="16"/>
                <w:lang w:val="es-CO"/>
              </w:rPr>
            </w:pPr>
            <w:r>
              <w:rPr>
                <w:rFonts w:ascii="Arial" w:hAnsi="Arial" w:cs="Arial"/>
                <w:sz w:val="16"/>
                <w:szCs w:val="16"/>
                <w:lang w:val="es-CO"/>
              </w:rPr>
              <w:t>13/12/2019</w:t>
            </w:r>
          </w:p>
        </w:tc>
        <w:tc>
          <w:tcPr>
            <w:tcW w:w="1418" w:type="dxa"/>
            <w:tcBorders>
              <w:top w:val="nil"/>
              <w:left w:val="nil"/>
              <w:bottom w:val="single" w:sz="8" w:space="0" w:color="9BBB59" w:themeColor="accent3"/>
              <w:right w:val="nil"/>
            </w:tcBorders>
            <w:hideMark/>
          </w:tcPr>
          <w:p w:rsidR="00355BC7" w:rsidRDefault="00355BC7">
            <w:pPr>
              <w:rPr>
                <w:rFonts w:ascii="Arial" w:hAnsi="Arial" w:cs="Arial"/>
                <w:sz w:val="16"/>
                <w:szCs w:val="16"/>
                <w:lang w:val="es-CO"/>
              </w:rPr>
            </w:pPr>
            <w:r>
              <w:rPr>
                <w:rFonts w:ascii="Arial" w:hAnsi="Arial" w:cs="Arial"/>
                <w:sz w:val="16"/>
                <w:szCs w:val="16"/>
                <w:lang w:val="es-CO"/>
              </w:rPr>
              <w:t>No disponible</w:t>
            </w:r>
          </w:p>
        </w:tc>
        <w:tc>
          <w:tcPr>
            <w:tcW w:w="1134" w:type="dxa"/>
            <w:tcBorders>
              <w:top w:val="nil"/>
              <w:left w:val="nil"/>
              <w:bottom w:val="single" w:sz="8" w:space="0" w:color="9BBB59" w:themeColor="accent3"/>
              <w:right w:val="single" w:sz="8" w:space="0" w:color="9BBB59" w:themeColor="accent3"/>
            </w:tcBorders>
            <w:hideMark/>
          </w:tcPr>
          <w:p w:rsidR="00355BC7" w:rsidRDefault="00355BC7">
            <w:pPr>
              <w:rPr>
                <w:rFonts w:ascii="Arial" w:hAnsi="Arial" w:cs="Arial"/>
                <w:sz w:val="16"/>
                <w:szCs w:val="16"/>
                <w:lang w:val="es-CO"/>
              </w:rPr>
            </w:pPr>
            <w:r>
              <w:rPr>
                <w:rFonts w:ascii="Arial" w:hAnsi="Arial" w:cs="Arial"/>
                <w:sz w:val="16"/>
                <w:szCs w:val="16"/>
                <w:lang w:val="es-CO"/>
              </w:rPr>
              <w:t>1392/1393</w:t>
            </w:r>
          </w:p>
        </w:tc>
      </w:tr>
    </w:tbl>
    <w:p w:rsidR="00355BC7" w:rsidRDefault="00355BC7" w:rsidP="00355BC7">
      <w:pPr>
        <w:autoSpaceDE w:val="0"/>
        <w:autoSpaceDN w:val="0"/>
        <w:adjustRightInd w:val="0"/>
        <w:jc w:val="both"/>
        <w:rPr>
          <w:rFonts w:ascii="Arial" w:eastAsia="CenturyGothic" w:hAnsi="Arial" w:cs="Arial"/>
          <w:sz w:val="16"/>
          <w:szCs w:val="16"/>
        </w:rPr>
      </w:pPr>
      <w:r>
        <w:rPr>
          <w:rFonts w:ascii="Arial" w:eastAsia="CenturyGothic" w:hAnsi="Arial" w:cs="Arial"/>
          <w:sz w:val="16"/>
          <w:szCs w:val="16"/>
        </w:rPr>
        <w:t>Fuente: Municipio de Mitú -Contratos 2019</w:t>
      </w:r>
    </w:p>
    <w:p w:rsidR="00355BC7" w:rsidRDefault="00355BC7" w:rsidP="00355BC7">
      <w:pPr>
        <w:autoSpaceDE w:val="0"/>
        <w:autoSpaceDN w:val="0"/>
        <w:adjustRightInd w:val="0"/>
        <w:jc w:val="both"/>
        <w:rPr>
          <w:rFonts w:ascii="Arial" w:eastAsia="CenturyGothic" w:hAnsi="Arial" w:cs="Arial"/>
          <w:sz w:val="16"/>
          <w:szCs w:val="16"/>
        </w:rPr>
      </w:pPr>
    </w:p>
    <w:p w:rsidR="00355BC7" w:rsidRDefault="00355BC7" w:rsidP="00355BC7">
      <w:pPr>
        <w:autoSpaceDE w:val="0"/>
        <w:autoSpaceDN w:val="0"/>
        <w:adjustRightInd w:val="0"/>
        <w:jc w:val="both"/>
        <w:rPr>
          <w:rFonts w:ascii="Arial" w:eastAsia="CenturyGothic" w:hAnsi="Arial" w:cs="Arial"/>
          <w:sz w:val="16"/>
          <w:szCs w:val="16"/>
        </w:rPr>
      </w:pPr>
    </w:p>
    <w:p w:rsidR="00355BC7" w:rsidRPr="00752183" w:rsidRDefault="00355BC7" w:rsidP="00355BC7">
      <w:pPr>
        <w:autoSpaceDE w:val="0"/>
        <w:autoSpaceDN w:val="0"/>
        <w:adjustRightInd w:val="0"/>
        <w:jc w:val="both"/>
        <w:rPr>
          <w:rFonts w:ascii="Arial" w:eastAsia="CenturyGothic" w:hAnsi="Arial" w:cs="Arial"/>
          <w:b/>
          <w:sz w:val="22"/>
        </w:rPr>
      </w:pPr>
      <w:r w:rsidRPr="00752183">
        <w:rPr>
          <w:rFonts w:ascii="Arial" w:eastAsia="CenturyGothic" w:hAnsi="Arial" w:cs="Arial"/>
          <w:b/>
          <w:sz w:val="22"/>
        </w:rPr>
        <w:t>CONTRATACIÓN 2020</w:t>
      </w:r>
      <w:r w:rsidR="00AD4D0F" w:rsidRPr="00752183">
        <w:rPr>
          <w:rFonts w:ascii="Arial" w:eastAsia="CenturyGothic" w:hAnsi="Arial" w:cs="Arial"/>
          <w:b/>
          <w:sz w:val="22"/>
        </w:rPr>
        <w:t>.</w:t>
      </w:r>
    </w:p>
    <w:p w:rsidR="00355BC7" w:rsidRDefault="00355BC7" w:rsidP="00355BC7">
      <w:pPr>
        <w:autoSpaceDE w:val="0"/>
        <w:autoSpaceDN w:val="0"/>
        <w:adjustRightInd w:val="0"/>
        <w:jc w:val="both"/>
        <w:rPr>
          <w:rFonts w:ascii="Arial" w:eastAsia="CenturyGothic" w:hAnsi="Arial" w:cs="Arial"/>
          <w:sz w:val="22"/>
          <w:szCs w:val="22"/>
          <w:lang w:val="es-CO"/>
        </w:rPr>
      </w:pPr>
    </w:p>
    <w:tbl>
      <w:tblPr>
        <w:tblStyle w:val="Listaclara-nfasis3"/>
        <w:tblW w:w="0" w:type="dxa"/>
        <w:tblInd w:w="0" w:type="dxa"/>
        <w:tblLayout w:type="fixed"/>
        <w:tblLook w:val="0620" w:firstRow="1" w:lastRow="0" w:firstColumn="0" w:lastColumn="0" w:noHBand="1" w:noVBand="1"/>
      </w:tblPr>
      <w:tblGrid>
        <w:gridCol w:w="1550"/>
        <w:gridCol w:w="1417"/>
        <w:gridCol w:w="1134"/>
        <w:gridCol w:w="1559"/>
        <w:gridCol w:w="1417"/>
        <w:gridCol w:w="1418"/>
        <w:gridCol w:w="851"/>
      </w:tblGrid>
      <w:tr w:rsidR="00355BC7" w:rsidTr="00355BC7">
        <w:trPr>
          <w:cnfStyle w:val="100000000000" w:firstRow="1" w:lastRow="0" w:firstColumn="0" w:lastColumn="0" w:oddVBand="0" w:evenVBand="0" w:oddHBand="0" w:evenHBand="0" w:firstRowFirstColumn="0" w:firstRowLastColumn="0" w:lastRowFirstColumn="0" w:lastRowLastColumn="0"/>
          <w:tblHeader/>
        </w:trPr>
        <w:tc>
          <w:tcPr>
            <w:tcW w:w="1550" w:type="dxa"/>
            <w:tcBorders>
              <w:top w:val="single" w:sz="8" w:space="0" w:color="9BBB59" w:themeColor="accent3"/>
              <w:left w:val="single" w:sz="8" w:space="0" w:color="9BBB59" w:themeColor="accent3"/>
              <w:bottom w:val="nil"/>
              <w:right w:val="nil"/>
            </w:tcBorders>
            <w:hideMark/>
          </w:tcPr>
          <w:p w:rsidR="00355BC7" w:rsidRDefault="00355BC7">
            <w:pPr>
              <w:rPr>
                <w:rFonts w:ascii="Arial" w:hAnsi="Arial" w:cs="Arial"/>
                <w:color w:val="auto"/>
                <w:sz w:val="16"/>
                <w:szCs w:val="16"/>
                <w:lang w:val="es-CO"/>
              </w:rPr>
            </w:pPr>
            <w:r>
              <w:rPr>
                <w:rFonts w:ascii="Arial" w:hAnsi="Arial" w:cs="Arial"/>
                <w:sz w:val="16"/>
                <w:szCs w:val="16"/>
                <w:lang w:val="es-CO"/>
              </w:rPr>
              <w:t>No. CONTRATO</w:t>
            </w:r>
          </w:p>
        </w:tc>
        <w:tc>
          <w:tcPr>
            <w:tcW w:w="1417" w:type="dxa"/>
            <w:tcBorders>
              <w:top w:val="single" w:sz="8" w:space="0" w:color="9BBB59" w:themeColor="accent3"/>
              <w:left w:val="nil"/>
              <w:bottom w:val="nil"/>
              <w:right w:val="nil"/>
            </w:tcBorders>
            <w:hideMark/>
          </w:tcPr>
          <w:p w:rsidR="00355BC7" w:rsidRDefault="00355BC7">
            <w:pPr>
              <w:rPr>
                <w:rFonts w:ascii="Arial" w:hAnsi="Arial" w:cs="Arial"/>
                <w:color w:val="auto"/>
                <w:sz w:val="16"/>
                <w:szCs w:val="16"/>
                <w:lang w:val="es-CO"/>
              </w:rPr>
            </w:pPr>
            <w:r>
              <w:rPr>
                <w:rFonts w:ascii="Arial" w:hAnsi="Arial" w:cs="Arial"/>
                <w:sz w:val="16"/>
                <w:szCs w:val="16"/>
                <w:lang w:val="es-CO"/>
              </w:rPr>
              <w:t xml:space="preserve">CONTRATISTA </w:t>
            </w:r>
          </w:p>
        </w:tc>
        <w:tc>
          <w:tcPr>
            <w:tcW w:w="1134" w:type="dxa"/>
            <w:tcBorders>
              <w:top w:val="single" w:sz="8" w:space="0" w:color="9BBB59" w:themeColor="accent3"/>
              <w:left w:val="nil"/>
              <w:bottom w:val="nil"/>
              <w:right w:val="nil"/>
            </w:tcBorders>
            <w:hideMark/>
          </w:tcPr>
          <w:p w:rsidR="00355BC7" w:rsidRDefault="00355BC7">
            <w:pPr>
              <w:rPr>
                <w:rFonts w:ascii="Arial" w:hAnsi="Arial" w:cs="Arial"/>
                <w:color w:val="auto"/>
                <w:sz w:val="16"/>
                <w:szCs w:val="16"/>
                <w:lang w:val="es-CO"/>
              </w:rPr>
            </w:pPr>
            <w:r>
              <w:rPr>
                <w:rFonts w:ascii="Arial" w:hAnsi="Arial" w:cs="Arial"/>
                <w:sz w:val="16"/>
                <w:szCs w:val="16"/>
                <w:lang w:val="es-CO"/>
              </w:rPr>
              <w:t>OBJETO</w:t>
            </w:r>
          </w:p>
          <w:p w:rsidR="00355BC7" w:rsidRDefault="00355BC7">
            <w:pPr>
              <w:rPr>
                <w:rFonts w:ascii="Arial" w:hAnsi="Arial" w:cs="Arial"/>
                <w:sz w:val="16"/>
                <w:szCs w:val="16"/>
                <w:lang w:val="es-CO"/>
              </w:rPr>
            </w:pPr>
            <w:r>
              <w:rPr>
                <w:rFonts w:ascii="Arial" w:hAnsi="Arial" w:cs="Arial"/>
                <w:sz w:val="16"/>
                <w:szCs w:val="16"/>
                <w:lang w:val="es-CO"/>
              </w:rPr>
              <w:t>CONTRATO</w:t>
            </w:r>
          </w:p>
        </w:tc>
        <w:tc>
          <w:tcPr>
            <w:tcW w:w="1559" w:type="dxa"/>
            <w:tcBorders>
              <w:top w:val="single" w:sz="8" w:space="0" w:color="9BBB59" w:themeColor="accent3"/>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VALOR</w:t>
            </w:r>
          </w:p>
        </w:tc>
        <w:tc>
          <w:tcPr>
            <w:tcW w:w="1417" w:type="dxa"/>
            <w:tcBorders>
              <w:top w:val="single" w:sz="8" w:space="0" w:color="9BBB59" w:themeColor="accent3"/>
              <w:left w:val="nil"/>
              <w:bottom w:val="nil"/>
              <w:right w:val="nil"/>
            </w:tcBorders>
            <w:hideMark/>
          </w:tcPr>
          <w:p w:rsidR="00355BC7" w:rsidRDefault="00355BC7">
            <w:pPr>
              <w:rPr>
                <w:rFonts w:ascii="Arial" w:hAnsi="Arial" w:cs="Arial"/>
                <w:color w:val="auto"/>
                <w:sz w:val="16"/>
                <w:szCs w:val="16"/>
                <w:lang w:val="es-CO"/>
              </w:rPr>
            </w:pPr>
            <w:r>
              <w:rPr>
                <w:rFonts w:ascii="Arial" w:hAnsi="Arial" w:cs="Arial"/>
                <w:sz w:val="16"/>
                <w:szCs w:val="16"/>
                <w:lang w:val="es-CO"/>
              </w:rPr>
              <w:t>FECHA</w:t>
            </w:r>
          </w:p>
          <w:p w:rsidR="00355BC7" w:rsidRDefault="00355BC7">
            <w:pPr>
              <w:rPr>
                <w:rFonts w:ascii="Arial" w:hAnsi="Arial" w:cs="Arial"/>
                <w:sz w:val="16"/>
                <w:szCs w:val="16"/>
                <w:lang w:val="es-CO"/>
              </w:rPr>
            </w:pPr>
            <w:r>
              <w:rPr>
                <w:rFonts w:ascii="Arial" w:hAnsi="Arial" w:cs="Arial"/>
                <w:sz w:val="16"/>
                <w:szCs w:val="16"/>
                <w:lang w:val="es-CO"/>
              </w:rPr>
              <w:t>CONTRATO</w:t>
            </w:r>
          </w:p>
        </w:tc>
        <w:tc>
          <w:tcPr>
            <w:tcW w:w="1418" w:type="dxa"/>
            <w:tcBorders>
              <w:top w:val="single" w:sz="8" w:space="0" w:color="9BBB59" w:themeColor="accent3"/>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CDP</w:t>
            </w:r>
          </w:p>
        </w:tc>
        <w:tc>
          <w:tcPr>
            <w:tcW w:w="851" w:type="dxa"/>
            <w:tcBorders>
              <w:top w:val="single" w:sz="8" w:space="0" w:color="9BBB59" w:themeColor="accent3"/>
              <w:left w:val="nil"/>
              <w:bottom w:val="nil"/>
              <w:right w:val="single" w:sz="8" w:space="0" w:color="9BBB59" w:themeColor="accent3"/>
            </w:tcBorders>
            <w:hideMark/>
          </w:tcPr>
          <w:p w:rsidR="00355BC7" w:rsidRDefault="00355BC7">
            <w:pPr>
              <w:rPr>
                <w:rFonts w:ascii="Arial" w:hAnsi="Arial" w:cs="Arial"/>
                <w:sz w:val="16"/>
                <w:szCs w:val="16"/>
                <w:lang w:val="es-CO"/>
              </w:rPr>
            </w:pPr>
            <w:r>
              <w:rPr>
                <w:rFonts w:ascii="Arial" w:hAnsi="Arial" w:cs="Arial"/>
                <w:sz w:val="16"/>
                <w:szCs w:val="16"/>
                <w:lang w:val="es-CO"/>
              </w:rPr>
              <w:t>RP</w:t>
            </w:r>
          </w:p>
        </w:tc>
      </w:tr>
      <w:tr w:rsidR="00355BC7" w:rsidTr="00355BC7">
        <w:tc>
          <w:tcPr>
            <w:tcW w:w="1550" w:type="dxa"/>
            <w:tcBorders>
              <w:top w:val="nil"/>
              <w:left w:val="single" w:sz="8" w:space="0" w:color="9BBB59" w:themeColor="accent3"/>
              <w:bottom w:val="nil"/>
              <w:right w:val="nil"/>
            </w:tcBorders>
            <w:hideMark/>
          </w:tcPr>
          <w:p w:rsidR="00355BC7" w:rsidRDefault="00355BC7">
            <w:pPr>
              <w:rPr>
                <w:rFonts w:ascii="Arial" w:hAnsi="Arial" w:cs="Arial"/>
                <w:noProof/>
                <w:sz w:val="16"/>
                <w:szCs w:val="16"/>
                <w:lang w:val="es-CO" w:eastAsia="es-419"/>
              </w:rPr>
            </w:pPr>
            <w:r>
              <w:rPr>
                <w:rFonts w:ascii="Arial" w:hAnsi="Arial" w:cs="Arial"/>
                <w:sz w:val="16"/>
                <w:szCs w:val="16"/>
                <w:lang w:val="es-CO"/>
              </w:rPr>
              <w:t>307</w:t>
            </w:r>
          </w:p>
          <w:p w:rsidR="00355BC7" w:rsidRDefault="00355BC7">
            <w:pPr>
              <w:rPr>
                <w:rFonts w:ascii="Arial" w:hAnsi="Arial" w:cs="Arial"/>
                <w:noProof/>
                <w:sz w:val="16"/>
                <w:szCs w:val="16"/>
                <w:lang w:val="es-CO" w:eastAsia="es-419"/>
              </w:rPr>
            </w:pPr>
            <w:r>
              <w:rPr>
                <w:rFonts w:ascii="Arial" w:hAnsi="Arial" w:cs="Arial"/>
                <w:noProof/>
                <w:sz w:val="16"/>
                <w:szCs w:val="16"/>
                <w:lang w:val="es-CO" w:eastAsia="es-419"/>
              </w:rPr>
              <w:t>AMM-CM-001-2020</w:t>
            </w:r>
          </w:p>
        </w:tc>
        <w:tc>
          <w:tcPr>
            <w:tcW w:w="1417"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Consorcio Aseguramiento Mitú-2020</w:t>
            </w:r>
          </w:p>
        </w:tc>
        <w:tc>
          <w:tcPr>
            <w:tcW w:w="1134"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 xml:space="preserve">Fortalecimiento Institucional para el mejoramiento en la prestación del servicio en acueducto, alcantarillado y aseo en la Unidad de </w:t>
            </w:r>
            <w:r>
              <w:rPr>
                <w:rFonts w:ascii="Arial" w:hAnsi="Arial" w:cs="Arial"/>
                <w:sz w:val="16"/>
                <w:szCs w:val="16"/>
                <w:lang w:val="es-CO"/>
              </w:rPr>
              <w:lastRenderedPageBreak/>
              <w:t>Servicios Públicos del Municipio de Mitú. Vaupés (Aplicación Nuevo Marco Tarifario)</w:t>
            </w:r>
          </w:p>
        </w:tc>
        <w:tc>
          <w:tcPr>
            <w:tcW w:w="1559"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lastRenderedPageBreak/>
              <w:t>$161.456.820</w:t>
            </w:r>
          </w:p>
        </w:tc>
        <w:tc>
          <w:tcPr>
            <w:tcW w:w="1417" w:type="dxa"/>
            <w:tcBorders>
              <w:top w:val="nil"/>
              <w:left w:val="nil"/>
              <w:bottom w:val="nil"/>
              <w:right w:val="nil"/>
            </w:tcBorders>
            <w:hideMark/>
          </w:tcPr>
          <w:p w:rsidR="00355BC7" w:rsidRDefault="00355BC7">
            <w:pPr>
              <w:rPr>
                <w:rFonts w:ascii="Arial" w:hAnsi="Arial" w:cs="Arial"/>
                <w:sz w:val="16"/>
                <w:szCs w:val="16"/>
                <w:lang w:val="es-CO"/>
              </w:rPr>
            </w:pPr>
            <w:r>
              <w:rPr>
                <w:rFonts w:ascii="Arial" w:hAnsi="Arial" w:cs="Arial"/>
                <w:sz w:val="16"/>
                <w:szCs w:val="16"/>
                <w:lang w:val="es-CO"/>
              </w:rPr>
              <w:t>31/12/2020</w:t>
            </w:r>
          </w:p>
        </w:tc>
        <w:tc>
          <w:tcPr>
            <w:tcW w:w="1418" w:type="dxa"/>
            <w:tcBorders>
              <w:top w:val="nil"/>
              <w:left w:val="nil"/>
              <w:bottom w:val="nil"/>
              <w:right w:val="nil"/>
            </w:tcBorders>
          </w:tcPr>
          <w:p w:rsidR="00355BC7" w:rsidRDefault="00355BC7">
            <w:pPr>
              <w:rPr>
                <w:rFonts w:ascii="Arial" w:hAnsi="Arial" w:cs="Arial"/>
                <w:sz w:val="16"/>
                <w:szCs w:val="16"/>
                <w:lang w:val="es-CO"/>
              </w:rPr>
            </w:pPr>
            <w:r>
              <w:rPr>
                <w:rFonts w:ascii="Arial" w:hAnsi="Arial" w:cs="Arial"/>
                <w:sz w:val="16"/>
                <w:szCs w:val="16"/>
                <w:lang w:val="es-CO"/>
              </w:rPr>
              <w:t>857/858/859</w:t>
            </w: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tc>
        <w:tc>
          <w:tcPr>
            <w:tcW w:w="851" w:type="dxa"/>
            <w:tcBorders>
              <w:top w:val="nil"/>
              <w:left w:val="nil"/>
              <w:bottom w:val="nil"/>
              <w:right w:val="single" w:sz="8" w:space="0" w:color="9BBB59" w:themeColor="accent3"/>
            </w:tcBorders>
            <w:hideMark/>
          </w:tcPr>
          <w:p w:rsidR="00355BC7" w:rsidRDefault="00355BC7">
            <w:pPr>
              <w:rPr>
                <w:rFonts w:ascii="Arial" w:hAnsi="Arial" w:cs="Arial"/>
                <w:sz w:val="16"/>
                <w:szCs w:val="16"/>
                <w:lang w:val="es-CO"/>
              </w:rPr>
            </w:pPr>
          </w:p>
        </w:tc>
      </w:tr>
      <w:tr w:rsidR="00355BC7" w:rsidTr="00355BC7">
        <w:tc>
          <w:tcPr>
            <w:tcW w:w="1550" w:type="dxa"/>
            <w:tcBorders>
              <w:top w:val="nil"/>
              <w:left w:val="single" w:sz="8" w:space="0" w:color="9BBB59" w:themeColor="accent3"/>
              <w:bottom w:val="nil"/>
              <w:right w:val="nil"/>
            </w:tcBorders>
          </w:tcPr>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r>
              <w:rPr>
                <w:rFonts w:ascii="Arial" w:hAnsi="Arial" w:cs="Arial"/>
                <w:sz w:val="16"/>
                <w:szCs w:val="16"/>
                <w:lang w:val="es-CO"/>
              </w:rPr>
              <w:t>245</w:t>
            </w:r>
          </w:p>
        </w:tc>
        <w:tc>
          <w:tcPr>
            <w:tcW w:w="1417" w:type="dxa"/>
            <w:tcBorders>
              <w:top w:val="nil"/>
              <w:left w:val="nil"/>
              <w:bottom w:val="nil"/>
              <w:right w:val="nil"/>
            </w:tcBorders>
          </w:tcPr>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r>
              <w:rPr>
                <w:rFonts w:ascii="Arial" w:hAnsi="Arial" w:cs="Arial"/>
                <w:sz w:val="16"/>
                <w:szCs w:val="16"/>
                <w:lang w:val="es-CO"/>
              </w:rPr>
              <w:t>Eduardo Alexander Perdomo López</w:t>
            </w:r>
          </w:p>
        </w:tc>
        <w:tc>
          <w:tcPr>
            <w:tcW w:w="1134" w:type="dxa"/>
            <w:tcBorders>
              <w:top w:val="nil"/>
              <w:left w:val="nil"/>
              <w:bottom w:val="nil"/>
              <w:right w:val="nil"/>
            </w:tcBorders>
          </w:tcPr>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r>
              <w:rPr>
                <w:rFonts w:ascii="Arial" w:hAnsi="Arial" w:cs="Arial"/>
                <w:sz w:val="16"/>
                <w:szCs w:val="16"/>
                <w:lang w:val="es-CO"/>
              </w:rPr>
              <w:t>Prestación de Servicios y de Apoyo a la gestión para la limpieza (barrido) y rocerías de zonas y espacios públicos del Municipio de Mitú</w:t>
            </w:r>
          </w:p>
        </w:tc>
        <w:tc>
          <w:tcPr>
            <w:tcW w:w="1559" w:type="dxa"/>
            <w:tcBorders>
              <w:top w:val="nil"/>
              <w:left w:val="nil"/>
              <w:bottom w:val="nil"/>
              <w:right w:val="nil"/>
            </w:tcBorders>
          </w:tcPr>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r>
              <w:rPr>
                <w:rFonts w:ascii="Arial" w:hAnsi="Arial" w:cs="Arial"/>
                <w:sz w:val="16"/>
                <w:szCs w:val="16"/>
                <w:lang w:val="es-CO"/>
              </w:rPr>
              <w:t xml:space="preserve">$3.052.800 * </w:t>
            </w:r>
          </w:p>
          <w:p w:rsidR="00355BC7" w:rsidRDefault="00355BC7">
            <w:pPr>
              <w:rPr>
                <w:rFonts w:ascii="Arial" w:hAnsi="Arial" w:cs="Arial"/>
                <w:sz w:val="16"/>
                <w:szCs w:val="16"/>
                <w:lang w:val="es-CO"/>
              </w:rPr>
            </w:pPr>
            <w:r>
              <w:rPr>
                <w:rFonts w:ascii="Arial" w:hAnsi="Arial" w:cs="Arial"/>
                <w:sz w:val="16"/>
                <w:szCs w:val="16"/>
                <w:lang w:val="es-CO"/>
              </w:rPr>
              <w:t xml:space="preserve">$466.485                                   </w:t>
            </w:r>
          </w:p>
        </w:tc>
        <w:tc>
          <w:tcPr>
            <w:tcW w:w="1417" w:type="dxa"/>
            <w:tcBorders>
              <w:top w:val="nil"/>
              <w:left w:val="nil"/>
              <w:bottom w:val="nil"/>
              <w:right w:val="nil"/>
            </w:tcBorders>
          </w:tcPr>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r>
              <w:rPr>
                <w:rFonts w:ascii="Arial" w:hAnsi="Arial" w:cs="Arial"/>
                <w:sz w:val="16"/>
                <w:szCs w:val="16"/>
                <w:lang w:val="es-CO"/>
              </w:rPr>
              <w:t>21/10/2020</w:t>
            </w:r>
          </w:p>
        </w:tc>
        <w:tc>
          <w:tcPr>
            <w:tcW w:w="1418" w:type="dxa"/>
            <w:tcBorders>
              <w:top w:val="nil"/>
              <w:left w:val="nil"/>
              <w:bottom w:val="nil"/>
              <w:right w:val="nil"/>
            </w:tcBorders>
          </w:tcPr>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r>
              <w:rPr>
                <w:rFonts w:ascii="Arial" w:hAnsi="Arial" w:cs="Arial"/>
                <w:sz w:val="16"/>
                <w:szCs w:val="16"/>
                <w:lang w:val="es-CO"/>
              </w:rPr>
              <w:t>328-335</w:t>
            </w:r>
          </w:p>
        </w:tc>
        <w:tc>
          <w:tcPr>
            <w:tcW w:w="851" w:type="dxa"/>
            <w:tcBorders>
              <w:top w:val="nil"/>
              <w:left w:val="nil"/>
              <w:bottom w:val="nil"/>
              <w:right w:val="single" w:sz="8" w:space="0" w:color="9BBB59" w:themeColor="accent3"/>
            </w:tcBorders>
          </w:tcPr>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r>
              <w:rPr>
                <w:rFonts w:ascii="Arial" w:hAnsi="Arial" w:cs="Arial"/>
                <w:sz w:val="16"/>
                <w:szCs w:val="16"/>
                <w:lang w:val="es-CO"/>
              </w:rPr>
              <w:t>0397</w:t>
            </w:r>
          </w:p>
        </w:tc>
      </w:tr>
      <w:tr w:rsidR="00355BC7" w:rsidTr="00355BC7">
        <w:tc>
          <w:tcPr>
            <w:tcW w:w="1550" w:type="dxa"/>
            <w:tcBorders>
              <w:top w:val="nil"/>
              <w:left w:val="single" w:sz="8" w:space="0" w:color="9BBB59" w:themeColor="accent3"/>
              <w:bottom w:val="nil"/>
              <w:right w:val="nil"/>
            </w:tcBorders>
          </w:tcPr>
          <w:p w:rsidR="00355BC7" w:rsidRDefault="00355BC7">
            <w:pPr>
              <w:rPr>
                <w:rFonts w:ascii="Arial" w:hAnsi="Arial" w:cs="Arial"/>
                <w:sz w:val="16"/>
                <w:szCs w:val="16"/>
                <w:lang w:val="es-CO"/>
              </w:rPr>
            </w:pPr>
          </w:p>
          <w:p w:rsidR="00355BC7" w:rsidRDefault="00355BC7">
            <w:pPr>
              <w:rPr>
                <w:rFonts w:ascii="Arial" w:hAnsi="Arial" w:cs="Arial"/>
                <w:b/>
                <w:sz w:val="16"/>
                <w:szCs w:val="16"/>
                <w:lang w:val="es-CO"/>
              </w:rPr>
            </w:pPr>
            <w:r>
              <w:rPr>
                <w:rFonts w:ascii="Arial" w:hAnsi="Arial" w:cs="Arial"/>
                <w:b/>
                <w:sz w:val="16"/>
                <w:szCs w:val="16"/>
                <w:lang w:val="es-CO"/>
              </w:rPr>
              <w:t>TOTAL, CONTRATACION APSB</w:t>
            </w:r>
          </w:p>
        </w:tc>
        <w:tc>
          <w:tcPr>
            <w:tcW w:w="1417" w:type="dxa"/>
            <w:tcBorders>
              <w:top w:val="nil"/>
              <w:left w:val="nil"/>
              <w:bottom w:val="nil"/>
              <w:right w:val="nil"/>
            </w:tcBorders>
          </w:tcPr>
          <w:p w:rsidR="00355BC7" w:rsidRDefault="00355BC7">
            <w:pPr>
              <w:rPr>
                <w:rFonts w:ascii="Arial" w:hAnsi="Arial" w:cs="Arial"/>
                <w:sz w:val="16"/>
                <w:szCs w:val="16"/>
                <w:lang w:val="es-CO"/>
              </w:rPr>
            </w:pPr>
          </w:p>
        </w:tc>
        <w:tc>
          <w:tcPr>
            <w:tcW w:w="1134" w:type="dxa"/>
            <w:tcBorders>
              <w:top w:val="nil"/>
              <w:left w:val="nil"/>
              <w:bottom w:val="nil"/>
              <w:right w:val="nil"/>
            </w:tcBorders>
          </w:tcPr>
          <w:p w:rsidR="00355BC7" w:rsidRDefault="00355BC7">
            <w:pPr>
              <w:rPr>
                <w:rFonts w:ascii="Arial" w:hAnsi="Arial" w:cs="Arial"/>
                <w:sz w:val="16"/>
                <w:szCs w:val="16"/>
                <w:lang w:val="es-CO"/>
              </w:rPr>
            </w:pPr>
          </w:p>
        </w:tc>
        <w:tc>
          <w:tcPr>
            <w:tcW w:w="1559" w:type="dxa"/>
            <w:tcBorders>
              <w:top w:val="nil"/>
              <w:left w:val="nil"/>
              <w:bottom w:val="nil"/>
              <w:right w:val="nil"/>
            </w:tcBorders>
          </w:tcPr>
          <w:p w:rsidR="00355BC7" w:rsidRDefault="00355BC7">
            <w:pPr>
              <w:rPr>
                <w:rFonts w:ascii="Arial" w:hAnsi="Arial" w:cs="Arial"/>
                <w:sz w:val="16"/>
                <w:szCs w:val="16"/>
                <w:lang w:val="es-CO"/>
              </w:rPr>
            </w:pPr>
          </w:p>
          <w:p w:rsidR="00355BC7" w:rsidRDefault="00355BC7">
            <w:pPr>
              <w:rPr>
                <w:rFonts w:ascii="Arial" w:hAnsi="Arial" w:cs="Arial"/>
                <w:sz w:val="16"/>
                <w:szCs w:val="16"/>
                <w:lang w:val="es-CO"/>
              </w:rPr>
            </w:pPr>
            <w:r>
              <w:rPr>
                <w:rFonts w:ascii="Arial" w:hAnsi="Arial" w:cs="Arial"/>
                <w:sz w:val="16"/>
                <w:szCs w:val="16"/>
                <w:lang w:val="es-CO"/>
              </w:rPr>
              <w:t>=$</w:t>
            </w:r>
            <w:r>
              <w:rPr>
                <w:rFonts w:ascii="Arial" w:hAnsi="Arial" w:cs="Arial"/>
                <w:b/>
                <w:sz w:val="16"/>
                <w:szCs w:val="16"/>
                <w:lang w:val="es-CO"/>
              </w:rPr>
              <w:t>161.923.305</w:t>
            </w:r>
          </w:p>
        </w:tc>
        <w:tc>
          <w:tcPr>
            <w:tcW w:w="1417" w:type="dxa"/>
            <w:tcBorders>
              <w:top w:val="nil"/>
              <w:left w:val="nil"/>
              <w:bottom w:val="nil"/>
              <w:right w:val="nil"/>
            </w:tcBorders>
          </w:tcPr>
          <w:p w:rsidR="00355BC7" w:rsidRDefault="00355BC7">
            <w:pPr>
              <w:rPr>
                <w:rFonts w:ascii="Arial" w:hAnsi="Arial" w:cs="Arial"/>
                <w:sz w:val="16"/>
                <w:szCs w:val="16"/>
                <w:lang w:val="es-CO"/>
              </w:rPr>
            </w:pPr>
          </w:p>
        </w:tc>
        <w:tc>
          <w:tcPr>
            <w:tcW w:w="1418" w:type="dxa"/>
            <w:tcBorders>
              <w:top w:val="nil"/>
              <w:left w:val="nil"/>
              <w:bottom w:val="nil"/>
              <w:right w:val="nil"/>
            </w:tcBorders>
          </w:tcPr>
          <w:p w:rsidR="00355BC7" w:rsidRDefault="00355BC7">
            <w:pPr>
              <w:rPr>
                <w:rFonts w:ascii="Arial" w:hAnsi="Arial" w:cs="Arial"/>
                <w:sz w:val="16"/>
                <w:szCs w:val="16"/>
                <w:lang w:val="es-CO"/>
              </w:rPr>
            </w:pPr>
          </w:p>
        </w:tc>
        <w:tc>
          <w:tcPr>
            <w:tcW w:w="851" w:type="dxa"/>
            <w:tcBorders>
              <w:top w:val="nil"/>
              <w:left w:val="nil"/>
              <w:bottom w:val="nil"/>
              <w:right w:val="single" w:sz="8" w:space="0" w:color="9BBB59" w:themeColor="accent3"/>
            </w:tcBorders>
          </w:tcPr>
          <w:p w:rsidR="00355BC7" w:rsidRDefault="00355BC7">
            <w:pPr>
              <w:rPr>
                <w:rFonts w:ascii="Arial" w:hAnsi="Arial" w:cs="Arial"/>
                <w:sz w:val="16"/>
                <w:szCs w:val="16"/>
                <w:lang w:val="es-CO"/>
              </w:rPr>
            </w:pPr>
          </w:p>
        </w:tc>
      </w:tr>
      <w:tr w:rsidR="00355BC7" w:rsidTr="00355BC7">
        <w:tc>
          <w:tcPr>
            <w:tcW w:w="1550" w:type="dxa"/>
            <w:tcBorders>
              <w:top w:val="nil"/>
              <w:left w:val="single" w:sz="8" w:space="0" w:color="9BBB59" w:themeColor="accent3"/>
              <w:bottom w:val="single" w:sz="8" w:space="0" w:color="9BBB59" w:themeColor="accent3"/>
              <w:right w:val="nil"/>
            </w:tcBorders>
          </w:tcPr>
          <w:p w:rsidR="00355BC7" w:rsidRDefault="00355BC7">
            <w:pPr>
              <w:rPr>
                <w:rFonts w:ascii="Arial" w:hAnsi="Arial" w:cs="Arial"/>
                <w:sz w:val="16"/>
                <w:szCs w:val="16"/>
                <w:lang w:val="es-CO"/>
              </w:rPr>
            </w:pPr>
          </w:p>
        </w:tc>
        <w:tc>
          <w:tcPr>
            <w:tcW w:w="1417" w:type="dxa"/>
            <w:tcBorders>
              <w:top w:val="nil"/>
              <w:left w:val="nil"/>
              <w:bottom w:val="single" w:sz="8" w:space="0" w:color="9BBB59" w:themeColor="accent3"/>
              <w:right w:val="nil"/>
            </w:tcBorders>
          </w:tcPr>
          <w:p w:rsidR="00355BC7" w:rsidRDefault="00355BC7">
            <w:pPr>
              <w:rPr>
                <w:rFonts w:ascii="Arial" w:hAnsi="Arial" w:cs="Arial"/>
                <w:sz w:val="16"/>
                <w:szCs w:val="16"/>
                <w:lang w:val="es-CO"/>
              </w:rPr>
            </w:pPr>
          </w:p>
        </w:tc>
        <w:tc>
          <w:tcPr>
            <w:tcW w:w="1134" w:type="dxa"/>
            <w:tcBorders>
              <w:top w:val="nil"/>
              <w:left w:val="nil"/>
              <w:bottom w:val="single" w:sz="8" w:space="0" w:color="9BBB59" w:themeColor="accent3"/>
              <w:right w:val="nil"/>
            </w:tcBorders>
          </w:tcPr>
          <w:p w:rsidR="00355BC7" w:rsidRDefault="00355BC7">
            <w:pPr>
              <w:rPr>
                <w:rFonts w:ascii="Arial" w:hAnsi="Arial" w:cs="Arial"/>
                <w:b/>
                <w:sz w:val="16"/>
                <w:szCs w:val="16"/>
                <w:lang w:val="es-CO"/>
              </w:rPr>
            </w:pPr>
          </w:p>
        </w:tc>
        <w:tc>
          <w:tcPr>
            <w:tcW w:w="1559" w:type="dxa"/>
            <w:tcBorders>
              <w:top w:val="nil"/>
              <w:left w:val="nil"/>
              <w:bottom w:val="single" w:sz="8" w:space="0" w:color="9BBB59" w:themeColor="accent3"/>
              <w:right w:val="nil"/>
            </w:tcBorders>
          </w:tcPr>
          <w:p w:rsidR="00355BC7" w:rsidRDefault="00355BC7">
            <w:pPr>
              <w:rPr>
                <w:rFonts w:ascii="Arial" w:hAnsi="Arial" w:cs="Arial"/>
                <w:b/>
                <w:sz w:val="16"/>
                <w:szCs w:val="16"/>
                <w:lang w:val="es-CO"/>
              </w:rPr>
            </w:pPr>
          </w:p>
        </w:tc>
        <w:tc>
          <w:tcPr>
            <w:tcW w:w="1417" w:type="dxa"/>
            <w:tcBorders>
              <w:top w:val="nil"/>
              <w:left w:val="nil"/>
              <w:bottom w:val="single" w:sz="8" w:space="0" w:color="9BBB59" w:themeColor="accent3"/>
              <w:right w:val="nil"/>
            </w:tcBorders>
          </w:tcPr>
          <w:p w:rsidR="00355BC7" w:rsidRDefault="00355BC7">
            <w:pPr>
              <w:ind w:left="31"/>
              <w:rPr>
                <w:rFonts w:ascii="Arial" w:hAnsi="Arial" w:cs="Arial"/>
                <w:sz w:val="16"/>
                <w:szCs w:val="16"/>
                <w:lang w:val="es-CO"/>
              </w:rPr>
            </w:pPr>
          </w:p>
        </w:tc>
        <w:tc>
          <w:tcPr>
            <w:tcW w:w="1418" w:type="dxa"/>
            <w:tcBorders>
              <w:top w:val="nil"/>
              <w:left w:val="nil"/>
              <w:bottom w:val="single" w:sz="8" w:space="0" w:color="9BBB59" w:themeColor="accent3"/>
              <w:right w:val="nil"/>
            </w:tcBorders>
          </w:tcPr>
          <w:p w:rsidR="00355BC7" w:rsidRDefault="00355BC7">
            <w:pPr>
              <w:rPr>
                <w:rFonts w:ascii="Arial" w:hAnsi="Arial" w:cs="Arial"/>
                <w:sz w:val="16"/>
                <w:szCs w:val="16"/>
                <w:lang w:val="es-CO"/>
              </w:rPr>
            </w:pPr>
          </w:p>
        </w:tc>
        <w:tc>
          <w:tcPr>
            <w:tcW w:w="851" w:type="dxa"/>
            <w:tcBorders>
              <w:top w:val="nil"/>
              <w:left w:val="nil"/>
              <w:bottom w:val="single" w:sz="8" w:space="0" w:color="9BBB59" w:themeColor="accent3"/>
              <w:right w:val="single" w:sz="8" w:space="0" w:color="9BBB59" w:themeColor="accent3"/>
            </w:tcBorders>
          </w:tcPr>
          <w:p w:rsidR="00355BC7" w:rsidRDefault="00355BC7">
            <w:pPr>
              <w:rPr>
                <w:rFonts w:ascii="Arial" w:hAnsi="Arial" w:cs="Arial"/>
                <w:sz w:val="16"/>
                <w:szCs w:val="16"/>
                <w:lang w:val="es-CO"/>
              </w:rPr>
            </w:pPr>
          </w:p>
        </w:tc>
      </w:tr>
    </w:tbl>
    <w:p w:rsidR="00355BC7" w:rsidRDefault="00355BC7" w:rsidP="00355BC7">
      <w:pPr>
        <w:autoSpaceDE w:val="0"/>
        <w:autoSpaceDN w:val="0"/>
        <w:adjustRightInd w:val="0"/>
        <w:jc w:val="both"/>
        <w:rPr>
          <w:rFonts w:ascii="Arial" w:eastAsia="CenturyGothic" w:hAnsi="Arial" w:cs="Arial"/>
          <w:sz w:val="14"/>
          <w:szCs w:val="14"/>
        </w:rPr>
      </w:pPr>
      <w:r>
        <w:rPr>
          <w:rFonts w:ascii="Arial" w:eastAsia="CenturyGothic" w:hAnsi="Arial" w:cs="Arial"/>
          <w:sz w:val="14"/>
          <w:szCs w:val="14"/>
        </w:rPr>
        <w:t>*Este valor incluye otras fuentes de financiación diferentes a SGP-APSB</w:t>
      </w:r>
    </w:p>
    <w:p w:rsidR="00355BC7" w:rsidRDefault="00355BC7" w:rsidP="00355BC7">
      <w:pPr>
        <w:autoSpaceDE w:val="0"/>
        <w:autoSpaceDN w:val="0"/>
        <w:adjustRightInd w:val="0"/>
        <w:jc w:val="both"/>
        <w:rPr>
          <w:rFonts w:ascii="Arial" w:eastAsia="CenturyGothic" w:hAnsi="Arial" w:cs="Arial"/>
          <w:sz w:val="16"/>
          <w:szCs w:val="16"/>
        </w:rPr>
      </w:pPr>
      <w:r>
        <w:rPr>
          <w:rFonts w:ascii="Arial" w:eastAsia="CenturyGothic" w:hAnsi="Arial" w:cs="Arial"/>
          <w:sz w:val="14"/>
          <w:szCs w:val="14"/>
        </w:rPr>
        <w:t xml:space="preserve"> </w:t>
      </w:r>
      <w:r>
        <w:rPr>
          <w:rFonts w:ascii="Arial" w:eastAsia="CenturyGothic" w:hAnsi="Arial" w:cs="Arial"/>
          <w:sz w:val="16"/>
          <w:szCs w:val="16"/>
        </w:rPr>
        <w:t>Fuente: Municipio de Mitú -Contratos 2020</w:t>
      </w:r>
    </w:p>
    <w:p w:rsidR="00355BC7" w:rsidRDefault="00355BC7" w:rsidP="00355BC7">
      <w:pPr>
        <w:autoSpaceDE w:val="0"/>
        <w:autoSpaceDN w:val="0"/>
        <w:adjustRightInd w:val="0"/>
        <w:jc w:val="both"/>
        <w:rPr>
          <w:rFonts w:ascii="Arial" w:eastAsia="CenturyGothic" w:hAnsi="Arial" w:cs="Arial"/>
          <w:sz w:val="14"/>
          <w:szCs w:val="14"/>
        </w:rPr>
      </w:pPr>
    </w:p>
    <w:p w:rsidR="00355BC7" w:rsidRDefault="00355BC7" w:rsidP="00355BC7">
      <w:pPr>
        <w:autoSpaceDE w:val="0"/>
        <w:autoSpaceDN w:val="0"/>
        <w:adjustRightInd w:val="0"/>
        <w:jc w:val="both"/>
        <w:rPr>
          <w:rFonts w:ascii="Arial" w:eastAsia="CenturyGothic" w:hAnsi="Arial" w:cs="Arial"/>
          <w:sz w:val="22"/>
          <w:szCs w:val="22"/>
          <w:lang w:val="es-CO"/>
        </w:rPr>
      </w:pPr>
    </w:p>
    <w:p w:rsidR="00355BC7" w:rsidRDefault="00355BC7" w:rsidP="00355BC7">
      <w:pPr>
        <w:numPr>
          <w:ilvl w:val="0"/>
          <w:numId w:val="2"/>
        </w:numPr>
        <w:jc w:val="both"/>
        <w:rPr>
          <w:rFonts w:ascii="Arial" w:hAnsi="Arial" w:cs="Arial"/>
          <w:b/>
          <w:sz w:val="22"/>
          <w:szCs w:val="22"/>
        </w:rPr>
      </w:pPr>
      <w:r>
        <w:rPr>
          <w:rFonts w:ascii="Arial" w:hAnsi="Arial" w:cs="Arial"/>
          <w:b/>
          <w:sz w:val="22"/>
          <w:szCs w:val="22"/>
        </w:rPr>
        <w:t>Plan de Desarrollo (Líneas Base del Sector).</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El Plan de Desarrollo Municipal </w:t>
      </w:r>
      <w:r>
        <w:rPr>
          <w:rFonts w:ascii="Arial" w:hAnsi="Arial" w:cs="Arial"/>
          <w:i/>
          <w:iCs/>
          <w:sz w:val="22"/>
          <w:szCs w:val="22"/>
        </w:rPr>
        <w:t>“Comprometidos con la Gente”</w:t>
      </w:r>
      <w:r>
        <w:rPr>
          <w:rFonts w:ascii="Arial" w:hAnsi="Arial" w:cs="Arial"/>
          <w:b/>
          <w:bCs/>
          <w:i/>
          <w:iCs/>
          <w:sz w:val="22"/>
          <w:szCs w:val="22"/>
        </w:rPr>
        <w:t xml:space="preserve"> </w:t>
      </w:r>
      <w:r>
        <w:rPr>
          <w:rFonts w:ascii="Arial" w:hAnsi="Arial" w:cs="Arial"/>
          <w:sz w:val="22"/>
          <w:szCs w:val="22"/>
        </w:rPr>
        <w:t>2020-2023</w:t>
      </w:r>
      <w:r>
        <w:rPr>
          <w:rFonts w:ascii="Arial" w:hAnsi="Arial" w:cs="Arial"/>
          <w:b/>
          <w:bCs/>
          <w:i/>
          <w:iCs/>
          <w:sz w:val="22"/>
          <w:szCs w:val="22"/>
        </w:rPr>
        <w:t xml:space="preserve">, </w:t>
      </w:r>
      <w:r>
        <w:rPr>
          <w:rFonts w:ascii="Arial" w:hAnsi="Arial" w:cs="Arial"/>
          <w:sz w:val="22"/>
          <w:szCs w:val="22"/>
        </w:rPr>
        <w:t>planteó</w:t>
      </w:r>
      <w:r>
        <w:rPr>
          <w:rFonts w:ascii="Arial" w:hAnsi="Arial" w:cs="Arial"/>
          <w:i/>
          <w:iCs/>
          <w:sz w:val="22"/>
          <w:szCs w:val="22"/>
        </w:rPr>
        <w:t xml:space="preserve"> </w:t>
      </w:r>
      <w:r>
        <w:rPr>
          <w:rFonts w:ascii="Arial" w:hAnsi="Arial" w:cs="Arial"/>
          <w:sz w:val="22"/>
          <w:szCs w:val="22"/>
        </w:rPr>
        <w:t>una línea base en el Servicio de Acueducto de 1.763 usuarios. En Alcantarillado y Aseo la línea base no fue incorporada en el Plan de Desarrollo, pero en la reunión de reconocimiento institucional con la Secretaria de Obras Públicas en fecha 4 de junio de 2020, el Jefe de la Unidad de Servicios Públicos manifestó que en el Servicio de Alcantarillado y Aseo contaban con 1.697 usuarios. En la misma reunión se expresó que en el área urbana se tenía una cobertura en Acueducto de 94,44 % en Alcantarillado y Aseo y 96,61</w:t>
      </w:r>
      <w:r w:rsidR="00A72BD5">
        <w:rPr>
          <w:rFonts w:ascii="Arial" w:hAnsi="Arial" w:cs="Arial"/>
          <w:sz w:val="22"/>
          <w:szCs w:val="22"/>
        </w:rPr>
        <w:t xml:space="preserve"> </w:t>
      </w:r>
      <w:r>
        <w:rPr>
          <w:rFonts w:ascii="Arial" w:hAnsi="Arial" w:cs="Arial"/>
          <w:sz w:val="22"/>
          <w:szCs w:val="22"/>
        </w:rPr>
        <w:t>%. La población estimada en el Municipio es de 32.793 habitantes, de esta población 10.339 habitantes son del área urbana.</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sz w:val="22"/>
          <w:szCs w:val="22"/>
        </w:rPr>
      </w:pPr>
      <w:r>
        <w:rPr>
          <w:rFonts w:ascii="Arial" w:hAnsi="Arial" w:cs="Arial"/>
          <w:sz w:val="22"/>
          <w:szCs w:val="22"/>
        </w:rPr>
        <w:t>El Plan de Desarrollo incorpora un Programa denominado “</w:t>
      </w:r>
      <w:r>
        <w:rPr>
          <w:rFonts w:ascii="Arial" w:eastAsiaTheme="minorHAnsi" w:hAnsi="Arial" w:cs="Arial"/>
          <w:bCs/>
          <w:i/>
          <w:iCs/>
          <w:sz w:val="22"/>
          <w:szCs w:val="22"/>
          <w:lang w:val="es-CO"/>
        </w:rPr>
        <w:t>Acceso de la población a los servicios de agua potable y saneamiento básico</w:t>
      </w:r>
      <w:r>
        <w:rPr>
          <w:rFonts w:ascii="Arial" w:eastAsiaTheme="minorHAnsi" w:hAnsi="Arial" w:cs="Arial"/>
          <w:bCs/>
          <w:sz w:val="22"/>
          <w:szCs w:val="22"/>
          <w:lang w:val="es-CO"/>
        </w:rPr>
        <w:t>”,</w:t>
      </w:r>
      <w:r>
        <w:rPr>
          <w:rFonts w:ascii="Arial" w:eastAsiaTheme="minorHAnsi" w:hAnsi="Arial" w:cs="Arial"/>
          <w:b/>
          <w:sz w:val="22"/>
          <w:szCs w:val="22"/>
          <w:lang w:val="es-CO"/>
        </w:rPr>
        <w:t xml:space="preserve"> </w:t>
      </w:r>
      <w:r>
        <w:rPr>
          <w:rFonts w:ascii="Arial" w:eastAsiaTheme="minorHAnsi" w:hAnsi="Arial" w:cs="Arial"/>
          <w:sz w:val="22"/>
          <w:szCs w:val="22"/>
          <w:lang w:val="es-CO"/>
        </w:rPr>
        <w:t>proyectando una meta para el cuatrienio para personas con acceso al Servicio equivalente a 2000.</w:t>
      </w:r>
    </w:p>
    <w:p w:rsidR="00355BC7" w:rsidRDefault="00355BC7" w:rsidP="00355BC7">
      <w:pPr>
        <w:jc w:val="both"/>
        <w:rPr>
          <w:rFonts w:ascii="Arial" w:hAnsi="Arial" w:cs="Arial"/>
          <w:b/>
          <w:sz w:val="22"/>
          <w:szCs w:val="22"/>
        </w:rPr>
      </w:pPr>
    </w:p>
    <w:p w:rsidR="00355BC7" w:rsidRDefault="00355BC7" w:rsidP="00355BC7">
      <w:pPr>
        <w:jc w:val="both"/>
        <w:rPr>
          <w:rFonts w:ascii="Arial" w:eastAsia="Calibri" w:hAnsi="Arial" w:cs="Arial"/>
          <w:sz w:val="22"/>
          <w:szCs w:val="22"/>
          <w:lang w:val="es-CO"/>
        </w:rPr>
      </w:pPr>
      <w:r>
        <w:rPr>
          <w:rFonts w:ascii="Arial" w:hAnsi="Arial" w:cs="Arial"/>
          <w:sz w:val="22"/>
          <w:szCs w:val="22"/>
        </w:rPr>
        <w:t xml:space="preserve">El Plan Estratégico Municipal denominado </w:t>
      </w:r>
      <w:r>
        <w:rPr>
          <w:rFonts w:ascii="Arial" w:hAnsi="Arial" w:cs="Arial"/>
          <w:i/>
          <w:sz w:val="22"/>
          <w:szCs w:val="22"/>
        </w:rPr>
        <w:t>“</w:t>
      </w:r>
      <w:r>
        <w:rPr>
          <w:rFonts w:ascii="Arial" w:eastAsia="Calibri" w:hAnsi="Arial" w:cs="Arial"/>
          <w:i/>
          <w:sz w:val="22"/>
          <w:szCs w:val="22"/>
          <w:lang w:val="es-CO"/>
        </w:rPr>
        <w:t xml:space="preserve">Comprometidos con las Viviendas, el Agua Potable y el Saneamiento Básico por la Gente” </w:t>
      </w:r>
      <w:r>
        <w:rPr>
          <w:rFonts w:ascii="Arial" w:eastAsia="Calibri" w:hAnsi="Arial" w:cs="Arial"/>
          <w:sz w:val="22"/>
          <w:szCs w:val="22"/>
          <w:lang w:val="es-CO"/>
        </w:rPr>
        <w:t>incorpora</w:t>
      </w:r>
      <w:r>
        <w:rPr>
          <w:rFonts w:ascii="Arial" w:eastAsia="Calibri" w:hAnsi="Arial" w:cs="Arial"/>
          <w:bCs/>
          <w:sz w:val="22"/>
          <w:szCs w:val="22"/>
          <w:lang w:val="es-CO"/>
        </w:rPr>
        <w:t xml:space="preserve"> diez productos, de ellos tres (3) corresponden a Acueducto, dos (2) a Alcantarillado, uno (1) a Aseo, tres (3) a PGIRS, y uno (1) a unidades sanitarias. </w:t>
      </w:r>
    </w:p>
    <w:p w:rsidR="00355BC7" w:rsidRDefault="00355BC7" w:rsidP="00355BC7">
      <w:pPr>
        <w:jc w:val="both"/>
        <w:rPr>
          <w:rFonts w:ascii="Arial" w:eastAsia="Calibri" w:hAnsi="Arial" w:cs="Arial"/>
          <w:b/>
          <w:bCs/>
          <w:sz w:val="22"/>
          <w:szCs w:val="22"/>
          <w:lang w:val="es-CO"/>
        </w:rPr>
      </w:pPr>
    </w:p>
    <w:p w:rsidR="00355BC7" w:rsidRDefault="00355BC7" w:rsidP="00355BC7">
      <w:pPr>
        <w:jc w:val="both"/>
        <w:rPr>
          <w:rFonts w:ascii="Arial" w:hAnsi="Arial" w:cs="Arial"/>
          <w:sz w:val="22"/>
          <w:szCs w:val="22"/>
          <w:lang w:val="es-CO"/>
        </w:rPr>
      </w:pPr>
      <w:r>
        <w:rPr>
          <w:rFonts w:ascii="Arial" w:hAnsi="Arial" w:cs="Arial"/>
          <w:sz w:val="22"/>
          <w:szCs w:val="22"/>
          <w:lang w:val="es-CO"/>
        </w:rPr>
        <w:lastRenderedPageBreak/>
        <w:t xml:space="preserve">La siguiente matriz relaciona el Programa, los productos, indicadores y metas: </w:t>
      </w:r>
    </w:p>
    <w:p w:rsidR="00355BC7" w:rsidRDefault="00355BC7" w:rsidP="00355BC7">
      <w:pPr>
        <w:jc w:val="both"/>
        <w:rPr>
          <w:rFonts w:ascii="Arial" w:hAnsi="Arial" w:cs="Arial"/>
          <w:sz w:val="22"/>
          <w:szCs w:val="22"/>
          <w:lang w:val="es-CO"/>
        </w:rPr>
      </w:pPr>
    </w:p>
    <w:tbl>
      <w:tblPr>
        <w:tblW w:w="0" w:type="dxa"/>
        <w:jc w:val="center"/>
        <w:tblLayout w:type="fixed"/>
        <w:tblLook w:val="04A0" w:firstRow="1" w:lastRow="0" w:firstColumn="1" w:lastColumn="0" w:noHBand="0" w:noVBand="1"/>
      </w:tblPr>
      <w:tblGrid>
        <w:gridCol w:w="1271"/>
        <w:gridCol w:w="856"/>
        <w:gridCol w:w="845"/>
        <w:gridCol w:w="1265"/>
        <w:gridCol w:w="1287"/>
        <w:gridCol w:w="1275"/>
        <w:gridCol w:w="1276"/>
        <w:gridCol w:w="703"/>
      </w:tblGrid>
      <w:tr w:rsidR="00355BC7" w:rsidTr="00355BC7">
        <w:trPr>
          <w:trHeight w:val="346"/>
          <w:tblHeader/>
          <w:jc w:val="center"/>
        </w:trPr>
        <w:tc>
          <w:tcPr>
            <w:tcW w:w="1271"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eastAsiaTheme="minorHAnsi" w:hAnsi="Arial" w:cs="Arial"/>
                <w:color w:val="000000"/>
                <w:sz w:val="14"/>
                <w:szCs w:val="14"/>
              </w:rPr>
            </w:pPr>
            <w:r>
              <w:rPr>
                <w:rFonts w:ascii="Arial" w:eastAsiaTheme="minorHAnsi" w:hAnsi="Arial" w:cs="Arial"/>
                <w:b/>
                <w:bCs/>
                <w:color w:val="000000"/>
                <w:sz w:val="14"/>
                <w:szCs w:val="14"/>
              </w:rPr>
              <w:t>INDICADOR DE BIENESTAR</w:t>
            </w:r>
          </w:p>
        </w:tc>
        <w:tc>
          <w:tcPr>
            <w:tcW w:w="85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eastAsiaTheme="minorHAnsi" w:hAnsi="Arial" w:cs="Arial"/>
                <w:color w:val="000000"/>
                <w:sz w:val="14"/>
                <w:szCs w:val="14"/>
              </w:rPr>
            </w:pPr>
            <w:r>
              <w:rPr>
                <w:rFonts w:ascii="Arial" w:eastAsiaTheme="minorHAnsi" w:hAnsi="Arial" w:cs="Arial"/>
                <w:b/>
                <w:bCs/>
                <w:color w:val="000000"/>
                <w:sz w:val="14"/>
                <w:szCs w:val="14"/>
              </w:rPr>
              <w:t>LÍNEA BASE</w:t>
            </w:r>
          </w:p>
        </w:tc>
        <w:tc>
          <w:tcPr>
            <w:tcW w:w="84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eastAsiaTheme="minorHAnsi" w:hAnsi="Arial" w:cs="Arial"/>
                <w:color w:val="000000"/>
                <w:sz w:val="14"/>
                <w:szCs w:val="14"/>
              </w:rPr>
            </w:pPr>
            <w:r>
              <w:rPr>
                <w:rFonts w:ascii="Arial" w:eastAsiaTheme="minorHAnsi" w:hAnsi="Arial" w:cs="Arial"/>
                <w:b/>
                <w:bCs/>
                <w:color w:val="000000"/>
                <w:sz w:val="14"/>
                <w:szCs w:val="14"/>
              </w:rPr>
              <w:t>FUENTE</w:t>
            </w:r>
          </w:p>
        </w:tc>
        <w:tc>
          <w:tcPr>
            <w:tcW w:w="126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eastAsiaTheme="minorHAnsi" w:hAnsi="Arial" w:cs="Arial"/>
                <w:color w:val="000000"/>
                <w:sz w:val="14"/>
                <w:szCs w:val="14"/>
              </w:rPr>
            </w:pPr>
            <w:r>
              <w:rPr>
                <w:rFonts w:ascii="Arial" w:eastAsiaTheme="minorHAnsi" w:hAnsi="Arial" w:cs="Arial"/>
                <w:b/>
                <w:bCs/>
                <w:color w:val="000000"/>
                <w:sz w:val="14"/>
                <w:szCs w:val="14"/>
              </w:rPr>
              <w:t>META CUATRIENIO</w:t>
            </w:r>
          </w:p>
        </w:tc>
        <w:tc>
          <w:tcPr>
            <w:tcW w:w="1287"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eastAsiaTheme="minorHAnsi" w:hAnsi="Arial" w:cs="Arial"/>
                <w:color w:val="000000"/>
                <w:sz w:val="14"/>
                <w:szCs w:val="14"/>
              </w:rPr>
            </w:pPr>
            <w:r>
              <w:rPr>
                <w:rFonts w:ascii="Arial" w:eastAsiaTheme="minorHAnsi" w:hAnsi="Arial" w:cs="Arial"/>
                <w:b/>
                <w:bCs/>
                <w:color w:val="000000"/>
                <w:sz w:val="14"/>
                <w:szCs w:val="14"/>
              </w:rPr>
              <w:t>PROGRAMA</w:t>
            </w:r>
          </w:p>
        </w:tc>
        <w:tc>
          <w:tcPr>
            <w:tcW w:w="127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eastAsiaTheme="minorHAnsi" w:hAnsi="Arial" w:cs="Arial"/>
                <w:color w:val="000000"/>
                <w:sz w:val="14"/>
                <w:szCs w:val="14"/>
              </w:rPr>
            </w:pPr>
            <w:r>
              <w:rPr>
                <w:rFonts w:ascii="Arial" w:eastAsiaTheme="minorHAnsi" w:hAnsi="Arial" w:cs="Arial"/>
                <w:b/>
                <w:bCs/>
                <w:color w:val="000000"/>
                <w:sz w:val="14"/>
                <w:szCs w:val="14"/>
              </w:rPr>
              <w:t>PRODUCTO</w:t>
            </w:r>
          </w:p>
        </w:tc>
        <w:tc>
          <w:tcPr>
            <w:tcW w:w="127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eastAsiaTheme="minorHAnsi" w:hAnsi="Arial" w:cs="Arial"/>
                <w:color w:val="000000"/>
                <w:sz w:val="14"/>
                <w:szCs w:val="14"/>
              </w:rPr>
            </w:pPr>
            <w:r>
              <w:rPr>
                <w:rFonts w:ascii="Arial" w:eastAsiaTheme="minorHAnsi" w:hAnsi="Arial" w:cs="Arial"/>
                <w:b/>
                <w:bCs/>
                <w:color w:val="000000"/>
                <w:sz w:val="14"/>
                <w:szCs w:val="14"/>
              </w:rPr>
              <w:t>INDICADOR DE PRODUCTO</w:t>
            </w: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jc w:val="center"/>
              <w:rPr>
                <w:rFonts w:ascii="Arial" w:eastAsiaTheme="minorHAnsi" w:hAnsi="Arial" w:cs="Arial"/>
                <w:color w:val="000000"/>
                <w:sz w:val="14"/>
                <w:szCs w:val="14"/>
              </w:rPr>
            </w:pPr>
            <w:r>
              <w:rPr>
                <w:rFonts w:ascii="Arial" w:eastAsiaTheme="minorHAnsi" w:hAnsi="Arial" w:cs="Arial"/>
                <w:b/>
                <w:bCs/>
                <w:color w:val="000000"/>
                <w:sz w:val="14"/>
                <w:szCs w:val="14"/>
              </w:rPr>
              <w:t>META</w:t>
            </w:r>
          </w:p>
        </w:tc>
      </w:tr>
      <w:tr w:rsidR="00355BC7" w:rsidTr="00355BC7">
        <w:trPr>
          <w:trHeight w:val="1177"/>
          <w:jc w:val="center"/>
        </w:trPr>
        <w:tc>
          <w:tcPr>
            <w:tcW w:w="1271"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 xml:space="preserve">Personas con acceso a agua potable </w:t>
            </w:r>
          </w:p>
        </w:tc>
        <w:tc>
          <w:tcPr>
            <w:tcW w:w="85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rPr>
            </w:pPr>
            <w:r>
              <w:rPr>
                <w:rFonts w:ascii="Arial" w:eastAsiaTheme="minorHAnsi" w:hAnsi="Arial" w:cs="Arial"/>
                <w:color w:val="000000"/>
                <w:sz w:val="14"/>
                <w:szCs w:val="14"/>
              </w:rPr>
              <w:t xml:space="preserve">1763 </w:t>
            </w:r>
          </w:p>
        </w:tc>
        <w:tc>
          <w:tcPr>
            <w:tcW w:w="84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rPr>
            </w:pPr>
            <w:r>
              <w:rPr>
                <w:rFonts w:ascii="Arial" w:eastAsiaTheme="minorHAnsi" w:hAnsi="Arial" w:cs="Arial"/>
                <w:color w:val="000000"/>
                <w:sz w:val="14"/>
                <w:szCs w:val="14"/>
              </w:rPr>
              <w:t xml:space="preserve">Base de datos PROSOFT </w:t>
            </w:r>
          </w:p>
        </w:tc>
        <w:tc>
          <w:tcPr>
            <w:tcW w:w="126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rPr>
            </w:pPr>
            <w:r>
              <w:rPr>
                <w:rFonts w:ascii="Arial" w:eastAsiaTheme="minorHAnsi" w:hAnsi="Arial" w:cs="Arial"/>
                <w:color w:val="000000"/>
                <w:sz w:val="14"/>
                <w:szCs w:val="14"/>
              </w:rPr>
              <w:t xml:space="preserve">2000 </w:t>
            </w:r>
          </w:p>
        </w:tc>
        <w:tc>
          <w:tcPr>
            <w:tcW w:w="1287"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 xml:space="preserve">Acceso de la población a los servicios de agua potable y saneamiento básico </w:t>
            </w:r>
          </w:p>
        </w:tc>
        <w:tc>
          <w:tcPr>
            <w:tcW w:w="127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rPr>
            </w:pPr>
            <w:r>
              <w:rPr>
                <w:rFonts w:ascii="Arial" w:eastAsiaTheme="minorHAnsi" w:hAnsi="Arial" w:cs="Arial"/>
                <w:color w:val="000000"/>
                <w:sz w:val="14"/>
                <w:szCs w:val="14"/>
              </w:rPr>
              <w:t xml:space="preserve">Servicio de Acueducto </w:t>
            </w:r>
          </w:p>
        </w:tc>
        <w:tc>
          <w:tcPr>
            <w:tcW w:w="127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 xml:space="preserve">Usuarios conectados a la red de servicio de acueducto </w:t>
            </w: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rPr>
            </w:pPr>
            <w:r>
              <w:rPr>
                <w:rFonts w:ascii="Arial" w:eastAsiaTheme="minorHAnsi" w:hAnsi="Arial" w:cs="Arial"/>
                <w:color w:val="000000"/>
                <w:sz w:val="14"/>
                <w:szCs w:val="14"/>
              </w:rPr>
              <w:t xml:space="preserve">237 </w:t>
            </w:r>
          </w:p>
        </w:tc>
      </w:tr>
      <w:tr w:rsidR="00355BC7" w:rsidTr="00355BC7">
        <w:trPr>
          <w:trHeight w:val="915"/>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rPr>
            </w:pPr>
          </w:p>
        </w:tc>
        <w:tc>
          <w:tcPr>
            <w:tcW w:w="84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rPr>
            </w:pP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rPr>
            </w:pPr>
            <w:r>
              <w:rPr>
                <w:rFonts w:ascii="Arial" w:eastAsiaTheme="minorHAnsi" w:hAnsi="Arial" w:cs="Arial"/>
                <w:color w:val="000000"/>
                <w:sz w:val="14"/>
                <w:szCs w:val="14"/>
              </w:rPr>
              <w:t xml:space="preserve">Acueductos optimizados </w:t>
            </w:r>
          </w:p>
        </w:tc>
        <w:tc>
          <w:tcPr>
            <w:tcW w:w="127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Plantas de tratamiento de agua potable optimizadas</w:t>
            </w: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1</w:t>
            </w:r>
          </w:p>
        </w:tc>
      </w:tr>
      <w:tr w:rsidR="00355BC7" w:rsidTr="00355BC7">
        <w:trPr>
          <w:trHeight w:val="846"/>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rPr>
              <w:t>Alcantarillados optimizados</w:t>
            </w:r>
          </w:p>
        </w:tc>
        <w:tc>
          <w:tcPr>
            <w:tcW w:w="127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Plantas de tratamiento de aguas residuales optimizadas</w:t>
            </w: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1</w:t>
            </w:r>
          </w:p>
        </w:tc>
      </w:tr>
      <w:tr w:rsidR="00355BC7" w:rsidTr="00355BC7">
        <w:trPr>
          <w:trHeight w:val="690"/>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rPr>
              <w:t>Servicio de Aseo</w:t>
            </w:r>
          </w:p>
        </w:tc>
        <w:tc>
          <w:tcPr>
            <w:tcW w:w="127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Usuarios con acceso al servicio de aseo</w:t>
            </w: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rPr>
            </w:pPr>
            <w:r>
              <w:rPr>
                <w:rFonts w:ascii="Arial" w:eastAsiaTheme="minorHAnsi" w:hAnsi="Arial" w:cs="Arial"/>
                <w:color w:val="000000"/>
                <w:sz w:val="14"/>
                <w:szCs w:val="14"/>
              </w:rPr>
              <w:t xml:space="preserve">100 </w:t>
            </w:r>
          </w:p>
        </w:tc>
      </w:tr>
      <w:tr w:rsidR="00355BC7" w:rsidTr="00355BC7">
        <w:trPr>
          <w:trHeight w:val="1252"/>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Soluciones de disposición final de residuos sólidos construidas</w:t>
            </w:r>
          </w:p>
        </w:tc>
        <w:tc>
          <w:tcPr>
            <w:tcW w:w="127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Soluciones de disposición final de residuos sólidos construidas</w:t>
            </w: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w:t>
            </w:r>
          </w:p>
        </w:tc>
      </w:tr>
      <w:tr w:rsidR="00355BC7" w:rsidTr="00355BC7">
        <w:trPr>
          <w:trHeight w:val="983"/>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rPr>
              <w:t>Servicio de Alcantarillado</w:t>
            </w:r>
          </w:p>
        </w:tc>
        <w:tc>
          <w:tcPr>
            <w:tcW w:w="127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Usuarios conectados a la red de servicio de alcantarillado</w:t>
            </w: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200</w:t>
            </w:r>
          </w:p>
        </w:tc>
      </w:tr>
      <w:tr w:rsidR="00355BC7" w:rsidTr="00355BC7">
        <w:trPr>
          <w:trHeight w:val="955"/>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Calibri" w:hAnsi="Arial" w:cs="Arial"/>
                <w:color w:val="000000"/>
                <w:sz w:val="14"/>
                <w:szCs w:val="14"/>
                <w:lang w:val="es-CO" w:eastAsia="en-US"/>
              </w:rPr>
            </w:pPr>
            <w:r>
              <w:rPr>
                <w:rFonts w:ascii="Arial" w:eastAsia="Calibri" w:hAnsi="Arial" w:cs="Arial"/>
                <w:color w:val="000000"/>
                <w:sz w:val="14"/>
                <w:szCs w:val="14"/>
                <w:lang w:val="es-CO" w:eastAsia="en-US"/>
              </w:rPr>
              <w:t xml:space="preserve">Acueductos construidos </w:t>
            </w:r>
          </w:p>
          <w:p w:rsidR="00355BC7" w:rsidRDefault="00355BC7">
            <w:pPr>
              <w:autoSpaceDE w:val="0"/>
              <w:autoSpaceDN w:val="0"/>
              <w:adjustRightInd w:val="0"/>
              <w:rPr>
                <w:rFonts w:ascii="Arial" w:eastAsiaTheme="minorHAnsi" w:hAnsi="Arial" w:cs="Arial"/>
                <w:color w:val="000000"/>
                <w:sz w:val="14"/>
                <w:szCs w:val="14"/>
              </w:rPr>
            </w:pPr>
          </w:p>
        </w:tc>
        <w:tc>
          <w:tcPr>
            <w:tcW w:w="127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Calibri" w:hAnsi="Arial" w:cs="Arial"/>
                <w:color w:val="000000"/>
                <w:sz w:val="14"/>
                <w:szCs w:val="14"/>
                <w:lang w:val="es-CO" w:eastAsia="en-US"/>
              </w:rPr>
            </w:pPr>
            <w:r>
              <w:rPr>
                <w:rFonts w:ascii="Arial" w:eastAsia="Calibri" w:hAnsi="Arial" w:cs="Arial"/>
                <w:color w:val="000000"/>
                <w:sz w:val="14"/>
                <w:szCs w:val="14"/>
                <w:lang w:val="es-CO" w:eastAsia="en-US"/>
              </w:rPr>
              <w:t xml:space="preserve">Personas beneficiadas con acceso al servicio de agua </w:t>
            </w:r>
          </w:p>
          <w:p w:rsidR="00355BC7" w:rsidRDefault="00355BC7">
            <w:pPr>
              <w:autoSpaceDE w:val="0"/>
              <w:autoSpaceDN w:val="0"/>
              <w:adjustRightInd w:val="0"/>
              <w:rPr>
                <w:rFonts w:ascii="Arial" w:eastAsiaTheme="minorHAnsi" w:hAnsi="Arial" w:cs="Arial"/>
                <w:color w:val="000000"/>
                <w:sz w:val="14"/>
                <w:szCs w:val="14"/>
                <w:lang w:val="es-CO"/>
              </w:rPr>
            </w:pP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100</w:t>
            </w:r>
          </w:p>
        </w:tc>
      </w:tr>
      <w:tr w:rsidR="00355BC7" w:rsidTr="00355BC7">
        <w:trPr>
          <w:trHeight w:val="1453"/>
          <w:jc w:val="center"/>
        </w:trPr>
        <w:tc>
          <w:tcPr>
            <w:tcW w:w="1271" w:type="dxa"/>
            <w:tcBorders>
              <w:top w:val="single" w:sz="4" w:space="0" w:color="auto"/>
              <w:left w:val="single" w:sz="4" w:space="0" w:color="auto"/>
              <w:bottom w:val="nil"/>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nil"/>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nil"/>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65" w:type="dxa"/>
            <w:tcBorders>
              <w:top w:val="single" w:sz="4" w:space="0" w:color="auto"/>
              <w:left w:val="single" w:sz="4" w:space="0" w:color="auto"/>
              <w:bottom w:val="nil"/>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nil"/>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nil"/>
              <w:right w:val="single" w:sz="4" w:space="0" w:color="auto"/>
            </w:tcBorders>
          </w:tcPr>
          <w:p w:rsidR="00355BC7" w:rsidRDefault="00355BC7">
            <w:pPr>
              <w:autoSpaceDE w:val="0"/>
              <w:autoSpaceDN w:val="0"/>
              <w:adjustRightInd w:val="0"/>
              <w:rPr>
                <w:rFonts w:ascii="Arial" w:eastAsia="Calibri" w:hAnsi="Arial" w:cs="Arial"/>
                <w:sz w:val="14"/>
                <w:szCs w:val="14"/>
                <w:lang w:val="es-CO" w:eastAsia="en-US"/>
              </w:rPr>
            </w:pPr>
            <w:r>
              <w:rPr>
                <w:rFonts w:ascii="Arial" w:eastAsia="Calibri" w:hAnsi="Arial" w:cs="Arial"/>
                <w:sz w:val="14"/>
                <w:szCs w:val="14"/>
                <w:lang w:val="es-CO" w:eastAsia="en-US"/>
              </w:rPr>
              <w:t xml:space="preserve">Servicios de implementación del Plan de Gestión Integral de Residuos Sólidos PGIRS </w:t>
            </w:r>
          </w:p>
          <w:p w:rsidR="00355BC7" w:rsidRDefault="00355BC7">
            <w:pPr>
              <w:autoSpaceDE w:val="0"/>
              <w:autoSpaceDN w:val="0"/>
              <w:adjustRightInd w:val="0"/>
              <w:rPr>
                <w:rFonts w:ascii="Arial" w:eastAsiaTheme="minorHAnsi" w:hAnsi="Arial" w:cs="Arial"/>
                <w:sz w:val="14"/>
                <w:szCs w:val="14"/>
                <w:lang w:val="es-CO"/>
              </w:rPr>
            </w:pPr>
          </w:p>
        </w:tc>
        <w:tc>
          <w:tcPr>
            <w:tcW w:w="1276" w:type="dxa"/>
            <w:tcBorders>
              <w:top w:val="single" w:sz="4" w:space="0" w:color="auto"/>
              <w:left w:val="single" w:sz="4" w:space="0" w:color="auto"/>
              <w:bottom w:val="nil"/>
              <w:right w:val="single" w:sz="4" w:space="0" w:color="auto"/>
            </w:tcBorders>
          </w:tcPr>
          <w:p w:rsidR="00355BC7" w:rsidRDefault="00355BC7">
            <w:pPr>
              <w:autoSpaceDE w:val="0"/>
              <w:autoSpaceDN w:val="0"/>
              <w:adjustRightInd w:val="0"/>
              <w:rPr>
                <w:rFonts w:ascii="Arial" w:eastAsia="Calibri" w:hAnsi="Arial" w:cs="Arial"/>
                <w:sz w:val="14"/>
                <w:szCs w:val="14"/>
                <w:lang w:val="es-CO" w:eastAsia="en-US"/>
              </w:rPr>
            </w:pPr>
            <w:r>
              <w:rPr>
                <w:rFonts w:ascii="Arial" w:eastAsia="Calibri" w:hAnsi="Arial" w:cs="Arial"/>
                <w:sz w:val="14"/>
                <w:szCs w:val="14"/>
                <w:lang w:val="es-CO" w:eastAsia="en-US"/>
              </w:rPr>
              <w:t xml:space="preserve">Plan de Gestión Integral de Residuos Sólidos implementado </w:t>
            </w:r>
          </w:p>
          <w:p w:rsidR="00355BC7" w:rsidRDefault="00355BC7">
            <w:pPr>
              <w:autoSpaceDE w:val="0"/>
              <w:autoSpaceDN w:val="0"/>
              <w:adjustRightInd w:val="0"/>
              <w:rPr>
                <w:rFonts w:ascii="Arial" w:eastAsiaTheme="minorHAnsi" w:hAnsi="Arial" w:cs="Arial"/>
                <w:sz w:val="14"/>
                <w:szCs w:val="14"/>
                <w:lang w:val="es-CO"/>
              </w:rPr>
            </w:pPr>
          </w:p>
        </w:tc>
        <w:tc>
          <w:tcPr>
            <w:tcW w:w="703" w:type="dxa"/>
            <w:tcBorders>
              <w:top w:val="single" w:sz="4" w:space="0" w:color="auto"/>
              <w:left w:val="single" w:sz="4" w:space="0" w:color="auto"/>
              <w:bottom w:val="nil"/>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1</w:t>
            </w:r>
          </w:p>
        </w:tc>
      </w:tr>
      <w:tr w:rsidR="00355BC7" w:rsidTr="00355BC7">
        <w:trPr>
          <w:trHeight w:val="1263"/>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Calibri" w:hAnsi="Arial" w:cs="Arial"/>
                <w:sz w:val="14"/>
                <w:szCs w:val="14"/>
                <w:lang w:val="es-CO" w:eastAsia="en-US"/>
              </w:rPr>
            </w:pPr>
            <w:r>
              <w:rPr>
                <w:rFonts w:ascii="Arial" w:eastAsia="Calibri" w:hAnsi="Arial" w:cs="Arial"/>
                <w:sz w:val="14"/>
                <w:szCs w:val="14"/>
                <w:lang w:val="es-CO" w:eastAsia="en-US"/>
              </w:rPr>
              <w:t xml:space="preserve">Estación de clasificación y aprovechamiento de residuos sólidos construida </w:t>
            </w:r>
          </w:p>
          <w:p w:rsidR="00355BC7" w:rsidRDefault="00355BC7">
            <w:pPr>
              <w:autoSpaceDE w:val="0"/>
              <w:autoSpaceDN w:val="0"/>
              <w:adjustRightInd w:val="0"/>
              <w:rPr>
                <w:rFonts w:ascii="Arial" w:eastAsiaTheme="minorHAnsi" w:hAnsi="Arial" w:cs="Arial"/>
                <w:sz w:val="14"/>
                <w:szCs w:val="14"/>
                <w:lang w:val="es-CO"/>
              </w:rPr>
            </w:pPr>
          </w:p>
        </w:tc>
        <w:tc>
          <w:tcPr>
            <w:tcW w:w="127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Calibri" w:hAnsi="Arial" w:cs="Arial"/>
                <w:sz w:val="14"/>
                <w:szCs w:val="14"/>
                <w:lang w:val="es-CO" w:eastAsia="en-US"/>
              </w:rPr>
            </w:pPr>
            <w:r>
              <w:rPr>
                <w:rFonts w:ascii="Arial" w:eastAsia="Calibri" w:hAnsi="Arial" w:cs="Arial"/>
                <w:sz w:val="14"/>
                <w:szCs w:val="14"/>
                <w:lang w:val="es-CO" w:eastAsia="en-US"/>
              </w:rPr>
              <w:t xml:space="preserve">Estaciones de clasificación y aprovechamiento de residuos sólidos construidas </w:t>
            </w:r>
          </w:p>
          <w:p w:rsidR="00355BC7" w:rsidRDefault="00355BC7">
            <w:pPr>
              <w:autoSpaceDE w:val="0"/>
              <w:autoSpaceDN w:val="0"/>
              <w:adjustRightInd w:val="0"/>
              <w:rPr>
                <w:rFonts w:ascii="Arial" w:eastAsiaTheme="minorHAnsi" w:hAnsi="Arial" w:cs="Arial"/>
                <w:sz w:val="14"/>
                <w:szCs w:val="14"/>
                <w:lang w:val="es-CO"/>
              </w:rPr>
            </w:pP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1</w:t>
            </w:r>
          </w:p>
        </w:tc>
      </w:tr>
      <w:tr w:rsidR="00355BC7" w:rsidTr="00355BC7">
        <w:trPr>
          <w:trHeight w:val="1256"/>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Calibri" w:hAnsi="Arial" w:cs="Arial"/>
                <w:sz w:val="14"/>
                <w:szCs w:val="14"/>
                <w:lang w:val="es-CO" w:eastAsia="en-US"/>
              </w:rPr>
            </w:pPr>
            <w:r>
              <w:rPr>
                <w:rFonts w:ascii="Arial" w:eastAsia="Calibri" w:hAnsi="Arial" w:cs="Arial"/>
                <w:sz w:val="14"/>
                <w:szCs w:val="14"/>
                <w:lang w:val="es-CO" w:eastAsia="en-US"/>
              </w:rPr>
              <w:t xml:space="preserve">Unidades sanitarias con saneamiento básico construidas </w:t>
            </w:r>
          </w:p>
          <w:p w:rsidR="00355BC7" w:rsidRDefault="00355BC7">
            <w:pPr>
              <w:autoSpaceDE w:val="0"/>
              <w:autoSpaceDN w:val="0"/>
              <w:adjustRightInd w:val="0"/>
              <w:rPr>
                <w:rFonts w:ascii="Arial" w:eastAsiaTheme="minorHAnsi" w:hAnsi="Arial" w:cs="Arial"/>
                <w:sz w:val="14"/>
                <w:szCs w:val="14"/>
                <w:lang w:val="es-CO"/>
              </w:rPr>
            </w:pPr>
          </w:p>
        </w:tc>
        <w:tc>
          <w:tcPr>
            <w:tcW w:w="127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Calibri" w:hAnsi="Arial" w:cs="Arial"/>
                <w:sz w:val="14"/>
                <w:szCs w:val="14"/>
                <w:lang w:val="es-CO" w:eastAsia="en-US"/>
              </w:rPr>
            </w:pPr>
            <w:r>
              <w:rPr>
                <w:rFonts w:ascii="Arial" w:eastAsia="Calibri" w:hAnsi="Arial" w:cs="Arial"/>
                <w:sz w:val="14"/>
                <w:szCs w:val="14"/>
                <w:lang w:val="es-CO" w:eastAsia="en-US"/>
              </w:rPr>
              <w:t xml:space="preserve">Viviendas beneficiadas con la construcción de unidades sanitarias </w:t>
            </w:r>
          </w:p>
          <w:p w:rsidR="00355BC7" w:rsidRDefault="00355BC7">
            <w:pPr>
              <w:autoSpaceDE w:val="0"/>
              <w:autoSpaceDN w:val="0"/>
              <w:adjustRightInd w:val="0"/>
              <w:rPr>
                <w:rFonts w:ascii="Arial" w:eastAsiaTheme="minorHAnsi" w:hAnsi="Arial" w:cs="Arial"/>
                <w:sz w:val="14"/>
                <w:szCs w:val="14"/>
                <w:lang w:val="es-CO"/>
              </w:rPr>
            </w:pP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FF0000"/>
                <w:sz w:val="14"/>
                <w:szCs w:val="14"/>
                <w:lang w:val="es-CO"/>
              </w:rPr>
            </w:pPr>
            <w:r>
              <w:rPr>
                <w:rFonts w:ascii="Arial" w:eastAsiaTheme="minorHAnsi" w:hAnsi="Arial" w:cs="Arial"/>
                <w:sz w:val="14"/>
                <w:szCs w:val="14"/>
                <w:lang w:val="es-CO"/>
              </w:rPr>
              <w:t>15</w:t>
            </w:r>
          </w:p>
        </w:tc>
      </w:tr>
    </w:tbl>
    <w:p w:rsidR="00355BC7" w:rsidRDefault="00355BC7" w:rsidP="00355BC7">
      <w:pPr>
        <w:tabs>
          <w:tab w:val="left" w:pos="426"/>
        </w:tabs>
        <w:jc w:val="center"/>
        <w:rPr>
          <w:rFonts w:ascii="Arial" w:hAnsi="Arial" w:cs="Arial"/>
          <w:sz w:val="16"/>
          <w:szCs w:val="16"/>
        </w:rPr>
      </w:pPr>
      <w:r>
        <w:rPr>
          <w:rFonts w:ascii="Arial" w:hAnsi="Arial" w:cs="Arial"/>
          <w:b/>
          <w:sz w:val="16"/>
          <w:szCs w:val="16"/>
        </w:rPr>
        <w:t>Fuente:</w:t>
      </w:r>
      <w:r>
        <w:rPr>
          <w:rFonts w:ascii="Arial" w:hAnsi="Arial" w:cs="Arial"/>
          <w:sz w:val="16"/>
          <w:szCs w:val="16"/>
        </w:rPr>
        <w:t xml:space="preserve"> Plan de Desarrollo 2020-2023</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En el cuatrienio 2020-2023 el Sector se financiará con $5.669 millones, de los cuales el 65 % ($3.657 millones) serán de SGP-APSB, 18 % ($1.000 millones) de Regalías, 8 % ($412 millones) de ICLD y 9 % de ($600 millones) otros recursos.</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El Plan Plurianual de Inversiones - PPI muestra los Proyectos de Inversión con cada una de las fuentes de financiación que se adelantaran en el actual periodo de gobierno:</w:t>
      </w:r>
    </w:p>
    <w:p w:rsidR="00355BC7" w:rsidRDefault="00355BC7" w:rsidP="00355BC7">
      <w:pPr>
        <w:rPr>
          <w:rFonts w:ascii="Arial" w:hAnsi="Arial" w:cs="Arial"/>
          <w:noProof/>
          <w:sz w:val="22"/>
          <w:szCs w:val="22"/>
          <w:lang w:val="es-CO" w:eastAsia="en-US"/>
        </w:rPr>
      </w:pPr>
    </w:p>
    <w:p w:rsidR="00355BC7" w:rsidRDefault="00355BC7" w:rsidP="00355BC7">
      <w:pPr>
        <w:jc w:val="center"/>
        <w:rPr>
          <w:rFonts w:ascii="Arial" w:hAnsi="Arial" w:cs="Arial"/>
          <w:noProof/>
          <w:sz w:val="22"/>
          <w:szCs w:val="22"/>
          <w:lang w:val="en-US" w:eastAsia="en-US"/>
        </w:rPr>
      </w:pPr>
      <w:r>
        <w:rPr>
          <w:rFonts w:ascii="Arial" w:hAnsi="Arial" w:cs="Arial"/>
          <w:noProof/>
          <w:sz w:val="22"/>
          <w:szCs w:val="22"/>
          <w:lang w:val="es-CO" w:eastAsia="es-CO"/>
        </w:rPr>
        <w:drawing>
          <wp:inline distT="0" distB="0" distL="0" distR="0">
            <wp:extent cx="5564505" cy="49803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4505" cy="4980305"/>
                    </a:xfrm>
                    <a:prstGeom prst="rect">
                      <a:avLst/>
                    </a:prstGeom>
                    <a:noFill/>
                    <a:ln>
                      <a:noFill/>
                    </a:ln>
                  </pic:spPr>
                </pic:pic>
              </a:graphicData>
            </a:graphic>
          </wp:inline>
        </w:drawing>
      </w:r>
    </w:p>
    <w:p w:rsidR="00355BC7" w:rsidRDefault="00355BC7" w:rsidP="00355BC7">
      <w:pPr>
        <w:jc w:val="center"/>
        <w:rPr>
          <w:rFonts w:ascii="Arial" w:hAnsi="Arial" w:cs="Arial"/>
          <w:iCs/>
          <w:sz w:val="16"/>
          <w:szCs w:val="16"/>
        </w:rPr>
      </w:pPr>
      <w:r>
        <w:rPr>
          <w:rFonts w:ascii="Arial" w:hAnsi="Arial" w:cs="Arial"/>
          <w:b/>
          <w:iCs/>
          <w:sz w:val="16"/>
          <w:szCs w:val="16"/>
        </w:rPr>
        <w:t>Fuente:</w:t>
      </w:r>
      <w:r>
        <w:rPr>
          <w:rFonts w:ascii="Arial" w:hAnsi="Arial" w:cs="Arial"/>
          <w:iCs/>
          <w:sz w:val="16"/>
          <w:szCs w:val="16"/>
        </w:rPr>
        <w:t xml:space="preserve"> Plan Plurianual de Inversiones Municipio de Mitú-2020</w:t>
      </w:r>
    </w:p>
    <w:p w:rsidR="00355BC7" w:rsidRDefault="00355BC7" w:rsidP="00355BC7">
      <w:pPr>
        <w:rPr>
          <w:rFonts w:ascii="Arial" w:hAnsi="Arial" w:cs="Arial"/>
          <w:i/>
          <w:sz w:val="22"/>
          <w:szCs w:val="22"/>
        </w:rPr>
      </w:pP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noProof/>
          <w:sz w:val="22"/>
          <w:szCs w:val="22"/>
          <w:lang w:val="es-CO" w:eastAsia="es-CO"/>
        </w:rPr>
        <w:lastRenderedPageBreak/>
        <w:drawing>
          <wp:inline distT="0" distB="0" distL="0" distR="0">
            <wp:extent cx="5778500" cy="582676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8500" cy="5826760"/>
                    </a:xfrm>
                    <a:prstGeom prst="rect">
                      <a:avLst/>
                    </a:prstGeom>
                    <a:noFill/>
                    <a:ln>
                      <a:noFill/>
                    </a:ln>
                  </pic:spPr>
                </pic:pic>
              </a:graphicData>
            </a:graphic>
          </wp:inline>
        </w:drawing>
      </w:r>
    </w:p>
    <w:p w:rsidR="00355BC7" w:rsidRDefault="00355BC7" w:rsidP="00355BC7">
      <w:pPr>
        <w:jc w:val="center"/>
        <w:rPr>
          <w:rFonts w:ascii="Arial" w:hAnsi="Arial" w:cs="Arial"/>
          <w:iCs/>
          <w:sz w:val="16"/>
          <w:szCs w:val="16"/>
        </w:rPr>
      </w:pPr>
      <w:r>
        <w:rPr>
          <w:rFonts w:ascii="Arial" w:hAnsi="Arial" w:cs="Arial"/>
          <w:b/>
          <w:iCs/>
          <w:sz w:val="16"/>
          <w:szCs w:val="16"/>
        </w:rPr>
        <w:t>Fuente:</w:t>
      </w:r>
      <w:r>
        <w:rPr>
          <w:rFonts w:ascii="Arial" w:hAnsi="Arial" w:cs="Arial"/>
          <w:iCs/>
          <w:sz w:val="16"/>
          <w:szCs w:val="16"/>
        </w:rPr>
        <w:t xml:space="preserve"> Plan Plurianual de Inversiones Municipio de Mitú-2020</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Es importante señalar que</w:t>
      </w:r>
      <w:r>
        <w:rPr>
          <w:rFonts w:ascii="Arial" w:hAnsi="Arial" w:cs="Arial"/>
          <w:b/>
          <w:sz w:val="22"/>
          <w:szCs w:val="22"/>
        </w:rPr>
        <w:t xml:space="preserve"> </w:t>
      </w:r>
      <w:r>
        <w:rPr>
          <w:rFonts w:ascii="Arial" w:hAnsi="Arial" w:cs="Arial"/>
          <w:sz w:val="22"/>
          <w:szCs w:val="22"/>
        </w:rPr>
        <w:t>el</w:t>
      </w:r>
      <w:r>
        <w:rPr>
          <w:rFonts w:ascii="Arial" w:hAnsi="Arial" w:cs="Arial"/>
          <w:b/>
          <w:sz w:val="22"/>
          <w:szCs w:val="22"/>
        </w:rPr>
        <w:t xml:space="preserve"> </w:t>
      </w:r>
      <w:r>
        <w:rPr>
          <w:rFonts w:ascii="Arial" w:hAnsi="Arial" w:cs="Arial"/>
          <w:sz w:val="22"/>
          <w:szCs w:val="22"/>
        </w:rPr>
        <w:t>PPI no incluyen la financiación de los subsidios y tampoco los proyectos que se realizarán a través del Plan Departamental de Aguas – PDA. En ese sentido el valor de la inversión puede ser más alta.</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El análisis realizado a la inversión proyectada entre el 2020 al 2023 se observó que la mayoría de los proyectos se orientan a actividades elegibles de gasto según lo dispone el artículo 11 de la Ley 1176 del 2007.</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lang w:val="es-CO"/>
        </w:rPr>
      </w:pPr>
      <w:r>
        <w:rPr>
          <w:rFonts w:ascii="Arial" w:eastAsia="Times New Roman" w:hAnsi="Arial" w:cs="Arial"/>
          <w:sz w:val="22"/>
          <w:szCs w:val="22"/>
        </w:rPr>
        <w:lastRenderedPageBreak/>
        <w:t xml:space="preserve">Sin embargo, algunos conceptos de gasto de inversión incorporados en el Plan de Desarrollo 2020-2023 tales como </w:t>
      </w:r>
      <w:r>
        <w:rPr>
          <w:rFonts w:ascii="Arial" w:hAnsi="Arial" w:cs="Arial"/>
          <w:i/>
          <w:sz w:val="22"/>
          <w:szCs w:val="22"/>
        </w:rPr>
        <w:t>“</w:t>
      </w:r>
      <w:r>
        <w:rPr>
          <w:rFonts w:ascii="Arial" w:hAnsi="Arial" w:cs="Arial"/>
          <w:i/>
          <w:sz w:val="22"/>
          <w:szCs w:val="22"/>
          <w:lang w:val="es-CO"/>
        </w:rPr>
        <w:t>Servicios de implementación del Plan de Gestión Integral de Residuos Sólidos […], estación de clasificación y aprovechamiento de residuos sólidos construida […]</w:t>
      </w:r>
      <w:r>
        <w:rPr>
          <w:rFonts w:ascii="Arial" w:hAnsi="Arial" w:cs="Arial"/>
          <w:i/>
          <w:sz w:val="22"/>
          <w:szCs w:val="22"/>
        </w:rPr>
        <w:t xml:space="preserve">, </w:t>
      </w:r>
      <w:r>
        <w:rPr>
          <w:rFonts w:ascii="Arial" w:hAnsi="Arial" w:cs="Arial"/>
          <w:i/>
          <w:sz w:val="22"/>
          <w:szCs w:val="22"/>
          <w:lang w:val="es-CO"/>
        </w:rPr>
        <w:t>unidades sanitarias con saneamiento básico construidas”</w:t>
      </w:r>
      <w:r>
        <w:rPr>
          <w:rFonts w:ascii="Arial" w:hAnsi="Arial" w:cs="Arial"/>
          <w:sz w:val="22"/>
          <w:szCs w:val="22"/>
        </w:rPr>
        <w:t xml:space="preserve">, </w:t>
      </w:r>
      <w:r>
        <w:rPr>
          <w:rFonts w:ascii="Arial" w:eastAsia="Times New Roman" w:hAnsi="Arial" w:cs="Arial"/>
          <w:sz w:val="22"/>
          <w:szCs w:val="22"/>
        </w:rPr>
        <w:t xml:space="preserve">no se encuentran entre los gastos elegibles que señala el artículo 11 de la Ley 1176 de 2007 para ser financiada con la </w:t>
      </w:r>
      <w:r>
        <w:rPr>
          <w:rFonts w:ascii="Arial" w:hAnsi="Arial" w:cs="Arial"/>
          <w:sz w:val="22"/>
          <w:szCs w:val="22"/>
          <w:lang w:val="es-CO"/>
        </w:rPr>
        <w:t>fuente de la participación de agua potable y saneamiento básico del SGP.</w:t>
      </w:r>
    </w:p>
    <w:p w:rsidR="00355BC7" w:rsidRDefault="00355BC7" w:rsidP="00355BC7">
      <w:pPr>
        <w:autoSpaceDE w:val="0"/>
        <w:autoSpaceDN w:val="0"/>
        <w:adjustRightInd w:val="0"/>
        <w:rPr>
          <w:rFonts w:ascii="Arial" w:eastAsia="Calibri" w:hAnsi="Arial" w:cs="Arial"/>
          <w:color w:val="000000"/>
          <w:sz w:val="22"/>
          <w:szCs w:val="22"/>
          <w:lang w:val="es-CO" w:eastAsia="en-US"/>
        </w:rPr>
      </w:pPr>
    </w:p>
    <w:p w:rsidR="00355BC7" w:rsidRDefault="00355BC7" w:rsidP="00355BC7">
      <w:pPr>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 xml:space="preserve">Lo anterior con fundamento en los conceptos emitidos por el Ministerio de Vivienda, Ciudad y Territorio, que, entre otras cosas, señalan: </w:t>
      </w:r>
    </w:p>
    <w:p w:rsidR="00355BC7" w:rsidRDefault="00355BC7" w:rsidP="00355BC7">
      <w:pPr>
        <w:jc w:val="both"/>
        <w:rPr>
          <w:rFonts w:ascii="Arial" w:eastAsia="Times New Roman" w:hAnsi="Arial" w:cs="Arial"/>
          <w:sz w:val="22"/>
          <w:szCs w:val="22"/>
          <w:highlight w:val="yellow"/>
          <w:lang w:val="es-CO" w:eastAsia="en-US"/>
        </w:rPr>
      </w:pPr>
    </w:p>
    <w:p w:rsidR="00355BC7" w:rsidRDefault="00355BC7" w:rsidP="00355BC7">
      <w:pPr>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Concepto con radicado del Ministerio de Vivienda, Ciudad y Territorio, No. 2018EE0076774, en el cual responde al Municipio de Iles - Nariño un interrogante sobre el uso de la Participación de Agua Potable y Saneamiento Básico para un proyecto de construcción de baterías sanitarias rurales, lo siguiente:</w:t>
      </w:r>
    </w:p>
    <w:p w:rsidR="00355BC7" w:rsidRDefault="00355BC7" w:rsidP="00355BC7">
      <w:pPr>
        <w:jc w:val="both"/>
        <w:rPr>
          <w:rFonts w:ascii="Arial" w:eastAsia="Times New Roman" w:hAnsi="Arial" w:cs="Arial"/>
          <w:sz w:val="22"/>
          <w:szCs w:val="22"/>
          <w:highlight w:val="yellow"/>
          <w:lang w:val="es-CO"/>
        </w:rPr>
      </w:pPr>
    </w:p>
    <w:p w:rsidR="00355BC7" w:rsidRPr="00752183" w:rsidRDefault="00355BC7" w:rsidP="00355BC7">
      <w:pPr>
        <w:ind w:left="1416"/>
        <w:jc w:val="both"/>
        <w:rPr>
          <w:rFonts w:ascii="Arial" w:hAnsi="Arial" w:cs="Arial"/>
          <w:b/>
          <w:i/>
          <w:sz w:val="18"/>
          <w:szCs w:val="22"/>
          <w:lang w:val="es-CO"/>
        </w:rPr>
      </w:pPr>
      <w:r w:rsidRPr="00752183">
        <w:rPr>
          <w:rFonts w:ascii="Arial" w:hAnsi="Arial" w:cs="Arial"/>
          <w:i/>
          <w:sz w:val="18"/>
          <w:szCs w:val="22"/>
          <w:lang w:val="es-CO"/>
        </w:rPr>
        <w:t xml:space="preserve">“Dicho lo anterior, respecto a su inquietud es necesario señalar que en el sector de agua potable y saneamiento básico el concepto de batería sanitaria aún no ha sido reglamentado. No obstante, el entonces Ministerio de Protección Social en el artículo 1 de la Resolución 2117 de 2010, definió la batería sanitaria como </w:t>
      </w:r>
      <w:r w:rsidRPr="00752183">
        <w:rPr>
          <w:rFonts w:ascii="Arial" w:hAnsi="Arial" w:cs="Arial"/>
          <w:b/>
          <w:i/>
          <w:sz w:val="18"/>
          <w:szCs w:val="22"/>
          <w:lang w:val="es-CO"/>
        </w:rPr>
        <w:t>“el conjunto de artefactos sanitarios (inodoro, lavamanos, ducha y orinal), que deben ser construidos en material sanitario y que cumplan con las normas sanitarias vigentes.</w:t>
      </w:r>
    </w:p>
    <w:p w:rsidR="00355BC7" w:rsidRPr="00752183" w:rsidRDefault="00355BC7" w:rsidP="00355BC7">
      <w:pPr>
        <w:ind w:left="1416"/>
        <w:jc w:val="both"/>
        <w:rPr>
          <w:rFonts w:ascii="Arial" w:hAnsi="Arial" w:cs="Arial"/>
          <w:b/>
          <w:i/>
          <w:sz w:val="18"/>
          <w:szCs w:val="22"/>
          <w:lang w:val="es-CO"/>
        </w:rPr>
      </w:pPr>
    </w:p>
    <w:p w:rsidR="00355BC7" w:rsidRPr="00752183" w:rsidRDefault="00355BC7" w:rsidP="00355BC7">
      <w:pPr>
        <w:ind w:left="1416"/>
        <w:jc w:val="both"/>
        <w:rPr>
          <w:rFonts w:ascii="Arial" w:hAnsi="Arial" w:cs="Arial"/>
          <w:i/>
          <w:sz w:val="18"/>
          <w:szCs w:val="22"/>
          <w:lang w:val="es-CO"/>
        </w:rPr>
      </w:pPr>
      <w:r w:rsidRPr="00752183">
        <w:rPr>
          <w:rFonts w:ascii="Arial" w:hAnsi="Arial" w:cs="Arial"/>
          <w:i/>
          <w:sz w:val="18"/>
          <w:szCs w:val="22"/>
          <w:lang w:val="es-CO"/>
        </w:rPr>
        <w:t>En consecuencia, dicha definición en nuestro sector se asocia a los conceptos de Conexiones intradomiciliarias a los que hace referencia el artículo 2.3.4.4.3 del Decreto 1077 de 2015 razón por la cual se considera que dicha infraestructura no puede ser financiada con recursos de SGP-APSB, debido a que su construcción hace referencia a actividades encaminadas al mejoramiento de vivienda y no es garantía que en la misma se realice un tratamiento in situ de las aguas residuales y se avance en el cumplimiento de metas referentes a  los indicadores sectoriales.</w:t>
      </w:r>
    </w:p>
    <w:p w:rsidR="00355BC7" w:rsidRPr="00752183" w:rsidRDefault="00355BC7" w:rsidP="00355BC7">
      <w:pPr>
        <w:ind w:left="1416"/>
        <w:jc w:val="both"/>
        <w:rPr>
          <w:rFonts w:ascii="Arial" w:hAnsi="Arial" w:cs="Arial"/>
          <w:i/>
          <w:sz w:val="18"/>
          <w:szCs w:val="22"/>
          <w:lang w:val="es-CO"/>
        </w:rPr>
      </w:pPr>
    </w:p>
    <w:p w:rsidR="00355BC7" w:rsidRPr="00752183" w:rsidRDefault="00355BC7" w:rsidP="00355BC7">
      <w:pPr>
        <w:ind w:left="1416"/>
        <w:jc w:val="both"/>
        <w:rPr>
          <w:rFonts w:ascii="Arial" w:hAnsi="Arial" w:cs="Arial"/>
          <w:i/>
          <w:sz w:val="18"/>
          <w:szCs w:val="22"/>
          <w:lang w:val="es-CO"/>
        </w:rPr>
      </w:pPr>
      <w:r w:rsidRPr="00752183">
        <w:rPr>
          <w:rFonts w:ascii="Arial" w:hAnsi="Arial" w:cs="Arial"/>
          <w:i/>
          <w:sz w:val="18"/>
          <w:szCs w:val="22"/>
          <w:lang w:val="es-CO"/>
        </w:rPr>
        <w:t>Ahora bien, en lo referente a una construcción de una unidad sanitaria, como construcción en zona rurales, debe precisarse que las actividades elegibles de gasto contempladas en los artículos 10 y 11 de la Ley 1176 de 2007, debe propender por financiar la prestación de los servicios públicos domiciliarios de agua potable y saneamiento básico.</w:t>
      </w:r>
    </w:p>
    <w:p w:rsidR="00355BC7" w:rsidRPr="00752183" w:rsidRDefault="00355BC7" w:rsidP="00355BC7">
      <w:pPr>
        <w:ind w:left="1416"/>
        <w:jc w:val="both"/>
        <w:rPr>
          <w:rFonts w:ascii="Arial" w:hAnsi="Arial" w:cs="Arial"/>
          <w:i/>
          <w:sz w:val="18"/>
          <w:szCs w:val="22"/>
          <w:lang w:val="es-CO"/>
        </w:rPr>
      </w:pPr>
    </w:p>
    <w:p w:rsidR="00355BC7" w:rsidRPr="00752183" w:rsidRDefault="00355BC7" w:rsidP="00355BC7">
      <w:pPr>
        <w:ind w:left="1416"/>
        <w:jc w:val="both"/>
        <w:rPr>
          <w:rFonts w:ascii="Arial" w:hAnsi="Arial" w:cs="Arial"/>
          <w:i/>
          <w:sz w:val="18"/>
          <w:szCs w:val="22"/>
          <w:lang w:val="es-CO"/>
        </w:rPr>
      </w:pPr>
      <w:r w:rsidRPr="00752183">
        <w:rPr>
          <w:rFonts w:ascii="Arial" w:hAnsi="Arial" w:cs="Arial"/>
          <w:i/>
          <w:sz w:val="18"/>
          <w:szCs w:val="22"/>
          <w:lang w:val="es-CO"/>
        </w:rPr>
        <w:t xml:space="preserve">Bajo este contexto el artículo 14.21 de la Ley 142 de 1994 definió que los servicios públicos domiciliarios son los siguientes: </w:t>
      </w:r>
    </w:p>
    <w:p w:rsidR="00355BC7" w:rsidRPr="00752183" w:rsidRDefault="00355BC7" w:rsidP="00355BC7">
      <w:pPr>
        <w:ind w:left="1416"/>
        <w:jc w:val="both"/>
        <w:rPr>
          <w:rFonts w:ascii="Arial" w:hAnsi="Arial" w:cs="Arial"/>
          <w:i/>
          <w:sz w:val="18"/>
          <w:szCs w:val="22"/>
          <w:lang w:val="es-CO"/>
        </w:rPr>
      </w:pPr>
      <w:r w:rsidRPr="00752183">
        <w:rPr>
          <w:rFonts w:ascii="Arial" w:hAnsi="Arial" w:cs="Arial"/>
          <w:i/>
          <w:sz w:val="18"/>
          <w:szCs w:val="22"/>
          <w:lang w:val="es-CO"/>
        </w:rPr>
        <w:t xml:space="preserve"> </w:t>
      </w:r>
    </w:p>
    <w:p w:rsidR="00355BC7" w:rsidRPr="00752183" w:rsidRDefault="00355BC7" w:rsidP="00355BC7">
      <w:pPr>
        <w:ind w:left="1416"/>
        <w:jc w:val="both"/>
        <w:rPr>
          <w:rFonts w:ascii="Arial" w:hAnsi="Arial" w:cs="Arial"/>
          <w:i/>
          <w:sz w:val="18"/>
          <w:szCs w:val="22"/>
          <w:lang w:val="es-CO"/>
        </w:rPr>
      </w:pPr>
      <w:r w:rsidRPr="00752183">
        <w:rPr>
          <w:rFonts w:ascii="Arial" w:hAnsi="Arial" w:cs="Arial"/>
          <w:b/>
          <w:i/>
          <w:sz w:val="18"/>
          <w:szCs w:val="22"/>
          <w:lang w:val="es-CO"/>
        </w:rPr>
        <w:t xml:space="preserve">14.21 Servicios públicos domiciliarios. </w:t>
      </w:r>
      <w:r w:rsidRPr="00752183">
        <w:rPr>
          <w:rFonts w:ascii="Arial" w:hAnsi="Arial" w:cs="Arial"/>
          <w:i/>
          <w:sz w:val="18"/>
          <w:szCs w:val="22"/>
          <w:lang w:val="es-CO"/>
        </w:rPr>
        <w:t>Son los servicios de acueducto, alcantarillado, aseo, energía eléctrica, telefonía pública básica conmutada, telefonía móvil rural, y distribución de gas combustible, tal como se define en este capítulo.</w:t>
      </w:r>
    </w:p>
    <w:p w:rsidR="00355BC7" w:rsidRPr="00752183" w:rsidRDefault="00355BC7" w:rsidP="00355BC7">
      <w:pPr>
        <w:ind w:left="1416"/>
        <w:jc w:val="both"/>
        <w:rPr>
          <w:rFonts w:ascii="Arial" w:hAnsi="Arial" w:cs="Arial"/>
          <w:i/>
          <w:sz w:val="18"/>
          <w:szCs w:val="22"/>
          <w:lang w:val="es-CO"/>
        </w:rPr>
      </w:pPr>
    </w:p>
    <w:p w:rsidR="00355BC7" w:rsidRPr="00752183" w:rsidRDefault="00355BC7" w:rsidP="00355BC7">
      <w:pPr>
        <w:ind w:left="1416"/>
        <w:jc w:val="both"/>
        <w:rPr>
          <w:rFonts w:ascii="Arial" w:hAnsi="Arial" w:cs="Arial"/>
          <w:i/>
          <w:sz w:val="18"/>
          <w:szCs w:val="22"/>
          <w:lang w:val="es-CO"/>
        </w:rPr>
      </w:pPr>
      <w:r w:rsidRPr="00752183">
        <w:rPr>
          <w:rFonts w:ascii="Arial" w:hAnsi="Arial" w:cs="Arial"/>
          <w:i/>
          <w:sz w:val="18"/>
          <w:szCs w:val="22"/>
          <w:lang w:val="es-CO"/>
        </w:rPr>
        <w:t>Así las cosas, cuando la Ley hace referencia al servicio público domiciliario, no solo deben entenderse su concepción a partir de las definiciones consagradas en los anteriores artículos, sino que, además, los mismos cumplen con las características relevantes de servicio público domiciliario que la jurisprudencia de la corte constitucional ha desarrollado.</w:t>
      </w:r>
    </w:p>
    <w:p w:rsidR="00355BC7" w:rsidRPr="00752183" w:rsidRDefault="00355BC7" w:rsidP="00355BC7">
      <w:pPr>
        <w:ind w:left="1416"/>
        <w:jc w:val="both"/>
        <w:rPr>
          <w:rFonts w:ascii="Arial" w:hAnsi="Arial" w:cs="Arial"/>
          <w:i/>
          <w:sz w:val="18"/>
          <w:szCs w:val="22"/>
          <w:lang w:val="es-CO"/>
        </w:rPr>
      </w:pPr>
    </w:p>
    <w:p w:rsidR="00355BC7" w:rsidRPr="00752183" w:rsidRDefault="00355BC7" w:rsidP="00355BC7">
      <w:pPr>
        <w:tabs>
          <w:tab w:val="left" w:pos="3234"/>
        </w:tabs>
        <w:ind w:left="1416"/>
        <w:jc w:val="both"/>
        <w:rPr>
          <w:rFonts w:ascii="Arial" w:hAnsi="Arial" w:cs="Arial"/>
          <w:i/>
          <w:sz w:val="18"/>
          <w:szCs w:val="22"/>
          <w:lang w:val="es-CO"/>
        </w:rPr>
      </w:pPr>
      <w:r w:rsidRPr="00752183">
        <w:rPr>
          <w:rFonts w:ascii="Arial" w:hAnsi="Arial" w:cs="Arial"/>
          <w:i/>
          <w:sz w:val="18"/>
          <w:szCs w:val="22"/>
          <w:lang w:val="es-CO"/>
        </w:rPr>
        <w:t>Bajo este entendido, si bien, una unidad sanitaria corresponde a infraestructura hidrosanitaria inmersa dentro de lo dispuesto en los títulos D y J del Reglamento Técnico del Sector de Agua Potable y Saneamiento Básico-RAS, su concepción y especificaciones técnicas, no se enmarcan a cabalidad dentro del concepto y características de un servicio público domiciliario y, en consecuencia, no es posible hacer uso de los recursos del SGP-APSB para dicho fin”.</w:t>
      </w:r>
    </w:p>
    <w:p w:rsidR="00355BC7" w:rsidRDefault="00355BC7" w:rsidP="00355BC7">
      <w:pPr>
        <w:tabs>
          <w:tab w:val="left" w:pos="3234"/>
        </w:tabs>
        <w:jc w:val="both"/>
        <w:rPr>
          <w:rFonts w:ascii="Arial" w:hAnsi="Arial" w:cs="Arial"/>
          <w:i/>
          <w:sz w:val="22"/>
          <w:szCs w:val="22"/>
          <w:lang w:val="es-CO"/>
        </w:rPr>
      </w:pPr>
    </w:p>
    <w:p w:rsidR="00355BC7" w:rsidRDefault="00355BC7" w:rsidP="00355BC7">
      <w:pPr>
        <w:autoSpaceDE w:val="0"/>
        <w:autoSpaceDN w:val="0"/>
        <w:adjustRightInd w:val="0"/>
        <w:jc w:val="both"/>
        <w:rPr>
          <w:rFonts w:ascii="Arial" w:eastAsia="Times New Roman" w:hAnsi="Arial" w:cs="Arial"/>
          <w:color w:val="000000"/>
          <w:sz w:val="22"/>
          <w:szCs w:val="22"/>
          <w:lang w:val="es-CO" w:eastAsia="en-US"/>
        </w:rPr>
      </w:pPr>
      <w:r>
        <w:rPr>
          <w:rFonts w:ascii="Arial" w:eastAsia="Calibri" w:hAnsi="Arial" w:cs="Arial"/>
          <w:color w:val="000000"/>
          <w:sz w:val="22"/>
          <w:szCs w:val="22"/>
          <w:lang w:val="es-CO" w:eastAsia="en-US"/>
        </w:rPr>
        <w:lastRenderedPageBreak/>
        <w:t xml:space="preserve">En este sentido es </w:t>
      </w:r>
      <w:r>
        <w:rPr>
          <w:rFonts w:ascii="Arial" w:eastAsia="Times New Roman" w:hAnsi="Arial" w:cs="Arial"/>
          <w:color w:val="000000"/>
          <w:sz w:val="22"/>
          <w:szCs w:val="22"/>
          <w:lang w:val="es-CO" w:eastAsia="en-US"/>
        </w:rPr>
        <w:t xml:space="preserve">recomendable que el Plan de Desarrollo del actual periodo de gobierno </w:t>
      </w:r>
      <w:r>
        <w:rPr>
          <w:rFonts w:ascii="Arial" w:eastAsia="Times New Roman" w:hAnsi="Arial" w:cs="Arial"/>
          <w:i/>
          <w:color w:val="000000"/>
          <w:sz w:val="22"/>
          <w:szCs w:val="22"/>
          <w:lang w:val="es-CO" w:eastAsia="en-US"/>
        </w:rPr>
        <w:t>¨Comprometidos con la Gente”</w:t>
      </w:r>
      <w:r>
        <w:rPr>
          <w:rFonts w:ascii="Arial" w:eastAsia="Times New Roman" w:hAnsi="Arial" w:cs="Arial"/>
          <w:color w:val="000000"/>
          <w:sz w:val="22"/>
          <w:szCs w:val="22"/>
          <w:lang w:val="es-CO" w:eastAsia="en-US"/>
        </w:rPr>
        <w:t xml:space="preserve"> sea ajustado en relación con las actividades de gasto permitidas por el artículo 11 de la Ley 1176 de 2007, y que las erogaciones no permitidas se financien con los recursos que se recaudan vía tarifa, ingresos corrientes de libre destinación u otros recursos disponibles en el Municipio.</w:t>
      </w:r>
    </w:p>
    <w:p w:rsidR="00355BC7" w:rsidRDefault="00355BC7" w:rsidP="00355BC7">
      <w:pPr>
        <w:autoSpaceDE w:val="0"/>
        <w:autoSpaceDN w:val="0"/>
        <w:adjustRightInd w:val="0"/>
        <w:jc w:val="both"/>
        <w:rPr>
          <w:rFonts w:ascii="Arial" w:eastAsia="Calibri" w:hAnsi="Arial" w:cs="Arial"/>
          <w:b/>
          <w:sz w:val="22"/>
          <w:szCs w:val="22"/>
        </w:rPr>
      </w:pPr>
    </w:p>
    <w:p w:rsidR="00355BC7" w:rsidRDefault="00355BC7" w:rsidP="00355BC7">
      <w:pPr>
        <w:autoSpaceDE w:val="0"/>
        <w:autoSpaceDN w:val="0"/>
        <w:adjustRightInd w:val="0"/>
        <w:jc w:val="both"/>
        <w:rPr>
          <w:rFonts w:ascii="Arial" w:eastAsia="Calibri" w:hAnsi="Arial" w:cs="Arial"/>
          <w:b/>
          <w:sz w:val="22"/>
          <w:szCs w:val="22"/>
        </w:rPr>
      </w:pPr>
      <w:r>
        <w:rPr>
          <w:rFonts w:ascii="Arial" w:eastAsia="Calibri" w:hAnsi="Arial" w:cs="Arial"/>
          <w:b/>
          <w:sz w:val="22"/>
          <w:szCs w:val="22"/>
        </w:rPr>
        <w:t>III. INFORMACIÓN FINANCIERA</w:t>
      </w:r>
      <w:r w:rsidR="00AD4D0F">
        <w:rPr>
          <w:rFonts w:ascii="Arial" w:eastAsia="Calibri" w:hAnsi="Arial" w:cs="Arial"/>
          <w:b/>
          <w:sz w:val="22"/>
          <w:szCs w:val="22"/>
        </w:rPr>
        <w:t>.</w:t>
      </w:r>
    </w:p>
    <w:p w:rsidR="00355BC7" w:rsidRDefault="00355BC7" w:rsidP="00355BC7">
      <w:pPr>
        <w:autoSpaceDE w:val="0"/>
        <w:autoSpaceDN w:val="0"/>
        <w:adjustRightInd w:val="0"/>
        <w:jc w:val="both"/>
        <w:rPr>
          <w:rFonts w:ascii="Arial" w:eastAsia="Calibri" w:hAnsi="Arial" w:cs="Arial"/>
          <w:sz w:val="22"/>
          <w:szCs w:val="22"/>
        </w:rPr>
      </w:pPr>
    </w:p>
    <w:p w:rsidR="00355BC7" w:rsidRDefault="00355BC7" w:rsidP="00355BC7">
      <w:pPr>
        <w:autoSpaceDE w:val="0"/>
        <w:autoSpaceDN w:val="0"/>
        <w:adjustRightInd w:val="0"/>
        <w:jc w:val="both"/>
        <w:rPr>
          <w:rFonts w:ascii="Arial" w:eastAsia="Calibri" w:hAnsi="Arial" w:cs="Arial"/>
          <w:sz w:val="22"/>
          <w:szCs w:val="22"/>
        </w:rPr>
      </w:pPr>
      <w:r>
        <w:rPr>
          <w:rFonts w:ascii="Arial" w:hAnsi="Arial" w:cs="Arial"/>
          <w:b/>
          <w:sz w:val="22"/>
          <w:szCs w:val="22"/>
        </w:rPr>
        <w:t>Sistema General de Participaciones en el Financiamiento del Sector</w:t>
      </w:r>
      <w:r w:rsidR="00AD4D0F">
        <w:rPr>
          <w:rFonts w:ascii="Arial" w:hAnsi="Arial" w:cs="Arial"/>
          <w:b/>
          <w:sz w:val="22"/>
          <w:szCs w:val="22"/>
        </w:rPr>
        <w:t>.</w:t>
      </w:r>
    </w:p>
    <w:p w:rsidR="00355BC7" w:rsidRDefault="00355BC7" w:rsidP="00355BC7">
      <w:pPr>
        <w:autoSpaceDE w:val="0"/>
        <w:autoSpaceDN w:val="0"/>
        <w:adjustRightInd w:val="0"/>
        <w:jc w:val="both"/>
        <w:rPr>
          <w:rFonts w:ascii="Arial" w:eastAsia="Calibri" w:hAnsi="Arial" w:cs="Arial"/>
          <w:sz w:val="22"/>
          <w:szCs w:val="22"/>
          <w:lang w:val="es-CO"/>
        </w:rPr>
      </w:pPr>
    </w:p>
    <w:p w:rsidR="00355BC7" w:rsidRDefault="00355BC7" w:rsidP="00355BC7">
      <w:pPr>
        <w:autoSpaceDE w:val="0"/>
        <w:autoSpaceDN w:val="0"/>
        <w:adjustRightInd w:val="0"/>
        <w:jc w:val="both"/>
        <w:rPr>
          <w:rFonts w:ascii="Arial" w:eastAsia="Calibri" w:hAnsi="Arial" w:cs="Arial"/>
          <w:sz w:val="22"/>
          <w:szCs w:val="22"/>
          <w:lang w:val="es-CO"/>
        </w:rPr>
      </w:pPr>
      <w:r>
        <w:rPr>
          <w:rFonts w:ascii="Arial" w:eastAsia="Calibri" w:hAnsi="Arial" w:cs="Arial"/>
          <w:sz w:val="22"/>
          <w:szCs w:val="22"/>
          <w:lang w:val="es-CO"/>
        </w:rPr>
        <w:t xml:space="preserve">El análisis de la situación financiera se realizó con base en las ejecuciones presupuestales certificadas por la Entidad Territorial, reporte al FUT vigencia 2019 y 2020, Documentos de Distribución y los montos de transferencias reportadas por el MVCT desde su portal </w:t>
      </w:r>
      <w:r>
        <w:rPr>
          <w:rFonts w:ascii="Arial" w:eastAsia="Calibri" w:hAnsi="Arial" w:cs="Arial"/>
          <w:i/>
          <w:iCs/>
          <w:sz w:val="22"/>
          <w:szCs w:val="22"/>
          <w:lang w:val="es-CO"/>
        </w:rPr>
        <w:t>Web</w:t>
      </w:r>
      <w:r>
        <w:rPr>
          <w:rFonts w:ascii="Arial" w:eastAsia="Calibri" w:hAnsi="Arial" w:cs="Arial"/>
          <w:sz w:val="22"/>
          <w:szCs w:val="22"/>
          <w:lang w:val="es-CO"/>
        </w:rPr>
        <w:t>.</w:t>
      </w:r>
    </w:p>
    <w:p w:rsidR="00355BC7" w:rsidRDefault="00355BC7" w:rsidP="00355BC7">
      <w:pPr>
        <w:autoSpaceDE w:val="0"/>
        <w:autoSpaceDN w:val="0"/>
        <w:adjustRightInd w:val="0"/>
        <w:jc w:val="both"/>
        <w:rPr>
          <w:rFonts w:ascii="Arial" w:eastAsia="Calibri" w:hAnsi="Arial" w:cs="Arial"/>
          <w:b/>
          <w:color w:val="000000"/>
          <w:sz w:val="22"/>
          <w:szCs w:val="22"/>
        </w:rPr>
      </w:pPr>
    </w:p>
    <w:p w:rsidR="00355BC7" w:rsidRDefault="00355BC7" w:rsidP="00355BC7">
      <w:pPr>
        <w:autoSpaceDE w:val="0"/>
        <w:autoSpaceDN w:val="0"/>
        <w:adjustRightInd w:val="0"/>
        <w:jc w:val="both"/>
        <w:rPr>
          <w:rFonts w:ascii="Arial" w:eastAsia="Calibri" w:hAnsi="Arial" w:cs="Arial"/>
          <w:b/>
          <w:color w:val="000000"/>
          <w:sz w:val="22"/>
          <w:szCs w:val="22"/>
        </w:rPr>
      </w:pPr>
      <w:r>
        <w:rPr>
          <w:rFonts w:ascii="Arial" w:eastAsia="Calibri" w:hAnsi="Arial" w:cs="Arial"/>
          <w:b/>
          <w:color w:val="000000"/>
          <w:sz w:val="22"/>
          <w:szCs w:val="22"/>
        </w:rPr>
        <w:t>DISTRIBUCIÓN DE RECURSOS</w:t>
      </w:r>
      <w:r w:rsidR="00AD4D0F">
        <w:rPr>
          <w:rFonts w:ascii="Arial" w:eastAsia="Calibri" w:hAnsi="Arial" w:cs="Arial"/>
          <w:b/>
          <w:color w:val="000000"/>
          <w:sz w:val="22"/>
          <w:szCs w:val="22"/>
        </w:rPr>
        <w:t>.</w:t>
      </w:r>
    </w:p>
    <w:p w:rsidR="00355BC7" w:rsidRDefault="00355BC7" w:rsidP="00355BC7">
      <w:pPr>
        <w:autoSpaceDE w:val="0"/>
        <w:autoSpaceDN w:val="0"/>
        <w:adjustRightInd w:val="0"/>
        <w:jc w:val="both"/>
        <w:rPr>
          <w:rFonts w:ascii="Arial" w:eastAsia="Calibri" w:hAnsi="Arial" w:cs="Arial"/>
          <w:color w:val="000000"/>
          <w:sz w:val="22"/>
          <w:szCs w:val="22"/>
        </w:rPr>
      </w:pPr>
    </w:p>
    <w:p w:rsidR="00355BC7" w:rsidRDefault="00355BC7" w:rsidP="00355BC7">
      <w:pPr>
        <w:autoSpaceDE w:val="0"/>
        <w:autoSpaceDN w:val="0"/>
        <w:adjustRightInd w:val="0"/>
        <w:jc w:val="both"/>
        <w:rPr>
          <w:rFonts w:ascii="Arial" w:hAnsi="Arial" w:cs="Arial"/>
          <w:color w:val="000000"/>
          <w:sz w:val="22"/>
          <w:szCs w:val="22"/>
          <w:lang w:val="es-CO"/>
        </w:rPr>
      </w:pPr>
      <w:r>
        <w:rPr>
          <w:rFonts w:ascii="Arial" w:hAnsi="Arial" w:cs="Arial"/>
          <w:color w:val="000000"/>
          <w:sz w:val="22"/>
          <w:szCs w:val="22"/>
          <w:lang w:val="es-CO"/>
        </w:rPr>
        <w:t xml:space="preserve">El artículo 7 de la Ley 1176 de 2007, menciona los criterios de distribución de los recursos correspondientes a Municipios del Sector de Agua Potable y Saneamiento Básico. De acuerdo con los Documentos de Distribución No. SGP-36-2019 y SGP-39-2020, SGP-42-2020 y SGP-48-2020 los recursos asignados al Municipio de Mitú fueron: </w:t>
      </w:r>
    </w:p>
    <w:p w:rsidR="00355BC7" w:rsidRDefault="00355BC7" w:rsidP="00355BC7">
      <w:pPr>
        <w:autoSpaceDE w:val="0"/>
        <w:autoSpaceDN w:val="0"/>
        <w:adjustRightInd w:val="0"/>
        <w:jc w:val="both"/>
        <w:rPr>
          <w:rFonts w:ascii="Arial" w:hAnsi="Arial" w:cs="Arial"/>
          <w:color w:val="000000"/>
          <w:sz w:val="22"/>
          <w:szCs w:val="22"/>
          <w:lang w:val="es-CO"/>
        </w:rPr>
      </w:pPr>
    </w:p>
    <w:p w:rsidR="00355BC7" w:rsidRDefault="00355BC7" w:rsidP="00355BC7">
      <w:pPr>
        <w:autoSpaceDE w:val="0"/>
        <w:autoSpaceDN w:val="0"/>
        <w:adjustRightInd w:val="0"/>
        <w:ind w:left="5664" w:firstLine="708"/>
        <w:jc w:val="both"/>
        <w:rPr>
          <w:rFonts w:ascii="Arial" w:hAnsi="Arial" w:cs="Arial"/>
          <w:color w:val="000000"/>
          <w:sz w:val="18"/>
          <w:szCs w:val="18"/>
          <w:lang w:val="es-CO"/>
        </w:rPr>
      </w:pPr>
      <w:r>
        <w:rPr>
          <w:rFonts w:ascii="Arial" w:hAnsi="Arial" w:cs="Arial"/>
          <w:color w:val="000000"/>
          <w:sz w:val="18"/>
          <w:szCs w:val="18"/>
          <w:lang w:val="es-CO"/>
        </w:rPr>
        <w:t xml:space="preserve">    Millones</w:t>
      </w:r>
    </w:p>
    <w:tbl>
      <w:tblPr>
        <w:tblW w:w="5812" w:type="dxa"/>
        <w:jc w:val="center"/>
        <w:tblCellMar>
          <w:left w:w="70" w:type="dxa"/>
          <w:right w:w="70" w:type="dxa"/>
        </w:tblCellMar>
        <w:tblLook w:val="04A0" w:firstRow="1" w:lastRow="0" w:firstColumn="1" w:lastColumn="0" w:noHBand="0" w:noVBand="1"/>
      </w:tblPr>
      <w:tblGrid>
        <w:gridCol w:w="1276"/>
        <w:gridCol w:w="2268"/>
        <w:gridCol w:w="2268"/>
      </w:tblGrid>
      <w:tr w:rsidR="00355BC7" w:rsidRPr="00AD4D0F" w:rsidTr="00355BC7">
        <w:trPr>
          <w:trHeight w:val="315"/>
          <w:jc w:val="center"/>
        </w:trPr>
        <w:tc>
          <w:tcPr>
            <w:tcW w:w="1276"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355BC7" w:rsidRPr="00752183" w:rsidRDefault="00355BC7">
            <w:pPr>
              <w:jc w:val="center"/>
              <w:rPr>
                <w:rFonts w:ascii="Arial" w:eastAsia="Times New Roman" w:hAnsi="Arial" w:cs="Arial"/>
                <w:b/>
                <w:bCs/>
                <w:color w:val="000000"/>
                <w:sz w:val="20"/>
              </w:rPr>
            </w:pPr>
            <w:r w:rsidRPr="00752183">
              <w:rPr>
                <w:rFonts w:ascii="Arial" w:eastAsia="Times New Roman" w:hAnsi="Arial" w:cs="Arial"/>
                <w:b/>
                <w:bCs/>
                <w:color w:val="000000"/>
                <w:sz w:val="20"/>
              </w:rPr>
              <w:t>Entidad Territorial</w:t>
            </w:r>
          </w:p>
        </w:tc>
        <w:tc>
          <w:tcPr>
            <w:tcW w:w="2268" w:type="dxa"/>
            <w:tcBorders>
              <w:top w:val="single" w:sz="4" w:space="0" w:color="auto"/>
              <w:left w:val="nil"/>
              <w:bottom w:val="single" w:sz="4" w:space="0" w:color="auto"/>
              <w:right w:val="single" w:sz="4" w:space="0" w:color="auto"/>
            </w:tcBorders>
            <w:shd w:val="clear" w:color="auto" w:fill="C5D9F1"/>
            <w:noWrap/>
            <w:vAlign w:val="bottom"/>
            <w:hideMark/>
          </w:tcPr>
          <w:p w:rsidR="00355BC7" w:rsidRPr="00752183" w:rsidRDefault="00355BC7">
            <w:pPr>
              <w:jc w:val="center"/>
              <w:rPr>
                <w:rFonts w:ascii="Arial" w:eastAsia="Times New Roman" w:hAnsi="Arial" w:cs="Arial"/>
                <w:b/>
                <w:bCs/>
                <w:color w:val="000000"/>
                <w:sz w:val="20"/>
              </w:rPr>
            </w:pPr>
            <w:r w:rsidRPr="00752183">
              <w:rPr>
                <w:rFonts w:ascii="Arial" w:eastAsia="Times New Roman" w:hAnsi="Arial" w:cs="Arial"/>
                <w:b/>
                <w:bCs/>
                <w:color w:val="000000"/>
                <w:sz w:val="20"/>
              </w:rPr>
              <w:t>Valor asignado 2019</w:t>
            </w:r>
          </w:p>
        </w:tc>
        <w:tc>
          <w:tcPr>
            <w:tcW w:w="2268" w:type="dxa"/>
            <w:tcBorders>
              <w:top w:val="single" w:sz="4" w:space="0" w:color="auto"/>
              <w:left w:val="nil"/>
              <w:bottom w:val="single" w:sz="4" w:space="0" w:color="auto"/>
              <w:right w:val="single" w:sz="4" w:space="0" w:color="auto"/>
            </w:tcBorders>
            <w:shd w:val="clear" w:color="auto" w:fill="C5D9F1"/>
            <w:vAlign w:val="bottom"/>
            <w:hideMark/>
          </w:tcPr>
          <w:p w:rsidR="00355BC7" w:rsidRPr="00752183" w:rsidRDefault="00355BC7">
            <w:pPr>
              <w:jc w:val="center"/>
              <w:rPr>
                <w:rFonts w:ascii="Arial" w:eastAsia="Times New Roman" w:hAnsi="Arial" w:cs="Arial"/>
                <w:b/>
                <w:bCs/>
                <w:color w:val="000000"/>
                <w:sz w:val="20"/>
              </w:rPr>
            </w:pPr>
            <w:r w:rsidRPr="00752183">
              <w:rPr>
                <w:rFonts w:ascii="Arial" w:eastAsia="Times New Roman" w:hAnsi="Arial" w:cs="Arial"/>
                <w:b/>
                <w:bCs/>
                <w:color w:val="000000"/>
                <w:sz w:val="20"/>
              </w:rPr>
              <w:t>Valor asignado 2020</w:t>
            </w:r>
          </w:p>
        </w:tc>
      </w:tr>
      <w:tr w:rsidR="00355BC7" w:rsidRPr="00AD4D0F" w:rsidTr="00355BC7">
        <w:trPr>
          <w:trHeight w:val="300"/>
          <w:jc w:val="center"/>
        </w:trPr>
        <w:tc>
          <w:tcPr>
            <w:tcW w:w="1276" w:type="dxa"/>
            <w:tcBorders>
              <w:top w:val="nil"/>
              <w:left w:val="single" w:sz="4" w:space="0" w:color="auto"/>
              <w:bottom w:val="single" w:sz="4" w:space="0" w:color="auto"/>
              <w:right w:val="single" w:sz="4" w:space="0" w:color="auto"/>
            </w:tcBorders>
            <w:noWrap/>
            <w:vAlign w:val="bottom"/>
            <w:hideMark/>
          </w:tcPr>
          <w:p w:rsidR="00355BC7" w:rsidRPr="00752183" w:rsidRDefault="00355BC7">
            <w:pPr>
              <w:rPr>
                <w:rFonts w:ascii="Arial" w:eastAsia="Times New Roman" w:hAnsi="Arial" w:cs="Arial"/>
                <w:color w:val="000000"/>
                <w:sz w:val="20"/>
              </w:rPr>
            </w:pPr>
            <w:r w:rsidRPr="00752183">
              <w:rPr>
                <w:rFonts w:ascii="Arial" w:eastAsia="Times New Roman" w:hAnsi="Arial" w:cs="Arial"/>
                <w:color w:val="000000"/>
                <w:sz w:val="20"/>
              </w:rPr>
              <w:t>Mitú</w:t>
            </w:r>
          </w:p>
        </w:tc>
        <w:tc>
          <w:tcPr>
            <w:tcW w:w="2268" w:type="dxa"/>
            <w:tcBorders>
              <w:top w:val="nil"/>
              <w:left w:val="nil"/>
              <w:bottom w:val="single" w:sz="4" w:space="0" w:color="auto"/>
              <w:right w:val="single" w:sz="4" w:space="0" w:color="auto"/>
            </w:tcBorders>
            <w:noWrap/>
            <w:vAlign w:val="bottom"/>
            <w:hideMark/>
          </w:tcPr>
          <w:p w:rsidR="00355BC7" w:rsidRPr="00752183" w:rsidRDefault="00355BC7">
            <w:pPr>
              <w:jc w:val="right"/>
              <w:rPr>
                <w:rFonts w:ascii="Arial" w:eastAsia="Times New Roman" w:hAnsi="Arial" w:cs="Arial"/>
                <w:color w:val="000000"/>
                <w:sz w:val="20"/>
              </w:rPr>
            </w:pPr>
            <w:r w:rsidRPr="00752183">
              <w:rPr>
                <w:rFonts w:ascii="Arial" w:eastAsia="Times New Roman" w:hAnsi="Arial" w:cs="Arial"/>
                <w:sz w:val="20"/>
              </w:rPr>
              <w:t>2.346</w:t>
            </w:r>
          </w:p>
        </w:tc>
        <w:tc>
          <w:tcPr>
            <w:tcW w:w="2268" w:type="dxa"/>
            <w:tcBorders>
              <w:top w:val="nil"/>
              <w:left w:val="nil"/>
              <w:bottom w:val="single" w:sz="4" w:space="0" w:color="auto"/>
              <w:right w:val="single" w:sz="4" w:space="0" w:color="auto"/>
            </w:tcBorders>
            <w:vAlign w:val="bottom"/>
            <w:hideMark/>
          </w:tcPr>
          <w:p w:rsidR="00355BC7" w:rsidRPr="00752183" w:rsidRDefault="00355BC7">
            <w:pPr>
              <w:jc w:val="right"/>
              <w:rPr>
                <w:rFonts w:ascii="Arial" w:eastAsia="Times New Roman" w:hAnsi="Arial" w:cs="Arial"/>
                <w:color w:val="000000"/>
                <w:sz w:val="20"/>
              </w:rPr>
            </w:pPr>
            <w:r w:rsidRPr="00752183">
              <w:rPr>
                <w:rFonts w:ascii="Arial" w:eastAsia="Times New Roman" w:hAnsi="Arial" w:cs="Arial"/>
                <w:color w:val="000000"/>
                <w:sz w:val="20"/>
              </w:rPr>
              <w:t>2.810</w:t>
            </w:r>
          </w:p>
        </w:tc>
      </w:tr>
    </w:tbl>
    <w:p w:rsidR="00355BC7" w:rsidRDefault="00355BC7" w:rsidP="00355BC7">
      <w:pPr>
        <w:autoSpaceDE w:val="0"/>
        <w:autoSpaceDN w:val="0"/>
        <w:adjustRightInd w:val="0"/>
        <w:jc w:val="both"/>
        <w:rPr>
          <w:rFonts w:ascii="Arial" w:eastAsia="Calibri" w:hAnsi="Arial" w:cs="Arial"/>
          <w:color w:val="000000" w:themeColor="text1"/>
          <w:sz w:val="22"/>
          <w:szCs w:val="22"/>
          <w:lang w:val="es-CO"/>
        </w:rPr>
      </w:pPr>
    </w:p>
    <w:p w:rsidR="00355BC7" w:rsidRDefault="00355BC7" w:rsidP="00355BC7">
      <w:pPr>
        <w:autoSpaceDE w:val="0"/>
        <w:autoSpaceDN w:val="0"/>
        <w:adjustRightInd w:val="0"/>
        <w:spacing w:after="180" w:line="264" w:lineRule="auto"/>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Los ingresos totales provenientes de la Participación de APSB disminuyeron en $583 millones, es decir 17</w:t>
      </w:r>
      <w:r w:rsidR="00AD4D0F">
        <w:rPr>
          <w:rFonts w:ascii="Arial" w:eastAsia="Times New Roman" w:hAnsi="Arial" w:cs="Arial"/>
          <w:sz w:val="22"/>
          <w:szCs w:val="22"/>
          <w:lang w:val="es-CO" w:eastAsia="en-US"/>
        </w:rPr>
        <w:t xml:space="preserve"> </w:t>
      </w:r>
      <w:r>
        <w:rPr>
          <w:rFonts w:ascii="Arial" w:eastAsia="Times New Roman" w:hAnsi="Arial" w:cs="Arial"/>
          <w:sz w:val="22"/>
          <w:szCs w:val="22"/>
          <w:lang w:val="es-CO" w:eastAsia="en-US"/>
        </w:rPr>
        <w:t>% nominal con respecto al año anterior, explicado por la caída del 100</w:t>
      </w:r>
      <w:r w:rsidR="00AD4D0F">
        <w:rPr>
          <w:rFonts w:ascii="Arial" w:eastAsia="Times New Roman" w:hAnsi="Arial" w:cs="Arial"/>
          <w:sz w:val="22"/>
          <w:szCs w:val="22"/>
          <w:lang w:val="es-CO" w:eastAsia="en-US"/>
        </w:rPr>
        <w:t xml:space="preserve"> </w:t>
      </w:r>
      <w:r>
        <w:rPr>
          <w:rFonts w:ascii="Arial" w:eastAsia="Times New Roman" w:hAnsi="Arial" w:cs="Arial"/>
          <w:sz w:val="22"/>
          <w:szCs w:val="22"/>
          <w:lang w:val="es-CO" w:eastAsia="en-US"/>
        </w:rPr>
        <w:t>% de los recursos del balance. El siguiente cuadro muestra detalle de las cifras:</w:t>
      </w:r>
    </w:p>
    <w:tbl>
      <w:tblPr>
        <w:tblStyle w:val="Listamedia2-nfasis111"/>
        <w:tblW w:w="5006" w:type="pct"/>
        <w:tblInd w:w="-10" w:type="dxa"/>
        <w:tblLook w:val="04A0" w:firstRow="1" w:lastRow="0" w:firstColumn="1" w:lastColumn="0" w:noHBand="0" w:noVBand="1"/>
      </w:tblPr>
      <w:tblGrid>
        <w:gridCol w:w="3640"/>
        <w:gridCol w:w="1629"/>
        <w:gridCol w:w="1630"/>
        <w:gridCol w:w="521"/>
        <w:gridCol w:w="1409"/>
      </w:tblGrid>
      <w:tr w:rsidR="00355BC7" w:rsidRPr="00AD4D0F" w:rsidTr="00355B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7" w:type="pct"/>
            <w:tcBorders>
              <w:top w:val="single" w:sz="8" w:space="0" w:color="549E39"/>
            </w:tcBorders>
            <w:noWrap/>
            <w:hideMark/>
          </w:tcPr>
          <w:p w:rsidR="00355BC7" w:rsidRPr="00752183" w:rsidRDefault="00355BC7">
            <w:pPr>
              <w:spacing w:after="180" w:line="264" w:lineRule="auto"/>
              <w:rPr>
                <w:rFonts w:ascii="Arial" w:eastAsia="Times New Roman" w:hAnsi="Arial" w:cs="Arial"/>
                <w:b/>
                <w:sz w:val="20"/>
                <w:szCs w:val="20"/>
                <w:lang w:val="es-CO" w:eastAsia="en-US"/>
              </w:rPr>
            </w:pPr>
            <w:r w:rsidRPr="00752183">
              <w:rPr>
                <w:rFonts w:ascii="Arial" w:eastAsia="Times New Roman" w:hAnsi="Arial" w:cs="Arial"/>
                <w:b/>
                <w:sz w:val="20"/>
                <w:szCs w:val="20"/>
                <w:lang w:val="es-CO" w:eastAsia="en-US"/>
              </w:rPr>
              <w:t>FUENTE</w:t>
            </w:r>
          </w:p>
        </w:tc>
        <w:tc>
          <w:tcPr>
            <w:tcW w:w="924" w:type="pct"/>
            <w:tcBorders>
              <w:top w:val="single" w:sz="8" w:space="0" w:color="549E39"/>
            </w:tcBorders>
          </w:tcPr>
          <w:p w:rsidR="00355BC7" w:rsidRPr="00752183" w:rsidRDefault="00355BC7">
            <w:pPr>
              <w:spacing w:after="1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szCs w:val="20"/>
                <w:lang w:val="es-CO" w:eastAsia="en-US"/>
              </w:rPr>
            </w:pPr>
          </w:p>
        </w:tc>
        <w:tc>
          <w:tcPr>
            <w:tcW w:w="924" w:type="pct"/>
            <w:tcBorders>
              <w:top w:val="single" w:sz="8" w:space="0" w:color="549E39"/>
            </w:tcBorders>
            <w:hideMark/>
          </w:tcPr>
          <w:p w:rsidR="00355BC7" w:rsidRPr="00752183" w:rsidRDefault="00355BC7">
            <w:pPr>
              <w:spacing w:after="1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szCs w:val="20"/>
                <w:lang w:val="es-CO" w:eastAsia="en-US"/>
              </w:rPr>
            </w:pPr>
            <w:r w:rsidRPr="00752183">
              <w:rPr>
                <w:rFonts w:ascii="Arial" w:eastAsia="Times New Roman" w:hAnsi="Arial" w:cs="Arial"/>
                <w:b/>
                <w:sz w:val="20"/>
                <w:szCs w:val="20"/>
                <w:lang w:val="es-CO" w:eastAsia="en-US"/>
              </w:rPr>
              <w:t>2019           2020</w:t>
            </w:r>
          </w:p>
        </w:tc>
        <w:tc>
          <w:tcPr>
            <w:tcW w:w="296" w:type="pct"/>
            <w:tcBorders>
              <w:top w:val="single" w:sz="8" w:space="0" w:color="549E39"/>
            </w:tcBorders>
            <w:hideMark/>
          </w:tcPr>
          <w:p w:rsidR="00355BC7" w:rsidRPr="00752183" w:rsidRDefault="00355BC7">
            <w:pPr>
              <w:spacing w:after="1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szCs w:val="20"/>
                <w:lang w:val="es-CO" w:eastAsia="en-US"/>
              </w:rPr>
            </w:pPr>
            <w:r w:rsidRPr="00752183">
              <w:rPr>
                <w:rFonts w:ascii="Arial" w:eastAsia="Times New Roman" w:hAnsi="Arial" w:cs="Arial"/>
                <w:b/>
                <w:sz w:val="20"/>
                <w:szCs w:val="20"/>
                <w:lang w:val="es-CO" w:eastAsia="en-US"/>
              </w:rPr>
              <w:t xml:space="preserve">  </w:t>
            </w:r>
          </w:p>
        </w:tc>
        <w:tc>
          <w:tcPr>
            <w:tcW w:w="799" w:type="pct"/>
            <w:tcBorders>
              <w:top w:val="single" w:sz="8" w:space="0" w:color="549E39"/>
            </w:tcBorders>
            <w:hideMark/>
          </w:tcPr>
          <w:p w:rsidR="00355BC7" w:rsidRPr="00752183" w:rsidRDefault="00355BC7">
            <w:pPr>
              <w:spacing w:after="1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szCs w:val="20"/>
                <w:lang w:val="es-CO" w:eastAsia="en-US"/>
              </w:rPr>
            </w:pPr>
            <w:r w:rsidRPr="00752183">
              <w:rPr>
                <w:rFonts w:ascii="Arial" w:eastAsia="Times New Roman" w:hAnsi="Arial" w:cs="Arial"/>
                <w:b/>
                <w:sz w:val="20"/>
                <w:szCs w:val="20"/>
                <w:lang w:val="es-CO" w:eastAsia="en-US"/>
              </w:rPr>
              <w:t>VARIACION (%)</w:t>
            </w:r>
          </w:p>
        </w:tc>
      </w:tr>
      <w:tr w:rsidR="00355BC7" w:rsidRPr="00AD4D0F" w:rsidTr="00355BC7">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057" w:type="pct"/>
            <w:noWrap/>
            <w:hideMark/>
          </w:tcPr>
          <w:p w:rsidR="00355BC7" w:rsidRPr="00AD4D0F" w:rsidRDefault="00355BC7">
            <w:pPr>
              <w:spacing w:after="180" w:line="264" w:lineRule="auto"/>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Transferencias Corrientes SGP_APSB</w:t>
            </w:r>
          </w:p>
        </w:tc>
        <w:tc>
          <w:tcPr>
            <w:tcW w:w="924" w:type="pct"/>
          </w:tcPr>
          <w:p w:rsidR="00355BC7" w:rsidRPr="00AD4D0F" w:rsidRDefault="00355BC7">
            <w:pPr>
              <w:spacing w:after="18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CO"/>
              </w:rPr>
            </w:pPr>
          </w:p>
        </w:tc>
        <w:tc>
          <w:tcPr>
            <w:tcW w:w="924" w:type="pct"/>
            <w:hideMark/>
          </w:tcPr>
          <w:p w:rsidR="00355BC7" w:rsidRPr="00AD4D0F" w:rsidRDefault="00355BC7">
            <w:pPr>
              <w:spacing w:after="18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val="es-CO" w:eastAsia="en-US"/>
              </w:rPr>
            </w:pPr>
            <w:r w:rsidRPr="00AD4D0F">
              <w:rPr>
                <w:rFonts w:ascii="Arial" w:hAnsi="Arial" w:cs="Arial"/>
                <w:b/>
                <w:sz w:val="20"/>
                <w:szCs w:val="20"/>
                <w:lang w:val="es-CO"/>
              </w:rPr>
              <w:t>2.346</w:t>
            </w:r>
            <w:r w:rsidRPr="00AD4D0F">
              <w:rPr>
                <w:rFonts w:ascii="Arial" w:hAnsi="Arial" w:cs="Arial"/>
                <w:sz w:val="20"/>
                <w:szCs w:val="20"/>
                <w:lang w:val="es-CO"/>
              </w:rPr>
              <w:t xml:space="preserve">       </w:t>
            </w:r>
            <w:r w:rsidRPr="00AD4D0F">
              <w:rPr>
                <w:rFonts w:ascii="Arial" w:hAnsi="Arial" w:cs="Arial"/>
                <w:b/>
                <w:sz w:val="20"/>
                <w:szCs w:val="20"/>
                <w:lang w:val="es-CO"/>
              </w:rPr>
              <w:t>2.810</w:t>
            </w:r>
            <w:r w:rsidRPr="00AD4D0F">
              <w:rPr>
                <w:rFonts w:ascii="Arial" w:hAnsi="Arial" w:cs="Arial"/>
                <w:sz w:val="20"/>
                <w:szCs w:val="20"/>
                <w:lang w:val="es-CO"/>
              </w:rPr>
              <w:t xml:space="preserve">       </w:t>
            </w:r>
          </w:p>
        </w:tc>
        <w:tc>
          <w:tcPr>
            <w:tcW w:w="296" w:type="pct"/>
          </w:tcPr>
          <w:p w:rsidR="00355BC7" w:rsidRPr="00AD4D0F" w:rsidRDefault="00355BC7">
            <w:pPr>
              <w:spacing w:after="18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eastAsia="en-US"/>
              </w:rPr>
            </w:pPr>
          </w:p>
        </w:tc>
        <w:tc>
          <w:tcPr>
            <w:tcW w:w="799" w:type="pct"/>
            <w:tcBorders>
              <w:right w:val="single" w:sz="8" w:space="0" w:color="549E39"/>
            </w:tcBorders>
            <w:hideMark/>
          </w:tcPr>
          <w:p w:rsidR="00355BC7" w:rsidRPr="00AD4D0F" w:rsidRDefault="00355BC7">
            <w:pPr>
              <w:spacing w:after="18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val="es-CO" w:eastAsia="en-US"/>
              </w:rPr>
            </w:pPr>
            <w:r w:rsidRPr="00AD4D0F">
              <w:rPr>
                <w:rFonts w:ascii="Arial" w:eastAsia="Times New Roman" w:hAnsi="Arial" w:cs="Arial"/>
                <w:b/>
                <w:sz w:val="20"/>
                <w:szCs w:val="20"/>
                <w:lang w:val="es-CO" w:eastAsia="en-US"/>
              </w:rPr>
              <w:t>20</w:t>
            </w:r>
            <w:r w:rsidR="00A72BD5">
              <w:rPr>
                <w:rFonts w:ascii="Arial" w:eastAsia="Times New Roman" w:hAnsi="Arial" w:cs="Arial"/>
                <w:b/>
                <w:sz w:val="20"/>
                <w:szCs w:val="20"/>
                <w:lang w:val="es-CO" w:eastAsia="en-US"/>
              </w:rPr>
              <w:t xml:space="preserve"> </w:t>
            </w:r>
            <w:r w:rsidRPr="00AD4D0F">
              <w:rPr>
                <w:rFonts w:ascii="Arial" w:eastAsia="Times New Roman" w:hAnsi="Arial" w:cs="Arial"/>
                <w:b/>
                <w:sz w:val="20"/>
                <w:szCs w:val="20"/>
                <w:lang w:val="es-CO" w:eastAsia="en-US"/>
              </w:rPr>
              <w:t>%</w:t>
            </w:r>
          </w:p>
        </w:tc>
      </w:tr>
      <w:tr w:rsidR="00355BC7" w:rsidRPr="00AD4D0F" w:rsidTr="00355BC7">
        <w:tc>
          <w:tcPr>
            <w:cnfStyle w:val="001000000000" w:firstRow="0" w:lastRow="0" w:firstColumn="1" w:lastColumn="0" w:oddVBand="0" w:evenVBand="0" w:oddHBand="0" w:evenHBand="0" w:firstRowFirstColumn="0" w:firstRowLastColumn="0" w:lastRowFirstColumn="0" w:lastRowLastColumn="0"/>
            <w:tcW w:w="2057" w:type="pct"/>
            <w:noWrap/>
            <w:hideMark/>
          </w:tcPr>
          <w:p w:rsidR="00355BC7" w:rsidRPr="00AD4D0F" w:rsidRDefault="00355BC7">
            <w:pPr>
              <w:spacing w:after="180" w:line="264" w:lineRule="auto"/>
              <w:rPr>
                <w:rFonts w:ascii="Arial" w:eastAsia="Times New Roman" w:hAnsi="Arial" w:cs="Arial"/>
                <w:b/>
                <w:sz w:val="20"/>
                <w:szCs w:val="20"/>
                <w:lang w:val="es-CO" w:eastAsia="en-US"/>
              </w:rPr>
            </w:pPr>
            <w:r w:rsidRPr="00AD4D0F">
              <w:rPr>
                <w:rFonts w:ascii="Arial" w:eastAsia="Times New Roman" w:hAnsi="Arial" w:cs="Arial"/>
                <w:b/>
                <w:sz w:val="20"/>
                <w:szCs w:val="20"/>
                <w:lang w:val="es-CO" w:eastAsia="en-US"/>
              </w:rPr>
              <w:t>Ingresos de Capital</w:t>
            </w:r>
          </w:p>
        </w:tc>
        <w:tc>
          <w:tcPr>
            <w:tcW w:w="924" w:type="pct"/>
            <w:tcBorders>
              <w:top w:val="nil"/>
              <w:left w:val="nil"/>
              <w:bottom w:val="nil"/>
              <w:right w:val="nil"/>
            </w:tcBorders>
          </w:tcPr>
          <w:p w:rsidR="00355BC7" w:rsidRPr="00AD4D0F" w:rsidRDefault="00355BC7">
            <w:pPr>
              <w:spacing w:after="18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CO"/>
              </w:rPr>
            </w:pPr>
          </w:p>
        </w:tc>
        <w:tc>
          <w:tcPr>
            <w:tcW w:w="924" w:type="pct"/>
            <w:tcBorders>
              <w:top w:val="nil"/>
              <w:left w:val="nil"/>
              <w:bottom w:val="nil"/>
              <w:right w:val="nil"/>
            </w:tcBorders>
            <w:hideMark/>
          </w:tcPr>
          <w:p w:rsidR="00355BC7" w:rsidRPr="00AD4D0F" w:rsidRDefault="00355BC7">
            <w:pPr>
              <w:spacing w:after="1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CO" w:eastAsia="en-US"/>
              </w:rPr>
            </w:pPr>
            <w:r w:rsidRPr="00AD4D0F">
              <w:rPr>
                <w:rFonts w:ascii="Arial" w:hAnsi="Arial" w:cs="Arial"/>
                <w:b/>
                <w:sz w:val="20"/>
                <w:szCs w:val="20"/>
                <w:lang w:val="es-CO"/>
              </w:rPr>
              <w:t>1.088            40</w:t>
            </w:r>
          </w:p>
        </w:tc>
        <w:tc>
          <w:tcPr>
            <w:tcW w:w="296" w:type="pct"/>
            <w:tcBorders>
              <w:top w:val="nil"/>
              <w:left w:val="nil"/>
              <w:bottom w:val="nil"/>
              <w:right w:val="nil"/>
            </w:tcBorders>
          </w:tcPr>
          <w:p w:rsidR="00355BC7" w:rsidRPr="00AD4D0F" w:rsidRDefault="00355BC7">
            <w:pPr>
              <w:spacing w:after="1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CO" w:eastAsia="en-US"/>
              </w:rPr>
            </w:pPr>
          </w:p>
        </w:tc>
        <w:tc>
          <w:tcPr>
            <w:tcW w:w="799" w:type="pct"/>
            <w:tcBorders>
              <w:top w:val="nil"/>
              <w:left w:val="nil"/>
              <w:bottom w:val="nil"/>
              <w:right w:val="single" w:sz="8" w:space="0" w:color="549E39"/>
            </w:tcBorders>
            <w:hideMark/>
          </w:tcPr>
          <w:p w:rsidR="00355BC7" w:rsidRPr="00AD4D0F" w:rsidRDefault="00355BC7">
            <w:pPr>
              <w:spacing w:after="1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val="es-CO" w:eastAsia="en-US"/>
              </w:rPr>
            </w:pPr>
            <w:r w:rsidRPr="00AD4D0F">
              <w:rPr>
                <w:rFonts w:ascii="Arial" w:eastAsia="Times New Roman" w:hAnsi="Arial" w:cs="Arial"/>
                <w:b/>
                <w:sz w:val="20"/>
                <w:szCs w:val="20"/>
                <w:lang w:val="es-CO" w:eastAsia="en-US"/>
              </w:rPr>
              <w:t>-96</w:t>
            </w:r>
            <w:r w:rsidR="00A72BD5">
              <w:rPr>
                <w:rFonts w:ascii="Arial" w:eastAsia="Times New Roman" w:hAnsi="Arial" w:cs="Arial"/>
                <w:b/>
                <w:sz w:val="20"/>
                <w:szCs w:val="20"/>
                <w:lang w:val="es-CO" w:eastAsia="en-US"/>
              </w:rPr>
              <w:t xml:space="preserve"> </w:t>
            </w:r>
            <w:r w:rsidRPr="00AD4D0F">
              <w:rPr>
                <w:rFonts w:ascii="Arial" w:eastAsia="Times New Roman" w:hAnsi="Arial" w:cs="Arial"/>
                <w:b/>
                <w:sz w:val="20"/>
                <w:szCs w:val="20"/>
                <w:lang w:val="es-CO" w:eastAsia="en-US"/>
              </w:rPr>
              <w:t>%</w:t>
            </w:r>
          </w:p>
        </w:tc>
      </w:tr>
      <w:tr w:rsidR="00355BC7" w:rsidRPr="00AD4D0F" w:rsidTr="0035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pct"/>
            <w:noWrap/>
            <w:hideMark/>
          </w:tcPr>
          <w:p w:rsidR="00355BC7" w:rsidRPr="00AD4D0F" w:rsidRDefault="00355BC7">
            <w:pPr>
              <w:spacing w:after="180" w:line="264" w:lineRule="auto"/>
              <w:rPr>
                <w:rFonts w:ascii="Arial" w:eastAsia="Times New Roman" w:hAnsi="Arial" w:cs="Arial"/>
                <w:b/>
                <w:sz w:val="20"/>
                <w:szCs w:val="20"/>
                <w:lang w:val="es-CO" w:eastAsia="en-US"/>
              </w:rPr>
            </w:pPr>
            <w:r w:rsidRPr="00AD4D0F">
              <w:rPr>
                <w:rFonts w:ascii="Arial" w:eastAsia="Times New Roman" w:hAnsi="Arial" w:cs="Arial"/>
                <w:sz w:val="20"/>
                <w:szCs w:val="20"/>
                <w:lang w:val="es-CO" w:eastAsia="en-US"/>
              </w:rPr>
              <w:t>Desembolsos del Crédito</w:t>
            </w:r>
          </w:p>
        </w:tc>
        <w:tc>
          <w:tcPr>
            <w:tcW w:w="924" w:type="pct"/>
          </w:tcPr>
          <w:p w:rsidR="00355BC7" w:rsidRPr="00AD4D0F" w:rsidRDefault="00355BC7">
            <w:pPr>
              <w:spacing w:after="18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val="es-CO" w:eastAsia="en-US"/>
              </w:rPr>
            </w:pPr>
          </w:p>
        </w:tc>
        <w:tc>
          <w:tcPr>
            <w:tcW w:w="924" w:type="pct"/>
            <w:hideMark/>
          </w:tcPr>
          <w:p w:rsidR="00355BC7" w:rsidRPr="00AD4D0F" w:rsidRDefault="00355BC7">
            <w:pPr>
              <w:spacing w:after="180" w:line="264"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val="es-CO" w:eastAsia="en-US"/>
              </w:rPr>
            </w:pPr>
            <w:r w:rsidRPr="00AD4D0F">
              <w:rPr>
                <w:rFonts w:ascii="Arial" w:eastAsia="Times New Roman" w:hAnsi="Arial" w:cs="Arial"/>
                <w:b/>
                <w:sz w:val="20"/>
                <w:szCs w:val="20"/>
                <w:lang w:val="es-CO" w:eastAsia="en-US"/>
              </w:rPr>
              <w:t>0                    0</w:t>
            </w:r>
          </w:p>
        </w:tc>
        <w:tc>
          <w:tcPr>
            <w:tcW w:w="296" w:type="pct"/>
          </w:tcPr>
          <w:p w:rsidR="00355BC7" w:rsidRPr="00AD4D0F" w:rsidRDefault="00355BC7">
            <w:pPr>
              <w:spacing w:after="18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val="es-CO" w:eastAsia="en-US"/>
              </w:rPr>
            </w:pPr>
          </w:p>
        </w:tc>
        <w:tc>
          <w:tcPr>
            <w:tcW w:w="799" w:type="pct"/>
            <w:tcBorders>
              <w:right w:val="single" w:sz="8" w:space="0" w:color="549E39"/>
            </w:tcBorders>
            <w:hideMark/>
          </w:tcPr>
          <w:p w:rsidR="00355BC7" w:rsidRPr="00AD4D0F" w:rsidRDefault="00355BC7">
            <w:pPr>
              <w:spacing w:after="18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val="es-CO" w:eastAsia="en-US"/>
              </w:rPr>
            </w:pPr>
            <w:r w:rsidRPr="00AD4D0F">
              <w:rPr>
                <w:rFonts w:ascii="Arial" w:eastAsia="Times New Roman" w:hAnsi="Arial" w:cs="Arial"/>
                <w:b/>
                <w:sz w:val="20"/>
                <w:szCs w:val="20"/>
                <w:lang w:val="es-CO" w:eastAsia="en-US"/>
              </w:rPr>
              <w:t>-</w:t>
            </w:r>
          </w:p>
        </w:tc>
      </w:tr>
      <w:tr w:rsidR="00355BC7" w:rsidRPr="00AD4D0F" w:rsidTr="00355BC7">
        <w:tc>
          <w:tcPr>
            <w:cnfStyle w:val="001000000000" w:firstRow="0" w:lastRow="0" w:firstColumn="1" w:lastColumn="0" w:oddVBand="0" w:evenVBand="0" w:oddHBand="0" w:evenHBand="0" w:firstRowFirstColumn="0" w:firstRowLastColumn="0" w:lastRowFirstColumn="0" w:lastRowLastColumn="0"/>
            <w:tcW w:w="2057" w:type="pct"/>
            <w:noWrap/>
            <w:hideMark/>
          </w:tcPr>
          <w:p w:rsidR="00355BC7" w:rsidRPr="00AD4D0F" w:rsidRDefault="00355BC7">
            <w:pPr>
              <w:spacing w:after="180" w:line="264" w:lineRule="auto"/>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 xml:space="preserve">Recursos del Balance </w:t>
            </w:r>
          </w:p>
        </w:tc>
        <w:tc>
          <w:tcPr>
            <w:tcW w:w="924" w:type="pct"/>
            <w:tcBorders>
              <w:top w:val="nil"/>
              <w:left w:val="nil"/>
              <w:bottom w:val="nil"/>
              <w:right w:val="nil"/>
            </w:tcBorders>
          </w:tcPr>
          <w:p w:rsidR="00355BC7" w:rsidRPr="00AD4D0F" w:rsidRDefault="00355BC7">
            <w:pPr>
              <w:spacing w:after="18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CO"/>
              </w:rPr>
            </w:pPr>
          </w:p>
        </w:tc>
        <w:tc>
          <w:tcPr>
            <w:tcW w:w="924" w:type="pct"/>
            <w:tcBorders>
              <w:top w:val="nil"/>
              <w:left w:val="nil"/>
              <w:bottom w:val="nil"/>
              <w:right w:val="nil"/>
            </w:tcBorders>
            <w:hideMark/>
          </w:tcPr>
          <w:p w:rsidR="00355BC7" w:rsidRPr="00AD4D0F" w:rsidRDefault="00355BC7">
            <w:pPr>
              <w:spacing w:after="1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n-US"/>
              </w:rPr>
            </w:pPr>
            <w:r w:rsidRPr="00AD4D0F">
              <w:rPr>
                <w:rFonts w:ascii="Arial" w:hAnsi="Arial" w:cs="Arial"/>
                <w:b/>
                <w:sz w:val="20"/>
                <w:szCs w:val="20"/>
                <w:lang w:val="es-CO"/>
              </w:rPr>
              <w:t>1.047             0</w:t>
            </w:r>
          </w:p>
        </w:tc>
        <w:tc>
          <w:tcPr>
            <w:tcW w:w="296" w:type="pct"/>
            <w:tcBorders>
              <w:top w:val="nil"/>
              <w:left w:val="nil"/>
              <w:bottom w:val="nil"/>
              <w:right w:val="nil"/>
            </w:tcBorders>
          </w:tcPr>
          <w:p w:rsidR="00355BC7" w:rsidRPr="00AD4D0F" w:rsidRDefault="00355BC7">
            <w:pPr>
              <w:spacing w:after="1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n-US"/>
              </w:rPr>
            </w:pPr>
          </w:p>
        </w:tc>
        <w:tc>
          <w:tcPr>
            <w:tcW w:w="799" w:type="pct"/>
            <w:tcBorders>
              <w:top w:val="nil"/>
              <w:left w:val="nil"/>
              <w:bottom w:val="nil"/>
              <w:right w:val="single" w:sz="8" w:space="0" w:color="549E39"/>
            </w:tcBorders>
            <w:hideMark/>
          </w:tcPr>
          <w:p w:rsidR="00355BC7" w:rsidRPr="00AD4D0F" w:rsidRDefault="00355BC7">
            <w:pPr>
              <w:spacing w:after="1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-100</w:t>
            </w:r>
            <w:r w:rsidR="00A72BD5">
              <w:rPr>
                <w:rFonts w:ascii="Arial" w:eastAsia="Times New Roman" w:hAnsi="Arial" w:cs="Arial"/>
                <w:sz w:val="20"/>
                <w:szCs w:val="20"/>
                <w:lang w:val="es-CO" w:eastAsia="en-US"/>
              </w:rPr>
              <w:t xml:space="preserve"> </w:t>
            </w:r>
            <w:r w:rsidRPr="00AD4D0F">
              <w:rPr>
                <w:rFonts w:ascii="Arial" w:eastAsia="Times New Roman" w:hAnsi="Arial" w:cs="Arial"/>
                <w:sz w:val="20"/>
                <w:szCs w:val="20"/>
                <w:lang w:val="es-CO" w:eastAsia="en-US"/>
              </w:rPr>
              <w:t>%</w:t>
            </w:r>
          </w:p>
        </w:tc>
      </w:tr>
      <w:tr w:rsidR="00355BC7" w:rsidRPr="00AD4D0F" w:rsidTr="0035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pct"/>
            <w:noWrap/>
            <w:hideMark/>
          </w:tcPr>
          <w:p w:rsidR="00355BC7" w:rsidRPr="00AD4D0F" w:rsidRDefault="00355BC7">
            <w:pPr>
              <w:spacing w:after="180" w:line="264" w:lineRule="auto"/>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Superávit Fiscal</w:t>
            </w:r>
          </w:p>
        </w:tc>
        <w:tc>
          <w:tcPr>
            <w:tcW w:w="924" w:type="pct"/>
          </w:tcPr>
          <w:p w:rsidR="00355BC7" w:rsidRPr="00AD4D0F" w:rsidRDefault="00355BC7">
            <w:pPr>
              <w:spacing w:after="18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CO"/>
              </w:rPr>
            </w:pPr>
          </w:p>
        </w:tc>
        <w:tc>
          <w:tcPr>
            <w:tcW w:w="924" w:type="pct"/>
            <w:hideMark/>
          </w:tcPr>
          <w:p w:rsidR="00355BC7" w:rsidRPr="00AD4D0F" w:rsidRDefault="00355BC7">
            <w:pPr>
              <w:spacing w:after="18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CO"/>
              </w:rPr>
            </w:pPr>
            <w:r w:rsidRPr="00AD4D0F">
              <w:rPr>
                <w:rFonts w:ascii="Arial" w:hAnsi="Arial" w:cs="Arial"/>
                <w:b/>
                <w:sz w:val="20"/>
                <w:szCs w:val="20"/>
                <w:lang w:val="es-CO"/>
              </w:rPr>
              <w:t>1.047             0</w:t>
            </w:r>
          </w:p>
        </w:tc>
        <w:tc>
          <w:tcPr>
            <w:tcW w:w="296" w:type="pct"/>
          </w:tcPr>
          <w:p w:rsidR="00355BC7" w:rsidRPr="00AD4D0F" w:rsidRDefault="00355BC7">
            <w:pPr>
              <w:spacing w:after="18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eastAsia="en-US"/>
              </w:rPr>
            </w:pPr>
          </w:p>
        </w:tc>
        <w:tc>
          <w:tcPr>
            <w:tcW w:w="799" w:type="pct"/>
            <w:tcBorders>
              <w:right w:val="single" w:sz="8" w:space="0" w:color="549E39"/>
            </w:tcBorders>
            <w:hideMark/>
          </w:tcPr>
          <w:p w:rsidR="00355BC7" w:rsidRPr="00AD4D0F" w:rsidRDefault="00355BC7">
            <w:pPr>
              <w:spacing w:after="18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-110</w:t>
            </w:r>
            <w:r w:rsidR="00A72BD5">
              <w:rPr>
                <w:rFonts w:ascii="Arial" w:eastAsia="Times New Roman" w:hAnsi="Arial" w:cs="Arial"/>
                <w:sz w:val="20"/>
                <w:szCs w:val="20"/>
                <w:lang w:val="es-CO" w:eastAsia="en-US"/>
              </w:rPr>
              <w:t xml:space="preserve"> </w:t>
            </w:r>
            <w:r w:rsidRPr="00AD4D0F">
              <w:rPr>
                <w:rFonts w:ascii="Arial" w:eastAsia="Times New Roman" w:hAnsi="Arial" w:cs="Arial"/>
                <w:sz w:val="20"/>
                <w:szCs w:val="20"/>
                <w:lang w:val="es-CO" w:eastAsia="en-US"/>
              </w:rPr>
              <w:t>%</w:t>
            </w:r>
          </w:p>
        </w:tc>
      </w:tr>
      <w:tr w:rsidR="00355BC7" w:rsidRPr="00AD4D0F" w:rsidTr="00355BC7">
        <w:tc>
          <w:tcPr>
            <w:cnfStyle w:val="001000000000" w:firstRow="0" w:lastRow="0" w:firstColumn="1" w:lastColumn="0" w:oddVBand="0" w:evenVBand="0" w:oddHBand="0" w:evenHBand="0" w:firstRowFirstColumn="0" w:firstRowLastColumn="0" w:lastRowFirstColumn="0" w:lastRowLastColumn="0"/>
            <w:tcW w:w="2057" w:type="pct"/>
            <w:noWrap/>
            <w:hideMark/>
          </w:tcPr>
          <w:p w:rsidR="00355BC7" w:rsidRPr="00AD4D0F" w:rsidRDefault="00355BC7">
            <w:pPr>
              <w:spacing w:after="180" w:line="264" w:lineRule="auto"/>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Cancelación de Reservas</w:t>
            </w:r>
          </w:p>
        </w:tc>
        <w:tc>
          <w:tcPr>
            <w:tcW w:w="924" w:type="pct"/>
            <w:tcBorders>
              <w:top w:val="nil"/>
              <w:left w:val="nil"/>
              <w:bottom w:val="nil"/>
              <w:right w:val="nil"/>
            </w:tcBorders>
          </w:tcPr>
          <w:p w:rsidR="00355BC7" w:rsidRPr="00AD4D0F" w:rsidRDefault="00355BC7">
            <w:pPr>
              <w:spacing w:after="18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CO"/>
              </w:rPr>
            </w:pPr>
          </w:p>
        </w:tc>
        <w:tc>
          <w:tcPr>
            <w:tcW w:w="924" w:type="pct"/>
            <w:tcBorders>
              <w:top w:val="nil"/>
              <w:left w:val="nil"/>
              <w:bottom w:val="nil"/>
              <w:right w:val="nil"/>
            </w:tcBorders>
            <w:hideMark/>
          </w:tcPr>
          <w:p w:rsidR="00355BC7" w:rsidRPr="00AD4D0F" w:rsidRDefault="00355BC7">
            <w:pPr>
              <w:spacing w:after="18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CO"/>
              </w:rPr>
            </w:pPr>
            <w:r w:rsidRPr="00AD4D0F">
              <w:rPr>
                <w:rFonts w:ascii="Arial" w:hAnsi="Arial" w:cs="Arial"/>
                <w:b/>
                <w:sz w:val="20"/>
                <w:szCs w:val="20"/>
                <w:lang w:val="es-CO"/>
              </w:rPr>
              <w:t>0                    0</w:t>
            </w:r>
          </w:p>
        </w:tc>
        <w:tc>
          <w:tcPr>
            <w:tcW w:w="296" w:type="pct"/>
            <w:tcBorders>
              <w:top w:val="nil"/>
              <w:left w:val="nil"/>
              <w:bottom w:val="nil"/>
              <w:right w:val="nil"/>
            </w:tcBorders>
          </w:tcPr>
          <w:p w:rsidR="00355BC7" w:rsidRPr="00AD4D0F" w:rsidRDefault="00355BC7">
            <w:pPr>
              <w:spacing w:after="1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n-US"/>
              </w:rPr>
            </w:pPr>
          </w:p>
        </w:tc>
        <w:tc>
          <w:tcPr>
            <w:tcW w:w="799" w:type="pct"/>
            <w:tcBorders>
              <w:top w:val="nil"/>
              <w:left w:val="nil"/>
              <w:bottom w:val="nil"/>
              <w:right w:val="single" w:sz="8" w:space="0" w:color="549E39"/>
            </w:tcBorders>
            <w:hideMark/>
          </w:tcPr>
          <w:p w:rsidR="00355BC7" w:rsidRPr="00AD4D0F" w:rsidRDefault="00355BC7">
            <w:pPr>
              <w:spacing w:after="1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w:t>
            </w:r>
          </w:p>
        </w:tc>
      </w:tr>
      <w:tr w:rsidR="00355BC7" w:rsidRPr="00AD4D0F" w:rsidTr="0035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pct"/>
            <w:noWrap/>
            <w:hideMark/>
          </w:tcPr>
          <w:p w:rsidR="00355BC7" w:rsidRPr="00AD4D0F" w:rsidRDefault="00355BC7">
            <w:pPr>
              <w:spacing w:after="180" w:line="264" w:lineRule="auto"/>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Rendimientos Financieros</w:t>
            </w:r>
          </w:p>
        </w:tc>
        <w:tc>
          <w:tcPr>
            <w:tcW w:w="924" w:type="pct"/>
          </w:tcPr>
          <w:p w:rsidR="00355BC7" w:rsidRPr="00AD4D0F" w:rsidRDefault="00355BC7">
            <w:pPr>
              <w:spacing w:after="18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CO"/>
              </w:rPr>
            </w:pPr>
          </w:p>
        </w:tc>
        <w:tc>
          <w:tcPr>
            <w:tcW w:w="924" w:type="pct"/>
            <w:hideMark/>
          </w:tcPr>
          <w:p w:rsidR="00355BC7" w:rsidRPr="00AD4D0F" w:rsidRDefault="00355BC7">
            <w:pPr>
              <w:spacing w:after="180" w:line="264"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CO"/>
              </w:rPr>
            </w:pPr>
            <w:r w:rsidRPr="00AD4D0F">
              <w:rPr>
                <w:rFonts w:ascii="Arial" w:hAnsi="Arial" w:cs="Arial"/>
                <w:b/>
                <w:sz w:val="20"/>
                <w:szCs w:val="20"/>
                <w:lang w:val="es-CO"/>
              </w:rPr>
              <w:t xml:space="preserve">41                 40 </w:t>
            </w:r>
          </w:p>
        </w:tc>
        <w:tc>
          <w:tcPr>
            <w:tcW w:w="296" w:type="pct"/>
          </w:tcPr>
          <w:p w:rsidR="00355BC7" w:rsidRPr="00AD4D0F" w:rsidRDefault="00355BC7">
            <w:pPr>
              <w:spacing w:after="18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eastAsia="en-US"/>
              </w:rPr>
            </w:pPr>
          </w:p>
        </w:tc>
        <w:tc>
          <w:tcPr>
            <w:tcW w:w="799" w:type="pct"/>
            <w:tcBorders>
              <w:right w:val="single" w:sz="8" w:space="0" w:color="549E39"/>
            </w:tcBorders>
            <w:hideMark/>
          </w:tcPr>
          <w:p w:rsidR="00355BC7" w:rsidRPr="00AD4D0F" w:rsidRDefault="00355BC7">
            <w:pPr>
              <w:spacing w:after="180" w:line="264"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-2</w:t>
            </w:r>
            <w:r w:rsidR="00A72BD5">
              <w:rPr>
                <w:rFonts w:ascii="Arial" w:eastAsia="Times New Roman" w:hAnsi="Arial" w:cs="Arial"/>
                <w:sz w:val="20"/>
                <w:szCs w:val="20"/>
                <w:lang w:val="es-CO" w:eastAsia="en-US"/>
              </w:rPr>
              <w:t xml:space="preserve"> </w:t>
            </w:r>
            <w:r w:rsidRPr="00AD4D0F">
              <w:rPr>
                <w:rFonts w:ascii="Arial" w:eastAsia="Times New Roman" w:hAnsi="Arial" w:cs="Arial"/>
                <w:sz w:val="20"/>
                <w:szCs w:val="20"/>
                <w:lang w:val="es-CO" w:eastAsia="en-US"/>
              </w:rPr>
              <w:t>%</w:t>
            </w:r>
          </w:p>
        </w:tc>
      </w:tr>
      <w:tr w:rsidR="00355BC7" w:rsidRPr="00AD4D0F" w:rsidTr="00355BC7">
        <w:tc>
          <w:tcPr>
            <w:cnfStyle w:val="001000000000" w:firstRow="0" w:lastRow="0" w:firstColumn="1" w:lastColumn="0" w:oddVBand="0" w:evenVBand="0" w:oddHBand="0" w:evenHBand="0" w:firstRowFirstColumn="0" w:firstRowLastColumn="0" w:lastRowFirstColumn="0" w:lastRowLastColumn="0"/>
            <w:tcW w:w="2057" w:type="pct"/>
            <w:noWrap/>
            <w:hideMark/>
          </w:tcPr>
          <w:p w:rsidR="00355BC7" w:rsidRPr="00AD4D0F" w:rsidRDefault="00355BC7">
            <w:pPr>
              <w:spacing w:after="180" w:line="264" w:lineRule="auto"/>
              <w:rPr>
                <w:rFonts w:ascii="Arial" w:eastAsia="Times New Roman" w:hAnsi="Arial" w:cs="Arial"/>
                <w:b/>
                <w:sz w:val="20"/>
                <w:szCs w:val="20"/>
                <w:lang w:val="es-CO" w:eastAsia="en-US"/>
              </w:rPr>
            </w:pPr>
            <w:r w:rsidRPr="00AD4D0F">
              <w:rPr>
                <w:rFonts w:ascii="Arial" w:eastAsia="Times New Roman" w:hAnsi="Arial" w:cs="Arial"/>
                <w:b/>
                <w:sz w:val="20"/>
                <w:szCs w:val="20"/>
                <w:lang w:val="es-CO" w:eastAsia="en-US"/>
              </w:rPr>
              <w:t xml:space="preserve">TOTAL </w:t>
            </w:r>
          </w:p>
        </w:tc>
        <w:tc>
          <w:tcPr>
            <w:tcW w:w="924" w:type="pct"/>
            <w:tcBorders>
              <w:top w:val="nil"/>
              <w:left w:val="nil"/>
              <w:bottom w:val="single" w:sz="8" w:space="0" w:color="549E39"/>
              <w:right w:val="nil"/>
            </w:tcBorders>
          </w:tcPr>
          <w:p w:rsidR="00355BC7" w:rsidRPr="00AD4D0F" w:rsidRDefault="00355BC7">
            <w:pPr>
              <w:spacing w:after="18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CO"/>
              </w:rPr>
            </w:pPr>
          </w:p>
        </w:tc>
        <w:tc>
          <w:tcPr>
            <w:tcW w:w="924" w:type="pct"/>
            <w:tcBorders>
              <w:top w:val="nil"/>
              <w:left w:val="nil"/>
              <w:bottom w:val="single" w:sz="8" w:space="0" w:color="549E39"/>
              <w:right w:val="nil"/>
            </w:tcBorders>
            <w:hideMark/>
          </w:tcPr>
          <w:p w:rsidR="00355BC7" w:rsidRPr="00AD4D0F" w:rsidRDefault="00355BC7">
            <w:pPr>
              <w:spacing w:after="18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s-CO"/>
              </w:rPr>
            </w:pPr>
            <w:r w:rsidRPr="00AD4D0F">
              <w:rPr>
                <w:rFonts w:ascii="Arial" w:hAnsi="Arial" w:cs="Arial"/>
                <w:b/>
                <w:sz w:val="20"/>
                <w:szCs w:val="20"/>
                <w:lang w:val="es-CO"/>
              </w:rPr>
              <w:t xml:space="preserve">3.434       2.851 </w:t>
            </w:r>
          </w:p>
        </w:tc>
        <w:tc>
          <w:tcPr>
            <w:tcW w:w="296" w:type="pct"/>
            <w:tcBorders>
              <w:top w:val="nil"/>
              <w:left w:val="nil"/>
              <w:bottom w:val="single" w:sz="8" w:space="0" w:color="549E39"/>
              <w:right w:val="nil"/>
            </w:tcBorders>
          </w:tcPr>
          <w:p w:rsidR="00355BC7" w:rsidRPr="00AD4D0F" w:rsidRDefault="00355BC7">
            <w:pPr>
              <w:spacing w:after="1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n-US"/>
              </w:rPr>
            </w:pPr>
          </w:p>
        </w:tc>
        <w:tc>
          <w:tcPr>
            <w:tcW w:w="799" w:type="pct"/>
            <w:tcBorders>
              <w:top w:val="nil"/>
              <w:left w:val="nil"/>
              <w:bottom w:val="single" w:sz="8" w:space="0" w:color="549E39"/>
              <w:right w:val="single" w:sz="8" w:space="0" w:color="549E39"/>
            </w:tcBorders>
            <w:hideMark/>
          </w:tcPr>
          <w:p w:rsidR="00355BC7" w:rsidRPr="00AD4D0F" w:rsidRDefault="00355BC7">
            <w:pPr>
              <w:spacing w:after="1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eastAsia="en-US"/>
              </w:rPr>
            </w:pPr>
            <w:r w:rsidRPr="00AD4D0F">
              <w:rPr>
                <w:rFonts w:ascii="Arial" w:eastAsia="Times New Roman" w:hAnsi="Arial" w:cs="Arial"/>
                <w:sz w:val="20"/>
                <w:szCs w:val="20"/>
                <w:lang w:val="es-CO" w:eastAsia="en-US"/>
              </w:rPr>
              <w:t>-17</w:t>
            </w:r>
            <w:r w:rsidR="00A72BD5">
              <w:rPr>
                <w:rFonts w:ascii="Arial" w:eastAsia="Times New Roman" w:hAnsi="Arial" w:cs="Arial"/>
                <w:sz w:val="20"/>
                <w:szCs w:val="20"/>
                <w:lang w:val="es-CO" w:eastAsia="en-US"/>
              </w:rPr>
              <w:t xml:space="preserve"> </w:t>
            </w:r>
            <w:r w:rsidRPr="00AD4D0F">
              <w:rPr>
                <w:rFonts w:ascii="Arial" w:eastAsia="Times New Roman" w:hAnsi="Arial" w:cs="Arial"/>
                <w:sz w:val="20"/>
                <w:szCs w:val="20"/>
                <w:lang w:val="es-CO" w:eastAsia="en-US"/>
              </w:rPr>
              <w:t>%</w:t>
            </w:r>
          </w:p>
        </w:tc>
      </w:tr>
    </w:tbl>
    <w:p w:rsidR="00355BC7" w:rsidRDefault="00355BC7" w:rsidP="00355BC7">
      <w:pPr>
        <w:autoSpaceDE w:val="0"/>
        <w:autoSpaceDN w:val="0"/>
        <w:adjustRightInd w:val="0"/>
        <w:spacing w:after="180" w:line="264" w:lineRule="auto"/>
        <w:jc w:val="both"/>
        <w:rPr>
          <w:rFonts w:ascii="Arial" w:eastAsia="Times New Roman" w:hAnsi="Arial" w:cs="Arial"/>
          <w:sz w:val="22"/>
          <w:szCs w:val="22"/>
          <w:vertAlign w:val="subscript"/>
          <w:lang w:val="es-CO" w:eastAsia="en-US"/>
        </w:rPr>
      </w:pPr>
      <w:r>
        <w:rPr>
          <w:rFonts w:ascii="Arial" w:eastAsia="Times New Roman" w:hAnsi="Arial" w:cs="Arial"/>
          <w:b/>
          <w:sz w:val="22"/>
          <w:szCs w:val="22"/>
          <w:vertAlign w:val="subscript"/>
          <w:lang w:val="es-CO" w:eastAsia="en-US"/>
        </w:rPr>
        <w:lastRenderedPageBreak/>
        <w:t xml:space="preserve">Fuente: </w:t>
      </w:r>
      <w:r>
        <w:rPr>
          <w:rFonts w:ascii="Arial" w:eastAsia="Times New Roman" w:hAnsi="Arial" w:cs="Arial"/>
          <w:sz w:val="22"/>
          <w:szCs w:val="22"/>
          <w:vertAlign w:val="subscript"/>
          <w:lang w:val="es-CO" w:eastAsia="en-US"/>
        </w:rPr>
        <w:t>Información Financiera Municipio de Mitú-Vaupés</w:t>
      </w:r>
    </w:p>
    <w:p w:rsidR="00355BC7" w:rsidRDefault="00355BC7" w:rsidP="00355BC7">
      <w:pPr>
        <w:autoSpaceDE w:val="0"/>
        <w:autoSpaceDN w:val="0"/>
        <w:adjustRightInd w:val="0"/>
        <w:spacing w:after="180" w:line="264" w:lineRule="auto"/>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 xml:space="preserve">El análisis de la información presentada permitió realizar las siguientes consideraciones: </w:t>
      </w:r>
    </w:p>
    <w:p w:rsidR="00355BC7" w:rsidRDefault="00355BC7" w:rsidP="00355BC7">
      <w:pPr>
        <w:numPr>
          <w:ilvl w:val="0"/>
          <w:numId w:val="26"/>
        </w:numPr>
        <w:autoSpaceDE w:val="0"/>
        <w:autoSpaceDN w:val="0"/>
        <w:adjustRightInd w:val="0"/>
        <w:spacing w:after="180" w:line="264" w:lineRule="auto"/>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La transferencia corriente de la Participación del SGP – APSB mostró un crecimiento del 20</w:t>
      </w:r>
      <w:r w:rsidR="00AD4D0F">
        <w:rPr>
          <w:rFonts w:ascii="Arial" w:eastAsia="Times New Roman" w:hAnsi="Arial" w:cs="Arial"/>
          <w:sz w:val="22"/>
          <w:szCs w:val="22"/>
          <w:lang w:val="es-CO" w:eastAsia="en-US"/>
        </w:rPr>
        <w:t xml:space="preserve"> </w:t>
      </w:r>
      <w:r>
        <w:rPr>
          <w:rFonts w:ascii="Arial" w:eastAsia="Times New Roman" w:hAnsi="Arial" w:cs="Arial"/>
          <w:sz w:val="22"/>
          <w:szCs w:val="22"/>
          <w:lang w:val="es-CO" w:eastAsia="en-US"/>
        </w:rPr>
        <w:t xml:space="preserve">%. </w:t>
      </w:r>
    </w:p>
    <w:p w:rsidR="00355BC7" w:rsidRDefault="00355BC7" w:rsidP="00355BC7">
      <w:pPr>
        <w:numPr>
          <w:ilvl w:val="0"/>
          <w:numId w:val="26"/>
        </w:numPr>
        <w:autoSpaceDE w:val="0"/>
        <w:autoSpaceDN w:val="0"/>
        <w:adjustRightInd w:val="0"/>
        <w:spacing w:after="180" w:line="264" w:lineRule="auto"/>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 xml:space="preserve">El Superávit fiscal decreció porqué el Municipio no registro en la ejecución presupuestal de ingresos el recaudo del superávit de la vigencia fiscal 2019 y anteriores. </w:t>
      </w:r>
    </w:p>
    <w:p w:rsidR="00355BC7" w:rsidRDefault="00355BC7" w:rsidP="00355BC7">
      <w:pPr>
        <w:numPr>
          <w:ilvl w:val="0"/>
          <w:numId w:val="26"/>
        </w:numPr>
        <w:autoSpaceDE w:val="0"/>
        <w:autoSpaceDN w:val="0"/>
        <w:adjustRightInd w:val="0"/>
        <w:spacing w:after="180" w:line="264" w:lineRule="auto"/>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 xml:space="preserve">Los rendimientos financieros presentaron una leve disminución. </w:t>
      </w:r>
    </w:p>
    <w:p w:rsidR="00355BC7" w:rsidRDefault="00355BC7" w:rsidP="00355BC7">
      <w:pPr>
        <w:numPr>
          <w:ilvl w:val="0"/>
          <w:numId w:val="26"/>
        </w:numPr>
        <w:autoSpaceDE w:val="0"/>
        <w:autoSpaceDN w:val="0"/>
        <w:adjustRightInd w:val="0"/>
        <w:spacing w:after="180" w:line="264" w:lineRule="auto"/>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 xml:space="preserve">La información registrada en la ejecución presupuestal de ingresos guarda consistencia entre sí, frente a lo reportado a través del aplicativo del Formato Único Territorial-FUT. Lo que significa que para el año 2020 el valor del ingreso de la transferencia del SGP-APSB ($2.811 millones y recursos de capital $40 millones) fue igual al reportado en el FUT. </w:t>
      </w:r>
    </w:p>
    <w:p w:rsidR="00355BC7" w:rsidRDefault="00355BC7" w:rsidP="00355BC7">
      <w:pPr>
        <w:numPr>
          <w:ilvl w:val="0"/>
          <w:numId w:val="26"/>
        </w:numPr>
        <w:autoSpaceDE w:val="0"/>
        <w:autoSpaceDN w:val="0"/>
        <w:adjustRightInd w:val="0"/>
        <w:spacing w:after="180" w:line="264" w:lineRule="auto"/>
        <w:jc w:val="both"/>
        <w:rPr>
          <w:rFonts w:ascii="Arial" w:eastAsiaTheme="minorHAnsi" w:hAnsi="Arial" w:cs="Arial"/>
          <w:sz w:val="22"/>
          <w:szCs w:val="22"/>
          <w:lang w:val="es-CO" w:eastAsia="en-US"/>
        </w:rPr>
      </w:pPr>
      <w:r>
        <w:rPr>
          <w:rFonts w:ascii="Arial" w:eastAsia="Times New Roman" w:hAnsi="Arial" w:cs="Arial"/>
          <w:sz w:val="22"/>
          <w:szCs w:val="22"/>
          <w:lang w:val="es-CO" w:eastAsia="en-US"/>
        </w:rPr>
        <w:t xml:space="preserve">Las cifras de las transferencias de la participación del SGP – APSB registradas en la ejecución presupuestal de ingresos de 2020, mostraron total coincidencia entre sí en relación con los documentos de </w:t>
      </w:r>
      <w:r>
        <w:rPr>
          <w:rFonts w:ascii="Arial" w:eastAsiaTheme="minorHAnsi" w:hAnsi="Arial" w:cs="Arial"/>
          <w:sz w:val="22"/>
          <w:szCs w:val="22"/>
          <w:lang w:val="es-CO" w:eastAsia="en-US"/>
        </w:rPr>
        <w:t xml:space="preserve">distribución del SGP y las transferencias realizadas por el MVCT. </w:t>
      </w:r>
    </w:p>
    <w:p w:rsidR="00355BC7" w:rsidRDefault="00355BC7" w:rsidP="00355BC7">
      <w:pPr>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Es importante señalar que, en el 2019, en la Categoría del Cierre Fiscal del FUT el Municipio mostró un superávit por $1.266 millones, el cual no fue incorporado como recurso del balance en el presupuesto de 2020, la información del FUT tampoco mostró esos recursos. El siguiente cuadro muestra los valores que estaban disponibles a esa fecha después de descontar las exigibilidades en el 2019. </w:t>
      </w:r>
    </w:p>
    <w:p w:rsidR="00355BC7" w:rsidRDefault="00355BC7" w:rsidP="00355BC7">
      <w:pPr>
        <w:jc w:val="center"/>
        <w:rPr>
          <w:rFonts w:ascii="Arial" w:eastAsiaTheme="minorHAnsi" w:hAnsi="Arial" w:cs="Arial"/>
          <w:b/>
          <w:lang w:val="es-CO" w:eastAsia="en-US"/>
        </w:rPr>
      </w:pPr>
    </w:p>
    <w:p w:rsidR="00355BC7" w:rsidRPr="00752183" w:rsidRDefault="00355BC7" w:rsidP="00355BC7">
      <w:pPr>
        <w:jc w:val="center"/>
        <w:rPr>
          <w:rFonts w:ascii="Arial" w:eastAsiaTheme="minorHAnsi" w:hAnsi="Arial" w:cs="Arial"/>
          <w:b/>
          <w:sz w:val="20"/>
          <w:szCs w:val="20"/>
          <w:lang w:val="es-CO" w:eastAsia="en-US"/>
        </w:rPr>
      </w:pPr>
      <w:r w:rsidRPr="00752183">
        <w:rPr>
          <w:rFonts w:ascii="Arial" w:eastAsiaTheme="minorHAnsi" w:hAnsi="Arial" w:cs="Arial"/>
          <w:b/>
          <w:sz w:val="20"/>
          <w:szCs w:val="20"/>
          <w:lang w:val="es-CO" w:eastAsia="en-US"/>
        </w:rPr>
        <w:t>210197001 - Mitú</w:t>
      </w:r>
    </w:p>
    <w:p w:rsidR="00355BC7" w:rsidRDefault="00355BC7" w:rsidP="00355BC7">
      <w:pPr>
        <w:jc w:val="center"/>
        <w:rPr>
          <w:rFonts w:ascii="Arial" w:eastAsiaTheme="minorHAnsi" w:hAnsi="Arial" w:cs="Arial"/>
          <w:noProof/>
          <w:sz w:val="22"/>
          <w:szCs w:val="22"/>
          <w:lang w:val="es-419" w:eastAsia="es-419"/>
        </w:rPr>
      </w:pPr>
      <w:r w:rsidRPr="00752183">
        <w:rPr>
          <w:rFonts w:ascii="Arial" w:eastAsiaTheme="minorHAnsi" w:hAnsi="Arial" w:cs="Arial"/>
          <w:b/>
          <w:sz w:val="20"/>
          <w:szCs w:val="20"/>
          <w:lang w:val="es-CO" w:eastAsia="en-US"/>
        </w:rPr>
        <w:t xml:space="preserve">                                           Cierre Fiscal – FUT 2019                                     Pesos</w:t>
      </w:r>
      <w:r>
        <w:rPr>
          <w:rFonts w:ascii="Arial" w:eastAsiaTheme="minorHAnsi" w:hAnsi="Arial" w:cs="Arial"/>
          <w:b/>
          <w:sz w:val="16"/>
          <w:szCs w:val="16"/>
          <w:lang w:val="es-CO" w:eastAsia="en-US"/>
        </w:rPr>
        <w:t xml:space="preserve"> </w:t>
      </w:r>
      <w:r>
        <w:rPr>
          <w:rFonts w:ascii="Arial" w:eastAsiaTheme="minorHAnsi" w:hAnsi="Arial" w:cs="Arial"/>
          <w:noProof/>
          <w:sz w:val="22"/>
          <w:szCs w:val="22"/>
          <w:lang w:val="es-CO" w:eastAsia="es-CO"/>
        </w:rPr>
        <w:drawing>
          <wp:inline distT="0" distB="0" distL="0" distR="0">
            <wp:extent cx="5603240" cy="11087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3240" cy="1108710"/>
                    </a:xfrm>
                    <a:prstGeom prst="rect">
                      <a:avLst/>
                    </a:prstGeom>
                    <a:noFill/>
                    <a:ln>
                      <a:noFill/>
                    </a:ln>
                  </pic:spPr>
                </pic:pic>
              </a:graphicData>
            </a:graphic>
          </wp:inline>
        </w:drawing>
      </w:r>
    </w:p>
    <w:p w:rsidR="00355BC7" w:rsidRDefault="00355BC7" w:rsidP="00355BC7">
      <w:pPr>
        <w:jc w:val="both"/>
        <w:rPr>
          <w:rFonts w:ascii="Arial" w:eastAsiaTheme="minorHAnsi" w:hAnsi="Arial" w:cs="Arial"/>
          <w:sz w:val="16"/>
          <w:szCs w:val="16"/>
          <w:lang w:val="es-CO" w:eastAsia="en-US"/>
        </w:rPr>
      </w:pPr>
      <w:r>
        <w:rPr>
          <w:rFonts w:ascii="Arial" w:eastAsiaTheme="minorHAnsi" w:hAnsi="Arial" w:cs="Arial"/>
          <w:sz w:val="16"/>
          <w:szCs w:val="16"/>
          <w:lang w:val="es-CO" w:eastAsia="en-US"/>
        </w:rPr>
        <w:t xml:space="preserve"> Fuente: FUT-2019 -</w:t>
      </w:r>
      <w:hyperlink r:id="rId30" w:history="1">
        <w:r>
          <w:rPr>
            <w:rStyle w:val="Hipervnculo"/>
            <w:rFonts w:ascii="Arial" w:eastAsiaTheme="minorHAnsi" w:hAnsi="Arial" w:cs="Arial"/>
            <w:sz w:val="16"/>
            <w:szCs w:val="16"/>
            <w:lang w:val="es-CO" w:eastAsia="en-US"/>
          </w:rPr>
          <w:t>https://www.chip.gov.co/schip_rt/index.jsf</w:t>
        </w:r>
      </w:hyperlink>
    </w:p>
    <w:p w:rsidR="00355BC7" w:rsidRDefault="00355BC7" w:rsidP="00355BC7">
      <w:pPr>
        <w:jc w:val="both"/>
        <w:rPr>
          <w:rFonts w:ascii="Arial" w:eastAsiaTheme="minorHAnsi" w:hAnsi="Arial" w:cs="Arial"/>
          <w:sz w:val="22"/>
          <w:szCs w:val="22"/>
          <w:lang w:val="es-CO" w:eastAsia="en-US"/>
        </w:rPr>
      </w:pPr>
    </w:p>
    <w:p w:rsidR="00355BC7" w:rsidRDefault="00355BC7" w:rsidP="00355BC7">
      <w:pPr>
        <w:ind w:left="360"/>
        <w:jc w:val="both"/>
        <w:rPr>
          <w:rFonts w:ascii="Arial" w:eastAsiaTheme="minorHAnsi" w:hAnsi="Arial" w:cs="Arial"/>
          <w:b/>
          <w:sz w:val="22"/>
          <w:szCs w:val="22"/>
          <w:u w:val="single"/>
          <w:lang w:val="es-CO" w:eastAsia="en-US"/>
        </w:rPr>
      </w:pPr>
      <w:r>
        <w:rPr>
          <w:rFonts w:ascii="Arial" w:eastAsiaTheme="minorHAnsi" w:hAnsi="Arial" w:cs="Arial"/>
          <w:b/>
          <w:sz w:val="22"/>
          <w:szCs w:val="22"/>
          <w:lang w:val="es-CO" w:eastAsia="en-US"/>
        </w:rPr>
        <w:t>GASTOS</w:t>
      </w:r>
      <w:r w:rsidR="00AD4D0F">
        <w:rPr>
          <w:rFonts w:ascii="Arial" w:eastAsiaTheme="minorHAnsi" w:hAnsi="Arial" w:cs="Arial"/>
          <w:b/>
          <w:sz w:val="22"/>
          <w:szCs w:val="22"/>
          <w:lang w:val="es-CO" w:eastAsia="en-US"/>
        </w:rPr>
        <w:t>.</w:t>
      </w:r>
    </w:p>
    <w:p w:rsidR="00355BC7" w:rsidRDefault="00355BC7" w:rsidP="00355BC7">
      <w:pPr>
        <w:ind w:left="720"/>
        <w:jc w:val="both"/>
        <w:rPr>
          <w:rFonts w:ascii="Arial" w:eastAsiaTheme="minorHAnsi" w:hAnsi="Arial" w:cs="Arial"/>
          <w:b/>
          <w:sz w:val="22"/>
          <w:szCs w:val="22"/>
          <w:u w:val="single"/>
          <w:lang w:val="es-CO" w:eastAsia="en-US"/>
        </w:rPr>
      </w:pP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r>
        <w:rPr>
          <w:rFonts w:ascii="Arial" w:eastAsia="Calibri" w:hAnsi="Arial" w:cs="Arial"/>
          <w:sz w:val="22"/>
          <w:szCs w:val="22"/>
          <w:lang w:val="es-CO"/>
        </w:rPr>
        <w:t>En el 2020, los gastos totales en el sector financiados con la Participación de APSB-SGP mostraron una reducción del 50</w:t>
      </w:r>
      <w:r w:rsidR="00AD4D0F">
        <w:rPr>
          <w:rFonts w:ascii="Arial" w:eastAsia="Calibri" w:hAnsi="Arial" w:cs="Arial"/>
          <w:sz w:val="22"/>
          <w:szCs w:val="22"/>
          <w:lang w:val="es-CO"/>
        </w:rPr>
        <w:t xml:space="preserve"> </w:t>
      </w:r>
      <w:r>
        <w:rPr>
          <w:rFonts w:ascii="Arial" w:eastAsia="Calibri" w:hAnsi="Arial" w:cs="Arial"/>
          <w:sz w:val="22"/>
          <w:szCs w:val="22"/>
          <w:lang w:val="es-CO"/>
        </w:rPr>
        <w:t xml:space="preserve">% explicado por el menor gasto en inversión y en el servicio de la deuda. </w:t>
      </w: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r>
        <w:rPr>
          <w:rFonts w:ascii="Arial" w:eastAsia="Calibri" w:hAnsi="Arial" w:cs="Arial"/>
          <w:sz w:val="22"/>
          <w:szCs w:val="22"/>
          <w:lang w:val="es-CO"/>
        </w:rPr>
        <w:t xml:space="preserve"> </w:t>
      </w: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r>
        <w:rPr>
          <w:rFonts w:ascii="Arial" w:eastAsia="Calibri" w:hAnsi="Arial" w:cs="Arial"/>
          <w:sz w:val="22"/>
          <w:szCs w:val="22"/>
          <w:lang w:val="es-CO"/>
        </w:rPr>
        <w:lastRenderedPageBreak/>
        <w:t>La reducción en la inversión se debió en primer lugar, a que la entidad territorial de los $2.810 millones que recibió de transferencias del Minvivienda, sólo comprometió el 54</w:t>
      </w:r>
      <w:r w:rsidR="00AD4D0F">
        <w:rPr>
          <w:rFonts w:ascii="Arial" w:eastAsia="Calibri" w:hAnsi="Arial" w:cs="Arial"/>
          <w:sz w:val="22"/>
          <w:szCs w:val="22"/>
          <w:lang w:val="es-CO"/>
        </w:rPr>
        <w:t xml:space="preserve"> </w:t>
      </w:r>
      <w:r>
        <w:rPr>
          <w:rFonts w:ascii="Arial" w:eastAsia="Calibri" w:hAnsi="Arial" w:cs="Arial"/>
          <w:sz w:val="22"/>
          <w:szCs w:val="22"/>
          <w:lang w:val="es-CO"/>
        </w:rPr>
        <w:t xml:space="preserve">% de los recursos de la vigencia ($1.535 millones), es decir, dejo de ejecutar $1.274 millones. </w:t>
      </w: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r>
        <w:rPr>
          <w:rFonts w:ascii="Arial" w:eastAsia="Calibri" w:hAnsi="Arial" w:cs="Arial"/>
          <w:sz w:val="22"/>
          <w:szCs w:val="22"/>
          <w:lang w:val="es-CO"/>
        </w:rPr>
        <w:t>Según lo manifestado por la secretaría de hacienda la baja ejecución del gasto se generó porque se presentaron retrasos en el proceso contractual causados por la situación de emergencia sanitaria originada por la Pandemia del COVID 19.</w:t>
      </w:r>
    </w:p>
    <w:p w:rsidR="00355BC7" w:rsidRDefault="00355BC7" w:rsidP="00355BC7">
      <w:pPr>
        <w:autoSpaceDE w:val="0"/>
        <w:autoSpaceDN w:val="0"/>
        <w:adjustRightInd w:val="0"/>
        <w:ind w:left="720"/>
        <w:contextualSpacing/>
        <w:jc w:val="both"/>
        <w:rPr>
          <w:rFonts w:ascii="Arial" w:eastAsia="Calibri" w:hAnsi="Arial" w:cs="Arial"/>
          <w:szCs w:val="22"/>
          <w:lang w:val="es-CO"/>
        </w:rPr>
      </w:pP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r>
        <w:rPr>
          <w:rFonts w:ascii="Arial" w:eastAsia="Calibri" w:hAnsi="Arial" w:cs="Arial"/>
          <w:sz w:val="22"/>
          <w:szCs w:val="22"/>
          <w:lang w:val="es-CO"/>
        </w:rPr>
        <w:t xml:space="preserve">Vale la pena aclarar que la inversión que se refleja en acueducto, alcantarillado y aseo, se realizaron con recursos de vigencia anteriores. </w:t>
      </w: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r>
        <w:rPr>
          <w:rFonts w:ascii="Arial" w:eastAsia="Calibri" w:hAnsi="Arial" w:cs="Arial"/>
          <w:sz w:val="22"/>
          <w:szCs w:val="22"/>
          <w:lang w:val="es-CO"/>
        </w:rPr>
        <w:t xml:space="preserve">El servicio de la deuda se vio disminuido debido a que en años anteriores el Municipio comprometía recursos conforme lo establecía el antiguo Convenio suscrito con Alianza Fiduciaria y no bajo los valores reales que debía pagar conforme lo definido en la actualización y restitución de la deuda que se hizo con FINDETER. En ese sentido los valores bajaron.   </w:t>
      </w: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r>
        <w:rPr>
          <w:rFonts w:ascii="Arial" w:eastAsia="Calibri" w:hAnsi="Arial" w:cs="Arial"/>
          <w:sz w:val="22"/>
          <w:szCs w:val="22"/>
          <w:lang w:val="es-CO"/>
        </w:rPr>
        <w:t>Por otra parte, los subsidios mostraron un aumento del 64</w:t>
      </w:r>
      <w:r w:rsidR="00A72BD5">
        <w:rPr>
          <w:rFonts w:ascii="Arial" w:eastAsia="Calibri" w:hAnsi="Arial" w:cs="Arial"/>
          <w:sz w:val="22"/>
          <w:szCs w:val="22"/>
          <w:lang w:val="es-CO"/>
        </w:rPr>
        <w:t xml:space="preserve"> </w:t>
      </w:r>
      <w:r>
        <w:rPr>
          <w:rFonts w:ascii="Arial" w:eastAsia="Calibri" w:hAnsi="Arial" w:cs="Arial"/>
          <w:sz w:val="22"/>
          <w:szCs w:val="22"/>
          <w:lang w:val="es-CO"/>
        </w:rPr>
        <w:t>%, esto se debió a que en años anteriores el Municipio no destinaba a la financiación del Fondo de Solidaridad y Redistribución del Ingreso-FSRI el 15</w:t>
      </w:r>
      <w:r w:rsidR="00AD4D0F">
        <w:rPr>
          <w:rFonts w:ascii="Arial" w:eastAsia="Calibri" w:hAnsi="Arial" w:cs="Arial"/>
          <w:sz w:val="22"/>
          <w:szCs w:val="22"/>
          <w:lang w:val="es-CO"/>
        </w:rPr>
        <w:t xml:space="preserve"> </w:t>
      </w:r>
      <w:r>
        <w:rPr>
          <w:rFonts w:ascii="Arial" w:eastAsia="Calibri" w:hAnsi="Arial" w:cs="Arial"/>
          <w:sz w:val="22"/>
          <w:szCs w:val="22"/>
          <w:lang w:val="es-CO"/>
        </w:rPr>
        <w:t xml:space="preserve">% de recursos del SGP que dispone el parágrafo 2 del artículo 11 de la Ley 1176 de 2007, y que a partir del 2020 lo empezó a provisionar. </w:t>
      </w: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p>
    <w:p w:rsidR="00355BC7" w:rsidRDefault="00355BC7" w:rsidP="00355BC7">
      <w:pPr>
        <w:autoSpaceDE w:val="0"/>
        <w:autoSpaceDN w:val="0"/>
        <w:adjustRightInd w:val="0"/>
        <w:ind w:left="720"/>
        <w:contextualSpacing/>
        <w:jc w:val="both"/>
        <w:rPr>
          <w:rFonts w:ascii="Arial" w:eastAsia="Calibri" w:hAnsi="Arial" w:cs="Arial"/>
          <w:sz w:val="22"/>
          <w:szCs w:val="22"/>
          <w:lang w:val="es-CO"/>
        </w:rPr>
      </w:pPr>
      <w:r>
        <w:rPr>
          <w:rFonts w:ascii="Arial" w:eastAsia="Calibri" w:hAnsi="Arial" w:cs="Arial"/>
          <w:sz w:val="22"/>
          <w:szCs w:val="22"/>
          <w:lang w:val="es-CO"/>
        </w:rPr>
        <w:t xml:space="preserve">El siguiente cuadro muestra las variaciones y porcentajes de composición del gasto.  </w:t>
      </w:r>
    </w:p>
    <w:p w:rsidR="00523D02" w:rsidRDefault="00523D02" w:rsidP="00355BC7">
      <w:pPr>
        <w:autoSpaceDE w:val="0"/>
        <w:autoSpaceDN w:val="0"/>
        <w:adjustRightInd w:val="0"/>
        <w:jc w:val="both"/>
        <w:rPr>
          <w:rFonts w:ascii="Arial" w:eastAsia="Calibri" w:hAnsi="Arial" w:cs="Arial"/>
          <w:color w:val="000000"/>
          <w:sz w:val="22"/>
          <w:szCs w:val="22"/>
        </w:rPr>
      </w:pPr>
    </w:p>
    <w:p w:rsidR="00355BC7" w:rsidRDefault="00355BC7" w:rsidP="00355BC7">
      <w:pPr>
        <w:autoSpaceDE w:val="0"/>
        <w:autoSpaceDN w:val="0"/>
        <w:adjustRightInd w:val="0"/>
        <w:ind w:left="720"/>
        <w:contextualSpacing/>
        <w:rPr>
          <w:rFonts w:ascii="Arial" w:eastAsia="Calibri" w:hAnsi="Arial" w:cs="Arial"/>
          <w:szCs w:val="22"/>
          <w:lang w:val="es-CO"/>
        </w:rPr>
      </w:pPr>
    </w:p>
    <w:tbl>
      <w:tblPr>
        <w:tblStyle w:val="Listamedia2-nfasis1"/>
        <w:tblW w:w="3750" w:type="pct"/>
        <w:jc w:val="center"/>
        <w:tblInd w:w="0" w:type="dxa"/>
        <w:tblLook w:val="04A0" w:firstRow="1" w:lastRow="0" w:firstColumn="1" w:lastColumn="0" w:noHBand="0" w:noVBand="1"/>
      </w:tblPr>
      <w:tblGrid>
        <w:gridCol w:w="2659"/>
        <w:gridCol w:w="1576"/>
        <w:gridCol w:w="732"/>
        <w:gridCol w:w="1647"/>
      </w:tblGrid>
      <w:tr w:rsidR="00355BC7" w:rsidTr="00752183">
        <w:trPr>
          <w:cnfStyle w:val="100000000000" w:firstRow="1" w:lastRow="0" w:firstColumn="0" w:lastColumn="0" w:oddVBand="0" w:evenVBand="0" w:oddHBand="0" w:evenHBand="0" w:firstRowFirstColumn="0" w:firstRowLastColumn="0" w:lastRowFirstColumn="0" w:lastRowLastColumn="0"/>
          <w:trHeight w:val="518"/>
          <w:jc w:val="center"/>
        </w:trPr>
        <w:tc>
          <w:tcPr>
            <w:cnfStyle w:val="001000000100" w:firstRow="0" w:lastRow="0" w:firstColumn="1" w:lastColumn="0" w:oddVBand="0" w:evenVBand="0" w:oddHBand="0" w:evenHBand="0" w:firstRowFirstColumn="1" w:firstRowLastColumn="0" w:lastRowFirstColumn="0" w:lastRowLastColumn="0"/>
            <w:tcW w:w="1925" w:type="pct"/>
            <w:noWrap/>
            <w:hideMark/>
          </w:tcPr>
          <w:p w:rsidR="00355BC7" w:rsidRDefault="00355BC7">
            <w:pPr>
              <w:rPr>
                <w:rFonts w:ascii="Arial" w:eastAsiaTheme="minorEastAsia" w:hAnsi="Arial" w:cs="Arial"/>
                <w:b/>
                <w:sz w:val="20"/>
                <w:szCs w:val="20"/>
              </w:rPr>
            </w:pPr>
            <w:r>
              <w:rPr>
                <w:rFonts w:ascii="Arial" w:eastAsiaTheme="minorEastAsia" w:hAnsi="Arial" w:cs="Arial"/>
                <w:b/>
                <w:sz w:val="20"/>
                <w:szCs w:val="20"/>
              </w:rPr>
              <w:t>GASTOS</w:t>
            </w:r>
          </w:p>
        </w:tc>
        <w:tc>
          <w:tcPr>
            <w:tcW w:w="1220" w:type="pct"/>
            <w:hideMark/>
          </w:tcPr>
          <w:p w:rsidR="00355BC7" w:rsidRDefault="00355BC7">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 xml:space="preserve">2019       2020                        </w:t>
            </w:r>
          </w:p>
        </w:tc>
        <w:tc>
          <w:tcPr>
            <w:tcW w:w="1855" w:type="pct"/>
            <w:gridSpan w:val="2"/>
            <w:hideMark/>
          </w:tcPr>
          <w:p w:rsidR="00355BC7" w:rsidRDefault="00355BC7">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 xml:space="preserve">VARIACION     </w:t>
            </w:r>
          </w:p>
        </w:tc>
      </w:tr>
      <w:tr w:rsidR="00355BC7" w:rsidTr="00752183">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25" w:type="pct"/>
            <w:noWrap/>
            <w:hideMark/>
          </w:tcPr>
          <w:p w:rsidR="00355BC7" w:rsidRDefault="00355BC7" w:rsidP="00355BC7">
            <w:pPr>
              <w:numPr>
                <w:ilvl w:val="0"/>
                <w:numId w:val="9"/>
              </w:numPr>
              <w:spacing w:after="180" w:line="264" w:lineRule="auto"/>
              <w:contextualSpacing/>
              <w:rPr>
                <w:rFonts w:ascii="Arial" w:eastAsiaTheme="minorEastAsia" w:hAnsi="Arial" w:cs="Arial"/>
                <w:b/>
                <w:sz w:val="20"/>
                <w:szCs w:val="20"/>
              </w:rPr>
            </w:pPr>
            <w:r>
              <w:rPr>
                <w:rFonts w:ascii="Arial" w:eastAsiaTheme="minorEastAsia" w:hAnsi="Arial" w:cs="Arial"/>
                <w:b/>
                <w:sz w:val="20"/>
                <w:szCs w:val="20"/>
              </w:rPr>
              <w:t>SUBSIDIOS</w:t>
            </w:r>
          </w:p>
        </w:tc>
        <w:tc>
          <w:tcPr>
            <w:tcW w:w="1802" w:type="pct"/>
            <w:gridSpan w:val="2"/>
            <w:hideMark/>
          </w:tcPr>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258        421         64</w:t>
            </w:r>
            <w:r w:rsidR="00A72BD5">
              <w:rPr>
                <w:rFonts w:ascii="Arial" w:eastAsiaTheme="minorEastAsia" w:hAnsi="Arial" w:cs="Arial"/>
                <w:b/>
                <w:sz w:val="20"/>
                <w:szCs w:val="20"/>
              </w:rPr>
              <w:t xml:space="preserve"> </w:t>
            </w:r>
            <w:r>
              <w:rPr>
                <w:rFonts w:ascii="Arial" w:eastAsiaTheme="minorEastAsia" w:hAnsi="Arial" w:cs="Arial"/>
                <w:b/>
                <w:sz w:val="20"/>
                <w:szCs w:val="20"/>
              </w:rPr>
              <w:t>%</w:t>
            </w:r>
          </w:p>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 xml:space="preserve">                                                                                    </w:t>
            </w:r>
          </w:p>
        </w:tc>
        <w:tc>
          <w:tcPr>
            <w:tcW w:w="1273" w:type="pct"/>
            <w:tcBorders>
              <w:right w:val="single" w:sz="8" w:space="0" w:color="4F81BD" w:themeColor="accent1"/>
            </w:tcBorders>
          </w:tcPr>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20"/>
                <w:szCs w:val="20"/>
              </w:rPr>
            </w:pPr>
          </w:p>
        </w:tc>
      </w:tr>
      <w:tr w:rsidR="00355BC7" w:rsidTr="00752183">
        <w:trPr>
          <w:trHeight w:val="543"/>
          <w:jc w:val="center"/>
        </w:trPr>
        <w:tc>
          <w:tcPr>
            <w:cnfStyle w:val="001000000000" w:firstRow="0" w:lastRow="0" w:firstColumn="1" w:lastColumn="0" w:oddVBand="0" w:evenVBand="0" w:oddHBand="0" w:evenHBand="0" w:firstRowFirstColumn="0" w:firstRowLastColumn="0" w:lastRowFirstColumn="0" w:lastRowLastColumn="0"/>
            <w:tcW w:w="1925" w:type="pct"/>
            <w:noWrap/>
            <w:hideMark/>
          </w:tcPr>
          <w:p w:rsidR="00355BC7" w:rsidRDefault="00355BC7" w:rsidP="00355BC7">
            <w:pPr>
              <w:numPr>
                <w:ilvl w:val="0"/>
                <w:numId w:val="9"/>
              </w:numPr>
              <w:spacing w:after="180" w:line="264" w:lineRule="auto"/>
              <w:contextualSpacing/>
              <w:rPr>
                <w:rFonts w:ascii="Arial" w:eastAsiaTheme="minorEastAsia" w:hAnsi="Arial" w:cs="Arial"/>
                <w:b/>
                <w:sz w:val="20"/>
                <w:szCs w:val="20"/>
              </w:rPr>
            </w:pPr>
            <w:r>
              <w:rPr>
                <w:rFonts w:ascii="Arial" w:eastAsiaTheme="minorEastAsia" w:hAnsi="Arial" w:cs="Arial"/>
                <w:b/>
                <w:sz w:val="20"/>
                <w:szCs w:val="20"/>
              </w:rPr>
              <w:t>INVERSION</w:t>
            </w:r>
          </w:p>
        </w:tc>
        <w:tc>
          <w:tcPr>
            <w:tcW w:w="1802" w:type="pct"/>
            <w:gridSpan w:val="2"/>
            <w:tcBorders>
              <w:top w:val="nil"/>
              <w:left w:val="nil"/>
              <w:bottom w:val="nil"/>
              <w:right w:val="nil"/>
            </w:tcBorders>
            <w:hideMark/>
          </w:tcPr>
          <w:p w:rsidR="00355BC7" w:rsidRDefault="00355BC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1.375     460          67</w:t>
            </w:r>
            <w:r w:rsidR="00A72BD5">
              <w:rPr>
                <w:rFonts w:ascii="Arial" w:eastAsiaTheme="minorEastAsia" w:hAnsi="Arial" w:cs="Arial"/>
                <w:b/>
                <w:sz w:val="20"/>
                <w:szCs w:val="20"/>
              </w:rPr>
              <w:t xml:space="preserve"> </w:t>
            </w:r>
            <w:r>
              <w:rPr>
                <w:rFonts w:ascii="Arial" w:eastAsiaTheme="minorEastAsia" w:hAnsi="Arial" w:cs="Arial"/>
                <w:b/>
                <w:sz w:val="20"/>
                <w:szCs w:val="20"/>
              </w:rPr>
              <w:t>%</w:t>
            </w:r>
          </w:p>
        </w:tc>
        <w:tc>
          <w:tcPr>
            <w:tcW w:w="1273" w:type="pct"/>
            <w:tcBorders>
              <w:top w:val="nil"/>
              <w:left w:val="nil"/>
              <w:bottom w:val="nil"/>
              <w:right w:val="single" w:sz="8" w:space="0" w:color="4F81BD" w:themeColor="accent1"/>
            </w:tcBorders>
          </w:tcPr>
          <w:p w:rsidR="00355BC7" w:rsidRDefault="00355BC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p>
        </w:tc>
      </w:tr>
      <w:tr w:rsidR="00355BC7" w:rsidTr="0075218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25" w:type="pct"/>
            <w:noWrap/>
            <w:hideMark/>
          </w:tcPr>
          <w:p w:rsidR="00355BC7" w:rsidRDefault="00355BC7">
            <w:pPr>
              <w:rPr>
                <w:rFonts w:ascii="Arial" w:eastAsiaTheme="minorEastAsia" w:hAnsi="Arial" w:cs="Arial"/>
                <w:sz w:val="20"/>
                <w:szCs w:val="20"/>
              </w:rPr>
            </w:pPr>
            <w:r>
              <w:rPr>
                <w:rFonts w:ascii="Arial" w:eastAsiaTheme="minorEastAsia" w:hAnsi="Arial" w:cs="Arial"/>
                <w:sz w:val="20"/>
                <w:szCs w:val="20"/>
              </w:rPr>
              <w:t>2.1 Acueducto</w:t>
            </w:r>
          </w:p>
        </w:tc>
        <w:tc>
          <w:tcPr>
            <w:tcW w:w="1220" w:type="pct"/>
            <w:hideMark/>
          </w:tcPr>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545            50</w:t>
            </w:r>
          </w:p>
        </w:tc>
        <w:tc>
          <w:tcPr>
            <w:tcW w:w="1855" w:type="pct"/>
            <w:gridSpan w:val="2"/>
            <w:tcBorders>
              <w:right w:val="single" w:sz="8" w:space="0" w:color="4F81BD" w:themeColor="accent1"/>
            </w:tcBorders>
            <w:hideMark/>
          </w:tcPr>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   -91</w:t>
            </w:r>
            <w:r w:rsidR="00A72BD5">
              <w:rPr>
                <w:rFonts w:ascii="Arial" w:eastAsiaTheme="minorEastAsia" w:hAnsi="Arial" w:cs="Arial"/>
                <w:sz w:val="20"/>
                <w:szCs w:val="20"/>
              </w:rPr>
              <w:t xml:space="preserve"> </w:t>
            </w:r>
            <w:r>
              <w:rPr>
                <w:rFonts w:ascii="Arial" w:eastAsiaTheme="minorEastAsia" w:hAnsi="Arial" w:cs="Arial"/>
                <w:sz w:val="20"/>
                <w:szCs w:val="20"/>
              </w:rPr>
              <w:t>%</w:t>
            </w:r>
          </w:p>
        </w:tc>
      </w:tr>
      <w:tr w:rsidR="00355BC7" w:rsidTr="00752183">
        <w:trPr>
          <w:trHeight w:val="337"/>
          <w:jc w:val="center"/>
        </w:trPr>
        <w:tc>
          <w:tcPr>
            <w:cnfStyle w:val="001000000000" w:firstRow="0" w:lastRow="0" w:firstColumn="1" w:lastColumn="0" w:oddVBand="0" w:evenVBand="0" w:oddHBand="0" w:evenHBand="0" w:firstRowFirstColumn="0" w:firstRowLastColumn="0" w:lastRowFirstColumn="0" w:lastRowLastColumn="0"/>
            <w:tcW w:w="1925" w:type="pct"/>
            <w:noWrap/>
            <w:hideMark/>
          </w:tcPr>
          <w:p w:rsidR="00355BC7" w:rsidRDefault="00355BC7">
            <w:pPr>
              <w:rPr>
                <w:rFonts w:ascii="Arial" w:eastAsiaTheme="minorEastAsia" w:hAnsi="Arial" w:cs="Arial"/>
                <w:sz w:val="20"/>
                <w:szCs w:val="20"/>
              </w:rPr>
            </w:pPr>
            <w:r>
              <w:rPr>
                <w:rFonts w:ascii="Arial" w:eastAsiaTheme="minorEastAsia" w:hAnsi="Arial" w:cs="Arial"/>
                <w:sz w:val="20"/>
                <w:szCs w:val="20"/>
              </w:rPr>
              <w:t>2.2 Alcantarillado</w:t>
            </w:r>
          </w:p>
        </w:tc>
        <w:tc>
          <w:tcPr>
            <w:tcW w:w="1220" w:type="pct"/>
            <w:tcBorders>
              <w:top w:val="nil"/>
              <w:left w:val="nil"/>
              <w:bottom w:val="nil"/>
              <w:right w:val="nil"/>
            </w:tcBorders>
            <w:hideMark/>
          </w:tcPr>
          <w:p w:rsidR="00355BC7" w:rsidRDefault="00355BC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581            50</w:t>
            </w:r>
          </w:p>
        </w:tc>
        <w:tc>
          <w:tcPr>
            <w:tcW w:w="1855" w:type="pct"/>
            <w:gridSpan w:val="2"/>
            <w:tcBorders>
              <w:top w:val="nil"/>
              <w:left w:val="nil"/>
              <w:bottom w:val="nil"/>
              <w:right w:val="single" w:sz="8" w:space="0" w:color="4F81BD" w:themeColor="accent1"/>
            </w:tcBorders>
            <w:hideMark/>
          </w:tcPr>
          <w:p w:rsidR="00355BC7" w:rsidRDefault="00355BC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  - 91</w:t>
            </w:r>
            <w:r w:rsidR="00A72BD5">
              <w:rPr>
                <w:rFonts w:ascii="Arial" w:eastAsiaTheme="minorEastAsia" w:hAnsi="Arial" w:cs="Arial"/>
                <w:sz w:val="20"/>
                <w:szCs w:val="20"/>
              </w:rPr>
              <w:t xml:space="preserve"> </w:t>
            </w:r>
            <w:r>
              <w:rPr>
                <w:rFonts w:ascii="Arial" w:eastAsiaTheme="minorEastAsia" w:hAnsi="Arial" w:cs="Arial"/>
                <w:sz w:val="20"/>
                <w:szCs w:val="20"/>
              </w:rPr>
              <w:t>%</w:t>
            </w:r>
          </w:p>
        </w:tc>
      </w:tr>
      <w:tr w:rsidR="00355BC7" w:rsidTr="00752183">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925" w:type="pct"/>
            <w:noWrap/>
            <w:hideMark/>
          </w:tcPr>
          <w:p w:rsidR="00355BC7" w:rsidRDefault="00355BC7">
            <w:pPr>
              <w:rPr>
                <w:rFonts w:ascii="Arial" w:eastAsiaTheme="minorEastAsia" w:hAnsi="Arial" w:cs="Arial"/>
                <w:sz w:val="20"/>
                <w:szCs w:val="20"/>
              </w:rPr>
            </w:pPr>
            <w:r>
              <w:rPr>
                <w:rFonts w:ascii="Arial" w:eastAsiaTheme="minorEastAsia" w:hAnsi="Arial" w:cs="Arial"/>
                <w:sz w:val="20"/>
                <w:szCs w:val="20"/>
              </w:rPr>
              <w:t>2.3 Aseo</w:t>
            </w:r>
          </w:p>
        </w:tc>
        <w:tc>
          <w:tcPr>
            <w:tcW w:w="1220" w:type="pct"/>
            <w:hideMark/>
          </w:tcPr>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14              62</w:t>
            </w:r>
          </w:p>
        </w:tc>
        <w:tc>
          <w:tcPr>
            <w:tcW w:w="1855" w:type="pct"/>
            <w:gridSpan w:val="2"/>
            <w:tcBorders>
              <w:right w:val="single" w:sz="8" w:space="0" w:color="4F81BD" w:themeColor="accent1"/>
            </w:tcBorders>
            <w:hideMark/>
          </w:tcPr>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   343</w:t>
            </w:r>
            <w:r w:rsidR="00A72BD5">
              <w:rPr>
                <w:rFonts w:ascii="Arial" w:eastAsiaTheme="minorEastAsia" w:hAnsi="Arial" w:cs="Arial"/>
                <w:sz w:val="20"/>
                <w:szCs w:val="20"/>
              </w:rPr>
              <w:t xml:space="preserve"> </w:t>
            </w:r>
            <w:r>
              <w:rPr>
                <w:rFonts w:ascii="Arial" w:eastAsiaTheme="minorEastAsia" w:hAnsi="Arial" w:cs="Arial"/>
                <w:sz w:val="20"/>
                <w:szCs w:val="20"/>
              </w:rPr>
              <w:t>%</w:t>
            </w:r>
          </w:p>
        </w:tc>
      </w:tr>
      <w:tr w:rsidR="00355BC7" w:rsidTr="00752183">
        <w:trPr>
          <w:trHeight w:val="337"/>
          <w:jc w:val="center"/>
        </w:trPr>
        <w:tc>
          <w:tcPr>
            <w:cnfStyle w:val="001000000000" w:firstRow="0" w:lastRow="0" w:firstColumn="1" w:lastColumn="0" w:oddVBand="0" w:evenVBand="0" w:oddHBand="0" w:evenHBand="0" w:firstRowFirstColumn="0" w:firstRowLastColumn="0" w:lastRowFirstColumn="0" w:lastRowLastColumn="0"/>
            <w:tcW w:w="1925" w:type="pct"/>
            <w:noWrap/>
            <w:hideMark/>
          </w:tcPr>
          <w:p w:rsidR="00355BC7" w:rsidRDefault="00355BC7">
            <w:pPr>
              <w:rPr>
                <w:rFonts w:ascii="Arial" w:eastAsiaTheme="minorEastAsia" w:hAnsi="Arial" w:cs="Arial"/>
                <w:sz w:val="20"/>
                <w:szCs w:val="20"/>
              </w:rPr>
            </w:pPr>
            <w:r>
              <w:rPr>
                <w:rFonts w:ascii="Arial" w:eastAsiaTheme="minorEastAsia" w:hAnsi="Arial" w:cs="Arial"/>
                <w:sz w:val="20"/>
                <w:szCs w:val="20"/>
              </w:rPr>
              <w:t>2.4 PDA</w:t>
            </w:r>
          </w:p>
        </w:tc>
        <w:tc>
          <w:tcPr>
            <w:tcW w:w="1220" w:type="pct"/>
            <w:tcBorders>
              <w:top w:val="nil"/>
              <w:left w:val="nil"/>
              <w:bottom w:val="nil"/>
              <w:right w:val="nil"/>
            </w:tcBorders>
            <w:hideMark/>
          </w:tcPr>
          <w:p w:rsidR="00355BC7" w:rsidRDefault="00355BC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imes New Roman" w:hAnsi="Arial" w:cs="Arial"/>
                <w:b/>
                <w:sz w:val="20"/>
                <w:szCs w:val="20"/>
                <w:lang w:val="en-US" w:eastAsia="en-US"/>
              </w:rPr>
              <w:t>235           281</w:t>
            </w:r>
          </w:p>
        </w:tc>
        <w:tc>
          <w:tcPr>
            <w:tcW w:w="1855" w:type="pct"/>
            <w:gridSpan w:val="2"/>
            <w:tcBorders>
              <w:top w:val="nil"/>
              <w:left w:val="nil"/>
              <w:bottom w:val="nil"/>
              <w:right w:val="single" w:sz="8" w:space="0" w:color="4F81BD" w:themeColor="accent1"/>
            </w:tcBorders>
            <w:hideMark/>
          </w:tcPr>
          <w:p w:rsidR="00355BC7" w:rsidRDefault="00355BC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     20</w:t>
            </w:r>
            <w:r w:rsidR="00A72BD5">
              <w:rPr>
                <w:rFonts w:ascii="Arial" w:eastAsiaTheme="minorEastAsia" w:hAnsi="Arial" w:cs="Arial"/>
                <w:sz w:val="20"/>
                <w:szCs w:val="20"/>
              </w:rPr>
              <w:t xml:space="preserve"> </w:t>
            </w:r>
            <w:r>
              <w:rPr>
                <w:rFonts w:ascii="Arial" w:eastAsiaTheme="minorEastAsia" w:hAnsi="Arial" w:cs="Arial"/>
                <w:sz w:val="20"/>
                <w:szCs w:val="20"/>
              </w:rPr>
              <w:t>%</w:t>
            </w:r>
          </w:p>
        </w:tc>
      </w:tr>
      <w:tr w:rsidR="00355BC7" w:rsidTr="0075218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25" w:type="pct"/>
            <w:noWrap/>
            <w:hideMark/>
          </w:tcPr>
          <w:p w:rsidR="00355BC7" w:rsidRDefault="00355BC7" w:rsidP="00355BC7">
            <w:pPr>
              <w:numPr>
                <w:ilvl w:val="0"/>
                <w:numId w:val="9"/>
              </w:numPr>
              <w:spacing w:after="180" w:line="264" w:lineRule="auto"/>
              <w:contextualSpacing/>
              <w:rPr>
                <w:rFonts w:ascii="Arial" w:eastAsiaTheme="minorEastAsia" w:hAnsi="Arial" w:cs="Arial"/>
                <w:b/>
                <w:sz w:val="20"/>
                <w:szCs w:val="20"/>
              </w:rPr>
            </w:pPr>
            <w:r>
              <w:rPr>
                <w:rFonts w:ascii="Arial" w:eastAsiaTheme="minorEastAsia" w:hAnsi="Arial" w:cs="Arial"/>
                <w:b/>
                <w:sz w:val="20"/>
                <w:szCs w:val="20"/>
              </w:rPr>
              <w:t>SERVICIO DEUDA</w:t>
            </w:r>
          </w:p>
        </w:tc>
        <w:tc>
          <w:tcPr>
            <w:tcW w:w="1220" w:type="pct"/>
            <w:hideMark/>
          </w:tcPr>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hAnsi="Arial" w:cs="Arial"/>
                <w:sz w:val="20"/>
                <w:szCs w:val="20"/>
              </w:rPr>
              <w:t>1.759      833</w:t>
            </w:r>
          </w:p>
        </w:tc>
        <w:tc>
          <w:tcPr>
            <w:tcW w:w="1855" w:type="pct"/>
            <w:gridSpan w:val="2"/>
            <w:tcBorders>
              <w:right w:val="single" w:sz="8" w:space="0" w:color="4F81BD" w:themeColor="accent1"/>
            </w:tcBorders>
            <w:hideMark/>
          </w:tcPr>
          <w:p w:rsidR="00355BC7" w:rsidRDefault="00355BC7">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     53</w:t>
            </w:r>
            <w:r w:rsidR="00A72BD5">
              <w:rPr>
                <w:rFonts w:ascii="Arial" w:eastAsiaTheme="minorEastAsia" w:hAnsi="Arial" w:cs="Arial"/>
                <w:sz w:val="20"/>
                <w:szCs w:val="20"/>
              </w:rPr>
              <w:t xml:space="preserve"> </w:t>
            </w:r>
            <w:r>
              <w:rPr>
                <w:rFonts w:ascii="Arial" w:eastAsiaTheme="minorEastAsia" w:hAnsi="Arial" w:cs="Arial"/>
                <w:sz w:val="20"/>
                <w:szCs w:val="20"/>
              </w:rPr>
              <w:t xml:space="preserve">%            </w:t>
            </w:r>
          </w:p>
        </w:tc>
      </w:tr>
      <w:tr w:rsidR="00355BC7" w:rsidTr="00752183">
        <w:trPr>
          <w:trHeight w:val="337"/>
          <w:jc w:val="center"/>
        </w:trPr>
        <w:tc>
          <w:tcPr>
            <w:cnfStyle w:val="001000000000" w:firstRow="0" w:lastRow="0" w:firstColumn="1" w:lastColumn="0" w:oddVBand="0" w:evenVBand="0" w:oddHBand="0" w:evenHBand="0" w:firstRowFirstColumn="0" w:firstRowLastColumn="0" w:lastRowFirstColumn="0" w:lastRowLastColumn="0"/>
            <w:tcW w:w="1925" w:type="pct"/>
            <w:noWrap/>
            <w:hideMark/>
          </w:tcPr>
          <w:p w:rsidR="00355BC7" w:rsidRDefault="00355BC7">
            <w:pPr>
              <w:rPr>
                <w:rFonts w:ascii="Arial" w:eastAsiaTheme="minorEastAsia" w:hAnsi="Arial" w:cs="Arial"/>
                <w:b/>
                <w:sz w:val="20"/>
                <w:szCs w:val="20"/>
              </w:rPr>
            </w:pPr>
            <w:r>
              <w:rPr>
                <w:rFonts w:ascii="Arial" w:eastAsiaTheme="minorEastAsia" w:hAnsi="Arial" w:cs="Arial"/>
                <w:b/>
                <w:sz w:val="20"/>
                <w:szCs w:val="20"/>
              </w:rPr>
              <w:t>GASTOS TOTALES</w:t>
            </w:r>
          </w:p>
        </w:tc>
        <w:tc>
          <w:tcPr>
            <w:tcW w:w="1220" w:type="pct"/>
            <w:tcBorders>
              <w:top w:val="nil"/>
              <w:left w:val="nil"/>
              <w:bottom w:val="single" w:sz="8" w:space="0" w:color="4F81BD" w:themeColor="accent1"/>
              <w:right w:val="nil"/>
            </w:tcBorders>
            <w:hideMark/>
          </w:tcPr>
          <w:p w:rsidR="00355BC7" w:rsidRDefault="00355BC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 xml:space="preserve">3.392 1.698   </w:t>
            </w:r>
          </w:p>
        </w:tc>
        <w:tc>
          <w:tcPr>
            <w:tcW w:w="1855" w:type="pct"/>
            <w:gridSpan w:val="2"/>
            <w:tcBorders>
              <w:top w:val="nil"/>
              <w:left w:val="nil"/>
              <w:bottom w:val="single" w:sz="8" w:space="0" w:color="4F81BD" w:themeColor="accent1"/>
              <w:right w:val="single" w:sz="8" w:space="0" w:color="4F81BD" w:themeColor="accent1"/>
            </w:tcBorders>
            <w:hideMark/>
          </w:tcPr>
          <w:p w:rsidR="00355BC7" w:rsidRDefault="00355BC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sz w:val="20"/>
                <w:szCs w:val="20"/>
              </w:rPr>
            </w:pPr>
            <w:r>
              <w:rPr>
                <w:rFonts w:ascii="Arial" w:eastAsiaTheme="minorEastAsia" w:hAnsi="Arial" w:cs="Arial"/>
                <w:b/>
                <w:sz w:val="20"/>
                <w:szCs w:val="20"/>
              </w:rPr>
              <w:t xml:space="preserve">   50</w:t>
            </w:r>
            <w:r w:rsidR="00A72BD5">
              <w:rPr>
                <w:rFonts w:ascii="Arial" w:eastAsiaTheme="minorEastAsia" w:hAnsi="Arial" w:cs="Arial"/>
                <w:b/>
                <w:sz w:val="20"/>
                <w:szCs w:val="20"/>
              </w:rPr>
              <w:t xml:space="preserve"> </w:t>
            </w:r>
            <w:r>
              <w:rPr>
                <w:rFonts w:ascii="Arial" w:eastAsiaTheme="minorEastAsia" w:hAnsi="Arial" w:cs="Arial"/>
                <w:b/>
                <w:sz w:val="20"/>
                <w:szCs w:val="20"/>
              </w:rPr>
              <w:t>%</w:t>
            </w:r>
          </w:p>
        </w:tc>
      </w:tr>
    </w:tbl>
    <w:p w:rsidR="00355BC7" w:rsidRPr="00752183" w:rsidRDefault="00355BC7" w:rsidP="00752183">
      <w:pPr>
        <w:autoSpaceDE w:val="0"/>
        <w:autoSpaceDN w:val="0"/>
        <w:adjustRightInd w:val="0"/>
        <w:jc w:val="center"/>
        <w:rPr>
          <w:rFonts w:ascii="Arial" w:eastAsia="Calibri" w:hAnsi="Arial" w:cs="Arial"/>
          <w:sz w:val="16"/>
          <w:szCs w:val="16"/>
          <w:lang w:val="es-CO"/>
        </w:rPr>
      </w:pPr>
      <w:r w:rsidRPr="00752183">
        <w:rPr>
          <w:rFonts w:ascii="Arial" w:eastAsia="Calibri" w:hAnsi="Arial" w:cs="Arial"/>
          <w:b/>
          <w:sz w:val="16"/>
          <w:szCs w:val="16"/>
          <w:lang w:val="es-CO"/>
        </w:rPr>
        <w:t xml:space="preserve">Fuente: </w:t>
      </w:r>
      <w:r w:rsidRPr="00752183">
        <w:rPr>
          <w:rFonts w:ascii="Arial" w:eastAsia="Calibri" w:hAnsi="Arial" w:cs="Arial"/>
          <w:sz w:val="16"/>
          <w:szCs w:val="16"/>
          <w:lang w:val="es-CO"/>
        </w:rPr>
        <w:t>Información Financiera Municipio de Mitú</w:t>
      </w:r>
      <w:r w:rsidR="00AD4D0F">
        <w:rPr>
          <w:rFonts w:ascii="Arial" w:eastAsia="Calibri" w:hAnsi="Arial" w:cs="Arial"/>
          <w:sz w:val="16"/>
          <w:szCs w:val="16"/>
          <w:lang w:val="es-CO"/>
        </w:rPr>
        <w:t xml:space="preserve"> </w:t>
      </w:r>
      <w:r w:rsidRPr="00752183">
        <w:rPr>
          <w:rFonts w:ascii="Arial" w:eastAsia="Calibri" w:hAnsi="Arial" w:cs="Arial"/>
          <w:sz w:val="16"/>
          <w:szCs w:val="16"/>
          <w:lang w:val="es-CO"/>
        </w:rPr>
        <w:t>-</w:t>
      </w:r>
      <w:r w:rsidR="00AD4D0F">
        <w:rPr>
          <w:rFonts w:ascii="Arial" w:eastAsia="Calibri" w:hAnsi="Arial" w:cs="Arial"/>
          <w:sz w:val="16"/>
          <w:szCs w:val="16"/>
          <w:lang w:val="es-CO"/>
        </w:rPr>
        <w:t xml:space="preserve"> </w:t>
      </w:r>
      <w:r w:rsidRPr="00752183">
        <w:rPr>
          <w:rFonts w:ascii="Arial" w:eastAsia="Calibri" w:hAnsi="Arial" w:cs="Arial"/>
          <w:sz w:val="16"/>
          <w:szCs w:val="16"/>
          <w:lang w:val="es-CO"/>
        </w:rPr>
        <w:t>Vaupés</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En el 2020, según el tipo de servicio público, los recursos del Sector de APSB se han asignado en mayor proporción al sistema de aseo. En alcantarillado y acueducto se invirtió en igual proporción.</w:t>
      </w:r>
    </w:p>
    <w:p w:rsidR="00355BC7" w:rsidRDefault="00355BC7" w:rsidP="00355BC7">
      <w:pPr>
        <w:autoSpaceDE w:val="0"/>
        <w:autoSpaceDN w:val="0"/>
        <w:adjustRightInd w:val="0"/>
        <w:jc w:val="both"/>
        <w:rPr>
          <w:rFonts w:ascii="Arial" w:eastAsia="Calibri" w:hAnsi="Arial" w:cs="Arial"/>
          <w:color w:val="000000"/>
          <w:sz w:val="22"/>
          <w:szCs w:val="22"/>
        </w:rPr>
      </w:pPr>
    </w:p>
    <w:p w:rsidR="00355BC7" w:rsidRDefault="00355BC7" w:rsidP="00355BC7">
      <w:pPr>
        <w:autoSpaceDE w:val="0"/>
        <w:autoSpaceDN w:val="0"/>
        <w:adjustRightInd w:val="0"/>
        <w:jc w:val="both"/>
        <w:rPr>
          <w:rFonts w:ascii="Arial" w:eastAsia="Calibri" w:hAnsi="Arial" w:cs="Arial"/>
          <w:color w:val="000000" w:themeColor="text1"/>
          <w:sz w:val="22"/>
          <w:szCs w:val="22"/>
        </w:rPr>
      </w:pPr>
      <w:r>
        <w:rPr>
          <w:rFonts w:ascii="Arial" w:eastAsia="Calibri" w:hAnsi="Arial" w:cs="Arial"/>
          <w:color w:val="000000" w:themeColor="text1"/>
          <w:sz w:val="22"/>
          <w:szCs w:val="22"/>
        </w:rPr>
        <w:t>En la composición del gasto, se observó que los compromisos por servicio de la deuda disminuyeron en 36</w:t>
      </w:r>
      <w:r w:rsidR="00AD4D0F">
        <w:rPr>
          <w:rFonts w:ascii="Arial" w:eastAsia="Calibri" w:hAnsi="Arial" w:cs="Arial"/>
          <w:color w:val="000000" w:themeColor="text1"/>
          <w:sz w:val="22"/>
          <w:szCs w:val="22"/>
        </w:rPr>
        <w:t xml:space="preserve"> </w:t>
      </w:r>
      <w:r>
        <w:rPr>
          <w:rFonts w:ascii="Arial" w:eastAsia="Calibri" w:hAnsi="Arial" w:cs="Arial"/>
          <w:color w:val="000000" w:themeColor="text1"/>
          <w:sz w:val="22"/>
          <w:szCs w:val="22"/>
        </w:rPr>
        <w:t>% su participación, mientras que la inversión y subsidios ampliaron el rango. El siguiente cuadro muestra el comportamiento.</w:t>
      </w:r>
    </w:p>
    <w:p w:rsidR="00355BC7" w:rsidRDefault="00355BC7" w:rsidP="00355BC7">
      <w:pPr>
        <w:autoSpaceDE w:val="0"/>
        <w:autoSpaceDN w:val="0"/>
        <w:adjustRightInd w:val="0"/>
        <w:jc w:val="both"/>
        <w:rPr>
          <w:rFonts w:ascii="Arial" w:eastAsia="Calibri" w:hAnsi="Arial" w:cs="Arial"/>
          <w:color w:val="000000"/>
          <w:sz w:val="22"/>
          <w:szCs w:val="22"/>
        </w:rPr>
      </w:pPr>
    </w:p>
    <w:tbl>
      <w:tblPr>
        <w:tblpPr w:leftFromText="141" w:rightFromText="141" w:vertAnchor="text" w:tblpX="69" w:tblpY="137"/>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701"/>
        <w:gridCol w:w="1843"/>
        <w:gridCol w:w="1701"/>
      </w:tblGrid>
      <w:tr w:rsidR="00355BC7" w:rsidRPr="00A72BD5" w:rsidTr="00355BC7">
        <w:trPr>
          <w:trHeight w:val="305"/>
        </w:trPr>
        <w:tc>
          <w:tcPr>
            <w:tcW w:w="8359" w:type="dxa"/>
            <w:gridSpan w:val="4"/>
            <w:tcBorders>
              <w:top w:val="single" w:sz="18" w:space="0" w:color="auto"/>
              <w:left w:val="single" w:sz="18" w:space="0" w:color="auto"/>
              <w:bottom w:val="single" w:sz="18" w:space="0" w:color="C4BC96" w:themeColor="background2" w:themeShade="BF"/>
              <w:right w:val="single" w:sz="18" w:space="0" w:color="auto"/>
            </w:tcBorders>
            <w:hideMark/>
          </w:tcPr>
          <w:p w:rsidR="00355BC7" w:rsidRPr="00752183" w:rsidRDefault="00355BC7">
            <w:pPr>
              <w:autoSpaceDE w:val="0"/>
              <w:autoSpaceDN w:val="0"/>
              <w:adjustRightInd w:val="0"/>
              <w:jc w:val="center"/>
              <w:rPr>
                <w:rFonts w:ascii="Arial" w:eastAsia="Calibri" w:hAnsi="Arial" w:cs="Arial"/>
                <w:b/>
                <w:color w:val="000000"/>
                <w:sz w:val="20"/>
                <w:szCs w:val="22"/>
              </w:rPr>
            </w:pPr>
            <w:r w:rsidRPr="00752183">
              <w:rPr>
                <w:rFonts w:ascii="Arial" w:eastAsia="Calibri" w:hAnsi="Arial" w:cs="Arial"/>
                <w:b/>
                <w:color w:val="000000"/>
                <w:sz w:val="20"/>
                <w:szCs w:val="22"/>
              </w:rPr>
              <w:t>COMPOSICION DEL GASTO</w:t>
            </w:r>
          </w:p>
        </w:tc>
      </w:tr>
      <w:tr w:rsidR="00355BC7" w:rsidRPr="00A72BD5" w:rsidTr="00355BC7">
        <w:trPr>
          <w:trHeight w:val="338"/>
        </w:trPr>
        <w:tc>
          <w:tcPr>
            <w:tcW w:w="3114" w:type="dxa"/>
            <w:tcBorders>
              <w:top w:val="single" w:sz="18" w:space="0" w:color="C4BC96" w:themeColor="background2" w:themeShade="BF"/>
              <w:left w:val="single" w:sz="18" w:space="0" w:color="auto"/>
              <w:bottom w:val="single" w:sz="18" w:space="0" w:color="C4BC96" w:themeColor="background2" w:themeShade="BF"/>
              <w:right w:val="single" w:sz="18" w:space="0" w:color="auto"/>
            </w:tcBorders>
            <w:hideMark/>
          </w:tcPr>
          <w:p w:rsidR="00355BC7" w:rsidRPr="00752183" w:rsidRDefault="00355BC7">
            <w:pPr>
              <w:autoSpaceDE w:val="0"/>
              <w:autoSpaceDN w:val="0"/>
              <w:adjustRightInd w:val="0"/>
              <w:jc w:val="both"/>
              <w:rPr>
                <w:rFonts w:ascii="Arial" w:eastAsia="Calibri" w:hAnsi="Arial" w:cs="Arial"/>
                <w:b/>
                <w:color w:val="000000"/>
                <w:sz w:val="20"/>
                <w:szCs w:val="22"/>
              </w:rPr>
            </w:pPr>
            <w:r w:rsidRPr="00752183">
              <w:rPr>
                <w:rFonts w:ascii="Arial" w:eastAsia="Calibri" w:hAnsi="Arial" w:cs="Arial"/>
                <w:b/>
                <w:color w:val="000000"/>
                <w:sz w:val="20"/>
                <w:szCs w:val="22"/>
              </w:rPr>
              <w:t xml:space="preserve">CONCEPTO </w:t>
            </w:r>
          </w:p>
        </w:tc>
        <w:tc>
          <w:tcPr>
            <w:tcW w:w="1701" w:type="dxa"/>
            <w:tcBorders>
              <w:top w:val="single" w:sz="18" w:space="0" w:color="C4BC96" w:themeColor="background2" w:themeShade="BF"/>
              <w:left w:val="single" w:sz="18" w:space="0" w:color="auto"/>
              <w:bottom w:val="single" w:sz="18" w:space="0" w:color="C4BC96" w:themeColor="background2" w:themeShade="BF"/>
              <w:right w:val="single" w:sz="18" w:space="0" w:color="auto"/>
            </w:tcBorders>
            <w:hideMark/>
          </w:tcPr>
          <w:p w:rsidR="00355BC7" w:rsidRPr="00752183" w:rsidRDefault="00355BC7">
            <w:pPr>
              <w:autoSpaceDE w:val="0"/>
              <w:autoSpaceDN w:val="0"/>
              <w:adjustRightInd w:val="0"/>
              <w:jc w:val="center"/>
              <w:rPr>
                <w:rFonts w:ascii="Arial" w:eastAsia="Calibri" w:hAnsi="Arial" w:cs="Arial"/>
                <w:b/>
                <w:color w:val="000000"/>
                <w:sz w:val="20"/>
                <w:szCs w:val="22"/>
              </w:rPr>
            </w:pPr>
            <w:r w:rsidRPr="00752183">
              <w:rPr>
                <w:rFonts w:ascii="Arial" w:eastAsia="Calibri" w:hAnsi="Arial" w:cs="Arial"/>
                <w:b/>
                <w:color w:val="000000"/>
                <w:sz w:val="20"/>
                <w:szCs w:val="22"/>
              </w:rPr>
              <w:t>2019</w:t>
            </w:r>
          </w:p>
        </w:tc>
        <w:tc>
          <w:tcPr>
            <w:tcW w:w="1843" w:type="dxa"/>
            <w:tcBorders>
              <w:top w:val="single" w:sz="18" w:space="0" w:color="C4BC96" w:themeColor="background2" w:themeShade="BF"/>
              <w:left w:val="single" w:sz="18" w:space="0" w:color="auto"/>
              <w:bottom w:val="single" w:sz="18" w:space="0" w:color="C4BC96" w:themeColor="background2" w:themeShade="BF"/>
              <w:right w:val="single" w:sz="18" w:space="0" w:color="auto"/>
            </w:tcBorders>
            <w:hideMark/>
          </w:tcPr>
          <w:p w:rsidR="00355BC7" w:rsidRPr="00752183" w:rsidRDefault="00355BC7">
            <w:pPr>
              <w:autoSpaceDE w:val="0"/>
              <w:autoSpaceDN w:val="0"/>
              <w:adjustRightInd w:val="0"/>
              <w:jc w:val="center"/>
              <w:rPr>
                <w:rFonts w:ascii="Arial" w:eastAsia="Calibri" w:hAnsi="Arial" w:cs="Arial"/>
                <w:b/>
                <w:color w:val="000000"/>
                <w:sz w:val="20"/>
                <w:szCs w:val="22"/>
              </w:rPr>
            </w:pPr>
            <w:r w:rsidRPr="00752183">
              <w:rPr>
                <w:rFonts w:ascii="Arial" w:eastAsia="Calibri" w:hAnsi="Arial" w:cs="Arial"/>
                <w:b/>
                <w:color w:val="000000"/>
                <w:sz w:val="20"/>
                <w:szCs w:val="22"/>
              </w:rPr>
              <w:t>2020</w:t>
            </w:r>
          </w:p>
        </w:tc>
        <w:tc>
          <w:tcPr>
            <w:tcW w:w="1701" w:type="dxa"/>
            <w:tcBorders>
              <w:top w:val="single" w:sz="18" w:space="0" w:color="C4BC96" w:themeColor="background2" w:themeShade="BF"/>
              <w:left w:val="single" w:sz="18" w:space="0" w:color="auto"/>
              <w:bottom w:val="single" w:sz="18" w:space="0" w:color="C4BC96" w:themeColor="background2" w:themeShade="BF"/>
              <w:right w:val="single" w:sz="18" w:space="0" w:color="auto"/>
            </w:tcBorders>
            <w:hideMark/>
          </w:tcPr>
          <w:p w:rsidR="00355BC7" w:rsidRPr="00752183" w:rsidRDefault="00355BC7">
            <w:pPr>
              <w:autoSpaceDE w:val="0"/>
              <w:autoSpaceDN w:val="0"/>
              <w:adjustRightInd w:val="0"/>
              <w:jc w:val="both"/>
              <w:rPr>
                <w:rFonts w:ascii="Arial" w:eastAsia="Calibri" w:hAnsi="Arial" w:cs="Arial"/>
                <w:b/>
                <w:color w:val="000000"/>
                <w:sz w:val="20"/>
                <w:szCs w:val="22"/>
              </w:rPr>
            </w:pPr>
            <w:r w:rsidRPr="00752183">
              <w:rPr>
                <w:rFonts w:ascii="Arial" w:eastAsia="Calibri" w:hAnsi="Arial" w:cs="Arial"/>
                <w:b/>
                <w:color w:val="000000"/>
                <w:sz w:val="20"/>
                <w:szCs w:val="22"/>
              </w:rPr>
              <w:t>VARIACION</w:t>
            </w:r>
          </w:p>
        </w:tc>
      </w:tr>
      <w:tr w:rsidR="00355BC7" w:rsidRPr="00A72BD5" w:rsidTr="00355BC7">
        <w:trPr>
          <w:trHeight w:val="525"/>
        </w:trPr>
        <w:tc>
          <w:tcPr>
            <w:tcW w:w="3114" w:type="dxa"/>
            <w:tcBorders>
              <w:top w:val="single" w:sz="18" w:space="0" w:color="C4BC96" w:themeColor="background2" w:themeShade="BF"/>
              <w:left w:val="single" w:sz="18" w:space="0" w:color="auto"/>
              <w:bottom w:val="single" w:sz="4" w:space="0" w:color="auto"/>
              <w:right w:val="single" w:sz="18" w:space="0" w:color="auto"/>
            </w:tcBorders>
            <w:hideMark/>
          </w:tcPr>
          <w:p w:rsidR="00355BC7" w:rsidRPr="00752183" w:rsidRDefault="00355BC7">
            <w:pPr>
              <w:autoSpaceDE w:val="0"/>
              <w:autoSpaceDN w:val="0"/>
              <w:adjustRightInd w:val="0"/>
              <w:jc w:val="both"/>
              <w:rPr>
                <w:rFonts w:ascii="Arial" w:eastAsia="Calibri" w:hAnsi="Arial" w:cs="Arial"/>
                <w:color w:val="000000"/>
                <w:sz w:val="20"/>
                <w:szCs w:val="22"/>
              </w:rPr>
            </w:pPr>
            <w:r w:rsidRPr="00752183">
              <w:rPr>
                <w:rFonts w:ascii="Arial" w:eastAsia="Calibri" w:hAnsi="Arial" w:cs="Arial"/>
                <w:color w:val="000000"/>
                <w:sz w:val="20"/>
                <w:szCs w:val="22"/>
              </w:rPr>
              <w:t>SUBSIDIO</w:t>
            </w:r>
          </w:p>
        </w:tc>
        <w:tc>
          <w:tcPr>
            <w:tcW w:w="1701" w:type="dxa"/>
            <w:tcBorders>
              <w:top w:val="single" w:sz="18" w:space="0" w:color="C4BC96" w:themeColor="background2" w:themeShade="BF"/>
              <w:left w:val="single" w:sz="18" w:space="0" w:color="auto"/>
              <w:bottom w:val="single" w:sz="4"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11</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c>
          <w:tcPr>
            <w:tcW w:w="1843" w:type="dxa"/>
            <w:tcBorders>
              <w:top w:val="single" w:sz="18" w:space="0" w:color="C4BC96" w:themeColor="background2" w:themeShade="BF"/>
              <w:left w:val="single" w:sz="18" w:space="0" w:color="auto"/>
              <w:bottom w:val="single" w:sz="4"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24</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c>
          <w:tcPr>
            <w:tcW w:w="1701" w:type="dxa"/>
            <w:tcBorders>
              <w:top w:val="single" w:sz="18" w:space="0" w:color="C4BC96" w:themeColor="background2" w:themeShade="BF"/>
              <w:left w:val="single" w:sz="18" w:space="0" w:color="auto"/>
              <w:bottom w:val="single" w:sz="4"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118</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r>
      <w:tr w:rsidR="00355BC7" w:rsidRPr="00A72BD5" w:rsidTr="00355BC7">
        <w:trPr>
          <w:trHeight w:val="441"/>
        </w:trPr>
        <w:tc>
          <w:tcPr>
            <w:tcW w:w="3114" w:type="dxa"/>
            <w:tcBorders>
              <w:top w:val="single" w:sz="4" w:space="0" w:color="auto"/>
              <w:left w:val="single" w:sz="18" w:space="0" w:color="auto"/>
              <w:bottom w:val="single" w:sz="4" w:space="0" w:color="auto"/>
              <w:right w:val="single" w:sz="18" w:space="0" w:color="auto"/>
            </w:tcBorders>
            <w:hideMark/>
          </w:tcPr>
          <w:p w:rsidR="00355BC7" w:rsidRPr="00752183" w:rsidRDefault="00355BC7">
            <w:pPr>
              <w:autoSpaceDE w:val="0"/>
              <w:autoSpaceDN w:val="0"/>
              <w:adjustRightInd w:val="0"/>
              <w:jc w:val="both"/>
              <w:rPr>
                <w:rFonts w:ascii="Arial" w:eastAsia="Calibri" w:hAnsi="Arial" w:cs="Arial"/>
                <w:color w:val="000000"/>
                <w:sz w:val="20"/>
                <w:szCs w:val="22"/>
              </w:rPr>
            </w:pPr>
            <w:r w:rsidRPr="00752183">
              <w:rPr>
                <w:rFonts w:ascii="Arial" w:eastAsia="Calibri" w:hAnsi="Arial" w:cs="Arial"/>
                <w:color w:val="000000"/>
                <w:sz w:val="20"/>
                <w:szCs w:val="22"/>
              </w:rPr>
              <w:t>INVERSION (Incluye PDA)</w:t>
            </w:r>
          </w:p>
        </w:tc>
        <w:tc>
          <w:tcPr>
            <w:tcW w:w="1701" w:type="dxa"/>
            <w:tcBorders>
              <w:top w:val="single" w:sz="4" w:space="0" w:color="auto"/>
              <w:left w:val="single" w:sz="18" w:space="0" w:color="auto"/>
              <w:bottom w:val="single" w:sz="4"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12</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c>
          <w:tcPr>
            <w:tcW w:w="1843" w:type="dxa"/>
            <w:tcBorders>
              <w:top w:val="single" w:sz="4" w:space="0" w:color="auto"/>
              <w:left w:val="single" w:sz="18" w:space="0" w:color="auto"/>
              <w:bottom w:val="single" w:sz="4"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27</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c>
          <w:tcPr>
            <w:tcW w:w="1701" w:type="dxa"/>
            <w:tcBorders>
              <w:top w:val="single" w:sz="4" w:space="0" w:color="auto"/>
              <w:left w:val="single" w:sz="18" w:space="0" w:color="auto"/>
              <w:bottom w:val="single" w:sz="4"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125</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r>
      <w:tr w:rsidR="00355BC7" w:rsidRPr="00A72BD5" w:rsidTr="00355BC7">
        <w:trPr>
          <w:trHeight w:val="542"/>
        </w:trPr>
        <w:tc>
          <w:tcPr>
            <w:tcW w:w="3114" w:type="dxa"/>
            <w:tcBorders>
              <w:top w:val="single" w:sz="4" w:space="0" w:color="auto"/>
              <w:left w:val="single" w:sz="18" w:space="0" w:color="auto"/>
              <w:bottom w:val="single" w:sz="18" w:space="0" w:color="auto"/>
              <w:right w:val="single" w:sz="18" w:space="0" w:color="auto"/>
            </w:tcBorders>
            <w:hideMark/>
          </w:tcPr>
          <w:p w:rsidR="00355BC7" w:rsidRPr="00752183" w:rsidRDefault="00355BC7">
            <w:pPr>
              <w:autoSpaceDE w:val="0"/>
              <w:autoSpaceDN w:val="0"/>
              <w:adjustRightInd w:val="0"/>
              <w:rPr>
                <w:rFonts w:ascii="Arial" w:eastAsia="Calibri" w:hAnsi="Arial" w:cs="Arial"/>
                <w:color w:val="000000"/>
                <w:sz w:val="20"/>
                <w:szCs w:val="22"/>
              </w:rPr>
            </w:pPr>
            <w:r w:rsidRPr="00752183">
              <w:rPr>
                <w:rFonts w:ascii="Arial" w:eastAsia="Calibri" w:hAnsi="Arial" w:cs="Arial"/>
                <w:color w:val="000000"/>
                <w:sz w:val="20"/>
                <w:szCs w:val="22"/>
              </w:rPr>
              <w:t>SERVICIO DEUDA</w:t>
            </w:r>
          </w:p>
        </w:tc>
        <w:tc>
          <w:tcPr>
            <w:tcW w:w="1701" w:type="dxa"/>
            <w:tcBorders>
              <w:top w:val="single" w:sz="4" w:space="0" w:color="auto"/>
              <w:left w:val="single" w:sz="18" w:space="0" w:color="auto"/>
              <w:bottom w:val="single" w:sz="18"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77</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c>
          <w:tcPr>
            <w:tcW w:w="1843" w:type="dxa"/>
            <w:tcBorders>
              <w:top w:val="single" w:sz="4" w:space="0" w:color="auto"/>
              <w:left w:val="single" w:sz="18" w:space="0" w:color="auto"/>
              <w:bottom w:val="single" w:sz="18"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49</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c>
          <w:tcPr>
            <w:tcW w:w="1701" w:type="dxa"/>
            <w:tcBorders>
              <w:top w:val="single" w:sz="4" w:space="0" w:color="auto"/>
              <w:left w:val="single" w:sz="18" w:space="0" w:color="auto"/>
              <w:bottom w:val="single" w:sz="18" w:space="0" w:color="auto"/>
              <w:right w:val="single" w:sz="18" w:space="0" w:color="auto"/>
            </w:tcBorders>
            <w:hideMark/>
          </w:tcPr>
          <w:p w:rsidR="00355BC7" w:rsidRPr="00752183" w:rsidRDefault="00355BC7">
            <w:pPr>
              <w:autoSpaceDE w:val="0"/>
              <w:autoSpaceDN w:val="0"/>
              <w:adjustRightInd w:val="0"/>
              <w:jc w:val="center"/>
              <w:rPr>
                <w:rFonts w:ascii="Arial" w:eastAsia="Calibri" w:hAnsi="Arial" w:cs="Arial"/>
                <w:color w:val="000000"/>
                <w:sz w:val="20"/>
                <w:szCs w:val="22"/>
              </w:rPr>
            </w:pPr>
            <w:r w:rsidRPr="00752183">
              <w:rPr>
                <w:rFonts w:ascii="Arial" w:eastAsia="Calibri" w:hAnsi="Arial" w:cs="Arial"/>
                <w:color w:val="000000"/>
                <w:sz w:val="20"/>
                <w:szCs w:val="22"/>
              </w:rPr>
              <w:t>-36</w:t>
            </w:r>
            <w:r w:rsidR="00A72BD5" w:rsidRPr="00752183">
              <w:rPr>
                <w:rFonts w:ascii="Arial" w:eastAsia="Calibri" w:hAnsi="Arial" w:cs="Arial"/>
                <w:color w:val="000000"/>
                <w:sz w:val="20"/>
                <w:szCs w:val="22"/>
              </w:rPr>
              <w:t xml:space="preserve"> </w:t>
            </w:r>
            <w:r w:rsidRPr="00752183">
              <w:rPr>
                <w:rFonts w:ascii="Arial" w:eastAsia="Calibri" w:hAnsi="Arial" w:cs="Arial"/>
                <w:color w:val="000000"/>
                <w:sz w:val="20"/>
                <w:szCs w:val="22"/>
              </w:rPr>
              <w:t>%</w:t>
            </w:r>
          </w:p>
        </w:tc>
      </w:tr>
    </w:tbl>
    <w:p w:rsidR="00355BC7" w:rsidRPr="00752183" w:rsidRDefault="00355BC7" w:rsidP="00355BC7">
      <w:pPr>
        <w:autoSpaceDE w:val="0"/>
        <w:autoSpaceDN w:val="0"/>
        <w:adjustRightInd w:val="0"/>
        <w:jc w:val="center"/>
        <w:rPr>
          <w:rFonts w:ascii="Arial" w:eastAsia="Calibri" w:hAnsi="Arial" w:cs="Arial"/>
          <w:color w:val="000000"/>
          <w:sz w:val="16"/>
          <w:szCs w:val="20"/>
        </w:rPr>
      </w:pPr>
      <w:r w:rsidRPr="00752183">
        <w:rPr>
          <w:rFonts w:ascii="Arial" w:eastAsia="Calibri" w:hAnsi="Arial" w:cs="Arial"/>
          <w:b/>
          <w:color w:val="000000"/>
          <w:sz w:val="16"/>
          <w:szCs w:val="20"/>
        </w:rPr>
        <w:t>Fuente:</w:t>
      </w:r>
      <w:r w:rsidRPr="00752183">
        <w:rPr>
          <w:rFonts w:ascii="Arial" w:eastAsia="Calibri" w:hAnsi="Arial" w:cs="Arial"/>
          <w:color w:val="000000"/>
          <w:sz w:val="16"/>
          <w:szCs w:val="20"/>
        </w:rPr>
        <w:t xml:space="preserve"> ejecución presupuestal Municipio de Mitú</w:t>
      </w:r>
    </w:p>
    <w:p w:rsidR="00355BC7" w:rsidRPr="00752183" w:rsidRDefault="00355BC7" w:rsidP="00752183">
      <w:pPr>
        <w:autoSpaceDE w:val="0"/>
        <w:autoSpaceDN w:val="0"/>
        <w:adjustRightInd w:val="0"/>
        <w:rPr>
          <w:rFonts w:ascii="Arial" w:eastAsia="Calibri" w:hAnsi="Arial" w:cs="Arial"/>
          <w:color w:val="000000"/>
          <w:sz w:val="22"/>
          <w:szCs w:val="20"/>
        </w:rPr>
      </w:pPr>
    </w:p>
    <w:p w:rsidR="00355BC7" w:rsidRDefault="00355BC7" w:rsidP="00355BC7">
      <w:pPr>
        <w:autoSpaceDE w:val="0"/>
        <w:autoSpaceDN w:val="0"/>
        <w:adjustRightInd w:val="0"/>
        <w:jc w:val="both"/>
        <w:rPr>
          <w:rFonts w:ascii="Arial" w:eastAsiaTheme="minorHAnsi" w:hAnsi="Arial" w:cs="Arial"/>
          <w:sz w:val="22"/>
          <w:szCs w:val="22"/>
          <w:lang w:val="es-419"/>
        </w:rPr>
      </w:pPr>
      <w:r>
        <w:rPr>
          <w:rFonts w:ascii="Arial" w:hAnsi="Arial" w:cs="Arial"/>
          <w:color w:val="000000" w:themeColor="text1"/>
          <w:sz w:val="22"/>
          <w:szCs w:val="22"/>
          <w:lang w:val="es-CO"/>
        </w:rPr>
        <w:t xml:space="preserve">Atendiendo la orientación del gasto con los recursos de la participación de APSB del SGP, la entidad territorial enmarcó sus acciones en proyectos </w:t>
      </w:r>
      <w:r>
        <w:rPr>
          <w:rFonts w:ascii="Arial" w:eastAsiaTheme="minorHAnsi" w:hAnsi="Arial" w:cs="Arial"/>
          <w:sz w:val="22"/>
          <w:szCs w:val="22"/>
          <w:lang w:val="es-419"/>
        </w:rPr>
        <w:t>de formulación y acciones de fortalecimiento en los servicios de acueducto, alcantarillado y aseo (Actualización Estudio Tarifario).</w:t>
      </w:r>
    </w:p>
    <w:p w:rsidR="00355BC7" w:rsidRDefault="00355BC7" w:rsidP="00355BC7">
      <w:pPr>
        <w:autoSpaceDE w:val="0"/>
        <w:autoSpaceDN w:val="0"/>
        <w:adjustRightInd w:val="0"/>
        <w:jc w:val="both"/>
        <w:rPr>
          <w:rFonts w:ascii="Arial" w:eastAsiaTheme="minorHAnsi" w:hAnsi="Arial" w:cs="Arial"/>
          <w:sz w:val="22"/>
          <w:szCs w:val="22"/>
          <w:lang w:val="es-419"/>
        </w:rPr>
      </w:pPr>
    </w:p>
    <w:p w:rsidR="00355BC7" w:rsidRDefault="00355BC7" w:rsidP="00355BC7">
      <w:pPr>
        <w:autoSpaceDE w:val="0"/>
        <w:autoSpaceDN w:val="0"/>
        <w:adjustRightInd w:val="0"/>
        <w:jc w:val="both"/>
        <w:rPr>
          <w:rFonts w:ascii="Arial" w:eastAsiaTheme="minorHAnsi" w:hAnsi="Arial" w:cs="Arial"/>
          <w:sz w:val="22"/>
          <w:szCs w:val="22"/>
          <w:lang w:val="es-419"/>
        </w:rPr>
      </w:pPr>
      <w:r>
        <w:rPr>
          <w:rFonts w:ascii="Arial" w:eastAsiaTheme="minorHAnsi" w:hAnsi="Arial" w:cs="Arial"/>
          <w:sz w:val="22"/>
          <w:szCs w:val="22"/>
          <w:lang w:val="es-419"/>
        </w:rPr>
        <w:t>Por otra parte, se destaca que el Municipio también realizó inversiones en el sector de APSB con fuentes de financiación diferentes a la participación de APSB-SGP, entre ellas se señalan los recursos propios y los provenientes de la participación de Propósito General. El monto invertido ascendió aproximadamente a $1.112 millones, en su mayoría se destinaron a gastos de operación del sector, compra de químicos, programas de aseo y limpieza de espacios públicos y sistemas de información, entre otros.  El siguiente grafico muestra las diferentes fuentes que financiaron el gasto de APSB</w:t>
      </w:r>
    </w:p>
    <w:p w:rsidR="00355BC7" w:rsidRDefault="00355BC7" w:rsidP="00355BC7">
      <w:pPr>
        <w:autoSpaceDE w:val="0"/>
        <w:autoSpaceDN w:val="0"/>
        <w:adjustRightInd w:val="0"/>
        <w:jc w:val="both"/>
        <w:rPr>
          <w:rFonts w:ascii="Arial" w:eastAsiaTheme="minorHAnsi" w:hAnsi="Arial" w:cs="Arial"/>
          <w:sz w:val="22"/>
          <w:szCs w:val="22"/>
          <w:lang w:val="es-419"/>
        </w:rPr>
      </w:pPr>
    </w:p>
    <w:p w:rsidR="00355BC7" w:rsidRDefault="00355BC7" w:rsidP="00355BC7">
      <w:pPr>
        <w:autoSpaceDE w:val="0"/>
        <w:autoSpaceDN w:val="0"/>
        <w:adjustRightInd w:val="0"/>
        <w:jc w:val="center"/>
        <w:rPr>
          <w:rFonts w:ascii="Arial" w:eastAsia="Calibri" w:hAnsi="Arial" w:cs="Arial"/>
          <w:color w:val="000000"/>
        </w:rPr>
      </w:pPr>
      <w:r>
        <w:rPr>
          <w:noProof/>
          <w:lang w:val="es-CO" w:eastAsia="es-CO"/>
        </w:rPr>
        <w:lastRenderedPageBreak/>
        <w:drawing>
          <wp:inline distT="0" distB="0" distL="0" distR="0">
            <wp:extent cx="5914390" cy="3015615"/>
            <wp:effectExtent l="0" t="0" r="10160" b="1333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5BC7" w:rsidRDefault="00355BC7" w:rsidP="00355BC7">
      <w:pPr>
        <w:autoSpaceDE w:val="0"/>
        <w:autoSpaceDN w:val="0"/>
        <w:adjustRightInd w:val="0"/>
        <w:jc w:val="center"/>
        <w:rPr>
          <w:rFonts w:ascii="Arial" w:hAnsi="Arial" w:cs="Arial"/>
          <w:sz w:val="14"/>
          <w:szCs w:val="14"/>
        </w:rPr>
      </w:pPr>
      <w:r>
        <w:rPr>
          <w:rFonts w:ascii="Arial" w:hAnsi="Arial" w:cs="Arial"/>
          <w:b/>
          <w:sz w:val="14"/>
          <w:szCs w:val="14"/>
        </w:rPr>
        <w:t xml:space="preserve">Fuente: </w:t>
      </w:r>
      <w:r>
        <w:rPr>
          <w:rFonts w:ascii="Arial" w:hAnsi="Arial" w:cs="Arial"/>
          <w:sz w:val="14"/>
          <w:szCs w:val="14"/>
        </w:rPr>
        <w:t>Ejecuciones presupuestales 2018-2019, FUT –Información financiera Municipio de Mitú</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eastAsiaTheme="minorHAnsi" w:hAnsi="Arial" w:cs="Arial"/>
          <w:sz w:val="22"/>
          <w:szCs w:val="22"/>
          <w:lang w:val="es-419"/>
        </w:rPr>
      </w:pPr>
      <w:r>
        <w:rPr>
          <w:rFonts w:ascii="Arial" w:eastAsiaTheme="minorHAnsi" w:hAnsi="Arial" w:cs="Arial"/>
          <w:sz w:val="22"/>
          <w:szCs w:val="22"/>
          <w:lang w:val="es-419"/>
        </w:rPr>
        <w:t xml:space="preserve">Al sumar los recursos diferentes a la participación de APSB </w:t>
      </w:r>
      <w:r w:rsidR="00AD4D0F">
        <w:rPr>
          <w:rFonts w:ascii="Arial" w:eastAsiaTheme="minorHAnsi" w:hAnsi="Arial" w:cs="Arial"/>
          <w:sz w:val="22"/>
          <w:szCs w:val="22"/>
          <w:lang w:val="es-419"/>
        </w:rPr>
        <w:t xml:space="preserve">- </w:t>
      </w:r>
      <w:r>
        <w:rPr>
          <w:rFonts w:ascii="Arial" w:eastAsiaTheme="minorHAnsi" w:hAnsi="Arial" w:cs="Arial"/>
          <w:sz w:val="22"/>
          <w:szCs w:val="22"/>
          <w:lang w:val="es-419"/>
        </w:rPr>
        <w:t>SGP y demás fuentes de financiación, la inversión total en el sector fue de $2.809 millones. Este monto dentro de la inversión global</w:t>
      </w:r>
      <w:r>
        <w:rPr>
          <w:rFonts w:ascii="Arial" w:eastAsiaTheme="minorHAnsi" w:hAnsi="Arial" w:cs="Arial"/>
          <w:sz w:val="22"/>
          <w:szCs w:val="22"/>
          <w:vertAlign w:val="superscript"/>
          <w:lang w:val="es-419"/>
        </w:rPr>
        <w:footnoteReference w:id="22"/>
      </w:r>
      <w:r>
        <w:rPr>
          <w:rFonts w:ascii="Arial" w:eastAsiaTheme="minorHAnsi" w:hAnsi="Arial" w:cs="Arial"/>
          <w:sz w:val="22"/>
          <w:szCs w:val="22"/>
          <w:lang w:val="es-419"/>
        </w:rPr>
        <w:t xml:space="preserve"> de la </w:t>
      </w:r>
      <w:r w:rsidR="00AD4D0F">
        <w:rPr>
          <w:rFonts w:ascii="Arial" w:eastAsiaTheme="minorHAnsi" w:hAnsi="Arial" w:cs="Arial"/>
          <w:sz w:val="22"/>
          <w:szCs w:val="22"/>
          <w:lang w:val="es-419"/>
        </w:rPr>
        <w:t>E</w:t>
      </w:r>
      <w:r>
        <w:rPr>
          <w:rFonts w:ascii="Arial" w:eastAsiaTheme="minorHAnsi" w:hAnsi="Arial" w:cs="Arial"/>
          <w:sz w:val="22"/>
          <w:szCs w:val="22"/>
          <w:lang w:val="es-419"/>
        </w:rPr>
        <w:t>ntidad corresponde al 9</w:t>
      </w:r>
      <w:r w:rsidR="00AD4D0F">
        <w:rPr>
          <w:rFonts w:ascii="Arial" w:eastAsiaTheme="minorHAnsi" w:hAnsi="Arial" w:cs="Arial"/>
          <w:sz w:val="22"/>
          <w:szCs w:val="22"/>
          <w:lang w:val="es-419"/>
        </w:rPr>
        <w:t xml:space="preserve"> </w:t>
      </w:r>
      <w:r>
        <w:rPr>
          <w:rFonts w:ascii="Arial" w:eastAsiaTheme="minorHAnsi" w:hAnsi="Arial" w:cs="Arial"/>
          <w:sz w:val="22"/>
          <w:szCs w:val="22"/>
          <w:lang w:val="es-419"/>
        </w:rPr>
        <w:t>%.</w:t>
      </w:r>
    </w:p>
    <w:p w:rsidR="00355BC7" w:rsidRDefault="00355BC7" w:rsidP="00355BC7">
      <w:pPr>
        <w:autoSpaceDE w:val="0"/>
        <w:autoSpaceDN w:val="0"/>
        <w:adjustRightInd w:val="0"/>
        <w:jc w:val="both"/>
        <w:rPr>
          <w:rFonts w:ascii="Arial" w:eastAsiaTheme="minorHAnsi" w:hAnsi="Arial" w:cs="Arial"/>
          <w:sz w:val="22"/>
          <w:szCs w:val="22"/>
          <w:lang w:val="es-419"/>
        </w:rPr>
      </w:pPr>
    </w:p>
    <w:p w:rsidR="00355BC7" w:rsidRDefault="00355BC7" w:rsidP="00355BC7">
      <w:pPr>
        <w:numPr>
          <w:ilvl w:val="0"/>
          <w:numId w:val="27"/>
        </w:numPr>
        <w:autoSpaceDE w:val="0"/>
        <w:autoSpaceDN w:val="0"/>
        <w:adjustRightInd w:val="0"/>
        <w:jc w:val="both"/>
        <w:rPr>
          <w:rFonts w:ascii="Arial" w:hAnsi="Arial" w:cs="Arial"/>
          <w:b/>
          <w:sz w:val="22"/>
          <w:szCs w:val="22"/>
        </w:rPr>
      </w:pPr>
      <w:r>
        <w:rPr>
          <w:rFonts w:ascii="Arial" w:hAnsi="Arial" w:cs="Arial"/>
          <w:b/>
          <w:sz w:val="22"/>
          <w:szCs w:val="22"/>
        </w:rPr>
        <w:t>DEUDA P</w:t>
      </w:r>
      <w:r w:rsidR="002B49D6">
        <w:rPr>
          <w:rFonts w:ascii="Arial" w:hAnsi="Arial" w:cs="Arial"/>
          <w:b/>
          <w:sz w:val="22"/>
          <w:szCs w:val="22"/>
        </w:rPr>
        <w:t>Ú</w:t>
      </w:r>
      <w:r>
        <w:rPr>
          <w:rFonts w:ascii="Arial" w:hAnsi="Arial" w:cs="Arial"/>
          <w:b/>
          <w:sz w:val="22"/>
          <w:szCs w:val="22"/>
        </w:rPr>
        <w:t>BLICA</w:t>
      </w:r>
      <w:r w:rsidR="00AD4D0F">
        <w:rPr>
          <w:rFonts w:ascii="Arial" w:hAnsi="Arial" w:cs="Arial"/>
          <w:b/>
          <w:sz w:val="22"/>
          <w:szCs w:val="22"/>
        </w:rPr>
        <w:t>.</w:t>
      </w:r>
    </w:p>
    <w:p w:rsidR="00355BC7" w:rsidRDefault="00355BC7" w:rsidP="00355BC7">
      <w:pPr>
        <w:autoSpaceDE w:val="0"/>
        <w:autoSpaceDN w:val="0"/>
        <w:adjustRightInd w:val="0"/>
        <w:jc w:val="both"/>
        <w:rPr>
          <w:rFonts w:ascii="Arial" w:hAnsi="Arial" w:cs="Arial"/>
          <w:b/>
          <w:sz w:val="22"/>
          <w:szCs w:val="22"/>
        </w:rPr>
      </w:pPr>
    </w:p>
    <w:p w:rsidR="00B6750B" w:rsidRDefault="00B6750B" w:rsidP="00B6750B">
      <w:pPr>
        <w:jc w:val="both"/>
        <w:rPr>
          <w:rFonts w:ascii="Arial" w:hAnsi="Arial" w:cs="Arial"/>
          <w:b/>
          <w:sz w:val="22"/>
          <w:szCs w:val="22"/>
          <w:u w:val="single"/>
        </w:rPr>
      </w:pPr>
      <w:r>
        <w:rPr>
          <w:rFonts w:ascii="Arial" w:hAnsi="Arial" w:cs="Arial"/>
          <w:b/>
          <w:sz w:val="22"/>
          <w:szCs w:val="22"/>
          <w:u w:val="single"/>
        </w:rPr>
        <w:t>Antecedentes</w:t>
      </w:r>
      <w:r w:rsidR="002B49D6">
        <w:rPr>
          <w:rFonts w:ascii="Arial" w:hAnsi="Arial" w:cs="Arial"/>
          <w:b/>
          <w:sz w:val="22"/>
          <w:szCs w:val="22"/>
          <w:u w:val="single"/>
        </w:rPr>
        <w:t>.</w:t>
      </w:r>
    </w:p>
    <w:p w:rsidR="00B6750B" w:rsidRDefault="00B6750B" w:rsidP="00B6750B">
      <w:pPr>
        <w:jc w:val="both"/>
        <w:rPr>
          <w:rFonts w:ascii="Arial" w:hAnsi="Arial" w:cs="Arial"/>
          <w:sz w:val="22"/>
          <w:szCs w:val="22"/>
        </w:rPr>
      </w:pPr>
    </w:p>
    <w:p w:rsidR="00CA1797" w:rsidRDefault="00B6750B" w:rsidP="00CA1797">
      <w:pPr>
        <w:jc w:val="both"/>
        <w:rPr>
          <w:rFonts w:ascii="Arial" w:eastAsia="Calibri" w:hAnsi="Arial" w:cs="Arial"/>
          <w:sz w:val="22"/>
          <w:szCs w:val="22"/>
          <w:lang w:val="es-CO"/>
        </w:rPr>
      </w:pPr>
      <w:r>
        <w:rPr>
          <w:rFonts w:ascii="Arial" w:hAnsi="Arial" w:cs="Arial"/>
          <w:sz w:val="22"/>
          <w:szCs w:val="22"/>
        </w:rPr>
        <w:t xml:space="preserve">El Municipio de Mitú contrató un crédito por $4.687 millones en el 2009 con el </w:t>
      </w:r>
      <w:r>
        <w:rPr>
          <w:rFonts w:ascii="Arial" w:hAnsi="Arial" w:cs="Arial"/>
          <w:sz w:val="22"/>
          <w:szCs w:val="22"/>
          <w:shd w:val="clear" w:color="auto" w:fill="FFFFFF"/>
        </w:rPr>
        <w:t xml:space="preserve">Patrimonio Autónomo </w:t>
      </w:r>
      <w:r w:rsidR="002B49D6">
        <w:rPr>
          <w:rFonts w:ascii="Arial" w:hAnsi="Arial" w:cs="Arial"/>
          <w:sz w:val="22"/>
          <w:szCs w:val="22"/>
          <w:shd w:val="clear" w:color="auto" w:fill="FFFFFF"/>
        </w:rPr>
        <w:t xml:space="preserve">- </w:t>
      </w:r>
      <w:r>
        <w:rPr>
          <w:rFonts w:ascii="Arial" w:hAnsi="Arial" w:cs="Arial"/>
          <w:sz w:val="22"/>
          <w:szCs w:val="22"/>
          <w:shd w:val="clear" w:color="auto" w:fill="FFFFFF"/>
        </w:rPr>
        <w:t xml:space="preserve">Grupo Financiero de Infraestructura Ltda., administrado por Alianza Fiduciaria. </w:t>
      </w:r>
      <w:r>
        <w:rPr>
          <w:rFonts w:ascii="Arial" w:eastAsia="Calibri" w:hAnsi="Arial" w:cs="Arial"/>
          <w:sz w:val="22"/>
          <w:szCs w:val="22"/>
          <w:lang w:val="es-CO"/>
        </w:rPr>
        <w:t xml:space="preserve">Este crédito estuvo inicialmente respaldado con Bonos de Agua, cuyos tenedores principales eran fondos de pensiones y el </w:t>
      </w:r>
      <w:r w:rsidR="007C2A77">
        <w:rPr>
          <w:rFonts w:ascii="Arial" w:eastAsia="Calibri" w:hAnsi="Arial" w:cs="Arial"/>
          <w:sz w:val="22"/>
          <w:szCs w:val="22"/>
          <w:lang w:val="es-CO"/>
        </w:rPr>
        <w:t>Grupo Aval y Alianza Fiduciaria</w:t>
      </w:r>
      <w:r>
        <w:rPr>
          <w:rFonts w:ascii="Arial" w:eastAsia="Calibri" w:hAnsi="Arial" w:cs="Arial"/>
          <w:sz w:val="22"/>
          <w:szCs w:val="22"/>
          <w:lang w:val="es-CO"/>
        </w:rPr>
        <w:t xml:space="preserve">. Las condiciones del crédito pactadas fueron: </w:t>
      </w:r>
      <w:r w:rsidR="00924F02">
        <w:rPr>
          <w:rFonts w:ascii="Arial" w:eastAsia="Calibri" w:hAnsi="Arial" w:cs="Arial"/>
          <w:sz w:val="22"/>
          <w:szCs w:val="22"/>
          <w:lang w:val="es-CO"/>
        </w:rPr>
        <w:t>Crédito contratado en UVR, tasa</w:t>
      </w:r>
      <w:r>
        <w:rPr>
          <w:rFonts w:ascii="Arial" w:eastAsia="Calibri" w:hAnsi="Arial" w:cs="Arial"/>
          <w:sz w:val="22"/>
          <w:szCs w:val="22"/>
          <w:lang w:val="es-CO"/>
        </w:rPr>
        <w:t xml:space="preserve"> de </w:t>
      </w:r>
      <w:r w:rsidRPr="00924F02">
        <w:rPr>
          <w:rFonts w:ascii="Arial" w:eastAsia="Calibri" w:hAnsi="Arial" w:cs="Arial"/>
          <w:sz w:val="22"/>
          <w:szCs w:val="22"/>
          <w:lang w:val="es-CO"/>
        </w:rPr>
        <w:t xml:space="preserve">interés </w:t>
      </w:r>
      <w:r w:rsidR="00E178D7" w:rsidRPr="00924F02">
        <w:rPr>
          <w:rFonts w:ascii="Arial" w:eastAsia="Calibri" w:hAnsi="Arial" w:cs="Arial"/>
          <w:sz w:val="22"/>
          <w:szCs w:val="22"/>
          <w:lang w:val="es-CO"/>
        </w:rPr>
        <w:t>del 8</w:t>
      </w:r>
      <w:r w:rsidR="002B49D6">
        <w:rPr>
          <w:rFonts w:ascii="Arial" w:eastAsia="Calibri" w:hAnsi="Arial" w:cs="Arial"/>
          <w:sz w:val="22"/>
          <w:szCs w:val="22"/>
          <w:lang w:val="es-CO"/>
        </w:rPr>
        <w:t xml:space="preserve"> </w:t>
      </w:r>
      <w:r w:rsidR="00E178D7" w:rsidRPr="00924F02">
        <w:rPr>
          <w:rFonts w:ascii="Arial" w:eastAsia="Calibri" w:hAnsi="Arial" w:cs="Arial"/>
          <w:sz w:val="22"/>
          <w:szCs w:val="22"/>
          <w:lang w:val="es-CO"/>
        </w:rPr>
        <w:t>%</w:t>
      </w:r>
      <w:r>
        <w:rPr>
          <w:rFonts w:ascii="Arial" w:eastAsia="Calibri" w:hAnsi="Arial" w:cs="Arial"/>
          <w:sz w:val="22"/>
          <w:szCs w:val="22"/>
          <w:lang w:val="es-CO"/>
        </w:rPr>
        <w:t xml:space="preserve">, </w:t>
      </w:r>
      <w:r w:rsidR="00924F02">
        <w:rPr>
          <w:rFonts w:ascii="Arial" w:eastAsia="Calibri" w:hAnsi="Arial" w:cs="Arial"/>
          <w:sz w:val="22"/>
          <w:szCs w:val="22"/>
          <w:lang w:val="es-CO"/>
        </w:rPr>
        <w:t xml:space="preserve">plazo </w:t>
      </w:r>
      <w:r>
        <w:rPr>
          <w:rFonts w:ascii="Arial" w:eastAsia="Calibri" w:hAnsi="Arial" w:cs="Arial"/>
          <w:sz w:val="22"/>
          <w:szCs w:val="22"/>
          <w:lang w:val="es-CO"/>
        </w:rPr>
        <w:t>a 19 años, se pignor</w:t>
      </w:r>
      <w:r w:rsidR="00A669AC">
        <w:rPr>
          <w:rFonts w:ascii="Arial" w:eastAsia="Calibri" w:hAnsi="Arial" w:cs="Arial"/>
          <w:sz w:val="22"/>
          <w:szCs w:val="22"/>
          <w:lang w:val="es-CO"/>
        </w:rPr>
        <w:t>ó</w:t>
      </w:r>
      <w:r>
        <w:rPr>
          <w:rFonts w:ascii="Arial" w:eastAsia="Calibri" w:hAnsi="Arial" w:cs="Arial"/>
          <w:sz w:val="22"/>
          <w:szCs w:val="22"/>
          <w:lang w:val="es-CO"/>
        </w:rPr>
        <w:t xml:space="preserve"> el 75</w:t>
      </w:r>
      <w:r w:rsidR="002B49D6">
        <w:rPr>
          <w:rFonts w:ascii="Arial" w:eastAsia="Calibri" w:hAnsi="Arial" w:cs="Arial"/>
          <w:sz w:val="22"/>
          <w:szCs w:val="22"/>
          <w:lang w:val="es-CO"/>
        </w:rPr>
        <w:t xml:space="preserve"> </w:t>
      </w:r>
      <w:r>
        <w:rPr>
          <w:rFonts w:ascii="Arial" w:eastAsia="Calibri" w:hAnsi="Arial" w:cs="Arial"/>
          <w:sz w:val="22"/>
          <w:szCs w:val="22"/>
          <w:lang w:val="es-CO"/>
        </w:rPr>
        <w:t xml:space="preserve">% de los recursos de la Participación de Agua Potable y Saneamiento Básico del Sistema General de </w:t>
      </w:r>
      <w:r w:rsidR="00924F02">
        <w:rPr>
          <w:rFonts w:ascii="Arial" w:eastAsia="Calibri" w:hAnsi="Arial" w:cs="Arial"/>
          <w:sz w:val="22"/>
          <w:szCs w:val="22"/>
          <w:lang w:val="es-CO"/>
        </w:rPr>
        <w:t>Participaciones</w:t>
      </w:r>
      <w:r w:rsidR="00CA1797">
        <w:rPr>
          <w:rFonts w:ascii="Arial" w:eastAsia="Calibri" w:hAnsi="Arial" w:cs="Arial"/>
          <w:sz w:val="22"/>
          <w:szCs w:val="22"/>
          <w:lang w:val="es-CO"/>
        </w:rPr>
        <w:t xml:space="preserve"> y el c</w:t>
      </w:r>
      <w:r w:rsidR="00CA1797">
        <w:rPr>
          <w:rFonts w:ascii="Arial" w:hAnsi="Arial" w:cs="Arial"/>
          <w:sz w:val="22"/>
          <w:szCs w:val="22"/>
          <w:lang w:val="es-CO"/>
        </w:rPr>
        <w:t xml:space="preserve">rédito no permitió que la </w:t>
      </w:r>
      <w:r w:rsidR="002B49D6">
        <w:rPr>
          <w:rFonts w:ascii="Arial" w:hAnsi="Arial" w:cs="Arial"/>
          <w:sz w:val="22"/>
          <w:szCs w:val="22"/>
          <w:lang w:val="es-CO"/>
        </w:rPr>
        <w:t>E</w:t>
      </w:r>
      <w:r w:rsidR="00CA1797">
        <w:rPr>
          <w:rFonts w:ascii="Arial" w:hAnsi="Arial" w:cs="Arial"/>
          <w:sz w:val="22"/>
          <w:szCs w:val="22"/>
          <w:lang w:val="es-CO"/>
        </w:rPr>
        <w:t xml:space="preserve">ntidad </w:t>
      </w:r>
      <w:r w:rsidR="002B49D6">
        <w:rPr>
          <w:rFonts w:ascii="Arial" w:hAnsi="Arial" w:cs="Arial"/>
          <w:sz w:val="22"/>
          <w:szCs w:val="22"/>
          <w:lang w:val="es-CO"/>
        </w:rPr>
        <w:t>T</w:t>
      </w:r>
      <w:r w:rsidR="00CA1797">
        <w:rPr>
          <w:rFonts w:ascii="Arial" w:hAnsi="Arial" w:cs="Arial"/>
          <w:sz w:val="22"/>
          <w:szCs w:val="22"/>
          <w:lang w:val="es-CO"/>
        </w:rPr>
        <w:t>erritorial realizara prepago sobre la deuda adquirida</w:t>
      </w:r>
      <w:r w:rsidR="002B49D6">
        <w:rPr>
          <w:rFonts w:ascii="Arial" w:hAnsi="Arial" w:cs="Arial"/>
          <w:sz w:val="22"/>
          <w:szCs w:val="22"/>
          <w:lang w:val="es-CO"/>
        </w:rPr>
        <w:t>.</w:t>
      </w:r>
    </w:p>
    <w:p w:rsidR="00CA1797" w:rsidRDefault="00CA1797" w:rsidP="00CA1797">
      <w:pPr>
        <w:jc w:val="both"/>
        <w:rPr>
          <w:rFonts w:ascii="Arial" w:eastAsia="Calibri" w:hAnsi="Arial" w:cs="Arial"/>
          <w:sz w:val="22"/>
          <w:szCs w:val="22"/>
          <w:lang w:val="es-CO"/>
        </w:rPr>
      </w:pPr>
    </w:p>
    <w:p w:rsidR="00B6750B" w:rsidRDefault="00924F02" w:rsidP="00CA1797">
      <w:pPr>
        <w:jc w:val="both"/>
        <w:rPr>
          <w:rFonts w:ascii="Arial" w:hAnsi="Arial" w:cs="Arial"/>
          <w:sz w:val="22"/>
          <w:szCs w:val="22"/>
          <w:lang w:val="es-CO"/>
        </w:rPr>
      </w:pPr>
      <w:r>
        <w:rPr>
          <w:rFonts w:ascii="Arial" w:hAnsi="Arial" w:cs="Arial"/>
          <w:sz w:val="22"/>
          <w:szCs w:val="22"/>
          <w:lang w:val="es-CO"/>
        </w:rPr>
        <w:t xml:space="preserve">Adicionalmente, la </w:t>
      </w:r>
      <w:r w:rsidR="002B49D6">
        <w:rPr>
          <w:rFonts w:ascii="Arial" w:hAnsi="Arial" w:cs="Arial"/>
          <w:sz w:val="22"/>
          <w:szCs w:val="22"/>
          <w:lang w:val="es-CO"/>
        </w:rPr>
        <w:t>E</w:t>
      </w:r>
      <w:r>
        <w:rPr>
          <w:rFonts w:ascii="Arial" w:hAnsi="Arial" w:cs="Arial"/>
          <w:sz w:val="22"/>
          <w:szCs w:val="22"/>
          <w:lang w:val="es-CO"/>
        </w:rPr>
        <w:t xml:space="preserve">ntidad </w:t>
      </w:r>
      <w:r w:rsidR="002B49D6">
        <w:rPr>
          <w:rFonts w:ascii="Arial" w:hAnsi="Arial" w:cs="Arial"/>
          <w:sz w:val="22"/>
          <w:szCs w:val="22"/>
          <w:lang w:val="es-CO"/>
        </w:rPr>
        <w:t>T</w:t>
      </w:r>
      <w:r>
        <w:rPr>
          <w:rFonts w:ascii="Arial" w:hAnsi="Arial" w:cs="Arial"/>
          <w:sz w:val="22"/>
          <w:szCs w:val="22"/>
          <w:lang w:val="es-CO"/>
        </w:rPr>
        <w:t xml:space="preserve">erritorial debía pagar al </w:t>
      </w:r>
      <w:r w:rsidRPr="00924F02">
        <w:rPr>
          <w:rFonts w:ascii="Arial" w:hAnsi="Arial" w:cs="Arial"/>
          <w:color w:val="333333"/>
          <w:sz w:val="22"/>
          <w:szCs w:val="22"/>
        </w:rPr>
        <w:t xml:space="preserve">Grupo Financiero de Infraestructura </w:t>
      </w:r>
      <w:r w:rsidR="002B49D6">
        <w:rPr>
          <w:rFonts w:ascii="Arial" w:hAnsi="Arial" w:cs="Arial"/>
          <w:color w:val="333333"/>
          <w:sz w:val="22"/>
          <w:szCs w:val="22"/>
        </w:rPr>
        <w:t xml:space="preserve">- </w:t>
      </w:r>
      <w:r w:rsidRPr="00924F02">
        <w:rPr>
          <w:rFonts w:ascii="Arial" w:hAnsi="Arial" w:cs="Arial"/>
          <w:color w:val="333333"/>
          <w:sz w:val="22"/>
          <w:szCs w:val="22"/>
        </w:rPr>
        <w:t>GFI que era el encargado de emitir los créditos y realizar el giro de los recursos</w:t>
      </w:r>
      <w:r>
        <w:rPr>
          <w:rFonts w:ascii="Arial" w:hAnsi="Arial" w:cs="Arial"/>
          <w:color w:val="333333"/>
          <w:sz w:val="22"/>
          <w:szCs w:val="22"/>
        </w:rPr>
        <w:t xml:space="preserve"> a los municipios beneficiarios una </w:t>
      </w:r>
      <w:r>
        <w:rPr>
          <w:rFonts w:ascii="Arial" w:hAnsi="Arial" w:cs="Arial"/>
          <w:sz w:val="22"/>
          <w:szCs w:val="22"/>
          <w:lang w:val="es-CO"/>
        </w:rPr>
        <w:t>comisión del 3</w:t>
      </w:r>
      <w:r w:rsidR="002B49D6">
        <w:rPr>
          <w:rFonts w:ascii="Arial" w:hAnsi="Arial" w:cs="Arial"/>
          <w:sz w:val="22"/>
          <w:szCs w:val="22"/>
          <w:lang w:val="es-CO"/>
        </w:rPr>
        <w:t xml:space="preserve"> </w:t>
      </w:r>
      <w:r>
        <w:rPr>
          <w:rFonts w:ascii="Arial" w:hAnsi="Arial" w:cs="Arial"/>
          <w:sz w:val="22"/>
          <w:szCs w:val="22"/>
          <w:lang w:val="es-CO"/>
        </w:rPr>
        <w:t>%</w:t>
      </w:r>
      <w:r w:rsidR="00CA1797">
        <w:rPr>
          <w:rFonts w:ascii="Arial" w:hAnsi="Arial" w:cs="Arial"/>
          <w:sz w:val="22"/>
          <w:szCs w:val="22"/>
          <w:lang w:val="es-CO"/>
        </w:rPr>
        <w:t>.</w:t>
      </w:r>
    </w:p>
    <w:p w:rsidR="00B6750B" w:rsidRDefault="00B6750B" w:rsidP="00B6750B">
      <w:pPr>
        <w:jc w:val="both"/>
        <w:rPr>
          <w:rFonts w:ascii="Arial" w:eastAsia="Calibri" w:hAnsi="Arial" w:cs="Arial"/>
          <w:sz w:val="22"/>
          <w:szCs w:val="22"/>
          <w:lang w:val="es-CO"/>
        </w:rPr>
      </w:pPr>
    </w:p>
    <w:p w:rsidR="00B6750B" w:rsidRDefault="00B6750B" w:rsidP="00B6750B">
      <w:pPr>
        <w:jc w:val="both"/>
        <w:rPr>
          <w:rFonts w:ascii="Arial" w:hAnsi="Arial" w:cs="Arial"/>
          <w:sz w:val="22"/>
          <w:szCs w:val="22"/>
        </w:rPr>
      </w:pPr>
      <w:r>
        <w:rPr>
          <w:rFonts w:ascii="Arial" w:hAnsi="Arial" w:cs="Arial"/>
          <w:sz w:val="22"/>
          <w:szCs w:val="22"/>
        </w:rPr>
        <w:t>En el marco de la operación del crédito el Municipio de Mitú remitió al Ministerio de Vivienda, Ciudad y Territorio la instrucción de giro directo de un porcentaje de su SGP-APSB (75</w:t>
      </w:r>
      <w:r w:rsidR="002B49D6">
        <w:rPr>
          <w:rFonts w:ascii="Arial" w:hAnsi="Arial" w:cs="Arial"/>
          <w:sz w:val="22"/>
          <w:szCs w:val="22"/>
        </w:rPr>
        <w:t xml:space="preserve"> </w:t>
      </w:r>
      <w:r>
        <w:rPr>
          <w:rFonts w:ascii="Arial" w:hAnsi="Arial" w:cs="Arial"/>
          <w:sz w:val="22"/>
          <w:szCs w:val="22"/>
        </w:rPr>
        <w:t>%) por un periodo de 19 años, es decir hasta el 2028.</w:t>
      </w:r>
    </w:p>
    <w:p w:rsidR="00B6750B" w:rsidRDefault="00B6750B" w:rsidP="00B6750B">
      <w:pPr>
        <w:jc w:val="both"/>
        <w:rPr>
          <w:rFonts w:ascii="Arial" w:eastAsia="Calibri" w:hAnsi="Arial" w:cs="Arial"/>
          <w:sz w:val="22"/>
          <w:szCs w:val="22"/>
          <w:lang w:val="es-CO"/>
        </w:rPr>
      </w:pPr>
    </w:p>
    <w:p w:rsidR="00B6750B" w:rsidRDefault="00B6750B" w:rsidP="00B6750B">
      <w:pPr>
        <w:jc w:val="both"/>
        <w:rPr>
          <w:rFonts w:ascii="Arial" w:eastAsia="Calibri" w:hAnsi="Arial" w:cs="Arial"/>
          <w:sz w:val="22"/>
          <w:szCs w:val="22"/>
          <w:lang w:val="es-CO"/>
        </w:rPr>
      </w:pPr>
      <w:r>
        <w:rPr>
          <w:rFonts w:ascii="Arial" w:hAnsi="Arial" w:cs="Arial"/>
          <w:sz w:val="22"/>
          <w:szCs w:val="22"/>
        </w:rPr>
        <w:lastRenderedPageBreak/>
        <w:t>La destinación de los recursos del crédito fue la financiación de la c</w:t>
      </w:r>
      <w:r>
        <w:rPr>
          <w:rFonts w:ascii="Arial" w:eastAsia="Times New Roman" w:hAnsi="Arial" w:cs="Arial"/>
          <w:sz w:val="22"/>
          <w:szCs w:val="22"/>
        </w:rPr>
        <w:t xml:space="preserve">onstrucción de la planta de tratamiento de aguas residuales del </w:t>
      </w:r>
      <w:r w:rsidR="002B49D6">
        <w:rPr>
          <w:rFonts w:ascii="Arial" w:eastAsia="Times New Roman" w:hAnsi="Arial" w:cs="Arial"/>
          <w:sz w:val="22"/>
          <w:szCs w:val="22"/>
        </w:rPr>
        <w:t>M</w:t>
      </w:r>
      <w:r>
        <w:rPr>
          <w:rFonts w:ascii="Arial" w:eastAsia="Times New Roman" w:hAnsi="Arial" w:cs="Arial"/>
          <w:sz w:val="22"/>
          <w:szCs w:val="22"/>
        </w:rPr>
        <w:t xml:space="preserve">unicipio de Mitú </w:t>
      </w:r>
      <w:r w:rsidR="002B49D6">
        <w:rPr>
          <w:rFonts w:ascii="Arial" w:eastAsia="Times New Roman" w:hAnsi="Arial" w:cs="Arial"/>
          <w:sz w:val="22"/>
          <w:szCs w:val="22"/>
        </w:rPr>
        <w:t xml:space="preserve">- </w:t>
      </w:r>
      <w:r>
        <w:rPr>
          <w:rFonts w:ascii="Arial" w:eastAsia="Times New Roman" w:hAnsi="Arial" w:cs="Arial"/>
          <w:sz w:val="22"/>
          <w:szCs w:val="22"/>
        </w:rPr>
        <w:t>Vaupés sistemas de abastecimiento de aguas lluvias en las comunidades</w:t>
      </w:r>
      <w:r>
        <w:rPr>
          <w:rStyle w:val="Refdenotaalpie"/>
          <w:rFonts w:ascii="Arial" w:eastAsia="Times New Roman" w:hAnsi="Arial" w:cs="Arial"/>
          <w:sz w:val="22"/>
          <w:szCs w:val="22"/>
        </w:rPr>
        <w:footnoteReference w:id="23"/>
      </w:r>
      <w:r>
        <w:rPr>
          <w:rFonts w:ascii="Arial" w:eastAsia="Times New Roman" w:hAnsi="Arial" w:cs="Arial"/>
          <w:b/>
          <w:sz w:val="22"/>
          <w:szCs w:val="22"/>
        </w:rPr>
        <w:t xml:space="preserve">. </w:t>
      </w:r>
      <w:r>
        <w:rPr>
          <w:rFonts w:ascii="Arial" w:hAnsi="Arial" w:cs="Arial"/>
          <w:sz w:val="22"/>
          <w:szCs w:val="22"/>
        </w:rPr>
        <w:t xml:space="preserve">Según información de la </w:t>
      </w:r>
      <w:r w:rsidR="002B49D6">
        <w:rPr>
          <w:rFonts w:ascii="Arial" w:hAnsi="Arial" w:cs="Arial"/>
          <w:sz w:val="22"/>
          <w:szCs w:val="22"/>
        </w:rPr>
        <w:t>E</w:t>
      </w:r>
      <w:r>
        <w:rPr>
          <w:rFonts w:ascii="Arial" w:hAnsi="Arial" w:cs="Arial"/>
          <w:sz w:val="22"/>
          <w:szCs w:val="22"/>
        </w:rPr>
        <w:t xml:space="preserve">ntidad </w:t>
      </w:r>
      <w:r w:rsidR="002B49D6">
        <w:rPr>
          <w:rFonts w:ascii="Arial" w:hAnsi="Arial" w:cs="Arial"/>
          <w:sz w:val="22"/>
          <w:szCs w:val="22"/>
        </w:rPr>
        <w:t>T</w:t>
      </w:r>
      <w:r>
        <w:rPr>
          <w:rFonts w:ascii="Arial" w:hAnsi="Arial" w:cs="Arial"/>
          <w:sz w:val="22"/>
          <w:szCs w:val="22"/>
        </w:rPr>
        <w:t>erritorial la obra fue entregada en su totalidad.</w:t>
      </w:r>
    </w:p>
    <w:p w:rsidR="00B6750B" w:rsidRDefault="00B6750B" w:rsidP="00B6750B">
      <w:pPr>
        <w:jc w:val="both"/>
        <w:rPr>
          <w:rFonts w:ascii="Arial" w:eastAsia="Calibri" w:hAnsi="Arial" w:cs="Arial"/>
          <w:sz w:val="22"/>
          <w:szCs w:val="22"/>
          <w:lang w:val="es-CO"/>
        </w:rPr>
      </w:pPr>
    </w:p>
    <w:p w:rsidR="00B6750B" w:rsidRDefault="00B6750B" w:rsidP="00B6750B">
      <w:pPr>
        <w:jc w:val="both"/>
        <w:rPr>
          <w:rFonts w:ascii="Arial" w:eastAsia="Calibri" w:hAnsi="Arial" w:cs="Arial"/>
          <w:b/>
          <w:sz w:val="22"/>
          <w:szCs w:val="22"/>
          <w:u w:val="single"/>
          <w:lang w:val="es-CO"/>
        </w:rPr>
      </w:pPr>
      <w:r>
        <w:rPr>
          <w:rFonts w:ascii="Arial" w:eastAsia="Calibri" w:hAnsi="Arial" w:cs="Arial"/>
          <w:b/>
          <w:sz w:val="22"/>
          <w:szCs w:val="22"/>
          <w:u w:val="single"/>
          <w:lang w:val="es-CO"/>
        </w:rPr>
        <w:t xml:space="preserve">Sustitución de la </w:t>
      </w:r>
      <w:r w:rsidR="002B49D6">
        <w:rPr>
          <w:rFonts w:ascii="Arial" w:eastAsia="Calibri" w:hAnsi="Arial" w:cs="Arial"/>
          <w:b/>
          <w:sz w:val="22"/>
          <w:szCs w:val="22"/>
          <w:u w:val="single"/>
          <w:lang w:val="es-CO"/>
        </w:rPr>
        <w:t>d</w:t>
      </w:r>
      <w:r>
        <w:rPr>
          <w:rFonts w:ascii="Arial" w:eastAsia="Calibri" w:hAnsi="Arial" w:cs="Arial"/>
          <w:b/>
          <w:sz w:val="22"/>
          <w:szCs w:val="22"/>
          <w:u w:val="single"/>
          <w:lang w:val="es-CO"/>
        </w:rPr>
        <w:t>euda</w:t>
      </w:r>
      <w:r w:rsidR="002B49D6">
        <w:rPr>
          <w:rFonts w:ascii="Arial" w:eastAsia="Calibri" w:hAnsi="Arial" w:cs="Arial"/>
          <w:b/>
          <w:sz w:val="22"/>
          <w:szCs w:val="22"/>
          <w:u w:val="single"/>
          <w:lang w:val="es-CO"/>
        </w:rPr>
        <w:t>.</w:t>
      </w:r>
    </w:p>
    <w:p w:rsidR="00B6750B" w:rsidRDefault="00B6750B" w:rsidP="00B6750B">
      <w:pPr>
        <w:jc w:val="both"/>
        <w:rPr>
          <w:rFonts w:ascii="Arial" w:eastAsia="Calibri" w:hAnsi="Arial" w:cs="Arial"/>
          <w:sz w:val="22"/>
          <w:szCs w:val="22"/>
          <w:lang w:val="es-CO"/>
        </w:rPr>
      </w:pPr>
    </w:p>
    <w:p w:rsidR="00B6750B" w:rsidRDefault="00B6750B" w:rsidP="00B6750B">
      <w:pPr>
        <w:jc w:val="both"/>
        <w:rPr>
          <w:rFonts w:ascii="Arial" w:hAnsi="Arial" w:cs="Arial"/>
          <w:sz w:val="22"/>
          <w:szCs w:val="22"/>
        </w:rPr>
      </w:pPr>
      <w:r>
        <w:rPr>
          <w:rFonts w:ascii="Arial" w:eastAsia="Calibri" w:hAnsi="Arial" w:cs="Arial"/>
          <w:sz w:val="22"/>
          <w:szCs w:val="22"/>
          <w:lang w:val="es-CO"/>
        </w:rPr>
        <w:t>En el 2014, el Municipio de Mitú realizó la sustitución de la deuda con la Financiera de Desarrollo Territorial</w:t>
      </w:r>
      <w:r w:rsidR="002B49D6">
        <w:rPr>
          <w:rFonts w:ascii="Arial" w:eastAsia="Calibri" w:hAnsi="Arial" w:cs="Arial"/>
          <w:sz w:val="22"/>
          <w:szCs w:val="22"/>
          <w:lang w:val="es-CO"/>
        </w:rPr>
        <w:t xml:space="preserve"> </w:t>
      </w:r>
      <w:r>
        <w:rPr>
          <w:rFonts w:ascii="Arial" w:eastAsia="Calibri" w:hAnsi="Arial" w:cs="Arial"/>
          <w:sz w:val="22"/>
          <w:szCs w:val="22"/>
          <w:lang w:val="es-CO"/>
        </w:rPr>
        <w:t>-</w:t>
      </w:r>
      <w:r w:rsidR="002B49D6">
        <w:rPr>
          <w:rFonts w:ascii="Arial" w:eastAsia="Calibri" w:hAnsi="Arial" w:cs="Arial"/>
          <w:sz w:val="22"/>
          <w:szCs w:val="22"/>
          <w:lang w:val="es-CO"/>
        </w:rPr>
        <w:t xml:space="preserve"> </w:t>
      </w:r>
      <w:r>
        <w:rPr>
          <w:rFonts w:ascii="Arial" w:eastAsia="Calibri" w:hAnsi="Arial" w:cs="Arial"/>
          <w:sz w:val="22"/>
          <w:szCs w:val="22"/>
          <w:lang w:val="es-CO"/>
        </w:rPr>
        <w:t>FINDETER. Lo anterior través de la posibilidad de líneas de redescuento que otorgó el Decreto 1300 de 2014, el cual dispuso:</w:t>
      </w:r>
    </w:p>
    <w:p w:rsidR="00B6750B" w:rsidRDefault="00B6750B" w:rsidP="00B6750B">
      <w:pPr>
        <w:jc w:val="both"/>
        <w:rPr>
          <w:rFonts w:ascii="Arial" w:eastAsia="Calibri" w:hAnsi="Arial" w:cs="Arial"/>
          <w:sz w:val="22"/>
          <w:szCs w:val="22"/>
          <w:lang w:val="es-CO"/>
        </w:rPr>
      </w:pPr>
    </w:p>
    <w:p w:rsidR="00B6750B" w:rsidRPr="00752183" w:rsidRDefault="00B6750B" w:rsidP="00752183">
      <w:pPr>
        <w:ind w:left="1416"/>
        <w:jc w:val="both"/>
        <w:rPr>
          <w:rFonts w:ascii="Arial" w:eastAsia="Calibri" w:hAnsi="Arial" w:cs="Arial"/>
          <w:i/>
          <w:sz w:val="16"/>
          <w:szCs w:val="22"/>
          <w:lang w:val="es-CO"/>
        </w:rPr>
      </w:pPr>
      <w:r w:rsidRPr="00752183">
        <w:rPr>
          <w:rFonts w:ascii="Arial" w:hAnsi="Arial" w:cs="Arial"/>
          <w:b/>
          <w:bCs/>
          <w:i/>
          <w:sz w:val="18"/>
          <w:szCs w:val="23"/>
          <w:shd w:val="clear" w:color="auto" w:fill="FFFFFF"/>
        </w:rPr>
        <w:t>“ARTÍCULO</w:t>
      </w:r>
      <w:r w:rsidR="002B49D6">
        <w:rPr>
          <w:rFonts w:ascii="Arial" w:hAnsi="Arial" w:cs="Arial"/>
          <w:b/>
          <w:bCs/>
          <w:i/>
          <w:sz w:val="18"/>
          <w:szCs w:val="23"/>
          <w:shd w:val="clear" w:color="auto" w:fill="FFFFFF"/>
        </w:rPr>
        <w:t xml:space="preserve"> </w:t>
      </w:r>
      <w:r w:rsidRPr="00752183">
        <w:rPr>
          <w:rFonts w:ascii="Arial" w:hAnsi="Arial" w:cs="Arial"/>
          <w:b/>
          <w:bCs/>
          <w:i/>
          <w:sz w:val="18"/>
          <w:szCs w:val="23"/>
          <w:shd w:val="clear" w:color="auto" w:fill="FFFFFF"/>
        </w:rPr>
        <w:t>1°.</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Financiera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Desarrollo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Territorial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w:t>
      </w:r>
      <w:r w:rsidR="002B49D6">
        <w:rPr>
          <w:rFonts w:ascii="Arial" w:hAnsi="Arial" w:cs="Arial"/>
          <w:i/>
          <w:sz w:val="18"/>
          <w:szCs w:val="23"/>
          <w:shd w:val="clear" w:color="auto" w:fill="FFFFFF"/>
        </w:rPr>
        <w:t xml:space="preserve"> - </w:t>
      </w:r>
      <w:r w:rsidRPr="00752183">
        <w:rPr>
          <w:rFonts w:ascii="Arial" w:hAnsi="Arial" w:cs="Arial"/>
          <w:i/>
          <w:sz w:val="18"/>
          <w:szCs w:val="23"/>
          <w:shd w:val="clear" w:color="auto" w:fill="FFFFFF"/>
        </w:rPr>
        <w:t>Findeter,</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conformidad</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establecido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parágrafo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literal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b)</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numeral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3</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artículo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270</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Estatuto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Orgánico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Sistema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Financiero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y</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relación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las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actividades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que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tratan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los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literales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y</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numeral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2</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artículo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268</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mencionado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Estatuto,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podrá</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ofrecer</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una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línea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redescuento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tasa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compensada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destinada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Financiamiento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todas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las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inversiones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relacionadas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sector</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Agua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y</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Saneamiento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Básico,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aquellos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nuevos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planes,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programas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políticas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que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implementen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por</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Gobierno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nacional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Sector</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Agua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y</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Saneamiento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Básico,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así</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como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para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sustitución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deuda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contraída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por</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los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municipios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categoría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6</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con</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Patrimonio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Autónomo</w:t>
      </w:r>
      <w:r w:rsidR="002B49D6">
        <w:rPr>
          <w:rFonts w:ascii="Arial" w:hAnsi="Arial" w:cs="Arial"/>
          <w:i/>
          <w:sz w:val="18"/>
          <w:szCs w:val="23"/>
          <w:shd w:val="clear" w:color="auto" w:fill="FFFFFF"/>
        </w:rPr>
        <w:t xml:space="preserve"> - </w:t>
      </w:r>
      <w:r w:rsidRPr="00752183">
        <w:rPr>
          <w:rFonts w:ascii="Arial" w:hAnsi="Arial" w:cs="Arial"/>
          <w:i/>
          <w:sz w:val="18"/>
          <w:szCs w:val="23"/>
          <w:shd w:val="clear" w:color="auto" w:fill="FFFFFF"/>
        </w:rPr>
        <w:t>Grupo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Financiero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Infraestructura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Ltda.,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administrado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por</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Alianza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Fiduciaria,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cuyo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monto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por</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Ente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Territorial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no</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supere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los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diez</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mil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millones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de</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pesos</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($10.000.000.000)</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moneda</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legal</w:t>
      </w:r>
      <w:r w:rsidR="002B49D6">
        <w:rPr>
          <w:rFonts w:ascii="Arial" w:hAnsi="Arial" w:cs="Arial"/>
          <w:i/>
          <w:sz w:val="18"/>
          <w:szCs w:val="23"/>
          <w:shd w:val="clear" w:color="auto" w:fill="FFFFFF"/>
        </w:rPr>
        <w:t xml:space="preserve"> </w:t>
      </w:r>
      <w:r w:rsidRPr="00752183">
        <w:rPr>
          <w:rFonts w:ascii="Arial" w:hAnsi="Arial" w:cs="Arial"/>
          <w:i/>
          <w:sz w:val="18"/>
          <w:szCs w:val="23"/>
          <w:shd w:val="clear" w:color="auto" w:fill="FFFFFF"/>
        </w:rPr>
        <w:t>colombiana”.</w:t>
      </w:r>
    </w:p>
    <w:p w:rsidR="00B6750B" w:rsidRPr="007C2A77" w:rsidRDefault="00B6750B" w:rsidP="00B6750B">
      <w:pPr>
        <w:jc w:val="both"/>
        <w:rPr>
          <w:rFonts w:ascii="Arial" w:eastAsia="Calibri" w:hAnsi="Arial" w:cs="Arial"/>
          <w:sz w:val="22"/>
          <w:szCs w:val="22"/>
          <w:lang w:val="es-CO"/>
        </w:rPr>
      </w:pPr>
    </w:p>
    <w:p w:rsidR="00B6750B" w:rsidRPr="007C2A77" w:rsidRDefault="00B6750B" w:rsidP="00B6750B">
      <w:pPr>
        <w:jc w:val="both"/>
        <w:rPr>
          <w:rFonts w:ascii="Arial" w:eastAsia="Calibri" w:hAnsi="Arial" w:cs="Arial"/>
          <w:sz w:val="22"/>
          <w:szCs w:val="22"/>
          <w:lang w:val="es-CO"/>
        </w:rPr>
      </w:pPr>
      <w:r w:rsidRPr="007C2A77">
        <w:rPr>
          <w:rFonts w:ascii="Arial" w:eastAsia="Calibri" w:hAnsi="Arial" w:cs="Arial"/>
          <w:sz w:val="22"/>
          <w:szCs w:val="22"/>
          <w:lang w:val="es-CO"/>
        </w:rPr>
        <w:t>En ese sentido se realizó la sustitución d</w:t>
      </w:r>
      <w:r w:rsidR="007C2A77" w:rsidRPr="007C2A77">
        <w:rPr>
          <w:rFonts w:ascii="Arial" w:eastAsia="Calibri" w:hAnsi="Arial" w:cs="Arial"/>
          <w:sz w:val="22"/>
          <w:szCs w:val="22"/>
          <w:lang w:val="es-CO"/>
        </w:rPr>
        <w:t>e</w:t>
      </w:r>
      <w:r w:rsidRPr="007C2A77">
        <w:rPr>
          <w:rFonts w:ascii="Arial" w:eastAsia="Calibri" w:hAnsi="Arial" w:cs="Arial"/>
          <w:sz w:val="22"/>
          <w:szCs w:val="22"/>
          <w:lang w:val="es-CO"/>
        </w:rPr>
        <w:t xml:space="preserve"> la deuda, m</w:t>
      </w:r>
      <w:r w:rsidR="007C2A77" w:rsidRPr="007C2A77">
        <w:rPr>
          <w:rFonts w:ascii="Arial" w:eastAsia="Calibri" w:hAnsi="Arial" w:cs="Arial"/>
          <w:sz w:val="22"/>
          <w:szCs w:val="22"/>
          <w:lang w:val="es-CO"/>
        </w:rPr>
        <w:t>ejorando las condiciones</w:t>
      </w:r>
      <w:r w:rsidRPr="007C2A77">
        <w:rPr>
          <w:rFonts w:ascii="Arial" w:eastAsia="Calibri" w:hAnsi="Arial" w:cs="Arial"/>
          <w:sz w:val="22"/>
          <w:szCs w:val="22"/>
          <w:lang w:val="es-CO"/>
        </w:rPr>
        <w:t xml:space="preserve">. Sin embargo, la </w:t>
      </w:r>
      <w:r w:rsidR="002B49D6">
        <w:rPr>
          <w:rFonts w:ascii="Arial" w:eastAsia="Calibri" w:hAnsi="Arial" w:cs="Arial"/>
          <w:sz w:val="22"/>
          <w:szCs w:val="22"/>
          <w:lang w:val="es-CO"/>
        </w:rPr>
        <w:t>E</w:t>
      </w:r>
      <w:r w:rsidRPr="007C2A77">
        <w:rPr>
          <w:rFonts w:ascii="Arial" w:eastAsia="Calibri" w:hAnsi="Arial" w:cs="Arial"/>
          <w:sz w:val="22"/>
          <w:szCs w:val="22"/>
          <w:lang w:val="es-CO"/>
        </w:rPr>
        <w:t xml:space="preserve">ntidad </w:t>
      </w:r>
      <w:r w:rsidR="002B49D6">
        <w:rPr>
          <w:rFonts w:ascii="Arial" w:eastAsia="Calibri" w:hAnsi="Arial" w:cs="Arial"/>
          <w:sz w:val="22"/>
          <w:szCs w:val="22"/>
          <w:lang w:val="es-CO"/>
        </w:rPr>
        <w:t>T</w:t>
      </w:r>
      <w:r w:rsidRPr="007C2A77">
        <w:rPr>
          <w:rFonts w:ascii="Arial" w:eastAsia="Calibri" w:hAnsi="Arial" w:cs="Arial"/>
          <w:sz w:val="22"/>
          <w:szCs w:val="22"/>
          <w:lang w:val="es-CO"/>
        </w:rPr>
        <w:t xml:space="preserve">erritorial se enfrentó a grandes restricciones de financiamiento de la inversión en el </w:t>
      </w:r>
      <w:r w:rsidR="002B49D6">
        <w:rPr>
          <w:rFonts w:ascii="Arial" w:eastAsia="Calibri" w:hAnsi="Arial" w:cs="Arial"/>
          <w:sz w:val="22"/>
          <w:szCs w:val="22"/>
          <w:lang w:val="es-CO"/>
        </w:rPr>
        <w:t>S</w:t>
      </w:r>
      <w:r w:rsidRPr="007C2A77">
        <w:rPr>
          <w:rFonts w:ascii="Arial" w:eastAsia="Calibri" w:hAnsi="Arial" w:cs="Arial"/>
          <w:sz w:val="22"/>
          <w:szCs w:val="22"/>
          <w:lang w:val="es-CO"/>
        </w:rPr>
        <w:t>ector de APSB, da</w:t>
      </w:r>
      <w:r w:rsidR="007C2A77" w:rsidRPr="007C2A77">
        <w:rPr>
          <w:rFonts w:ascii="Arial" w:eastAsia="Calibri" w:hAnsi="Arial" w:cs="Arial"/>
          <w:sz w:val="22"/>
          <w:szCs w:val="22"/>
          <w:lang w:val="es-CO"/>
        </w:rPr>
        <w:t>do que un alto porcentaje de la participación para APSB del SGP continúa como fuente de pago del crédito sustituido.</w:t>
      </w:r>
    </w:p>
    <w:p w:rsidR="00B6750B" w:rsidRDefault="00B6750B" w:rsidP="00B6750B">
      <w:pPr>
        <w:jc w:val="both"/>
        <w:rPr>
          <w:rFonts w:ascii="Arial" w:eastAsia="Calibri" w:hAnsi="Arial" w:cs="Arial"/>
          <w:sz w:val="22"/>
          <w:szCs w:val="22"/>
          <w:lang w:val="es-CO"/>
        </w:rPr>
      </w:pPr>
    </w:p>
    <w:p w:rsidR="00B6750B" w:rsidRDefault="00B6750B" w:rsidP="00B6750B">
      <w:pPr>
        <w:jc w:val="both"/>
        <w:rPr>
          <w:rFonts w:ascii="Arial" w:eastAsia="Calibri" w:hAnsi="Arial" w:cs="Arial"/>
          <w:b/>
          <w:sz w:val="22"/>
          <w:szCs w:val="22"/>
          <w:u w:val="single"/>
          <w:lang w:val="es-CO"/>
        </w:rPr>
      </w:pPr>
      <w:r>
        <w:rPr>
          <w:rFonts w:ascii="Arial" w:eastAsia="Calibri" w:hAnsi="Arial" w:cs="Arial"/>
          <w:b/>
          <w:sz w:val="22"/>
          <w:szCs w:val="22"/>
          <w:u w:val="single"/>
          <w:lang w:val="es-CO"/>
        </w:rPr>
        <w:t xml:space="preserve">Saldo y </w:t>
      </w:r>
      <w:r w:rsidR="002B49D6">
        <w:rPr>
          <w:rFonts w:ascii="Arial" w:eastAsia="Calibri" w:hAnsi="Arial" w:cs="Arial"/>
          <w:b/>
          <w:sz w:val="22"/>
          <w:szCs w:val="22"/>
          <w:u w:val="single"/>
          <w:lang w:val="es-CO"/>
        </w:rPr>
        <w:t>c</w:t>
      </w:r>
      <w:r>
        <w:rPr>
          <w:rFonts w:ascii="Arial" w:eastAsia="Calibri" w:hAnsi="Arial" w:cs="Arial"/>
          <w:b/>
          <w:sz w:val="22"/>
          <w:szCs w:val="22"/>
          <w:u w:val="single"/>
          <w:lang w:val="es-CO"/>
        </w:rPr>
        <w:t xml:space="preserve">omposición de la </w:t>
      </w:r>
      <w:r w:rsidR="002B49D6">
        <w:rPr>
          <w:rFonts w:ascii="Arial" w:eastAsia="Calibri" w:hAnsi="Arial" w:cs="Arial"/>
          <w:b/>
          <w:sz w:val="22"/>
          <w:szCs w:val="22"/>
          <w:u w:val="single"/>
          <w:lang w:val="es-CO"/>
        </w:rPr>
        <w:t>d</w:t>
      </w:r>
      <w:r>
        <w:rPr>
          <w:rFonts w:ascii="Arial" w:eastAsia="Calibri" w:hAnsi="Arial" w:cs="Arial"/>
          <w:b/>
          <w:sz w:val="22"/>
          <w:szCs w:val="22"/>
          <w:u w:val="single"/>
          <w:lang w:val="es-CO"/>
        </w:rPr>
        <w:t>euda</w:t>
      </w:r>
      <w:r w:rsidR="002B49D6">
        <w:rPr>
          <w:rFonts w:ascii="Arial" w:eastAsia="Calibri" w:hAnsi="Arial" w:cs="Arial"/>
          <w:b/>
          <w:sz w:val="22"/>
          <w:szCs w:val="22"/>
          <w:u w:val="single"/>
          <w:lang w:val="es-CO"/>
        </w:rPr>
        <w:t>.</w:t>
      </w:r>
    </w:p>
    <w:p w:rsidR="00B6750B" w:rsidRDefault="00B6750B" w:rsidP="00B6750B">
      <w:pPr>
        <w:jc w:val="both"/>
        <w:rPr>
          <w:rFonts w:ascii="Arial" w:hAnsi="Arial" w:cs="Arial"/>
          <w:sz w:val="22"/>
          <w:szCs w:val="22"/>
        </w:rPr>
      </w:pPr>
    </w:p>
    <w:p w:rsidR="002B49D6" w:rsidRDefault="00B6750B" w:rsidP="00B6750B">
      <w:pPr>
        <w:autoSpaceDE w:val="0"/>
        <w:autoSpaceDN w:val="0"/>
        <w:adjustRightInd w:val="0"/>
        <w:jc w:val="both"/>
        <w:rPr>
          <w:rFonts w:ascii="Arial" w:eastAsiaTheme="minorHAnsi" w:hAnsi="Arial" w:cs="Arial"/>
          <w:sz w:val="22"/>
          <w:szCs w:val="22"/>
          <w:lang w:val="es-419" w:eastAsia="en-US"/>
        </w:rPr>
      </w:pPr>
      <w:r>
        <w:rPr>
          <w:rFonts w:ascii="Arial" w:eastAsiaTheme="minorHAnsi" w:hAnsi="Arial" w:cs="Arial"/>
          <w:sz w:val="22"/>
          <w:szCs w:val="22"/>
          <w:lang w:val="es-419" w:eastAsia="en-US"/>
        </w:rPr>
        <w:t>Según el Informe Sobre la Viabilidad Fiscal al cierre del 2020 realizado por la Dirección</w:t>
      </w:r>
      <w:r w:rsidR="002B49D6">
        <w:rPr>
          <w:rFonts w:ascii="Arial" w:eastAsiaTheme="minorHAnsi" w:hAnsi="Arial" w:cs="Arial"/>
          <w:sz w:val="22"/>
          <w:szCs w:val="22"/>
          <w:lang w:val="es-419" w:eastAsia="en-US"/>
        </w:rPr>
        <w:t xml:space="preserve"> General</w:t>
      </w:r>
      <w:r>
        <w:rPr>
          <w:rFonts w:ascii="Arial" w:eastAsiaTheme="minorHAnsi" w:hAnsi="Arial" w:cs="Arial"/>
          <w:sz w:val="22"/>
          <w:szCs w:val="22"/>
          <w:lang w:val="es-419" w:eastAsia="en-US"/>
        </w:rPr>
        <w:t xml:space="preserve"> de Apoyo Fiscal, el servicio de la deuda se comportó así:</w:t>
      </w:r>
    </w:p>
    <w:p w:rsidR="002B49D6" w:rsidRDefault="002B49D6" w:rsidP="00B6750B">
      <w:pPr>
        <w:autoSpaceDE w:val="0"/>
        <w:autoSpaceDN w:val="0"/>
        <w:adjustRightInd w:val="0"/>
        <w:jc w:val="both"/>
        <w:rPr>
          <w:rFonts w:ascii="Arial" w:eastAsiaTheme="minorHAnsi" w:hAnsi="Arial" w:cs="Arial"/>
          <w:sz w:val="22"/>
          <w:szCs w:val="22"/>
          <w:lang w:val="es-419" w:eastAsia="en-US"/>
        </w:rPr>
      </w:pPr>
    </w:p>
    <w:p w:rsidR="00B6750B" w:rsidRPr="00752183" w:rsidRDefault="00B6750B" w:rsidP="00752183">
      <w:pPr>
        <w:autoSpaceDE w:val="0"/>
        <w:autoSpaceDN w:val="0"/>
        <w:adjustRightInd w:val="0"/>
        <w:ind w:left="1416"/>
        <w:jc w:val="both"/>
        <w:rPr>
          <w:rFonts w:ascii="Arial" w:eastAsiaTheme="minorHAnsi" w:hAnsi="Arial" w:cs="Arial"/>
          <w:i/>
          <w:sz w:val="18"/>
          <w:szCs w:val="22"/>
          <w:lang w:val="es-419" w:eastAsia="en-US"/>
        </w:rPr>
      </w:pPr>
      <w:r w:rsidRPr="00752183">
        <w:rPr>
          <w:rFonts w:ascii="Arial" w:eastAsiaTheme="minorHAnsi" w:hAnsi="Arial" w:cs="Arial"/>
          <w:i/>
          <w:sz w:val="18"/>
          <w:szCs w:val="22"/>
          <w:lang w:val="es-419" w:eastAsia="en-US"/>
        </w:rPr>
        <w:t>“fue por $833 millones, de los cuales, $386 millones (46%) correspondieron a interés y $447 millones (54% a amortizaciones, sector agua potable y saneamiento básico”.</w:t>
      </w:r>
    </w:p>
    <w:p w:rsidR="00B6750B" w:rsidRPr="00752183" w:rsidRDefault="00B6750B" w:rsidP="00752183">
      <w:pPr>
        <w:autoSpaceDE w:val="0"/>
        <w:autoSpaceDN w:val="0"/>
        <w:adjustRightInd w:val="0"/>
        <w:ind w:left="1416"/>
        <w:jc w:val="both"/>
        <w:rPr>
          <w:rFonts w:ascii="Arial" w:eastAsiaTheme="minorHAnsi" w:hAnsi="Arial" w:cs="Arial"/>
          <w:i/>
          <w:sz w:val="18"/>
          <w:szCs w:val="22"/>
          <w:lang w:val="es-419" w:eastAsia="en-US"/>
        </w:rPr>
      </w:pPr>
    </w:p>
    <w:p w:rsidR="00B6750B" w:rsidRPr="00752183" w:rsidRDefault="00B6750B" w:rsidP="00752183">
      <w:pPr>
        <w:autoSpaceDE w:val="0"/>
        <w:autoSpaceDN w:val="0"/>
        <w:adjustRightInd w:val="0"/>
        <w:ind w:left="1416"/>
        <w:jc w:val="both"/>
        <w:rPr>
          <w:rFonts w:ascii="Arial" w:eastAsiaTheme="minorHAnsi" w:hAnsi="Arial" w:cs="Arial"/>
          <w:i/>
          <w:sz w:val="18"/>
          <w:szCs w:val="22"/>
          <w:lang w:val="es-419" w:eastAsia="en-US"/>
        </w:rPr>
      </w:pPr>
      <w:r w:rsidRPr="00752183">
        <w:rPr>
          <w:rFonts w:ascii="Arial" w:eastAsiaTheme="minorHAnsi" w:hAnsi="Arial" w:cs="Arial"/>
          <w:i/>
          <w:sz w:val="18"/>
          <w:szCs w:val="22"/>
          <w:lang w:val="es-419" w:eastAsia="en-US"/>
        </w:rPr>
        <w:t>“Al cierre de 2020, el saldo de la deuda pública municipal ascendió a $3.468 millones con una variación negativa de 11% respecto a 2019. El costo promedio ponderado de la deuda vigente es del IPC + 7%”.</w:t>
      </w:r>
    </w:p>
    <w:p w:rsidR="002B49D6" w:rsidRDefault="002B49D6">
      <w:pPr>
        <w:rPr>
          <w:rFonts w:ascii="Arial" w:eastAsiaTheme="minorHAnsi" w:hAnsi="Arial" w:cs="Arial"/>
          <w:i/>
          <w:sz w:val="22"/>
          <w:szCs w:val="22"/>
          <w:lang w:val="es-419" w:eastAsia="en-US"/>
        </w:rPr>
      </w:pPr>
      <w:r>
        <w:rPr>
          <w:rFonts w:ascii="Arial" w:eastAsiaTheme="minorHAnsi" w:hAnsi="Arial" w:cs="Arial"/>
          <w:i/>
          <w:sz w:val="22"/>
          <w:szCs w:val="22"/>
          <w:lang w:val="es-419" w:eastAsia="en-US"/>
        </w:rPr>
        <w:br w:type="page"/>
      </w:r>
    </w:p>
    <w:p w:rsidR="00355BC7" w:rsidRPr="00752183" w:rsidRDefault="00355BC7" w:rsidP="00355BC7">
      <w:pPr>
        <w:autoSpaceDE w:val="0"/>
        <w:autoSpaceDN w:val="0"/>
        <w:adjustRightInd w:val="0"/>
        <w:jc w:val="center"/>
        <w:rPr>
          <w:rFonts w:ascii="Arial" w:eastAsiaTheme="minorHAnsi" w:hAnsi="Arial" w:cs="Arial"/>
          <w:b/>
          <w:sz w:val="20"/>
          <w:szCs w:val="22"/>
          <w:lang w:val="es-419"/>
        </w:rPr>
      </w:pPr>
      <w:r w:rsidRPr="00752183">
        <w:rPr>
          <w:rFonts w:ascii="Arial" w:eastAsiaTheme="minorHAnsi" w:hAnsi="Arial" w:cs="Arial"/>
          <w:b/>
          <w:sz w:val="20"/>
          <w:szCs w:val="22"/>
          <w:lang w:val="es-419"/>
        </w:rPr>
        <w:lastRenderedPageBreak/>
        <w:t>SALDO Y COMPOSICION DE LA DEUDA</w:t>
      </w:r>
    </w:p>
    <w:p w:rsidR="00355BC7" w:rsidRDefault="00355BC7" w:rsidP="00355BC7">
      <w:pPr>
        <w:autoSpaceDE w:val="0"/>
        <w:autoSpaceDN w:val="0"/>
        <w:adjustRightInd w:val="0"/>
        <w:jc w:val="right"/>
        <w:rPr>
          <w:rFonts w:ascii="Arial" w:eastAsiaTheme="minorHAnsi" w:hAnsi="Arial" w:cs="Arial"/>
          <w:b/>
          <w:sz w:val="16"/>
          <w:szCs w:val="16"/>
          <w:lang w:val="es-419"/>
        </w:rPr>
      </w:pPr>
      <w:r>
        <w:rPr>
          <w:rFonts w:ascii="Arial" w:eastAsiaTheme="minorHAnsi" w:hAnsi="Arial" w:cs="Arial"/>
          <w:b/>
          <w:szCs w:val="22"/>
          <w:lang w:val="es-419"/>
        </w:rPr>
        <w:t xml:space="preserve">                                     </w:t>
      </w:r>
      <w:r>
        <w:rPr>
          <w:rFonts w:ascii="Arial" w:eastAsiaTheme="minorHAnsi" w:hAnsi="Arial" w:cs="Arial"/>
          <w:b/>
          <w:sz w:val="16"/>
          <w:szCs w:val="16"/>
          <w:lang w:val="es-419"/>
        </w:rPr>
        <w:t>Millones de $</w:t>
      </w:r>
    </w:p>
    <w:p w:rsidR="00355BC7" w:rsidRDefault="00355BC7" w:rsidP="00355BC7">
      <w:pPr>
        <w:autoSpaceDE w:val="0"/>
        <w:autoSpaceDN w:val="0"/>
        <w:adjustRightInd w:val="0"/>
        <w:jc w:val="center"/>
        <w:rPr>
          <w:rFonts w:ascii="Arial" w:eastAsiaTheme="minorHAnsi" w:hAnsi="Arial" w:cs="Arial"/>
          <w:i/>
          <w:szCs w:val="22"/>
          <w:lang w:val="es-419"/>
        </w:rPr>
      </w:pPr>
      <w:r>
        <w:rPr>
          <w:rFonts w:ascii="Arial" w:hAnsi="Arial" w:cs="Arial"/>
          <w:noProof/>
          <w:lang w:val="es-CO" w:eastAsia="es-CO"/>
        </w:rPr>
        <w:drawing>
          <wp:inline distT="0" distB="0" distL="0" distR="0">
            <wp:extent cx="5865495" cy="134239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2">
                      <a:extLst>
                        <a:ext uri="{28A0092B-C50C-407E-A947-70E740481C1C}">
                          <a14:useLocalDpi xmlns:a14="http://schemas.microsoft.com/office/drawing/2010/main" val="0"/>
                        </a:ext>
                      </a:extLst>
                    </a:blip>
                    <a:srcRect l="9265" t="45708" r="35516" b="40685"/>
                    <a:stretch>
                      <a:fillRect/>
                    </a:stretch>
                  </pic:blipFill>
                  <pic:spPr bwMode="auto">
                    <a:xfrm>
                      <a:off x="0" y="0"/>
                      <a:ext cx="5865495" cy="1342390"/>
                    </a:xfrm>
                    <a:prstGeom prst="rect">
                      <a:avLst/>
                    </a:prstGeom>
                    <a:noFill/>
                    <a:ln>
                      <a:noFill/>
                    </a:ln>
                  </pic:spPr>
                </pic:pic>
              </a:graphicData>
            </a:graphic>
          </wp:inline>
        </w:drawing>
      </w:r>
    </w:p>
    <w:p w:rsidR="00355BC7" w:rsidRPr="00752183" w:rsidRDefault="00355BC7" w:rsidP="00355BC7">
      <w:pPr>
        <w:autoSpaceDE w:val="0"/>
        <w:autoSpaceDN w:val="0"/>
        <w:adjustRightInd w:val="0"/>
        <w:jc w:val="both"/>
        <w:rPr>
          <w:rFonts w:ascii="Arial" w:eastAsiaTheme="minorHAnsi" w:hAnsi="Arial" w:cs="Arial"/>
          <w:sz w:val="16"/>
          <w:szCs w:val="20"/>
          <w:lang w:val="es-419"/>
        </w:rPr>
      </w:pPr>
      <w:r w:rsidRPr="00752183">
        <w:rPr>
          <w:rFonts w:ascii="Arial" w:eastAsiaTheme="minorHAnsi" w:hAnsi="Arial" w:cs="Arial"/>
          <w:sz w:val="16"/>
          <w:szCs w:val="20"/>
          <w:lang w:val="es-419"/>
        </w:rPr>
        <w:t>Fuente: Informe sobre Viabilidad Fiscal Municipio de Mitú- 2020</w:t>
      </w:r>
    </w:p>
    <w:p w:rsidR="00355BC7" w:rsidRDefault="00355BC7" w:rsidP="00355BC7">
      <w:pPr>
        <w:autoSpaceDE w:val="0"/>
        <w:autoSpaceDN w:val="0"/>
        <w:adjustRightInd w:val="0"/>
        <w:jc w:val="both"/>
        <w:rPr>
          <w:rFonts w:ascii="Arial" w:eastAsiaTheme="minorHAnsi" w:hAnsi="Arial" w:cs="Arial"/>
          <w:i/>
          <w:szCs w:val="22"/>
          <w:lang w:val="es-419"/>
        </w:rPr>
      </w:pPr>
    </w:p>
    <w:p w:rsidR="00355BC7" w:rsidRDefault="00355BC7" w:rsidP="00355BC7">
      <w:pPr>
        <w:autoSpaceDE w:val="0"/>
        <w:autoSpaceDN w:val="0"/>
        <w:adjustRightInd w:val="0"/>
        <w:jc w:val="both"/>
        <w:rPr>
          <w:rFonts w:ascii="Arial" w:eastAsiaTheme="minorHAnsi" w:hAnsi="Arial" w:cs="Arial"/>
          <w:i/>
          <w:sz w:val="22"/>
          <w:szCs w:val="22"/>
          <w:lang w:val="es-419"/>
        </w:rPr>
      </w:pPr>
      <w:r>
        <w:rPr>
          <w:rFonts w:ascii="Arial" w:eastAsiaTheme="minorHAnsi" w:hAnsi="Arial" w:cs="Arial"/>
          <w:sz w:val="22"/>
          <w:szCs w:val="22"/>
          <w:lang w:val="es-419" w:eastAsia="en-US"/>
        </w:rPr>
        <w:t xml:space="preserve">Señala el informe citado que: </w:t>
      </w:r>
      <w:r>
        <w:rPr>
          <w:rFonts w:ascii="Arial" w:eastAsiaTheme="minorHAnsi" w:hAnsi="Arial" w:cs="Arial"/>
          <w:i/>
          <w:sz w:val="22"/>
          <w:szCs w:val="22"/>
          <w:lang w:val="es-419" w:eastAsia="en-US"/>
        </w:rPr>
        <w:t>“El perfil de la deuda presentado en el Formulario Único Territorial coincide con el saldo a diferir hasta el 2028 con amortizaciones de $447 millones consecutivamente.</w:t>
      </w:r>
    </w:p>
    <w:p w:rsidR="00355BC7" w:rsidRDefault="00355BC7" w:rsidP="00355BC7">
      <w:pPr>
        <w:jc w:val="center"/>
        <w:rPr>
          <w:rFonts w:ascii="Arial" w:hAnsi="Arial" w:cs="Arial"/>
          <w:highlight w:val="yellow"/>
        </w:rPr>
      </w:pPr>
    </w:p>
    <w:p w:rsidR="00355BC7" w:rsidRDefault="00355BC7" w:rsidP="00355BC7">
      <w:pPr>
        <w:rPr>
          <w:rFonts w:ascii="Arial" w:hAnsi="Arial" w:cs="Arial"/>
          <w:highlight w:val="yellow"/>
        </w:rPr>
      </w:pPr>
      <w:r>
        <w:rPr>
          <w:rFonts w:ascii="Arial" w:hAnsi="Arial" w:cs="Arial"/>
          <w:noProof/>
          <w:lang w:val="es-CO" w:eastAsia="es-CO"/>
        </w:rPr>
        <w:drawing>
          <wp:inline distT="0" distB="0" distL="0" distR="0">
            <wp:extent cx="5797550" cy="23152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3">
                      <a:extLst>
                        <a:ext uri="{28A0092B-C50C-407E-A947-70E740481C1C}">
                          <a14:useLocalDpi xmlns:a14="http://schemas.microsoft.com/office/drawing/2010/main" val="0"/>
                        </a:ext>
                      </a:extLst>
                    </a:blip>
                    <a:srcRect l="7858" t="17145" r="34624" b="34521"/>
                    <a:stretch>
                      <a:fillRect/>
                    </a:stretch>
                  </pic:blipFill>
                  <pic:spPr bwMode="auto">
                    <a:xfrm>
                      <a:off x="0" y="0"/>
                      <a:ext cx="5797550" cy="2315210"/>
                    </a:xfrm>
                    <a:prstGeom prst="rect">
                      <a:avLst/>
                    </a:prstGeom>
                    <a:noFill/>
                    <a:ln>
                      <a:noFill/>
                    </a:ln>
                  </pic:spPr>
                </pic:pic>
              </a:graphicData>
            </a:graphic>
          </wp:inline>
        </w:drawing>
      </w:r>
    </w:p>
    <w:p w:rsidR="00355BC7" w:rsidRDefault="00355BC7" w:rsidP="00355BC7">
      <w:pPr>
        <w:jc w:val="center"/>
        <w:rPr>
          <w:rFonts w:ascii="Arial" w:hAnsi="Arial" w:cs="Arial"/>
          <w:highlight w:val="yellow"/>
        </w:rPr>
      </w:pPr>
    </w:p>
    <w:p w:rsidR="00355BC7" w:rsidRDefault="00355BC7" w:rsidP="00355BC7">
      <w:pPr>
        <w:rPr>
          <w:rFonts w:ascii="Arial" w:hAnsi="Arial" w:cs="Arial"/>
          <w:i/>
          <w:sz w:val="16"/>
          <w:szCs w:val="16"/>
        </w:rPr>
      </w:pPr>
      <w:r>
        <w:rPr>
          <w:rFonts w:ascii="Arial" w:hAnsi="Arial" w:cs="Arial"/>
          <w:sz w:val="16"/>
          <w:szCs w:val="16"/>
        </w:rPr>
        <w:t xml:space="preserve">Fuente: </w:t>
      </w:r>
      <w:r>
        <w:rPr>
          <w:rFonts w:ascii="Arial" w:hAnsi="Arial" w:cs="Arial"/>
          <w:i/>
          <w:sz w:val="16"/>
          <w:szCs w:val="16"/>
        </w:rPr>
        <w:t>Informe de Viabilidad Fiscal vigencia 2020</w:t>
      </w:r>
    </w:p>
    <w:p w:rsidR="006C1917" w:rsidRDefault="006C1917" w:rsidP="00B6750B">
      <w:pPr>
        <w:jc w:val="both"/>
        <w:rPr>
          <w:rFonts w:ascii="Arial" w:hAnsi="Arial" w:cs="Arial"/>
          <w:b/>
          <w:sz w:val="22"/>
          <w:szCs w:val="22"/>
          <w:u w:val="single"/>
          <w:lang w:val="es-419"/>
        </w:rPr>
      </w:pPr>
    </w:p>
    <w:p w:rsidR="00B6750B" w:rsidRDefault="00B6750B" w:rsidP="00B6750B">
      <w:pPr>
        <w:jc w:val="both"/>
        <w:rPr>
          <w:rFonts w:ascii="Arial" w:hAnsi="Arial" w:cs="Arial"/>
          <w:b/>
          <w:sz w:val="22"/>
          <w:szCs w:val="22"/>
          <w:u w:val="single"/>
          <w:lang w:val="es-419"/>
        </w:rPr>
      </w:pPr>
      <w:r>
        <w:rPr>
          <w:rFonts w:ascii="Arial" w:hAnsi="Arial" w:cs="Arial"/>
          <w:b/>
          <w:sz w:val="22"/>
          <w:szCs w:val="22"/>
          <w:u w:val="single"/>
          <w:lang w:val="es-419"/>
        </w:rPr>
        <w:t>Prepago de la deuda</w:t>
      </w:r>
      <w:r w:rsidR="00A40116">
        <w:rPr>
          <w:rFonts w:ascii="Arial" w:hAnsi="Arial" w:cs="Arial"/>
          <w:b/>
          <w:sz w:val="22"/>
          <w:szCs w:val="22"/>
          <w:u w:val="single"/>
          <w:lang w:val="es-419"/>
        </w:rPr>
        <w:t xml:space="preserve"> APSB </w:t>
      </w:r>
      <w:r w:rsidR="00C278EA">
        <w:rPr>
          <w:rFonts w:ascii="Arial" w:hAnsi="Arial" w:cs="Arial"/>
          <w:b/>
          <w:sz w:val="22"/>
          <w:szCs w:val="22"/>
          <w:u w:val="single"/>
          <w:lang w:val="es-419"/>
        </w:rPr>
        <w:t>a FINDETER</w:t>
      </w:r>
      <w:r w:rsidR="002B49D6">
        <w:rPr>
          <w:rFonts w:ascii="Arial" w:hAnsi="Arial" w:cs="Arial"/>
          <w:b/>
          <w:sz w:val="22"/>
          <w:szCs w:val="22"/>
          <w:u w:val="single"/>
          <w:lang w:val="es-419"/>
        </w:rPr>
        <w:t>.</w:t>
      </w:r>
    </w:p>
    <w:p w:rsidR="00B6750B" w:rsidRDefault="00B6750B" w:rsidP="00B6750B">
      <w:pPr>
        <w:jc w:val="both"/>
        <w:rPr>
          <w:rFonts w:ascii="Arial" w:hAnsi="Arial" w:cs="Arial"/>
          <w:b/>
          <w:sz w:val="22"/>
          <w:szCs w:val="22"/>
          <w:lang w:val="es-419"/>
        </w:rPr>
      </w:pPr>
    </w:p>
    <w:p w:rsidR="00B6750B" w:rsidRPr="006C1917" w:rsidRDefault="00B6750B" w:rsidP="00B6750B">
      <w:pPr>
        <w:jc w:val="both"/>
        <w:rPr>
          <w:rFonts w:ascii="Arial" w:eastAsia="Times New Roman" w:hAnsi="Arial" w:cs="Arial"/>
          <w:color w:val="000000"/>
          <w:sz w:val="22"/>
          <w:szCs w:val="22"/>
        </w:rPr>
      </w:pPr>
      <w:r>
        <w:rPr>
          <w:rFonts w:ascii="Arial" w:hAnsi="Arial" w:cs="Arial"/>
          <w:sz w:val="22"/>
          <w:szCs w:val="22"/>
          <w:lang w:val="es-419"/>
        </w:rPr>
        <w:t xml:space="preserve">Con el propósito de mejorar las condiciones del crédito con FINDETER </w:t>
      </w:r>
      <w:r w:rsidR="006C1917">
        <w:rPr>
          <w:rFonts w:ascii="Arial" w:hAnsi="Arial" w:cs="Arial"/>
          <w:sz w:val="22"/>
          <w:szCs w:val="22"/>
          <w:lang w:val="es-419"/>
        </w:rPr>
        <w:t>el</w:t>
      </w:r>
      <w:r>
        <w:rPr>
          <w:rFonts w:ascii="Arial" w:hAnsi="Arial" w:cs="Arial"/>
          <w:sz w:val="22"/>
          <w:szCs w:val="22"/>
          <w:lang w:val="es-419"/>
        </w:rPr>
        <w:t xml:space="preserve"> Municipio de Mitú ha gestionado con el sector financiero desde la vigencia 2021 a posibilidad de vender la cartera por $3.021 millones. En desar</w:t>
      </w:r>
      <w:r w:rsidR="006C1917">
        <w:rPr>
          <w:rFonts w:ascii="Arial" w:hAnsi="Arial" w:cs="Arial"/>
          <w:sz w:val="22"/>
          <w:szCs w:val="22"/>
          <w:lang w:val="es-419"/>
        </w:rPr>
        <w:t xml:space="preserve">rollo de la gestión la </w:t>
      </w:r>
      <w:r w:rsidR="002B49D6">
        <w:rPr>
          <w:rFonts w:ascii="Arial" w:hAnsi="Arial" w:cs="Arial"/>
          <w:sz w:val="22"/>
          <w:szCs w:val="22"/>
          <w:lang w:val="es-419"/>
        </w:rPr>
        <w:t>S</w:t>
      </w:r>
      <w:r w:rsidR="006C1917">
        <w:rPr>
          <w:rFonts w:ascii="Arial" w:hAnsi="Arial" w:cs="Arial"/>
          <w:sz w:val="22"/>
          <w:szCs w:val="22"/>
          <w:lang w:val="es-419"/>
        </w:rPr>
        <w:t>ecretaría</w:t>
      </w:r>
      <w:r>
        <w:rPr>
          <w:rFonts w:ascii="Arial" w:hAnsi="Arial" w:cs="Arial"/>
          <w:sz w:val="22"/>
          <w:szCs w:val="22"/>
          <w:lang w:val="es-419"/>
        </w:rPr>
        <w:t xml:space="preserve"> de </w:t>
      </w:r>
      <w:r w:rsidR="002B49D6">
        <w:rPr>
          <w:rFonts w:ascii="Arial" w:hAnsi="Arial" w:cs="Arial"/>
          <w:sz w:val="22"/>
          <w:szCs w:val="22"/>
          <w:lang w:val="es-419"/>
        </w:rPr>
        <w:t>H</w:t>
      </w:r>
      <w:r>
        <w:rPr>
          <w:rFonts w:ascii="Arial" w:hAnsi="Arial" w:cs="Arial"/>
          <w:sz w:val="22"/>
          <w:szCs w:val="22"/>
          <w:lang w:val="es-419"/>
        </w:rPr>
        <w:t xml:space="preserve">acienda ha manifestado que se concretó el negocio con el Banco Agrario de Colombia y que las nuevas condiciones del crédito serían: </w:t>
      </w:r>
      <w:r w:rsidRPr="006C1917">
        <w:rPr>
          <w:rFonts w:ascii="Arial" w:eastAsia="Times New Roman" w:hAnsi="Arial" w:cs="Arial"/>
          <w:color w:val="000000"/>
          <w:sz w:val="22"/>
          <w:szCs w:val="22"/>
        </w:rPr>
        <w:t>IBR + 3</w:t>
      </w:r>
      <w:r w:rsidR="002B49D6">
        <w:rPr>
          <w:rFonts w:ascii="Arial" w:eastAsia="Times New Roman" w:hAnsi="Arial" w:cs="Arial"/>
          <w:color w:val="000000"/>
          <w:sz w:val="22"/>
          <w:szCs w:val="22"/>
        </w:rPr>
        <w:t>,</w:t>
      </w:r>
      <w:r w:rsidRPr="006C1917">
        <w:rPr>
          <w:rFonts w:ascii="Arial" w:eastAsia="Times New Roman" w:hAnsi="Arial" w:cs="Arial"/>
          <w:color w:val="000000"/>
          <w:sz w:val="22"/>
          <w:szCs w:val="22"/>
        </w:rPr>
        <w:t>50</w:t>
      </w:r>
      <w:r w:rsidR="002B49D6">
        <w:rPr>
          <w:rFonts w:ascii="Arial" w:eastAsia="Times New Roman" w:hAnsi="Arial" w:cs="Arial"/>
          <w:color w:val="000000"/>
          <w:sz w:val="22"/>
          <w:szCs w:val="22"/>
        </w:rPr>
        <w:t xml:space="preserve"> </w:t>
      </w:r>
      <w:r w:rsidRPr="006C1917">
        <w:rPr>
          <w:rFonts w:ascii="Arial" w:eastAsia="Times New Roman" w:hAnsi="Arial" w:cs="Arial"/>
          <w:color w:val="000000"/>
          <w:sz w:val="22"/>
          <w:szCs w:val="22"/>
        </w:rPr>
        <w:t xml:space="preserve">% T.V., hasta ochenta (80) meses contados a partir de la fecha de aprobación, sin superar el 27 de julio de 2028, es decir el plazo inicial del empréstito con </w:t>
      </w:r>
      <w:r w:rsidR="002B49D6" w:rsidRPr="006C1917">
        <w:rPr>
          <w:rFonts w:ascii="Arial" w:eastAsia="Times New Roman" w:hAnsi="Arial" w:cs="Arial"/>
          <w:color w:val="000000"/>
          <w:sz w:val="22"/>
          <w:szCs w:val="22"/>
        </w:rPr>
        <w:t>FIDUALIANZA</w:t>
      </w:r>
      <w:r w:rsidR="002B49D6">
        <w:rPr>
          <w:rFonts w:ascii="Arial" w:eastAsia="Times New Roman" w:hAnsi="Arial" w:cs="Arial"/>
          <w:color w:val="000000"/>
          <w:sz w:val="22"/>
          <w:szCs w:val="22"/>
        </w:rPr>
        <w:t xml:space="preserve"> </w:t>
      </w:r>
      <w:r w:rsidR="006C1917">
        <w:rPr>
          <w:rFonts w:ascii="Arial" w:eastAsia="Times New Roman" w:hAnsi="Arial" w:cs="Arial"/>
          <w:color w:val="000000"/>
          <w:sz w:val="22"/>
          <w:szCs w:val="22"/>
        </w:rPr>
        <w:t>y FINDETER</w:t>
      </w:r>
      <w:r w:rsidRPr="006C1917">
        <w:rPr>
          <w:rFonts w:ascii="Arial" w:eastAsia="Times New Roman" w:hAnsi="Arial" w:cs="Arial"/>
          <w:color w:val="000000"/>
          <w:sz w:val="22"/>
          <w:szCs w:val="22"/>
        </w:rPr>
        <w:t>, sin periodo de gracia</w:t>
      </w:r>
      <w:r w:rsidR="006C1917">
        <w:rPr>
          <w:rFonts w:ascii="Arial" w:eastAsia="Times New Roman" w:hAnsi="Arial" w:cs="Arial"/>
          <w:color w:val="000000"/>
          <w:sz w:val="22"/>
          <w:szCs w:val="22"/>
        </w:rPr>
        <w:t xml:space="preserve">, </w:t>
      </w:r>
      <w:r w:rsidRPr="006C1917">
        <w:rPr>
          <w:rFonts w:ascii="Arial" w:eastAsia="Times New Roman" w:hAnsi="Arial" w:cs="Arial"/>
          <w:color w:val="000000"/>
          <w:sz w:val="22"/>
          <w:szCs w:val="22"/>
        </w:rPr>
        <w:t>la renta pignorada continuaría siendo la Participación de APSB del S</w:t>
      </w:r>
      <w:r w:rsidR="006C1917">
        <w:rPr>
          <w:rFonts w:ascii="Arial" w:eastAsia="Times New Roman" w:hAnsi="Arial" w:cs="Arial"/>
          <w:color w:val="000000"/>
          <w:sz w:val="22"/>
          <w:szCs w:val="22"/>
        </w:rPr>
        <w:t>istema General de Participaciones</w:t>
      </w:r>
      <w:r w:rsidR="002B49D6">
        <w:rPr>
          <w:rFonts w:ascii="Arial" w:eastAsia="Times New Roman" w:hAnsi="Arial" w:cs="Arial"/>
          <w:color w:val="000000"/>
          <w:sz w:val="22"/>
          <w:szCs w:val="22"/>
        </w:rPr>
        <w:t xml:space="preserve"> </w:t>
      </w:r>
      <w:r w:rsidR="006C1917">
        <w:rPr>
          <w:rFonts w:ascii="Arial" w:eastAsia="Times New Roman" w:hAnsi="Arial" w:cs="Arial"/>
          <w:color w:val="000000"/>
          <w:sz w:val="22"/>
          <w:szCs w:val="22"/>
        </w:rPr>
        <w:t>-</w:t>
      </w:r>
      <w:r w:rsidR="002B49D6">
        <w:rPr>
          <w:rFonts w:ascii="Arial" w:eastAsia="Times New Roman" w:hAnsi="Arial" w:cs="Arial"/>
          <w:color w:val="000000"/>
          <w:sz w:val="22"/>
          <w:szCs w:val="22"/>
        </w:rPr>
        <w:t xml:space="preserve"> </w:t>
      </w:r>
      <w:r w:rsidR="006C1917">
        <w:rPr>
          <w:rFonts w:ascii="Arial" w:eastAsia="Times New Roman" w:hAnsi="Arial" w:cs="Arial"/>
          <w:color w:val="000000"/>
          <w:sz w:val="22"/>
          <w:szCs w:val="22"/>
        </w:rPr>
        <w:t>S</w:t>
      </w:r>
      <w:r w:rsidRPr="006C1917">
        <w:rPr>
          <w:rFonts w:ascii="Arial" w:eastAsia="Times New Roman" w:hAnsi="Arial" w:cs="Arial"/>
          <w:color w:val="000000"/>
          <w:sz w:val="22"/>
          <w:szCs w:val="22"/>
        </w:rPr>
        <w:t>GP.</w:t>
      </w:r>
    </w:p>
    <w:p w:rsidR="00B6750B" w:rsidRDefault="00B6750B" w:rsidP="00B6750B">
      <w:pPr>
        <w:jc w:val="both"/>
        <w:rPr>
          <w:rFonts w:eastAsia="Times New Roman"/>
          <w:color w:val="000000"/>
        </w:rPr>
      </w:pPr>
    </w:p>
    <w:p w:rsidR="00B6750B" w:rsidRPr="00C278EA" w:rsidRDefault="00B6750B" w:rsidP="00C278EA">
      <w:pPr>
        <w:jc w:val="both"/>
        <w:rPr>
          <w:rFonts w:ascii="Arial" w:eastAsia="Times New Roman" w:hAnsi="Arial" w:cs="Arial"/>
          <w:color w:val="000000"/>
          <w:sz w:val="22"/>
          <w:szCs w:val="22"/>
        </w:rPr>
      </w:pPr>
      <w:r w:rsidRPr="00C278EA">
        <w:rPr>
          <w:rFonts w:ascii="Arial" w:eastAsia="Times New Roman" w:hAnsi="Arial" w:cs="Arial"/>
          <w:color w:val="000000"/>
          <w:sz w:val="22"/>
          <w:szCs w:val="22"/>
        </w:rPr>
        <w:t xml:space="preserve">La Entidad territorial espera </w:t>
      </w:r>
      <w:r w:rsidR="006C1917" w:rsidRPr="00C278EA">
        <w:rPr>
          <w:rFonts w:ascii="Arial" w:eastAsia="Times New Roman" w:hAnsi="Arial" w:cs="Arial"/>
          <w:color w:val="000000"/>
          <w:sz w:val="22"/>
          <w:szCs w:val="22"/>
        </w:rPr>
        <w:t>que,</w:t>
      </w:r>
      <w:r w:rsidRPr="00C278EA">
        <w:rPr>
          <w:rFonts w:ascii="Arial" w:eastAsia="Times New Roman" w:hAnsi="Arial" w:cs="Arial"/>
          <w:color w:val="000000"/>
          <w:sz w:val="22"/>
          <w:szCs w:val="22"/>
        </w:rPr>
        <w:t xml:space="preserve"> para el </w:t>
      </w:r>
      <w:r w:rsidR="006C1917" w:rsidRPr="00C278EA">
        <w:rPr>
          <w:rFonts w:ascii="Arial" w:eastAsia="Times New Roman" w:hAnsi="Arial" w:cs="Arial"/>
          <w:color w:val="000000"/>
          <w:sz w:val="22"/>
          <w:szCs w:val="22"/>
        </w:rPr>
        <w:t xml:space="preserve">cierre de </w:t>
      </w:r>
      <w:r w:rsidRPr="00C278EA">
        <w:rPr>
          <w:rFonts w:ascii="Arial" w:eastAsia="Times New Roman" w:hAnsi="Arial" w:cs="Arial"/>
          <w:color w:val="000000"/>
          <w:sz w:val="22"/>
          <w:szCs w:val="22"/>
        </w:rPr>
        <w:t xml:space="preserve">abril de 2022, se pueda </w:t>
      </w:r>
      <w:r w:rsidR="006C1917" w:rsidRPr="00C278EA">
        <w:rPr>
          <w:rFonts w:ascii="Arial" w:eastAsia="Times New Roman" w:hAnsi="Arial" w:cs="Arial"/>
          <w:color w:val="000000"/>
          <w:sz w:val="22"/>
          <w:szCs w:val="22"/>
        </w:rPr>
        <w:t xml:space="preserve">consolidar </w:t>
      </w:r>
      <w:r w:rsidRPr="00C278EA">
        <w:rPr>
          <w:rFonts w:ascii="Arial" w:eastAsia="Times New Roman" w:hAnsi="Arial" w:cs="Arial"/>
          <w:color w:val="000000"/>
          <w:sz w:val="22"/>
          <w:szCs w:val="22"/>
        </w:rPr>
        <w:t>la venta de cartera</w:t>
      </w:r>
      <w:r w:rsidR="006C1917" w:rsidRPr="00C278EA">
        <w:rPr>
          <w:rFonts w:ascii="Arial" w:eastAsia="Times New Roman" w:hAnsi="Arial" w:cs="Arial"/>
          <w:color w:val="000000"/>
          <w:sz w:val="22"/>
          <w:szCs w:val="22"/>
        </w:rPr>
        <w:t xml:space="preserve"> al Banco Agrario</w:t>
      </w:r>
      <w:r w:rsidRPr="00C278EA">
        <w:rPr>
          <w:rFonts w:ascii="Arial" w:eastAsia="Times New Roman" w:hAnsi="Arial" w:cs="Arial"/>
          <w:color w:val="000000"/>
          <w:sz w:val="22"/>
          <w:szCs w:val="22"/>
        </w:rPr>
        <w:t>, una vez FINDETER acepte el prepago de la deuda.</w:t>
      </w:r>
    </w:p>
    <w:p w:rsidR="00B6750B" w:rsidRPr="00C278EA" w:rsidRDefault="00B6750B" w:rsidP="00C278EA">
      <w:pPr>
        <w:jc w:val="both"/>
        <w:rPr>
          <w:rFonts w:ascii="Arial" w:eastAsia="Times New Roman" w:hAnsi="Arial" w:cs="Arial"/>
          <w:color w:val="000000"/>
          <w:sz w:val="22"/>
          <w:szCs w:val="22"/>
        </w:rPr>
      </w:pPr>
    </w:p>
    <w:p w:rsidR="00B6750B" w:rsidRPr="00C278EA" w:rsidRDefault="00B6750B" w:rsidP="00C278EA">
      <w:pPr>
        <w:jc w:val="both"/>
        <w:rPr>
          <w:rFonts w:ascii="Arial" w:hAnsi="Arial" w:cs="Arial"/>
          <w:sz w:val="22"/>
          <w:szCs w:val="22"/>
          <w:lang w:val="es-419"/>
        </w:rPr>
      </w:pPr>
      <w:r w:rsidRPr="00C278EA">
        <w:rPr>
          <w:rFonts w:ascii="Arial" w:eastAsia="Times New Roman" w:hAnsi="Arial" w:cs="Arial"/>
          <w:color w:val="000000"/>
          <w:sz w:val="22"/>
          <w:szCs w:val="22"/>
        </w:rPr>
        <w:lastRenderedPageBreak/>
        <w:t xml:space="preserve">De esta manera el Municipio pretende liberar más recursos de inversión en el </w:t>
      </w:r>
      <w:r w:rsidR="00AE40CF">
        <w:rPr>
          <w:rFonts w:ascii="Arial" w:eastAsia="Times New Roman" w:hAnsi="Arial" w:cs="Arial"/>
          <w:color w:val="000000"/>
          <w:sz w:val="22"/>
          <w:szCs w:val="22"/>
        </w:rPr>
        <w:t>S</w:t>
      </w:r>
      <w:r w:rsidRPr="00C278EA">
        <w:rPr>
          <w:rFonts w:ascii="Arial" w:eastAsia="Times New Roman" w:hAnsi="Arial" w:cs="Arial"/>
          <w:color w:val="000000"/>
          <w:sz w:val="22"/>
          <w:szCs w:val="22"/>
        </w:rPr>
        <w:t>ector de APSB</w:t>
      </w:r>
      <w:r w:rsidR="006C1917" w:rsidRPr="00C278EA">
        <w:rPr>
          <w:rFonts w:ascii="Arial" w:eastAsia="Times New Roman" w:hAnsi="Arial" w:cs="Arial"/>
          <w:color w:val="000000"/>
          <w:sz w:val="22"/>
          <w:szCs w:val="22"/>
        </w:rPr>
        <w:t>, dada las nuevas condiciones del crédito, pues l</w:t>
      </w:r>
      <w:r w:rsidR="00E7078E" w:rsidRPr="00C278EA">
        <w:rPr>
          <w:rFonts w:ascii="Arial" w:eastAsia="Times New Roman" w:hAnsi="Arial" w:cs="Arial"/>
          <w:color w:val="000000"/>
          <w:sz w:val="22"/>
          <w:szCs w:val="22"/>
        </w:rPr>
        <w:t>a tasa de interés pasaría de 13</w:t>
      </w:r>
      <w:r w:rsidR="00AE40CF">
        <w:rPr>
          <w:rFonts w:ascii="Arial" w:eastAsia="Times New Roman" w:hAnsi="Arial" w:cs="Arial"/>
          <w:color w:val="000000"/>
          <w:sz w:val="22"/>
          <w:szCs w:val="22"/>
        </w:rPr>
        <w:t>,</w:t>
      </w:r>
      <w:r w:rsidR="006C1917" w:rsidRPr="00C278EA">
        <w:rPr>
          <w:rFonts w:ascii="Arial" w:eastAsia="Times New Roman" w:hAnsi="Arial" w:cs="Arial"/>
          <w:color w:val="000000"/>
          <w:sz w:val="22"/>
          <w:szCs w:val="22"/>
        </w:rPr>
        <w:t>0</w:t>
      </w:r>
      <w:r w:rsidR="00E7078E" w:rsidRPr="00C278EA">
        <w:rPr>
          <w:rFonts w:ascii="Arial" w:eastAsia="Times New Roman" w:hAnsi="Arial" w:cs="Arial"/>
          <w:color w:val="000000"/>
          <w:sz w:val="22"/>
          <w:szCs w:val="22"/>
        </w:rPr>
        <w:t>1</w:t>
      </w:r>
      <w:r w:rsidR="00AE40CF">
        <w:rPr>
          <w:rFonts w:ascii="Arial" w:eastAsia="Times New Roman" w:hAnsi="Arial" w:cs="Arial"/>
          <w:color w:val="000000"/>
          <w:sz w:val="22"/>
          <w:szCs w:val="22"/>
        </w:rPr>
        <w:t xml:space="preserve"> </w:t>
      </w:r>
      <w:r w:rsidR="00E7078E" w:rsidRPr="00C278EA">
        <w:rPr>
          <w:rFonts w:ascii="Arial" w:eastAsia="Times New Roman" w:hAnsi="Arial" w:cs="Arial"/>
          <w:color w:val="000000"/>
          <w:sz w:val="22"/>
          <w:szCs w:val="22"/>
        </w:rPr>
        <w:t>% (EA) a 9</w:t>
      </w:r>
      <w:r w:rsidR="00AE40CF">
        <w:rPr>
          <w:rFonts w:ascii="Arial" w:eastAsia="Times New Roman" w:hAnsi="Arial" w:cs="Arial"/>
          <w:color w:val="000000"/>
          <w:sz w:val="22"/>
          <w:szCs w:val="22"/>
        </w:rPr>
        <w:t>,</w:t>
      </w:r>
      <w:r w:rsidR="006C1917" w:rsidRPr="00C278EA">
        <w:rPr>
          <w:rFonts w:ascii="Arial" w:eastAsia="Times New Roman" w:hAnsi="Arial" w:cs="Arial"/>
          <w:color w:val="000000"/>
          <w:sz w:val="22"/>
          <w:szCs w:val="22"/>
        </w:rPr>
        <w:t>4</w:t>
      </w:r>
      <w:r w:rsidR="00AE40CF">
        <w:rPr>
          <w:rFonts w:ascii="Arial" w:eastAsia="Times New Roman" w:hAnsi="Arial" w:cs="Arial"/>
          <w:color w:val="000000"/>
          <w:sz w:val="22"/>
          <w:szCs w:val="22"/>
        </w:rPr>
        <w:t xml:space="preserve"> </w:t>
      </w:r>
      <w:r w:rsidR="006C1917" w:rsidRPr="00C278EA">
        <w:rPr>
          <w:rFonts w:ascii="Arial" w:eastAsia="Times New Roman" w:hAnsi="Arial" w:cs="Arial"/>
          <w:color w:val="000000"/>
          <w:sz w:val="22"/>
          <w:szCs w:val="22"/>
        </w:rPr>
        <w:t xml:space="preserve">% </w:t>
      </w:r>
      <w:r w:rsidR="00E7078E" w:rsidRPr="00C278EA">
        <w:rPr>
          <w:rFonts w:ascii="Arial" w:eastAsia="Times New Roman" w:hAnsi="Arial" w:cs="Arial"/>
          <w:color w:val="000000"/>
          <w:sz w:val="22"/>
          <w:szCs w:val="22"/>
        </w:rPr>
        <w:t>(EA)</w:t>
      </w:r>
      <w:r w:rsidRPr="00C278EA">
        <w:rPr>
          <w:rFonts w:ascii="Arial" w:eastAsia="Times New Roman" w:hAnsi="Arial" w:cs="Arial"/>
          <w:color w:val="000000"/>
          <w:sz w:val="22"/>
          <w:szCs w:val="22"/>
        </w:rPr>
        <w:t>.</w:t>
      </w:r>
    </w:p>
    <w:p w:rsidR="00355BC7" w:rsidRPr="00C278EA" w:rsidRDefault="00355BC7" w:rsidP="00C278EA">
      <w:pPr>
        <w:jc w:val="both"/>
        <w:rPr>
          <w:rFonts w:ascii="Arial" w:hAnsi="Arial" w:cs="Arial"/>
          <w:sz w:val="22"/>
          <w:szCs w:val="22"/>
          <w:highlight w:val="yellow"/>
        </w:rPr>
      </w:pPr>
    </w:p>
    <w:p w:rsidR="00355BC7" w:rsidRDefault="00355BC7" w:rsidP="00355BC7">
      <w:pPr>
        <w:jc w:val="both"/>
        <w:rPr>
          <w:rFonts w:ascii="Arial" w:hAnsi="Arial" w:cs="Arial"/>
          <w:b/>
          <w:sz w:val="22"/>
          <w:szCs w:val="22"/>
          <w:lang w:val="es-419"/>
        </w:rPr>
      </w:pPr>
      <w:r>
        <w:rPr>
          <w:rFonts w:ascii="Arial" w:hAnsi="Arial" w:cs="Arial"/>
          <w:b/>
          <w:sz w:val="22"/>
          <w:szCs w:val="22"/>
          <w:lang w:val="es-419"/>
        </w:rPr>
        <w:t>Resultado Presupuestal de la participación de APSB del SGP 2020</w:t>
      </w:r>
      <w:r w:rsidR="00AD4D0F">
        <w:rPr>
          <w:rFonts w:ascii="Arial" w:hAnsi="Arial" w:cs="Arial"/>
          <w:b/>
          <w:sz w:val="22"/>
          <w:szCs w:val="22"/>
          <w:lang w:val="es-419"/>
        </w:rPr>
        <w:t>.</w:t>
      </w:r>
    </w:p>
    <w:p w:rsidR="00355BC7" w:rsidRDefault="00355BC7" w:rsidP="00355BC7">
      <w:pPr>
        <w:ind w:left="720"/>
        <w:contextualSpacing/>
        <w:jc w:val="both"/>
        <w:rPr>
          <w:rFonts w:ascii="Arial" w:hAnsi="Arial" w:cs="Arial"/>
          <w:b/>
          <w:color w:val="000000" w:themeColor="text1"/>
          <w:sz w:val="22"/>
          <w:szCs w:val="22"/>
          <w:u w:val="single"/>
          <w:lang w:val="es-CO"/>
        </w:rPr>
      </w:pPr>
    </w:p>
    <w:p w:rsidR="00355BC7" w:rsidRDefault="00355BC7" w:rsidP="00355BC7">
      <w:pPr>
        <w:jc w:val="both"/>
        <w:rPr>
          <w:rFonts w:ascii="Arial" w:hAnsi="Arial" w:cs="Arial"/>
          <w:sz w:val="22"/>
          <w:szCs w:val="22"/>
          <w:lang w:val="es-419"/>
        </w:rPr>
      </w:pPr>
      <w:r>
        <w:rPr>
          <w:rFonts w:ascii="Arial" w:hAnsi="Arial" w:cs="Arial"/>
          <w:sz w:val="22"/>
          <w:szCs w:val="22"/>
          <w:lang w:val="es-419"/>
        </w:rPr>
        <w:t>Frente al recaudo efectivo y los compromisos causados, el Municipio de Mitú arrojó un resultado presupuestal positivo ($1.153 millones), siendo superior en $1.111 millones al generado en 2019.</w:t>
      </w:r>
    </w:p>
    <w:p w:rsidR="00355BC7" w:rsidRDefault="00355BC7" w:rsidP="00355BC7">
      <w:pPr>
        <w:jc w:val="both"/>
        <w:rPr>
          <w:rFonts w:ascii="Arial" w:hAnsi="Arial" w:cs="Arial"/>
          <w:sz w:val="22"/>
          <w:szCs w:val="22"/>
          <w:lang w:val="es-419"/>
        </w:rPr>
      </w:pPr>
    </w:p>
    <w:p w:rsidR="00355BC7" w:rsidRDefault="00355BC7" w:rsidP="00355BC7">
      <w:pPr>
        <w:jc w:val="both"/>
        <w:rPr>
          <w:rFonts w:ascii="Arial" w:hAnsi="Arial" w:cs="Arial"/>
          <w:sz w:val="22"/>
          <w:szCs w:val="22"/>
          <w:lang w:val="es-419"/>
        </w:rPr>
      </w:pPr>
      <w:r>
        <w:rPr>
          <w:rFonts w:ascii="Arial" w:hAnsi="Arial" w:cs="Arial"/>
          <w:sz w:val="22"/>
          <w:szCs w:val="22"/>
          <w:lang w:val="es-419"/>
        </w:rPr>
        <w:t>El ejercicio de cierre presupuestal reflejó que el Municipio arrojó un saldo en caja y/o bancos de $1.315 millones; constituyó reservas presupuestales por $162 millones</w:t>
      </w:r>
      <w:r>
        <w:rPr>
          <w:rFonts w:ascii="Arial" w:hAnsi="Arial" w:cs="Arial"/>
          <w:sz w:val="22"/>
          <w:szCs w:val="22"/>
          <w:vertAlign w:val="superscript"/>
          <w:lang w:val="es-419"/>
        </w:rPr>
        <w:footnoteReference w:id="24"/>
      </w:r>
      <w:r>
        <w:rPr>
          <w:rFonts w:ascii="Arial" w:hAnsi="Arial" w:cs="Arial"/>
          <w:sz w:val="22"/>
          <w:szCs w:val="22"/>
          <w:lang w:val="es-419"/>
        </w:rPr>
        <w:t>, que al ser descontadas del saldo inicial termino con un disponible de $1.153 millones. El siguiente cuadro muestra las cifras base del análisis:</w:t>
      </w:r>
    </w:p>
    <w:p w:rsidR="00355BC7" w:rsidRDefault="00355BC7" w:rsidP="00355BC7">
      <w:pPr>
        <w:jc w:val="both"/>
        <w:rPr>
          <w:rFonts w:ascii="Arial" w:hAnsi="Arial" w:cs="Arial"/>
          <w:sz w:val="22"/>
          <w:szCs w:val="22"/>
          <w:lang w:val="es-419"/>
        </w:rPr>
      </w:pPr>
    </w:p>
    <w:tbl>
      <w:tblPr>
        <w:tblW w:w="7755" w:type="dxa"/>
        <w:tblInd w:w="841" w:type="dxa"/>
        <w:tblCellMar>
          <w:left w:w="70" w:type="dxa"/>
          <w:right w:w="70" w:type="dxa"/>
        </w:tblCellMar>
        <w:tblLook w:val="04A0" w:firstRow="1" w:lastRow="0" w:firstColumn="1" w:lastColumn="0" w:noHBand="0" w:noVBand="1"/>
      </w:tblPr>
      <w:tblGrid>
        <w:gridCol w:w="2977"/>
        <w:gridCol w:w="2409"/>
        <w:gridCol w:w="2369"/>
      </w:tblGrid>
      <w:tr w:rsidR="00355BC7" w:rsidRPr="00AD4D0F" w:rsidTr="00752183">
        <w:trPr>
          <w:trHeight w:val="573"/>
        </w:trPr>
        <w:tc>
          <w:tcPr>
            <w:tcW w:w="2977" w:type="dxa"/>
            <w:tcBorders>
              <w:top w:val="single" w:sz="8" w:space="0" w:color="auto"/>
              <w:left w:val="single" w:sz="8" w:space="0" w:color="auto"/>
              <w:bottom w:val="single" w:sz="8" w:space="0" w:color="auto"/>
              <w:right w:val="single" w:sz="4" w:space="0" w:color="auto"/>
            </w:tcBorders>
            <w:shd w:val="clear" w:color="auto" w:fill="8EA9DB"/>
            <w:vAlign w:val="bottom"/>
            <w:hideMark/>
          </w:tcPr>
          <w:p w:rsidR="00355BC7" w:rsidRPr="00752183" w:rsidRDefault="00355BC7">
            <w:pPr>
              <w:jc w:val="center"/>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CONCEPTO</w:t>
            </w:r>
          </w:p>
        </w:tc>
        <w:tc>
          <w:tcPr>
            <w:tcW w:w="2409" w:type="dxa"/>
            <w:tcBorders>
              <w:top w:val="single" w:sz="8" w:space="0" w:color="auto"/>
              <w:left w:val="nil"/>
              <w:bottom w:val="single" w:sz="8" w:space="0" w:color="auto"/>
              <w:right w:val="single" w:sz="8" w:space="0" w:color="auto"/>
            </w:tcBorders>
            <w:shd w:val="clear" w:color="auto" w:fill="8EA9DB"/>
            <w:vAlign w:val="bottom"/>
            <w:hideMark/>
          </w:tcPr>
          <w:p w:rsidR="00355BC7" w:rsidRPr="00752183" w:rsidRDefault="00355BC7">
            <w:pPr>
              <w:jc w:val="center"/>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EJECUCION PRESUPUESTAL-2019</w:t>
            </w:r>
          </w:p>
        </w:tc>
        <w:tc>
          <w:tcPr>
            <w:tcW w:w="2369" w:type="dxa"/>
            <w:tcBorders>
              <w:top w:val="single" w:sz="8" w:space="0" w:color="auto"/>
              <w:left w:val="single" w:sz="4" w:space="0" w:color="auto"/>
              <w:bottom w:val="single" w:sz="8" w:space="0" w:color="auto"/>
              <w:right w:val="single" w:sz="8" w:space="0" w:color="auto"/>
            </w:tcBorders>
            <w:shd w:val="clear" w:color="auto" w:fill="8EA9DB"/>
            <w:vAlign w:val="bottom"/>
            <w:hideMark/>
          </w:tcPr>
          <w:p w:rsidR="00355BC7" w:rsidRPr="00752183" w:rsidRDefault="00355BC7">
            <w:pPr>
              <w:jc w:val="center"/>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EJECUCION PRESUPUESTAL-2020</w:t>
            </w:r>
          </w:p>
        </w:tc>
      </w:tr>
      <w:tr w:rsidR="00355BC7" w:rsidRPr="00AD4D0F" w:rsidTr="00355BC7">
        <w:trPr>
          <w:trHeight w:val="304"/>
        </w:trPr>
        <w:tc>
          <w:tcPr>
            <w:tcW w:w="2977" w:type="dxa"/>
            <w:tcBorders>
              <w:top w:val="nil"/>
              <w:left w:val="single" w:sz="8" w:space="0" w:color="auto"/>
              <w:bottom w:val="single" w:sz="4" w:space="0" w:color="auto"/>
              <w:right w:val="single" w:sz="4" w:space="0" w:color="auto"/>
            </w:tcBorders>
            <w:noWrap/>
            <w:vAlign w:val="bottom"/>
            <w:hideMark/>
          </w:tcPr>
          <w:p w:rsidR="00355BC7" w:rsidRPr="00AD4D0F" w:rsidRDefault="00355BC7">
            <w:pPr>
              <w:rPr>
                <w:rFonts w:ascii="Arial" w:hAnsi="Arial" w:cs="Arial"/>
                <w:color w:val="000000"/>
                <w:sz w:val="20"/>
                <w:szCs w:val="20"/>
                <w:lang w:val="es-419" w:eastAsia="es-419"/>
              </w:rPr>
            </w:pPr>
            <w:r w:rsidRPr="00AD4D0F">
              <w:rPr>
                <w:rFonts w:ascii="Arial" w:hAnsi="Arial" w:cs="Arial"/>
                <w:color w:val="000000"/>
                <w:sz w:val="20"/>
                <w:szCs w:val="20"/>
                <w:lang w:val="es-419" w:eastAsia="es-419"/>
              </w:rPr>
              <w:t>1.INGRESOS *</w:t>
            </w:r>
          </w:p>
        </w:tc>
        <w:tc>
          <w:tcPr>
            <w:tcW w:w="2409" w:type="dxa"/>
            <w:tcBorders>
              <w:top w:val="nil"/>
              <w:left w:val="nil"/>
              <w:bottom w:val="single" w:sz="4" w:space="0" w:color="auto"/>
              <w:right w:val="single" w:sz="8" w:space="0" w:color="auto"/>
            </w:tcBorders>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eastAsia="Times New Roman" w:hAnsi="Arial" w:cs="Arial"/>
                <w:b/>
                <w:bCs/>
                <w:color w:val="000000"/>
                <w:sz w:val="20"/>
                <w:szCs w:val="20"/>
                <w:lang w:val="en-US" w:eastAsia="en-US"/>
              </w:rPr>
              <w:t>3.434</w:t>
            </w:r>
          </w:p>
        </w:tc>
        <w:tc>
          <w:tcPr>
            <w:tcW w:w="2369" w:type="dxa"/>
            <w:tcBorders>
              <w:top w:val="nil"/>
              <w:left w:val="single" w:sz="4" w:space="0" w:color="auto"/>
              <w:bottom w:val="single" w:sz="4" w:space="0" w:color="auto"/>
              <w:right w:val="single" w:sz="8" w:space="0" w:color="auto"/>
            </w:tcBorders>
            <w:noWrap/>
            <w:vAlign w:val="bottom"/>
            <w:hideMark/>
          </w:tcPr>
          <w:p w:rsidR="00355BC7" w:rsidRPr="00AD4D0F" w:rsidRDefault="00355BC7">
            <w:pPr>
              <w:jc w:val="right"/>
              <w:rPr>
                <w:rFonts w:ascii="Arial" w:hAnsi="Arial" w:cs="Arial"/>
                <w:bCs/>
                <w:color w:val="000000"/>
                <w:sz w:val="20"/>
                <w:szCs w:val="20"/>
                <w:lang w:val="es-419" w:eastAsia="es-419"/>
              </w:rPr>
            </w:pPr>
            <w:r w:rsidRPr="00AD4D0F">
              <w:rPr>
                <w:rFonts w:ascii="Arial" w:hAnsi="Arial" w:cs="Arial"/>
                <w:bCs/>
                <w:color w:val="000000"/>
                <w:sz w:val="20"/>
                <w:szCs w:val="20"/>
                <w:lang w:val="es-419" w:eastAsia="es-419"/>
              </w:rPr>
              <w:t>2.851</w:t>
            </w:r>
          </w:p>
        </w:tc>
      </w:tr>
      <w:tr w:rsidR="00355BC7" w:rsidRPr="00AD4D0F" w:rsidTr="00355BC7">
        <w:trPr>
          <w:trHeight w:val="555"/>
        </w:trPr>
        <w:tc>
          <w:tcPr>
            <w:tcW w:w="2977" w:type="dxa"/>
            <w:tcBorders>
              <w:top w:val="nil"/>
              <w:left w:val="single" w:sz="8" w:space="0" w:color="auto"/>
              <w:bottom w:val="single" w:sz="4" w:space="0" w:color="auto"/>
              <w:right w:val="single" w:sz="4" w:space="0" w:color="auto"/>
            </w:tcBorders>
            <w:vAlign w:val="bottom"/>
            <w:hideMark/>
          </w:tcPr>
          <w:p w:rsidR="00355BC7" w:rsidRPr="00AD4D0F" w:rsidRDefault="00355BC7">
            <w:pPr>
              <w:rPr>
                <w:rFonts w:ascii="Arial" w:hAnsi="Arial" w:cs="Arial"/>
                <w:color w:val="000000"/>
                <w:sz w:val="20"/>
                <w:szCs w:val="20"/>
                <w:lang w:val="es-419" w:eastAsia="es-419"/>
              </w:rPr>
            </w:pPr>
            <w:r w:rsidRPr="00AD4D0F">
              <w:rPr>
                <w:rFonts w:ascii="Arial" w:hAnsi="Arial" w:cs="Arial"/>
                <w:color w:val="000000"/>
                <w:sz w:val="20"/>
                <w:szCs w:val="20"/>
                <w:lang w:val="es-419" w:eastAsia="es-419"/>
              </w:rPr>
              <w:t>2.GASTOS (Compromisos Transferencia Corriente SGP y Vigencias anteriores) **</w:t>
            </w:r>
          </w:p>
        </w:tc>
        <w:tc>
          <w:tcPr>
            <w:tcW w:w="2409" w:type="dxa"/>
            <w:tcBorders>
              <w:top w:val="nil"/>
              <w:left w:val="nil"/>
              <w:bottom w:val="single" w:sz="4" w:space="0" w:color="auto"/>
              <w:right w:val="single" w:sz="8" w:space="0" w:color="auto"/>
            </w:tcBorders>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eastAsia="Times New Roman" w:hAnsi="Arial" w:cs="Arial"/>
                <w:b/>
                <w:bCs/>
                <w:color w:val="000000"/>
                <w:sz w:val="20"/>
                <w:szCs w:val="20"/>
                <w:lang w:val="en-US" w:eastAsia="en-US"/>
              </w:rPr>
              <w:t>3.392</w:t>
            </w:r>
          </w:p>
        </w:tc>
        <w:tc>
          <w:tcPr>
            <w:tcW w:w="2369" w:type="dxa"/>
            <w:tcBorders>
              <w:top w:val="nil"/>
              <w:left w:val="single" w:sz="4" w:space="0" w:color="auto"/>
              <w:bottom w:val="single" w:sz="4" w:space="0" w:color="auto"/>
              <w:right w:val="single" w:sz="8" w:space="0" w:color="auto"/>
            </w:tcBorders>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hAnsi="Arial" w:cs="Arial"/>
                <w:b/>
                <w:bCs/>
                <w:color w:val="000000"/>
                <w:sz w:val="20"/>
                <w:szCs w:val="20"/>
                <w:lang w:val="es-419" w:eastAsia="es-419"/>
              </w:rPr>
              <w:t>1.698</w:t>
            </w:r>
          </w:p>
        </w:tc>
      </w:tr>
      <w:tr w:rsidR="00355BC7" w:rsidRPr="00AD4D0F" w:rsidTr="00355BC7">
        <w:trPr>
          <w:trHeight w:val="315"/>
        </w:trPr>
        <w:tc>
          <w:tcPr>
            <w:tcW w:w="2977" w:type="dxa"/>
            <w:tcBorders>
              <w:top w:val="nil"/>
              <w:left w:val="single" w:sz="8" w:space="0" w:color="auto"/>
              <w:bottom w:val="single" w:sz="4" w:space="0" w:color="auto"/>
              <w:right w:val="single" w:sz="4" w:space="0" w:color="auto"/>
            </w:tcBorders>
            <w:noWrap/>
            <w:vAlign w:val="bottom"/>
            <w:hideMark/>
          </w:tcPr>
          <w:p w:rsidR="00355BC7" w:rsidRPr="00AD4D0F" w:rsidRDefault="00355BC7">
            <w:pPr>
              <w:rPr>
                <w:rFonts w:ascii="Arial" w:hAnsi="Arial" w:cs="Arial"/>
                <w:color w:val="000000"/>
                <w:sz w:val="20"/>
                <w:szCs w:val="20"/>
                <w:lang w:val="es-419" w:eastAsia="es-419"/>
              </w:rPr>
            </w:pPr>
            <w:r w:rsidRPr="00AD4D0F">
              <w:rPr>
                <w:rFonts w:ascii="Arial" w:hAnsi="Arial" w:cs="Arial"/>
                <w:color w:val="000000"/>
                <w:sz w:val="20"/>
                <w:szCs w:val="20"/>
                <w:lang w:val="es-419" w:eastAsia="es-419"/>
              </w:rPr>
              <w:t>3. GASTOS OBLIGADOS</w:t>
            </w:r>
          </w:p>
        </w:tc>
        <w:tc>
          <w:tcPr>
            <w:tcW w:w="2409" w:type="dxa"/>
            <w:tcBorders>
              <w:top w:val="nil"/>
              <w:left w:val="nil"/>
              <w:bottom w:val="single" w:sz="4" w:space="0" w:color="auto"/>
              <w:right w:val="single" w:sz="8" w:space="0" w:color="auto"/>
            </w:tcBorders>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eastAsia="Times New Roman" w:hAnsi="Arial" w:cs="Arial"/>
                <w:b/>
                <w:bCs/>
                <w:color w:val="000000"/>
                <w:sz w:val="20"/>
                <w:szCs w:val="20"/>
                <w:lang w:val="en-US" w:eastAsia="en-US"/>
              </w:rPr>
              <w:t>2.432</w:t>
            </w:r>
          </w:p>
        </w:tc>
        <w:tc>
          <w:tcPr>
            <w:tcW w:w="2369" w:type="dxa"/>
            <w:tcBorders>
              <w:top w:val="nil"/>
              <w:left w:val="single" w:sz="4" w:space="0" w:color="auto"/>
              <w:bottom w:val="single" w:sz="4" w:space="0" w:color="auto"/>
              <w:right w:val="single" w:sz="8" w:space="0" w:color="auto"/>
            </w:tcBorders>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hAnsi="Arial" w:cs="Arial"/>
                <w:b/>
                <w:bCs/>
                <w:color w:val="000000"/>
                <w:sz w:val="20"/>
                <w:szCs w:val="20"/>
                <w:lang w:val="es-419" w:eastAsia="es-419"/>
              </w:rPr>
              <w:t>1.536</w:t>
            </w:r>
          </w:p>
        </w:tc>
      </w:tr>
      <w:tr w:rsidR="00355BC7" w:rsidRPr="00AD4D0F" w:rsidTr="00355BC7">
        <w:trPr>
          <w:trHeight w:val="315"/>
        </w:trPr>
        <w:tc>
          <w:tcPr>
            <w:tcW w:w="2977" w:type="dxa"/>
            <w:tcBorders>
              <w:top w:val="nil"/>
              <w:left w:val="single" w:sz="8" w:space="0" w:color="auto"/>
              <w:bottom w:val="single" w:sz="4" w:space="0" w:color="auto"/>
              <w:right w:val="single" w:sz="4" w:space="0" w:color="auto"/>
            </w:tcBorders>
            <w:noWrap/>
            <w:vAlign w:val="bottom"/>
            <w:hideMark/>
          </w:tcPr>
          <w:p w:rsidR="00355BC7" w:rsidRPr="00AD4D0F" w:rsidRDefault="00355BC7">
            <w:pPr>
              <w:rPr>
                <w:rFonts w:ascii="Arial" w:hAnsi="Arial" w:cs="Arial"/>
                <w:color w:val="000000"/>
                <w:sz w:val="20"/>
                <w:szCs w:val="20"/>
                <w:lang w:val="es-419" w:eastAsia="es-419"/>
              </w:rPr>
            </w:pPr>
            <w:r w:rsidRPr="00AD4D0F">
              <w:rPr>
                <w:rFonts w:ascii="Arial" w:hAnsi="Arial" w:cs="Arial"/>
                <w:color w:val="000000"/>
                <w:sz w:val="20"/>
                <w:szCs w:val="20"/>
                <w:lang w:val="es-419" w:eastAsia="es-419"/>
              </w:rPr>
              <w:t>4. PAGOS</w:t>
            </w:r>
          </w:p>
        </w:tc>
        <w:tc>
          <w:tcPr>
            <w:tcW w:w="2409" w:type="dxa"/>
            <w:tcBorders>
              <w:top w:val="nil"/>
              <w:left w:val="nil"/>
              <w:bottom w:val="single" w:sz="4" w:space="0" w:color="auto"/>
              <w:right w:val="single" w:sz="8" w:space="0" w:color="auto"/>
            </w:tcBorders>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eastAsia="Times New Roman" w:hAnsi="Arial" w:cs="Arial"/>
                <w:b/>
                <w:bCs/>
                <w:color w:val="000000"/>
                <w:sz w:val="20"/>
                <w:szCs w:val="20"/>
                <w:lang w:val="en-US" w:eastAsia="en-US"/>
              </w:rPr>
              <w:t>2.432</w:t>
            </w:r>
          </w:p>
        </w:tc>
        <w:tc>
          <w:tcPr>
            <w:tcW w:w="2369" w:type="dxa"/>
            <w:tcBorders>
              <w:top w:val="nil"/>
              <w:left w:val="single" w:sz="4" w:space="0" w:color="auto"/>
              <w:bottom w:val="single" w:sz="4" w:space="0" w:color="auto"/>
              <w:right w:val="single" w:sz="8" w:space="0" w:color="auto"/>
            </w:tcBorders>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hAnsi="Arial" w:cs="Arial"/>
                <w:b/>
                <w:bCs/>
                <w:color w:val="000000"/>
                <w:sz w:val="20"/>
                <w:szCs w:val="20"/>
                <w:lang w:val="es-419" w:eastAsia="es-419"/>
              </w:rPr>
              <w:t>1.536</w:t>
            </w:r>
          </w:p>
        </w:tc>
      </w:tr>
      <w:tr w:rsidR="00355BC7" w:rsidRPr="00AD4D0F" w:rsidTr="00355BC7">
        <w:trPr>
          <w:trHeight w:val="315"/>
        </w:trPr>
        <w:tc>
          <w:tcPr>
            <w:tcW w:w="2977" w:type="dxa"/>
            <w:tcBorders>
              <w:top w:val="nil"/>
              <w:left w:val="single" w:sz="8" w:space="0" w:color="auto"/>
              <w:bottom w:val="single" w:sz="4" w:space="0" w:color="auto"/>
              <w:right w:val="single" w:sz="4" w:space="0" w:color="auto"/>
            </w:tcBorders>
            <w:noWrap/>
            <w:vAlign w:val="bottom"/>
            <w:hideMark/>
          </w:tcPr>
          <w:p w:rsidR="00355BC7" w:rsidRPr="00AD4D0F" w:rsidRDefault="00355BC7">
            <w:pPr>
              <w:rPr>
                <w:rFonts w:ascii="Arial" w:hAnsi="Arial" w:cs="Arial"/>
                <w:b/>
                <w:color w:val="7030A0"/>
                <w:sz w:val="20"/>
                <w:szCs w:val="20"/>
                <w:lang w:val="es-419" w:eastAsia="es-419"/>
              </w:rPr>
            </w:pPr>
            <w:r w:rsidRPr="00AD4D0F">
              <w:rPr>
                <w:rFonts w:ascii="Arial" w:hAnsi="Arial" w:cs="Arial"/>
                <w:b/>
                <w:color w:val="7030A0"/>
                <w:sz w:val="20"/>
                <w:szCs w:val="20"/>
                <w:lang w:val="es-419" w:eastAsia="es-419"/>
              </w:rPr>
              <w:t>DEFICIT O SUPERAVIT (1)-(2)</w:t>
            </w:r>
          </w:p>
        </w:tc>
        <w:tc>
          <w:tcPr>
            <w:tcW w:w="2409" w:type="dxa"/>
            <w:tcBorders>
              <w:top w:val="nil"/>
              <w:left w:val="nil"/>
              <w:bottom w:val="single" w:sz="4" w:space="0" w:color="auto"/>
              <w:right w:val="single" w:sz="8" w:space="0" w:color="auto"/>
            </w:tcBorders>
            <w:shd w:val="clear" w:color="auto" w:fill="BDD7EE"/>
            <w:noWrap/>
            <w:vAlign w:val="bottom"/>
            <w:hideMark/>
          </w:tcPr>
          <w:p w:rsidR="00355BC7" w:rsidRPr="00AD4D0F" w:rsidRDefault="00355BC7">
            <w:pPr>
              <w:jc w:val="right"/>
              <w:rPr>
                <w:rFonts w:ascii="Arial" w:hAnsi="Arial" w:cs="Arial"/>
                <w:b/>
                <w:bCs/>
                <w:color w:val="7030A0"/>
                <w:sz w:val="20"/>
                <w:szCs w:val="20"/>
                <w:lang w:val="es-419" w:eastAsia="es-419"/>
              </w:rPr>
            </w:pPr>
            <w:r w:rsidRPr="00AD4D0F">
              <w:rPr>
                <w:rFonts w:ascii="Arial" w:eastAsia="Times New Roman" w:hAnsi="Arial" w:cs="Arial"/>
                <w:b/>
                <w:bCs/>
                <w:color w:val="7030A0"/>
                <w:sz w:val="20"/>
                <w:szCs w:val="20"/>
                <w:lang w:val="en-US" w:eastAsia="en-US"/>
              </w:rPr>
              <w:t>42</w:t>
            </w:r>
          </w:p>
        </w:tc>
        <w:tc>
          <w:tcPr>
            <w:tcW w:w="2369" w:type="dxa"/>
            <w:tcBorders>
              <w:top w:val="nil"/>
              <w:left w:val="single" w:sz="4" w:space="0" w:color="auto"/>
              <w:bottom w:val="single" w:sz="4" w:space="0" w:color="auto"/>
              <w:right w:val="single" w:sz="8" w:space="0" w:color="auto"/>
            </w:tcBorders>
            <w:shd w:val="clear" w:color="auto" w:fill="BDD7EE"/>
            <w:noWrap/>
            <w:vAlign w:val="bottom"/>
            <w:hideMark/>
          </w:tcPr>
          <w:p w:rsidR="00355BC7" w:rsidRPr="00AD4D0F" w:rsidRDefault="00355BC7">
            <w:pPr>
              <w:jc w:val="right"/>
              <w:rPr>
                <w:rFonts w:ascii="Arial" w:hAnsi="Arial" w:cs="Arial"/>
                <w:b/>
                <w:bCs/>
                <w:color w:val="7030A0"/>
                <w:sz w:val="20"/>
                <w:szCs w:val="20"/>
                <w:lang w:val="es-419" w:eastAsia="es-419"/>
              </w:rPr>
            </w:pPr>
            <w:r w:rsidRPr="00AD4D0F">
              <w:rPr>
                <w:rFonts w:ascii="Arial" w:hAnsi="Arial" w:cs="Arial"/>
                <w:b/>
                <w:bCs/>
                <w:color w:val="7030A0"/>
                <w:sz w:val="20"/>
                <w:szCs w:val="20"/>
                <w:lang w:val="es-419" w:eastAsia="es-419"/>
              </w:rPr>
              <w:t>1.153</w:t>
            </w:r>
          </w:p>
        </w:tc>
      </w:tr>
      <w:tr w:rsidR="00355BC7" w:rsidRPr="00AD4D0F" w:rsidTr="00355BC7">
        <w:trPr>
          <w:trHeight w:val="315"/>
        </w:trPr>
        <w:tc>
          <w:tcPr>
            <w:tcW w:w="2977" w:type="dxa"/>
            <w:tcBorders>
              <w:top w:val="nil"/>
              <w:left w:val="single" w:sz="8" w:space="0" w:color="auto"/>
              <w:bottom w:val="single" w:sz="4" w:space="0" w:color="auto"/>
              <w:right w:val="single" w:sz="4" w:space="0" w:color="auto"/>
            </w:tcBorders>
            <w:noWrap/>
            <w:vAlign w:val="bottom"/>
            <w:hideMark/>
          </w:tcPr>
          <w:p w:rsidR="00355BC7" w:rsidRPr="00AD4D0F" w:rsidRDefault="00355BC7">
            <w:pPr>
              <w:rPr>
                <w:rFonts w:ascii="Arial" w:hAnsi="Arial" w:cs="Arial"/>
                <w:b/>
                <w:color w:val="7030A0"/>
                <w:sz w:val="20"/>
                <w:szCs w:val="20"/>
                <w:lang w:val="es-419" w:eastAsia="es-419"/>
              </w:rPr>
            </w:pPr>
            <w:r w:rsidRPr="00AD4D0F">
              <w:rPr>
                <w:rFonts w:ascii="Arial" w:hAnsi="Arial" w:cs="Arial"/>
                <w:color w:val="000000"/>
                <w:sz w:val="20"/>
                <w:szCs w:val="20"/>
                <w:lang w:val="es-419" w:eastAsia="es-419"/>
              </w:rPr>
              <w:t>RESERVAS PRESUPUESTALES (2) -(3)</w:t>
            </w:r>
          </w:p>
        </w:tc>
        <w:tc>
          <w:tcPr>
            <w:tcW w:w="2409" w:type="dxa"/>
            <w:tcBorders>
              <w:top w:val="nil"/>
              <w:left w:val="nil"/>
              <w:bottom w:val="single" w:sz="4" w:space="0" w:color="auto"/>
              <w:right w:val="single" w:sz="8" w:space="0" w:color="auto"/>
            </w:tcBorders>
            <w:shd w:val="clear" w:color="auto" w:fill="BDD7EE"/>
            <w:noWrap/>
            <w:vAlign w:val="bottom"/>
            <w:hideMark/>
          </w:tcPr>
          <w:p w:rsidR="00355BC7" w:rsidRPr="00AD4D0F" w:rsidRDefault="00355BC7">
            <w:pPr>
              <w:jc w:val="right"/>
              <w:rPr>
                <w:rFonts w:ascii="Arial" w:eastAsia="Times New Roman" w:hAnsi="Arial" w:cs="Arial"/>
                <w:b/>
                <w:bCs/>
                <w:color w:val="2F75B5"/>
                <w:sz w:val="20"/>
                <w:szCs w:val="20"/>
                <w:lang w:val="en-US" w:eastAsia="en-US"/>
              </w:rPr>
            </w:pPr>
            <w:r w:rsidRPr="00AD4D0F">
              <w:rPr>
                <w:rFonts w:ascii="Arial" w:eastAsia="Times New Roman" w:hAnsi="Arial" w:cs="Arial"/>
                <w:bCs/>
                <w:color w:val="000000"/>
                <w:sz w:val="20"/>
                <w:szCs w:val="20"/>
                <w:lang w:val="en-US" w:eastAsia="en-US"/>
              </w:rPr>
              <w:t>960</w:t>
            </w:r>
          </w:p>
        </w:tc>
        <w:tc>
          <w:tcPr>
            <w:tcW w:w="2369" w:type="dxa"/>
            <w:tcBorders>
              <w:top w:val="nil"/>
              <w:left w:val="single" w:sz="4" w:space="0" w:color="auto"/>
              <w:bottom w:val="single" w:sz="4" w:space="0" w:color="auto"/>
              <w:right w:val="single" w:sz="8" w:space="0" w:color="auto"/>
            </w:tcBorders>
            <w:shd w:val="clear" w:color="auto" w:fill="BDD7EE"/>
            <w:noWrap/>
            <w:vAlign w:val="bottom"/>
            <w:hideMark/>
          </w:tcPr>
          <w:p w:rsidR="00355BC7" w:rsidRPr="00AD4D0F" w:rsidRDefault="00355BC7">
            <w:pPr>
              <w:jc w:val="right"/>
              <w:rPr>
                <w:rFonts w:ascii="Arial" w:hAnsi="Arial" w:cs="Arial"/>
                <w:b/>
                <w:bCs/>
                <w:color w:val="002060"/>
                <w:sz w:val="20"/>
                <w:szCs w:val="20"/>
                <w:lang w:val="es-419" w:eastAsia="es-419"/>
              </w:rPr>
            </w:pPr>
            <w:r w:rsidRPr="00AD4D0F">
              <w:rPr>
                <w:rFonts w:ascii="Arial" w:hAnsi="Arial" w:cs="Arial"/>
                <w:b/>
                <w:bCs/>
                <w:color w:val="002060"/>
                <w:sz w:val="20"/>
                <w:szCs w:val="20"/>
                <w:lang w:val="es-419" w:eastAsia="es-419"/>
              </w:rPr>
              <w:t>162</w:t>
            </w:r>
          </w:p>
        </w:tc>
      </w:tr>
      <w:tr w:rsidR="00355BC7" w:rsidRPr="00AD4D0F" w:rsidTr="00355BC7">
        <w:trPr>
          <w:trHeight w:val="315"/>
        </w:trPr>
        <w:tc>
          <w:tcPr>
            <w:tcW w:w="2977" w:type="dxa"/>
            <w:tcBorders>
              <w:top w:val="nil"/>
              <w:left w:val="single" w:sz="8" w:space="0" w:color="auto"/>
              <w:bottom w:val="single" w:sz="4" w:space="0" w:color="auto"/>
              <w:right w:val="single" w:sz="4" w:space="0" w:color="auto"/>
            </w:tcBorders>
            <w:noWrap/>
            <w:vAlign w:val="bottom"/>
            <w:hideMark/>
          </w:tcPr>
          <w:p w:rsidR="00355BC7" w:rsidRPr="00AD4D0F" w:rsidRDefault="00355BC7">
            <w:pPr>
              <w:rPr>
                <w:rFonts w:ascii="Arial" w:hAnsi="Arial" w:cs="Arial"/>
                <w:b/>
                <w:color w:val="7030A0"/>
                <w:sz w:val="20"/>
                <w:szCs w:val="20"/>
                <w:lang w:val="es-419" w:eastAsia="es-419"/>
              </w:rPr>
            </w:pPr>
            <w:r w:rsidRPr="00AD4D0F">
              <w:rPr>
                <w:rFonts w:ascii="Arial" w:eastAsia="Times New Roman" w:hAnsi="Arial" w:cs="Arial"/>
                <w:color w:val="000000"/>
                <w:sz w:val="20"/>
                <w:szCs w:val="20"/>
                <w:lang w:val="en-US" w:eastAsia="en-US"/>
              </w:rPr>
              <w:t>CUENTAS POR PAGAR (3)-(4)</w:t>
            </w:r>
          </w:p>
        </w:tc>
        <w:tc>
          <w:tcPr>
            <w:tcW w:w="2409" w:type="dxa"/>
            <w:tcBorders>
              <w:top w:val="nil"/>
              <w:left w:val="nil"/>
              <w:bottom w:val="single" w:sz="4" w:space="0" w:color="auto"/>
              <w:right w:val="single" w:sz="8" w:space="0" w:color="auto"/>
            </w:tcBorders>
            <w:shd w:val="clear" w:color="auto" w:fill="BDD7EE"/>
            <w:noWrap/>
            <w:vAlign w:val="bottom"/>
            <w:hideMark/>
          </w:tcPr>
          <w:p w:rsidR="00355BC7" w:rsidRPr="00AD4D0F" w:rsidRDefault="00355BC7">
            <w:pPr>
              <w:jc w:val="right"/>
              <w:rPr>
                <w:rFonts w:ascii="Arial" w:eastAsia="Times New Roman" w:hAnsi="Arial" w:cs="Arial"/>
                <w:bCs/>
                <w:color w:val="2F75B5"/>
                <w:sz w:val="20"/>
                <w:szCs w:val="20"/>
                <w:lang w:val="en-US" w:eastAsia="en-US"/>
              </w:rPr>
            </w:pPr>
            <w:r w:rsidRPr="00AD4D0F">
              <w:rPr>
                <w:rFonts w:ascii="Arial" w:eastAsia="Times New Roman" w:hAnsi="Arial" w:cs="Arial"/>
                <w:bCs/>
                <w:color w:val="000000"/>
                <w:sz w:val="20"/>
                <w:szCs w:val="20"/>
                <w:lang w:val="en-US" w:eastAsia="en-US"/>
              </w:rPr>
              <w:t>0</w:t>
            </w:r>
          </w:p>
        </w:tc>
        <w:tc>
          <w:tcPr>
            <w:tcW w:w="2369" w:type="dxa"/>
            <w:tcBorders>
              <w:top w:val="nil"/>
              <w:left w:val="single" w:sz="4" w:space="0" w:color="auto"/>
              <w:bottom w:val="single" w:sz="4" w:space="0" w:color="auto"/>
              <w:right w:val="single" w:sz="8" w:space="0" w:color="auto"/>
            </w:tcBorders>
            <w:shd w:val="clear" w:color="auto" w:fill="BDD7EE"/>
            <w:noWrap/>
            <w:vAlign w:val="bottom"/>
            <w:hideMark/>
          </w:tcPr>
          <w:p w:rsidR="00355BC7" w:rsidRPr="00AD4D0F" w:rsidRDefault="00355BC7">
            <w:pPr>
              <w:jc w:val="right"/>
              <w:rPr>
                <w:rFonts w:ascii="Arial" w:hAnsi="Arial" w:cs="Arial"/>
                <w:b/>
                <w:bCs/>
                <w:color w:val="002060"/>
                <w:sz w:val="20"/>
                <w:szCs w:val="20"/>
                <w:lang w:val="es-419" w:eastAsia="es-419"/>
              </w:rPr>
            </w:pPr>
            <w:r w:rsidRPr="00AD4D0F">
              <w:rPr>
                <w:rFonts w:ascii="Arial" w:hAnsi="Arial" w:cs="Arial"/>
                <w:b/>
                <w:bCs/>
                <w:color w:val="002060"/>
                <w:sz w:val="20"/>
                <w:szCs w:val="20"/>
                <w:lang w:val="es-419" w:eastAsia="es-419"/>
              </w:rPr>
              <w:t>0</w:t>
            </w:r>
          </w:p>
        </w:tc>
      </w:tr>
      <w:tr w:rsidR="00355BC7" w:rsidRPr="00AD4D0F" w:rsidTr="00355BC7">
        <w:trPr>
          <w:trHeight w:val="315"/>
        </w:trPr>
        <w:tc>
          <w:tcPr>
            <w:tcW w:w="2977" w:type="dxa"/>
            <w:tcBorders>
              <w:top w:val="nil"/>
              <w:left w:val="single" w:sz="8" w:space="0" w:color="auto"/>
              <w:bottom w:val="single" w:sz="4" w:space="0" w:color="auto"/>
              <w:right w:val="single" w:sz="4" w:space="0" w:color="auto"/>
            </w:tcBorders>
            <w:noWrap/>
            <w:vAlign w:val="bottom"/>
            <w:hideMark/>
          </w:tcPr>
          <w:p w:rsidR="00355BC7" w:rsidRPr="00AD4D0F" w:rsidRDefault="00355BC7">
            <w:pPr>
              <w:rPr>
                <w:rFonts w:ascii="Arial" w:hAnsi="Arial" w:cs="Arial"/>
                <w:color w:val="000000"/>
                <w:sz w:val="20"/>
                <w:szCs w:val="20"/>
                <w:lang w:val="es-419" w:eastAsia="es-419"/>
              </w:rPr>
            </w:pPr>
            <w:r w:rsidRPr="00AD4D0F">
              <w:rPr>
                <w:rFonts w:ascii="Arial" w:eastAsia="Times New Roman" w:hAnsi="Arial" w:cs="Arial"/>
                <w:color w:val="000000"/>
                <w:sz w:val="20"/>
                <w:szCs w:val="20"/>
                <w:lang w:val="es-CO" w:eastAsia="en-US"/>
              </w:rPr>
              <w:t>SALDO EN CAJA Y BANCOS (1) -(4)</w:t>
            </w:r>
          </w:p>
        </w:tc>
        <w:tc>
          <w:tcPr>
            <w:tcW w:w="2409" w:type="dxa"/>
            <w:tcBorders>
              <w:top w:val="nil"/>
              <w:left w:val="nil"/>
              <w:bottom w:val="single" w:sz="4" w:space="0" w:color="auto"/>
              <w:right w:val="single" w:sz="8" w:space="0" w:color="auto"/>
            </w:tcBorders>
            <w:shd w:val="clear" w:color="auto" w:fill="E2EFDA"/>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eastAsia="Times New Roman" w:hAnsi="Arial" w:cs="Arial"/>
                <w:b/>
                <w:bCs/>
                <w:color w:val="002060"/>
                <w:sz w:val="20"/>
                <w:szCs w:val="20"/>
                <w:lang w:val="en-US" w:eastAsia="en-US"/>
              </w:rPr>
              <w:t>1.002</w:t>
            </w:r>
          </w:p>
        </w:tc>
        <w:tc>
          <w:tcPr>
            <w:tcW w:w="2369" w:type="dxa"/>
            <w:tcBorders>
              <w:top w:val="nil"/>
              <w:left w:val="single" w:sz="4" w:space="0" w:color="auto"/>
              <w:bottom w:val="single" w:sz="4" w:space="0" w:color="auto"/>
              <w:right w:val="single" w:sz="8" w:space="0" w:color="auto"/>
            </w:tcBorders>
            <w:shd w:val="clear" w:color="auto" w:fill="E2EFDA"/>
            <w:noWrap/>
            <w:vAlign w:val="bottom"/>
            <w:hideMark/>
          </w:tcPr>
          <w:p w:rsidR="00355BC7" w:rsidRPr="00AD4D0F" w:rsidRDefault="00355BC7">
            <w:pPr>
              <w:jc w:val="right"/>
              <w:rPr>
                <w:rFonts w:ascii="Arial" w:hAnsi="Arial" w:cs="Arial"/>
                <w:b/>
                <w:bCs/>
                <w:color w:val="000000"/>
                <w:sz w:val="20"/>
                <w:szCs w:val="20"/>
                <w:lang w:val="es-419" w:eastAsia="es-419"/>
              </w:rPr>
            </w:pPr>
            <w:r w:rsidRPr="00AD4D0F">
              <w:rPr>
                <w:rFonts w:ascii="Arial" w:hAnsi="Arial" w:cs="Arial"/>
                <w:b/>
                <w:bCs/>
                <w:color w:val="000000"/>
                <w:sz w:val="20"/>
                <w:szCs w:val="20"/>
                <w:lang w:val="es-419" w:eastAsia="es-419"/>
              </w:rPr>
              <w:t>1.315</w:t>
            </w:r>
          </w:p>
        </w:tc>
      </w:tr>
    </w:tbl>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lang w:val="es-419"/>
        </w:rPr>
      </w:pPr>
      <w:r>
        <w:rPr>
          <w:rFonts w:ascii="Arial" w:hAnsi="Arial" w:cs="Arial"/>
          <w:sz w:val="22"/>
          <w:szCs w:val="22"/>
          <w:lang w:val="es-419"/>
        </w:rPr>
        <w:t xml:space="preserve">Ahora bien, haciendo un comparativo frente al reporte de la categoría del “Cierre Fiscal” cargado en el aplicativo del Formato Único Territorial-FUT, se observó que los recursos disponibles en caja y bancos fueron de $3.529 millones. El reporte mostro exigibilidades, por $162 millones en consecuencia, la situación fiscal del municipio en el sector de APSB contó con un disponible de $3.366 millones. El reporte es el siguiente: </w:t>
      </w:r>
    </w:p>
    <w:p w:rsidR="007C3EB1" w:rsidRDefault="007C3EB1">
      <w:pPr>
        <w:rPr>
          <w:rFonts w:ascii="Arial" w:hAnsi="Arial" w:cs="Arial"/>
          <w:sz w:val="22"/>
          <w:szCs w:val="22"/>
          <w:lang w:val="es-419"/>
        </w:rPr>
      </w:pPr>
      <w:r>
        <w:rPr>
          <w:rFonts w:ascii="Arial" w:hAnsi="Arial" w:cs="Arial"/>
          <w:sz w:val="22"/>
          <w:szCs w:val="22"/>
          <w:lang w:val="es-419"/>
        </w:rPr>
        <w:br w:type="page"/>
      </w:r>
    </w:p>
    <w:p w:rsidR="00355BC7" w:rsidRDefault="00355BC7" w:rsidP="007C3EB1">
      <w:pPr>
        <w:ind w:left="7655"/>
        <w:jc w:val="both"/>
        <w:rPr>
          <w:rFonts w:ascii="Arial" w:hAnsi="Arial" w:cs="Arial"/>
          <w:sz w:val="16"/>
          <w:szCs w:val="16"/>
          <w:lang w:val="es-419"/>
        </w:rPr>
      </w:pPr>
      <w:r>
        <w:rPr>
          <w:rFonts w:ascii="Arial" w:hAnsi="Arial" w:cs="Arial"/>
          <w:sz w:val="16"/>
          <w:szCs w:val="16"/>
          <w:lang w:val="es-419"/>
        </w:rPr>
        <w:lastRenderedPageBreak/>
        <w:t>Millones$</w:t>
      </w:r>
    </w:p>
    <w:tbl>
      <w:tblPr>
        <w:tblW w:w="7700" w:type="dxa"/>
        <w:tblInd w:w="841" w:type="dxa"/>
        <w:tblCellMar>
          <w:left w:w="70" w:type="dxa"/>
          <w:right w:w="70" w:type="dxa"/>
        </w:tblCellMar>
        <w:tblLook w:val="04A0" w:firstRow="1" w:lastRow="0" w:firstColumn="1" w:lastColumn="0" w:noHBand="0" w:noVBand="1"/>
      </w:tblPr>
      <w:tblGrid>
        <w:gridCol w:w="3827"/>
        <w:gridCol w:w="2126"/>
        <w:gridCol w:w="1747"/>
      </w:tblGrid>
      <w:tr w:rsidR="00355BC7" w:rsidRPr="007C3EB1" w:rsidTr="00355BC7">
        <w:trPr>
          <w:trHeight w:val="315"/>
        </w:trPr>
        <w:tc>
          <w:tcPr>
            <w:tcW w:w="3827" w:type="dxa"/>
            <w:tcBorders>
              <w:top w:val="nil"/>
              <w:left w:val="single" w:sz="8" w:space="0" w:color="auto"/>
              <w:bottom w:val="single" w:sz="4" w:space="0" w:color="auto"/>
              <w:right w:val="single" w:sz="4" w:space="0" w:color="auto"/>
            </w:tcBorders>
            <w:shd w:val="clear" w:color="auto" w:fill="9BC2E6"/>
            <w:noWrap/>
            <w:vAlign w:val="bottom"/>
            <w:hideMark/>
          </w:tcPr>
          <w:p w:rsidR="00355BC7" w:rsidRPr="00752183" w:rsidRDefault="00355BC7">
            <w:pPr>
              <w:jc w:val="center"/>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 xml:space="preserve">CIERRE FISCAL 2020 FUT </w:t>
            </w:r>
          </w:p>
        </w:tc>
        <w:tc>
          <w:tcPr>
            <w:tcW w:w="2126" w:type="dxa"/>
            <w:tcBorders>
              <w:top w:val="nil"/>
              <w:left w:val="nil"/>
              <w:bottom w:val="single" w:sz="4" w:space="0" w:color="auto"/>
              <w:right w:val="single" w:sz="8" w:space="0" w:color="auto"/>
            </w:tcBorders>
            <w:shd w:val="clear" w:color="auto" w:fill="9BC2E6"/>
            <w:noWrap/>
            <w:vAlign w:val="bottom"/>
            <w:hideMark/>
          </w:tcPr>
          <w:p w:rsidR="00355BC7" w:rsidRPr="00752183" w:rsidRDefault="00355BC7">
            <w:pPr>
              <w:jc w:val="center"/>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2019</w:t>
            </w:r>
          </w:p>
        </w:tc>
        <w:tc>
          <w:tcPr>
            <w:tcW w:w="1747" w:type="dxa"/>
            <w:tcBorders>
              <w:top w:val="nil"/>
              <w:left w:val="single" w:sz="4" w:space="0" w:color="auto"/>
              <w:bottom w:val="single" w:sz="4" w:space="0" w:color="auto"/>
              <w:right w:val="single" w:sz="8" w:space="0" w:color="auto"/>
            </w:tcBorders>
            <w:shd w:val="clear" w:color="auto" w:fill="9BC2E6"/>
            <w:noWrap/>
            <w:vAlign w:val="bottom"/>
            <w:hideMark/>
          </w:tcPr>
          <w:p w:rsidR="00355BC7" w:rsidRPr="00752183" w:rsidRDefault="00355BC7">
            <w:pPr>
              <w:jc w:val="center"/>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2020 </w:t>
            </w:r>
          </w:p>
        </w:tc>
      </w:tr>
      <w:tr w:rsidR="00355BC7" w:rsidRPr="007C3EB1" w:rsidTr="00355BC7">
        <w:trPr>
          <w:trHeight w:val="315"/>
        </w:trPr>
        <w:tc>
          <w:tcPr>
            <w:tcW w:w="3827" w:type="dxa"/>
            <w:tcBorders>
              <w:top w:val="nil"/>
              <w:left w:val="single" w:sz="8" w:space="0" w:color="auto"/>
              <w:bottom w:val="single" w:sz="4" w:space="0" w:color="auto"/>
              <w:right w:val="single" w:sz="4" w:space="0" w:color="auto"/>
            </w:tcBorders>
            <w:noWrap/>
            <w:vAlign w:val="bottom"/>
            <w:hideMark/>
          </w:tcPr>
          <w:p w:rsidR="00355BC7" w:rsidRPr="00752183" w:rsidRDefault="00355BC7">
            <w:pPr>
              <w:rPr>
                <w:rFonts w:ascii="Arial" w:hAnsi="Arial" w:cs="Arial"/>
                <w:b/>
                <w:color w:val="000000"/>
                <w:sz w:val="20"/>
                <w:szCs w:val="20"/>
                <w:lang w:val="es-419" w:eastAsia="es-419"/>
              </w:rPr>
            </w:pPr>
            <w:r w:rsidRPr="00752183">
              <w:rPr>
                <w:rFonts w:ascii="Arial" w:hAnsi="Arial" w:cs="Arial"/>
                <w:b/>
                <w:color w:val="7030A0"/>
                <w:sz w:val="20"/>
                <w:szCs w:val="20"/>
                <w:lang w:val="es-419" w:eastAsia="es-419"/>
              </w:rPr>
              <w:t>SALDO EN CAJA Y BANCOS (Cierre Fiscal FUT)</w:t>
            </w:r>
          </w:p>
        </w:tc>
        <w:tc>
          <w:tcPr>
            <w:tcW w:w="2126" w:type="dxa"/>
            <w:tcBorders>
              <w:top w:val="nil"/>
              <w:left w:val="nil"/>
              <w:bottom w:val="single" w:sz="4" w:space="0" w:color="auto"/>
              <w:right w:val="single" w:sz="8" w:space="0" w:color="auto"/>
            </w:tcBorders>
            <w:shd w:val="clear" w:color="auto" w:fill="DDEBF7"/>
            <w:noWrap/>
            <w:vAlign w:val="bottom"/>
            <w:hideMark/>
          </w:tcPr>
          <w:p w:rsidR="00355BC7" w:rsidRPr="00752183" w:rsidRDefault="00355BC7">
            <w:pPr>
              <w:jc w:val="right"/>
              <w:rPr>
                <w:rFonts w:ascii="Arial" w:hAnsi="Arial" w:cs="Arial"/>
                <w:b/>
                <w:bCs/>
                <w:color w:val="000000"/>
                <w:sz w:val="20"/>
                <w:szCs w:val="20"/>
                <w:lang w:val="es-419" w:eastAsia="es-419"/>
              </w:rPr>
            </w:pPr>
            <w:r w:rsidRPr="00752183">
              <w:rPr>
                <w:rFonts w:ascii="Arial" w:eastAsia="Times New Roman" w:hAnsi="Arial" w:cs="Arial"/>
                <w:b/>
                <w:bCs/>
                <w:color w:val="000000"/>
                <w:sz w:val="20"/>
                <w:szCs w:val="20"/>
                <w:lang w:val="en-US" w:eastAsia="en-US"/>
              </w:rPr>
              <w:t>2.227</w:t>
            </w:r>
          </w:p>
        </w:tc>
        <w:tc>
          <w:tcPr>
            <w:tcW w:w="1747" w:type="dxa"/>
            <w:tcBorders>
              <w:top w:val="nil"/>
              <w:left w:val="single" w:sz="4" w:space="0" w:color="auto"/>
              <w:bottom w:val="single" w:sz="4" w:space="0" w:color="auto"/>
              <w:right w:val="single" w:sz="8" w:space="0" w:color="auto"/>
            </w:tcBorders>
            <w:shd w:val="clear" w:color="auto" w:fill="DDEBF7"/>
            <w:noWrap/>
            <w:vAlign w:val="bottom"/>
            <w:hideMark/>
          </w:tcPr>
          <w:p w:rsidR="00355BC7" w:rsidRPr="00752183" w:rsidRDefault="00355BC7">
            <w:pPr>
              <w:jc w:val="right"/>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3.529</w:t>
            </w:r>
          </w:p>
        </w:tc>
      </w:tr>
      <w:tr w:rsidR="00355BC7" w:rsidRPr="007C3EB1" w:rsidTr="00355BC7">
        <w:trPr>
          <w:trHeight w:val="315"/>
        </w:trPr>
        <w:tc>
          <w:tcPr>
            <w:tcW w:w="3827" w:type="dxa"/>
            <w:tcBorders>
              <w:top w:val="nil"/>
              <w:left w:val="single" w:sz="8" w:space="0" w:color="auto"/>
              <w:bottom w:val="nil"/>
              <w:right w:val="single" w:sz="4" w:space="0" w:color="auto"/>
            </w:tcBorders>
            <w:noWrap/>
            <w:vAlign w:val="bottom"/>
            <w:hideMark/>
          </w:tcPr>
          <w:p w:rsidR="00355BC7" w:rsidRPr="00752183" w:rsidRDefault="00355BC7">
            <w:pPr>
              <w:rPr>
                <w:rFonts w:ascii="Arial" w:hAnsi="Arial" w:cs="Arial"/>
                <w:color w:val="000000"/>
                <w:sz w:val="20"/>
                <w:szCs w:val="20"/>
                <w:lang w:val="es-419" w:eastAsia="es-419"/>
              </w:rPr>
            </w:pPr>
            <w:r w:rsidRPr="00752183">
              <w:rPr>
                <w:rFonts w:ascii="Arial" w:hAnsi="Arial" w:cs="Arial"/>
                <w:color w:val="000000"/>
                <w:sz w:val="20"/>
                <w:szCs w:val="20"/>
                <w:lang w:val="es-419" w:eastAsia="es-419"/>
              </w:rPr>
              <w:t>EXIGIBILIDADES (Reservas PPTLES)</w:t>
            </w:r>
          </w:p>
        </w:tc>
        <w:tc>
          <w:tcPr>
            <w:tcW w:w="2126" w:type="dxa"/>
            <w:tcBorders>
              <w:top w:val="nil"/>
              <w:left w:val="nil"/>
              <w:bottom w:val="nil"/>
              <w:right w:val="single" w:sz="8" w:space="0" w:color="auto"/>
            </w:tcBorders>
            <w:shd w:val="clear" w:color="auto" w:fill="E2EFDA"/>
            <w:noWrap/>
            <w:vAlign w:val="bottom"/>
            <w:hideMark/>
          </w:tcPr>
          <w:p w:rsidR="00355BC7" w:rsidRPr="00752183" w:rsidRDefault="00355BC7">
            <w:pPr>
              <w:jc w:val="right"/>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960</w:t>
            </w:r>
          </w:p>
        </w:tc>
        <w:tc>
          <w:tcPr>
            <w:tcW w:w="1747" w:type="dxa"/>
            <w:tcBorders>
              <w:top w:val="nil"/>
              <w:left w:val="single" w:sz="4" w:space="0" w:color="auto"/>
              <w:bottom w:val="nil"/>
              <w:right w:val="single" w:sz="8" w:space="0" w:color="auto"/>
            </w:tcBorders>
            <w:shd w:val="clear" w:color="auto" w:fill="E2EFDA"/>
            <w:noWrap/>
            <w:vAlign w:val="bottom"/>
            <w:hideMark/>
          </w:tcPr>
          <w:p w:rsidR="00355BC7" w:rsidRPr="00752183" w:rsidRDefault="00355BC7">
            <w:pPr>
              <w:jc w:val="right"/>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162</w:t>
            </w:r>
          </w:p>
        </w:tc>
      </w:tr>
      <w:tr w:rsidR="00355BC7" w:rsidRPr="007C3EB1" w:rsidTr="00355BC7">
        <w:trPr>
          <w:trHeight w:val="48"/>
        </w:trPr>
        <w:tc>
          <w:tcPr>
            <w:tcW w:w="3827" w:type="dxa"/>
            <w:tcBorders>
              <w:top w:val="single" w:sz="4" w:space="0" w:color="auto"/>
              <w:left w:val="single" w:sz="8" w:space="0" w:color="auto"/>
              <w:bottom w:val="single" w:sz="8" w:space="0" w:color="auto"/>
              <w:right w:val="single" w:sz="4" w:space="0" w:color="auto"/>
            </w:tcBorders>
            <w:noWrap/>
            <w:vAlign w:val="bottom"/>
            <w:hideMark/>
          </w:tcPr>
          <w:p w:rsidR="00355BC7" w:rsidRPr="00752183" w:rsidRDefault="00355BC7">
            <w:pPr>
              <w:rPr>
                <w:rFonts w:ascii="Arial" w:hAnsi="Arial" w:cs="Arial"/>
                <w:b/>
                <w:color w:val="000000"/>
                <w:sz w:val="20"/>
                <w:szCs w:val="20"/>
                <w:lang w:val="es-419" w:eastAsia="es-419"/>
              </w:rPr>
            </w:pPr>
            <w:r w:rsidRPr="00752183">
              <w:rPr>
                <w:rFonts w:ascii="Arial" w:hAnsi="Arial" w:cs="Arial"/>
                <w:b/>
                <w:color w:val="7030A0"/>
                <w:sz w:val="20"/>
                <w:szCs w:val="20"/>
                <w:lang w:val="es-419" w:eastAsia="es-419"/>
              </w:rPr>
              <w:t>DISPONIBLE (Después de restar exigibilidades)</w:t>
            </w:r>
          </w:p>
        </w:tc>
        <w:tc>
          <w:tcPr>
            <w:tcW w:w="2126" w:type="dxa"/>
            <w:tcBorders>
              <w:top w:val="single" w:sz="4" w:space="0" w:color="auto"/>
              <w:left w:val="nil"/>
              <w:bottom w:val="single" w:sz="8" w:space="0" w:color="auto"/>
              <w:right w:val="single" w:sz="8" w:space="0" w:color="auto"/>
            </w:tcBorders>
            <w:shd w:val="clear" w:color="auto" w:fill="D6DCE4"/>
            <w:noWrap/>
            <w:vAlign w:val="bottom"/>
            <w:hideMark/>
          </w:tcPr>
          <w:p w:rsidR="00355BC7" w:rsidRPr="00752183" w:rsidRDefault="00355BC7">
            <w:pPr>
              <w:jc w:val="right"/>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1.267</w:t>
            </w:r>
          </w:p>
        </w:tc>
        <w:tc>
          <w:tcPr>
            <w:tcW w:w="1747" w:type="dxa"/>
            <w:tcBorders>
              <w:top w:val="single" w:sz="4" w:space="0" w:color="auto"/>
              <w:left w:val="single" w:sz="4" w:space="0" w:color="auto"/>
              <w:bottom w:val="single" w:sz="8" w:space="0" w:color="auto"/>
              <w:right w:val="single" w:sz="8" w:space="0" w:color="auto"/>
            </w:tcBorders>
            <w:shd w:val="clear" w:color="auto" w:fill="D6DCE4"/>
            <w:noWrap/>
            <w:vAlign w:val="bottom"/>
            <w:hideMark/>
          </w:tcPr>
          <w:p w:rsidR="00355BC7" w:rsidRPr="00752183" w:rsidRDefault="00355BC7">
            <w:pPr>
              <w:jc w:val="right"/>
              <w:rPr>
                <w:rFonts w:ascii="Arial" w:hAnsi="Arial" w:cs="Arial"/>
                <w:b/>
                <w:bCs/>
                <w:color w:val="000000"/>
                <w:sz w:val="20"/>
                <w:szCs w:val="20"/>
                <w:lang w:val="es-419" w:eastAsia="es-419"/>
              </w:rPr>
            </w:pPr>
            <w:r w:rsidRPr="00752183">
              <w:rPr>
                <w:rFonts w:ascii="Arial" w:hAnsi="Arial" w:cs="Arial"/>
                <w:b/>
                <w:bCs/>
                <w:color w:val="000000"/>
                <w:sz w:val="20"/>
                <w:szCs w:val="20"/>
                <w:lang w:val="es-419" w:eastAsia="es-419"/>
              </w:rPr>
              <w:t>3.366</w:t>
            </w:r>
          </w:p>
        </w:tc>
      </w:tr>
    </w:tbl>
    <w:p w:rsidR="00355BC7" w:rsidRPr="00752183" w:rsidRDefault="00355BC7" w:rsidP="00355BC7">
      <w:pPr>
        <w:ind w:left="720"/>
        <w:contextualSpacing/>
        <w:jc w:val="both"/>
        <w:rPr>
          <w:rFonts w:ascii="Arial" w:hAnsi="Arial" w:cs="Arial"/>
          <w:color w:val="000000" w:themeColor="text1"/>
          <w:sz w:val="16"/>
          <w:szCs w:val="22"/>
          <w:lang w:val="es-CO"/>
        </w:rPr>
      </w:pPr>
      <w:r w:rsidRPr="00752183">
        <w:rPr>
          <w:rFonts w:ascii="Arial" w:hAnsi="Arial" w:cs="Arial"/>
          <w:color w:val="000000" w:themeColor="text1"/>
          <w:sz w:val="16"/>
          <w:szCs w:val="22"/>
          <w:lang w:val="es-CO"/>
        </w:rPr>
        <w:t xml:space="preserve">  </w:t>
      </w:r>
      <w:r w:rsidRPr="00752183">
        <w:rPr>
          <w:rFonts w:ascii="Arial" w:hAnsi="Arial" w:cs="Arial"/>
          <w:b/>
          <w:color w:val="000000" w:themeColor="text1"/>
          <w:sz w:val="16"/>
          <w:szCs w:val="22"/>
          <w:lang w:val="es-CO"/>
        </w:rPr>
        <w:t>Fuente:</w:t>
      </w:r>
      <w:r w:rsidRPr="00752183">
        <w:rPr>
          <w:rFonts w:ascii="Arial" w:hAnsi="Arial" w:cs="Arial"/>
          <w:color w:val="000000" w:themeColor="text1"/>
          <w:sz w:val="16"/>
          <w:szCs w:val="22"/>
          <w:lang w:val="es-CO"/>
        </w:rPr>
        <w:t xml:space="preserve"> Categoría Cierre Fiscal FUT 2019-2020</w:t>
      </w:r>
    </w:p>
    <w:p w:rsidR="00355BC7" w:rsidRDefault="00355BC7" w:rsidP="00752183">
      <w:pPr>
        <w:contextualSpacing/>
        <w:jc w:val="both"/>
        <w:rPr>
          <w:rFonts w:ascii="Arial" w:hAnsi="Arial" w:cs="Arial"/>
          <w:color w:val="000000" w:themeColor="text1"/>
          <w:szCs w:val="22"/>
          <w:lang w:val="es-CO"/>
        </w:rPr>
      </w:pPr>
    </w:p>
    <w:p w:rsidR="00355BC7" w:rsidRDefault="00355BC7" w:rsidP="00355BC7">
      <w:pPr>
        <w:jc w:val="both"/>
        <w:rPr>
          <w:rFonts w:ascii="Arial" w:hAnsi="Arial" w:cs="Arial"/>
          <w:sz w:val="22"/>
          <w:szCs w:val="22"/>
          <w:lang w:val="es-419"/>
        </w:rPr>
      </w:pPr>
      <w:r>
        <w:rPr>
          <w:rFonts w:ascii="Arial" w:hAnsi="Arial" w:cs="Arial"/>
          <w:sz w:val="22"/>
          <w:szCs w:val="22"/>
        </w:rPr>
        <w:t>En comparación con el 2019, el saldo disponible aumentó en 166</w:t>
      </w:r>
      <w:r w:rsidR="007C3EB1">
        <w:rPr>
          <w:rFonts w:ascii="Arial" w:hAnsi="Arial" w:cs="Arial"/>
          <w:sz w:val="22"/>
          <w:szCs w:val="22"/>
        </w:rPr>
        <w:t xml:space="preserve"> </w:t>
      </w:r>
      <w:r>
        <w:rPr>
          <w:rFonts w:ascii="Arial" w:hAnsi="Arial" w:cs="Arial"/>
          <w:sz w:val="22"/>
          <w:szCs w:val="22"/>
        </w:rPr>
        <w:t>% ($2.099 millones). generado como se había comentado por la no ejecución de recursos del balance de vigencias anteriores y bajo nivel de compromisos adquiridos con los recursos de la transferencia corriente de la participación de APSB del SGP, pues el Municipio no comprometió alrededor del 46</w:t>
      </w:r>
      <w:r w:rsidR="007C3EB1">
        <w:rPr>
          <w:rFonts w:ascii="Arial" w:hAnsi="Arial" w:cs="Arial"/>
          <w:sz w:val="22"/>
          <w:szCs w:val="22"/>
        </w:rPr>
        <w:t xml:space="preserve"> </w:t>
      </w:r>
      <w:r>
        <w:rPr>
          <w:rFonts w:ascii="Arial" w:hAnsi="Arial" w:cs="Arial"/>
          <w:sz w:val="22"/>
          <w:szCs w:val="22"/>
        </w:rPr>
        <w:t xml:space="preserve">% del recurso de la vigencia </w:t>
      </w:r>
    </w:p>
    <w:p w:rsidR="00355BC7" w:rsidRDefault="00355BC7" w:rsidP="00355BC7">
      <w:pPr>
        <w:jc w:val="both"/>
        <w:rPr>
          <w:rFonts w:ascii="Arial" w:eastAsiaTheme="minorHAnsi" w:hAnsi="Arial" w:cs="Arial"/>
          <w:sz w:val="22"/>
          <w:szCs w:val="22"/>
          <w:lang w:eastAsia="en-US"/>
        </w:rPr>
      </w:pPr>
    </w:p>
    <w:p w:rsidR="00355BC7" w:rsidRDefault="00355BC7" w:rsidP="00355BC7">
      <w:pPr>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El alto monto de recursos en caja se explica, en parte por la baja ejecución de los recursos en las últimas vigencias, pues desde el 2017, el Municipio ha recibido en condición de reintegro recursos por parte de Alianza Fiduciaria, a quien se le paga el contrato de empréstito contraído por el Municipio en 2004, situación que se presenta porque, la Fiduciaria en el momento de la sustitución del crédito a FINDETER no autorizo  la modificación de orden irrevocable de giro directo que tiene suscrita el Municipio de Mitú desde la firma del contrato. En ese sentido el Ministerio de Vivienda, Ciudad y Territorio se ve en la obligación de transferir a Fiduciaria Alianza, sin situación de fondos para el municipio, el porcentaje estipulado en el contrato, para que posteriormente Alianza Fiduciaria realice la devolución de los recursos. </w:t>
      </w:r>
    </w:p>
    <w:p w:rsidR="00355BC7" w:rsidRDefault="00355BC7" w:rsidP="00355BC7">
      <w:pPr>
        <w:jc w:val="both"/>
        <w:rPr>
          <w:rFonts w:ascii="Arial" w:eastAsiaTheme="minorHAnsi" w:hAnsi="Arial" w:cs="Arial"/>
          <w:sz w:val="22"/>
          <w:szCs w:val="22"/>
          <w:lang w:eastAsia="en-US"/>
        </w:rPr>
      </w:pPr>
    </w:p>
    <w:p w:rsidR="00355BC7" w:rsidRDefault="00355BC7" w:rsidP="00355BC7">
      <w:pPr>
        <w:jc w:val="both"/>
        <w:rPr>
          <w:rFonts w:ascii="Arial" w:eastAsiaTheme="minorHAnsi" w:hAnsi="Arial" w:cs="Arial"/>
          <w:sz w:val="22"/>
          <w:szCs w:val="22"/>
          <w:lang w:eastAsia="en-US"/>
        </w:rPr>
      </w:pPr>
      <w:r>
        <w:rPr>
          <w:rFonts w:ascii="Arial" w:eastAsiaTheme="minorHAnsi" w:hAnsi="Arial" w:cs="Arial"/>
          <w:sz w:val="22"/>
          <w:szCs w:val="22"/>
          <w:lang w:eastAsia="en-US"/>
        </w:rPr>
        <w:t>Es así, que la Fiduciaria hace reintegros en promedio de $800 millones por año, y por la fecha en que esos recursos son recibidos por el Municipio, algunas veces no pueden ejecutarse</w:t>
      </w:r>
      <w:r w:rsidR="00A669AC">
        <w:rPr>
          <w:rFonts w:ascii="Arial" w:eastAsiaTheme="minorHAnsi" w:hAnsi="Arial" w:cs="Arial"/>
          <w:sz w:val="22"/>
          <w:szCs w:val="22"/>
          <w:lang w:eastAsia="en-US"/>
        </w:rPr>
        <w:t>, esos recursos se han incorporado en las vigencias siguientes como recursos del balance para ser ejecutados</w:t>
      </w:r>
      <w:r>
        <w:rPr>
          <w:rFonts w:ascii="Arial" w:eastAsiaTheme="minorHAnsi" w:hAnsi="Arial" w:cs="Arial"/>
          <w:sz w:val="22"/>
          <w:szCs w:val="22"/>
          <w:lang w:eastAsia="en-US"/>
        </w:rPr>
        <w:t>.</w:t>
      </w:r>
    </w:p>
    <w:p w:rsidR="00355BC7" w:rsidRDefault="00355BC7" w:rsidP="00355BC7">
      <w:pPr>
        <w:jc w:val="both"/>
        <w:rPr>
          <w:rFonts w:ascii="Arial" w:eastAsiaTheme="minorHAnsi" w:hAnsi="Arial" w:cs="Arial"/>
          <w:sz w:val="22"/>
          <w:szCs w:val="22"/>
          <w:lang w:eastAsia="en-US"/>
        </w:rPr>
      </w:pPr>
    </w:p>
    <w:p w:rsidR="00355BC7" w:rsidRDefault="00355BC7" w:rsidP="00355BC7">
      <w:pPr>
        <w:jc w:val="both"/>
        <w:rPr>
          <w:rFonts w:ascii="Arial" w:eastAsiaTheme="minorHAnsi" w:hAnsi="Arial" w:cs="Arial"/>
          <w:sz w:val="22"/>
          <w:szCs w:val="22"/>
          <w:lang w:eastAsia="en-US"/>
        </w:rPr>
      </w:pPr>
      <w:r>
        <w:rPr>
          <w:rFonts w:ascii="Arial" w:eastAsiaTheme="minorHAnsi" w:hAnsi="Arial" w:cs="Arial"/>
          <w:sz w:val="22"/>
          <w:szCs w:val="22"/>
          <w:lang w:eastAsia="en-US"/>
        </w:rPr>
        <w:t>Para contextualizar la situación en el 2020 el Minvivienda transfirió a la Alianza Fiduciaria $2.108 millones y el servicio de la deuda era de solo $833 millones. Circunstancias que generan ineficiencia en la administración y uso de los recursos de la Participación de Agua Potable y Saneamiento Básico.</w:t>
      </w:r>
    </w:p>
    <w:p w:rsidR="00355BC7" w:rsidRDefault="00355BC7" w:rsidP="00355BC7">
      <w:pPr>
        <w:jc w:val="both"/>
        <w:rPr>
          <w:rFonts w:ascii="Arial" w:eastAsiaTheme="minorHAnsi" w:hAnsi="Arial" w:cs="Arial"/>
          <w:sz w:val="22"/>
          <w:szCs w:val="22"/>
          <w:lang w:eastAsia="en-US"/>
        </w:rPr>
      </w:pPr>
    </w:p>
    <w:p w:rsidR="00355BC7" w:rsidRDefault="00355BC7" w:rsidP="00355BC7">
      <w:pPr>
        <w:jc w:val="both"/>
        <w:rPr>
          <w:rFonts w:ascii="Arial" w:eastAsiaTheme="minorHAnsi" w:hAnsi="Arial" w:cs="Arial"/>
          <w:sz w:val="22"/>
          <w:szCs w:val="22"/>
          <w:lang w:eastAsia="en-US"/>
        </w:rPr>
      </w:pPr>
      <w:r>
        <w:rPr>
          <w:rFonts w:ascii="Arial" w:eastAsia="Times New Roman" w:hAnsi="Arial" w:cs="Arial"/>
          <w:sz w:val="22"/>
          <w:szCs w:val="22"/>
          <w:lang w:val="es-MX" w:eastAsia="en-US"/>
        </w:rPr>
        <w:t xml:space="preserve">Por otra parte, al verificar el saldo en caja y bancos que mostró la categoría del Cierre Fiscal cargado en el FUT ($3.529 millones) con el que arrojó </w:t>
      </w:r>
      <w:r>
        <w:rPr>
          <w:rFonts w:ascii="Arial" w:eastAsiaTheme="minorHAnsi" w:hAnsi="Arial" w:cs="Arial"/>
          <w:noProof/>
          <w:sz w:val="22"/>
          <w:szCs w:val="22"/>
          <w:lang w:val="es-CO" w:eastAsia="en-US"/>
        </w:rPr>
        <w:t xml:space="preserve">la </w:t>
      </w:r>
      <w:r>
        <w:rPr>
          <w:rFonts w:ascii="Arial" w:eastAsiaTheme="minorHAnsi" w:hAnsi="Arial" w:cs="Arial"/>
          <w:sz w:val="22"/>
          <w:szCs w:val="22"/>
          <w:lang w:eastAsia="en-US"/>
        </w:rPr>
        <w:t>Cuenta Maestra No. 4842 03005064 del Banco Agrario de Colombia</w:t>
      </w:r>
      <w:r>
        <w:rPr>
          <w:rFonts w:ascii="Arial" w:eastAsiaTheme="minorHAnsi" w:hAnsi="Arial" w:cs="Arial"/>
          <w:noProof/>
          <w:sz w:val="22"/>
          <w:szCs w:val="22"/>
          <w:lang w:val="es-CO" w:eastAsia="en-US"/>
        </w:rPr>
        <w:t xml:space="preserve"> del SGP-APSB por $</w:t>
      </w:r>
      <w:r>
        <w:rPr>
          <w:rFonts w:ascii="Arial" w:eastAsiaTheme="minorHAnsi" w:hAnsi="Arial" w:cs="Arial"/>
          <w:sz w:val="22"/>
          <w:szCs w:val="22"/>
          <w:lang w:eastAsia="en-US"/>
        </w:rPr>
        <w:t xml:space="preserve">3.529 millones, no se observaron diferencias. </w:t>
      </w:r>
    </w:p>
    <w:p w:rsidR="00355BC7" w:rsidRDefault="00355BC7" w:rsidP="00355BC7">
      <w:pPr>
        <w:jc w:val="both"/>
        <w:rPr>
          <w:rFonts w:ascii="Arial" w:eastAsiaTheme="minorHAnsi" w:hAnsi="Arial" w:cs="Arial"/>
          <w:sz w:val="22"/>
          <w:szCs w:val="22"/>
          <w:lang w:eastAsia="en-US"/>
        </w:rPr>
      </w:pPr>
    </w:p>
    <w:p w:rsidR="00355BC7" w:rsidRPr="00B6750B" w:rsidRDefault="00355BC7" w:rsidP="00355BC7">
      <w:pPr>
        <w:numPr>
          <w:ilvl w:val="0"/>
          <w:numId w:val="3"/>
        </w:numPr>
        <w:jc w:val="both"/>
        <w:rPr>
          <w:rFonts w:ascii="Arial" w:eastAsiaTheme="minorHAnsi" w:hAnsi="Arial" w:cs="Arial"/>
          <w:b/>
          <w:bCs/>
          <w:sz w:val="22"/>
          <w:szCs w:val="22"/>
          <w:lang w:val="es-CO" w:eastAsia="en-US"/>
        </w:rPr>
      </w:pPr>
      <w:r w:rsidRPr="00B6750B">
        <w:rPr>
          <w:rFonts w:ascii="Arial" w:eastAsiaTheme="minorHAnsi" w:hAnsi="Arial" w:cs="Arial"/>
          <w:b/>
          <w:bCs/>
          <w:sz w:val="22"/>
          <w:szCs w:val="22"/>
          <w:lang w:val="es-CO" w:eastAsia="en-US"/>
        </w:rPr>
        <w:t>PROBLEMATICA</w:t>
      </w:r>
      <w:r w:rsidR="007C3EB1">
        <w:rPr>
          <w:rFonts w:ascii="Arial" w:eastAsiaTheme="minorHAnsi" w:hAnsi="Arial" w:cs="Arial"/>
          <w:b/>
          <w:bCs/>
          <w:sz w:val="22"/>
          <w:szCs w:val="22"/>
          <w:lang w:val="es-CO" w:eastAsia="en-US"/>
        </w:rPr>
        <w:t>.</w:t>
      </w:r>
    </w:p>
    <w:p w:rsidR="00355BC7" w:rsidRDefault="00355BC7" w:rsidP="00355BC7">
      <w:pPr>
        <w:ind w:left="785"/>
        <w:jc w:val="both"/>
        <w:rPr>
          <w:rFonts w:ascii="Arial" w:eastAsiaTheme="minorHAnsi" w:hAnsi="Arial" w:cs="Arial"/>
          <w:b/>
          <w:bCs/>
          <w:sz w:val="22"/>
          <w:szCs w:val="22"/>
          <w:lang w:val="es-CO" w:eastAsia="en-US"/>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El Municipio de Mitú</w:t>
      </w:r>
      <w:r w:rsidR="007C3EB1">
        <w:rPr>
          <w:rFonts w:ascii="Arial" w:hAnsi="Arial" w:cs="Arial"/>
          <w:sz w:val="22"/>
          <w:szCs w:val="22"/>
        </w:rPr>
        <w:t xml:space="preserve"> </w:t>
      </w:r>
      <w:r>
        <w:rPr>
          <w:rFonts w:ascii="Arial" w:hAnsi="Arial" w:cs="Arial"/>
          <w:sz w:val="22"/>
          <w:szCs w:val="22"/>
        </w:rPr>
        <w:t>-</w:t>
      </w:r>
      <w:r w:rsidR="007C3EB1">
        <w:rPr>
          <w:rFonts w:ascii="Arial" w:hAnsi="Arial" w:cs="Arial"/>
          <w:sz w:val="22"/>
          <w:szCs w:val="22"/>
        </w:rPr>
        <w:t xml:space="preserve"> </w:t>
      </w:r>
      <w:r>
        <w:rPr>
          <w:rFonts w:ascii="Arial" w:hAnsi="Arial" w:cs="Arial"/>
          <w:sz w:val="22"/>
          <w:szCs w:val="22"/>
        </w:rPr>
        <w:t>Vaupés ha presentado dificultades con el suministro de agua óptima que consume la población, según las mediciones que realizó el Municipio en el 2019 y el Instituto Nacional de Salud en el 2020, el Índice de Riesgo de Calidad de Agua</w:t>
      </w:r>
      <w:r w:rsidR="007C3EB1">
        <w:rPr>
          <w:rFonts w:ascii="Arial" w:hAnsi="Arial" w:cs="Arial"/>
          <w:sz w:val="22"/>
          <w:szCs w:val="22"/>
        </w:rPr>
        <w:t xml:space="preserve"> </w:t>
      </w:r>
      <w:r>
        <w:rPr>
          <w:rFonts w:ascii="Arial" w:hAnsi="Arial" w:cs="Arial"/>
          <w:sz w:val="22"/>
          <w:szCs w:val="22"/>
        </w:rPr>
        <w:t>-</w:t>
      </w:r>
      <w:r w:rsidR="007C3EB1">
        <w:rPr>
          <w:rFonts w:ascii="Arial" w:hAnsi="Arial" w:cs="Arial"/>
          <w:sz w:val="22"/>
          <w:szCs w:val="22"/>
        </w:rPr>
        <w:t xml:space="preserve"> </w:t>
      </w:r>
      <w:r>
        <w:rPr>
          <w:rFonts w:ascii="Arial" w:hAnsi="Arial" w:cs="Arial"/>
          <w:sz w:val="22"/>
          <w:szCs w:val="22"/>
        </w:rPr>
        <w:t xml:space="preserve">IRCA se </w:t>
      </w:r>
      <w:r w:rsidR="009F163B">
        <w:rPr>
          <w:rFonts w:ascii="Arial" w:hAnsi="Arial" w:cs="Arial"/>
          <w:sz w:val="22"/>
          <w:szCs w:val="22"/>
        </w:rPr>
        <w:t xml:space="preserve">ha </w:t>
      </w:r>
      <w:r>
        <w:rPr>
          <w:rFonts w:ascii="Arial" w:hAnsi="Arial" w:cs="Arial"/>
          <w:sz w:val="22"/>
          <w:szCs w:val="22"/>
        </w:rPr>
        <w:t>ubic</w:t>
      </w:r>
      <w:r w:rsidR="009F163B">
        <w:rPr>
          <w:rFonts w:ascii="Arial" w:hAnsi="Arial" w:cs="Arial"/>
          <w:sz w:val="22"/>
          <w:szCs w:val="22"/>
        </w:rPr>
        <w:t xml:space="preserve">ado </w:t>
      </w:r>
      <w:r>
        <w:rPr>
          <w:rFonts w:ascii="Arial" w:hAnsi="Arial" w:cs="Arial"/>
          <w:sz w:val="22"/>
          <w:szCs w:val="22"/>
        </w:rPr>
        <w:t xml:space="preserve">en </w:t>
      </w:r>
      <w:r w:rsidR="009F163B">
        <w:rPr>
          <w:rFonts w:ascii="Arial" w:hAnsi="Arial" w:cs="Arial"/>
          <w:sz w:val="22"/>
          <w:szCs w:val="22"/>
        </w:rPr>
        <w:t xml:space="preserve">niveles de </w:t>
      </w:r>
      <w:r>
        <w:rPr>
          <w:rFonts w:ascii="Arial" w:hAnsi="Arial" w:cs="Arial"/>
          <w:sz w:val="22"/>
          <w:szCs w:val="22"/>
        </w:rPr>
        <w:t>riesgo alto</w:t>
      </w:r>
      <w:r w:rsidR="009F163B">
        <w:rPr>
          <w:rFonts w:ascii="Arial" w:hAnsi="Arial" w:cs="Arial"/>
          <w:sz w:val="22"/>
          <w:szCs w:val="22"/>
        </w:rPr>
        <w:t xml:space="preserve"> y medio</w:t>
      </w:r>
      <w:r>
        <w:rPr>
          <w:rFonts w:ascii="Arial" w:hAnsi="Arial" w:cs="Arial"/>
          <w:sz w:val="22"/>
          <w:szCs w:val="22"/>
        </w:rPr>
        <w:t xml:space="preserve">. </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La Entidad Territorial, no destina el 15</w:t>
      </w:r>
      <w:r w:rsidR="007C3EB1">
        <w:rPr>
          <w:rFonts w:ascii="Arial" w:hAnsi="Arial" w:cs="Arial"/>
          <w:sz w:val="22"/>
          <w:szCs w:val="22"/>
        </w:rPr>
        <w:t xml:space="preserve"> </w:t>
      </w:r>
      <w:r>
        <w:rPr>
          <w:rFonts w:ascii="Arial" w:hAnsi="Arial" w:cs="Arial"/>
          <w:sz w:val="22"/>
          <w:szCs w:val="22"/>
        </w:rPr>
        <w:t>% de la Participación de APSB para gastos en subsidios, tal como lo dispone la Ley 1176 de 2007. Según lo aclaró la Administración Municipal, los subsidios se alcanzan a financiar con sólo el 11 % de los recursos del SGP-APSB, razón por la cual no se traslada la totalidad de los recursos al FSRI, contraviniendo la normatividad vigente sobre la permanencia de esos recursos en la cuenta del Fondo de Solidaridad y Redistribución del Ingreso -</w:t>
      </w:r>
      <w:r w:rsidR="007C2A77">
        <w:rPr>
          <w:rFonts w:ascii="Arial" w:hAnsi="Arial" w:cs="Arial"/>
          <w:sz w:val="22"/>
          <w:szCs w:val="22"/>
        </w:rPr>
        <w:t xml:space="preserve"> F</w:t>
      </w:r>
      <w:r>
        <w:rPr>
          <w:rFonts w:ascii="Arial" w:hAnsi="Arial" w:cs="Arial"/>
          <w:sz w:val="22"/>
          <w:szCs w:val="22"/>
        </w:rPr>
        <w:t xml:space="preserve">SRI. </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El FSRI, no se incorpora como una cuenta en el Ingreso presupuestal del Municipio como lo dispone el artículo 11 del Decreto 111 de 1996. Por su parte la Contabilidad tampoco tiene creada las cuentas separadas por servicio como está dispuesto legalmente.</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 xml:space="preserve">El Municipio practica la unidad de caja con los recursos de la participación de APSB al manejar los recursos del FSRI en la misma cuenta en donde se manejan el recaudo por concepto de tarifas que recauda la unidad de servicios públicos. </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 xml:space="preserve">La estratificación se encuentra rezagada y desactualizada, pues el Decreto mediante la cual se adoptó data del 2001. Situación que impacta negativamente en el momento en que deben focalizar los recursos. </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hAnsi="Arial" w:cs="Arial"/>
          <w:sz w:val="22"/>
          <w:szCs w:val="22"/>
        </w:rPr>
      </w:pPr>
      <w:r>
        <w:rPr>
          <w:rFonts w:ascii="Arial" w:hAnsi="Arial" w:cs="Arial"/>
          <w:sz w:val="22"/>
          <w:szCs w:val="22"/>
        </w:rPr>
        <w:t xml:space="preserve">El Comité de Control Social no se encuentran funcionando. </w:t>
      </w:r>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color w:val="000000"/>
          <w:sz w:val="22"/>
          <w:szCs w:val="22"/>
          <w:lang w:val="es-CO" w:eastAsia="en-US"/>
        </w:rPr>
        <w:t xml:space="preserve">El PGIRS no se ejecuta en su totalidad debido a la falta de financiación. </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jc w:val="both"/>
        <w:rPr>
          <w:rFonts w:ascii="Arial" w:hAnsi="Arial" w:cs="Arial"/>
          <w:sz w:val="22"/>
          <w:szCs w:val="22"/>
        </w:rPr>
      </w:pPr>
      <w:r>
        <w:rPr>
          <w:rFonts w:ascii="Arial" w:hAnsi="Arial" w:cs="Arial"/>
          <w:sz w:val="22"/>
          <w:szCs w:val="22"/>
        </w:rPr>
        <w:t>El Municipio de Mitú dispone inadecuadamente los residuos sólidos, pues el Municipio no cuenta con un relleno sanitario, los residuos sólidos son vertidos a un botadero de basura a cielo abierto.</w:t>
      </w:r>
    </w:p>
    <w:p w:rsidR="00355BC7" w:rsidRDefault="00355BC7" w:rsidP="00355BC7">
      <w:pPr>
        <w:jc w:val="both"/>
        <w:rPr>
          <w:rFonts w:ascii="Arial" w:hAnsi="Arial" w:cs="Arial"/>
          <w:sz w:val="22"/>
          <w:szCs w:val="22"/>
        </w:rPr>
      </w:pPr>
    </w:p>
    <w:p w:rsidR="00AE40CF" w:rsidRDefault="00355BC7" w:rsidP="00355BC7">
      <w:pPr>
        <w:jc w:val="both"/>
        <w:rPr>
          <w:rFonts w:ascii="Arial" w:hAnsi="Arial" w:cs="Arial"/>
          <w:sz w:val="22"/>
          <w:szCs w:val="22"/>
        </w:rPr>
      </w:pPr>
      <w:r>
        <w:rPr>
          <w:rFonts w:ascii="Arial" w:hAnsi="Arial" w:cs="Arial"/>
          <w:sz w:val="22"/>
          <w:szCs w:val="22"/>
        </w:rPr>
        <w:t>El estudio de costos y tarifas se encuentra desactualizado, puesto que no se ha realizado conforme la Resolución 825 de 2017.</w:t>
      </w:r>
    </w:p>
    <w:p w:rsidR="00AE40CF" w:rsidRDefault="00AE40CF" w:rsidP="00355BC7">
      <w:pPr>
        <w:jc w:val="both"/>
        <w:rPr>
          <w:rFonts w:ascii="Arial" w:hAnsi="Arial" w:cs="Arial"/>
          <w:sz w:val="22"/>
          <w:szCs w:val="22"/>
        </w:rPr>
      </w:pPr>
    </w:p>
    <w:p w:rsidR="00355BC7" w:rsidRDefault="00AE40CF" w:rsidP="00355BC7">
      <w:pPr>
        <w:jc w:val="both"/>
        <w:rPr>
          <w:rFonts w:ascii="Arial" w:hAnsi="Arial" w:cs="Arial"/>
          <w:sz w:val="22"/>
          <w:szCs w:val="22"/>
        </w:rPr>
      </w:pPr>
      <w:r w:rsidRPr="004F3C00">
        <w:rPr>
          <w:rFonts w:ascii="Arial" w:eastAsiaTheme="minorHAnsi" w:hAnsi="Arial" w:cs="Arial"/>
          <w:iCs/>
          <w:color w:val="000000"/>
          <w:sz w:val="22"/>
          <w:szCs w:val="22"/>
          <w:lang w:val="es-CO" w:eastAsia="en-US"/>
        </w:rPr>
        <w:t xml:space="preserve">El Municipio de Mitú contrató un crédito por $4.687 millones en el 2009 con el Patrimonio Autónomo </w:t>
      </w:r>
      <w:r>
        <w:rPr>
          <w:rFonts w:ascii="Arial" w:eastAsiaTheme="minorHAnsi" w:hAnsi="Arial" w:cs="Arial"/>
          <w:iCs/>
          <w:color w:val="000000"/>
          <w:sz w:val="22"/>
          <w:szCs w:val="22"/>
          <w:lang w:val="es-CO" w:eastAsia="en-US"/>
        </w:rPr>
        <w:t xml:space="preserve">- </w:t>
      </w:r>
      <w:r w:rsidRPr="004F3C00">
        <w:rPr>
          <w:rFonts w:ascii="Arial" w:eastAsiaTheme="minorHAnsi" w:hAnsi="Arial" w:cs="Arial"/>
          <w:iCs/>
          <w:color w:val="000000"/>
          <w:sz w:val="22"/>
          <w:szCs w:val="22"/>
          <w:lang w:val="es-CO" w:eastAsia="en-US"/>
        </w:rPr>
        <w:t>Grupo Financiero de Infraestructura Ltda., administrados por Alianza Fiduciaria. Este crédito estuvo inicialmente respaldado con Bonos de Agua, cuyos tenedores principales eran fondos de pensiones y el Grupo Aval y Alia</w:t>
      </w:r>
      <w:r>
        <w:rPr>
          <w:rFonts w:ascii="Arial" w:eastAsiaTheme="minorHAnsi" w:hAnsi="Arial" w:cs="Arial"/>
          <w:iCs/>
          <w:color w:val="000000"/>
          <w:sz w:val="22"/>
          <w:szCs w:val="22"/>
          <w:lang w:val="es-CO" w:eastAsia="en-US"/>
        </w:rPr>
        <w:t>nza Fiduciaria. El Contrato de E</w:t>
      </w:r>
      <w:r w:rsidRPr="004F3C00">
        <w:rPr>
          <w:rFonts w:ascii="Arial" w:eastAsiaTheme="minorHAnsi" w:hAnsi="Arial" w:cs="Arial"/>
          <w:iCs/>
          <w:color w:val="000000"/>
          <w:sz w:val="22"/>
          <w:szCs w:val="22"/>
          <w:lang w:val="es-CO" w:eastAsia="en-US"/>
        </w:rPr>
        <w:t xml:space="preserve">mpréstito no contemplo la posibilidad de realizar prepagos. El crédito se contrató en UVR, </w:t>
      </w:r>
      <w:r w:rsidRPr="004F3C00">
        <w:rPr>
          <w:rFonts w:ascii="Arial" w:hAnsi="Arial" w:cs="Arial"/>
          <w:sz w:val="22"/>
          <w:szCs w:val="22"/>
        </w:rPr>
        <w:t xml:space="preserve">lo que significó que el valor del crédito subía constantemente y adicionalmente se cobraba una tasa de interés del </w:t>
      </w:r>
      <w:r>
        <w:rPr>
          <w:rFonts w:ascii="Arial" w:hAnsi="Arial" w:cs="Arial"/>
          <w:sz w:val="22"/>
          <w:szCs w:val="22"/>
        </w:rPr>
        <w:t>8 % más una comisión fiduciaria del 3 %</w:t>
      </w:r>
      <w:r w:rsidRPr="004F3C00">
        <w:rPr>
          <w:rFonts w:ascii="Arial" w:hAnsi="Arial" w:cs="Arial"/>
          <w:sz w:val="22"/>
          <w:szCs w:val="22"/>
        </w:rPr>
        <w:t xml:space="preserve">, el plazo pactado fue </w:t>
      </w:r>
      <w:r w:rsidRPr="004F3C00">
        <w:rPr>
          <w:rFonts w:ascii="Arial" w:eastAsiaTheme="minorHAnsi" w:hAnsi="Arial" w:cs="Arial"/>
          <w:iCs/>
          <w:color w:val="000000"/>
          <w:sz w:val="22"/>
          <w:szCs w:val="22"/>
          <w:lang w:val="es-CO" w:eastAsia="en-US"/>
        </w:rPr>
        <w:t>a 19 años, se pignoraron el 75</w:t>
      </w:r>
      <w:r>
        <w:rPr>
          <w:rFonts w:ascii="Arial" w:eastAsiaTheme="minorHAnsi" w:hAnsi="Arial" w:cs="Arial"/>
          <w:iCs/>
          <w:color w:val="000000"/>
          <w:sz w:val="22"/>
          <w:szCs w:val="22"/>
          <w:lang w:val="es-CO" w:eastAsia="en-US"/>
        </w:rPr>
        <w:t xml:space="preserve"> </w:t>
      </w:r>
      <w:r w:rsidRPr="004F3C00">
        <w:rPr>
          <w:rFonts w:ascii="Arial" w:eastAsiaTheme="minorHAnsi" w:hAnsi="Arial" w:cs="Arial"/>
          <w:iCs/>
          <w:color w:val="000000"/>
          <w:sz w:val="22"/>
          <w:szCs w:val="22"/>
          <w:lang w:val="es-CO" w:eastAsia="en-US"/>
        </w:rPr>
        <w:t>% de los recursos de la Participación de Agua Potable y Saneamiento Básico del Sistema General de Participaciones</w:t>
      </w:r>
      <w:r>
        <w:rPr>
          <w:rFonts w:ascii="Arial" w:eastAsiaTheme="minorHAnsi" w:hAnsi="Arial" w:cs="Arial"/>
          <w:iCs/>
          <w:color w:val="000000"/>
          <w:sz w:val="22"/>
          <w:szCs w:val="22"/>
          <w:lang w:val="es-CO" w:eastAsia="en-US"/>
        </w:rPr>
        <w:t xml:space="preserve"> </w:t>
      </w:r>
      <w:r w:rsidRPr="004F3C00">
        <w:rPr>
          <w:rFonts w:ascii="Arial" w:eastAsiaTheme="minorHAnsi" w:hAnsi="Arial" w:cs="Arial"/>
          <w:iCs/>
          <w:color w:val="000000"/>
          <w:sz w:val="22"/>
          <w:szCs w:val="22"/>
          <w:lang w:val="es-CO" w:eastAsia="en-US"/>
        </w:rPr>
        <w:t>-</w:t>
      </w:r>
      <w:r>
        <w:rPr>
          <w:rFonts w:ascii="Arial" w:eastAsiaTheme="minorHAnsi" w:hAnsi="Arial" w:cs="Arial"/>
          <w:iCs/>
          <w:color w:val="000000"/>
          <w:sz w:val="22"/>
          <w:szCs w:val="22"/>
          <w:lang w:val="es-CO" w:eastAsia="en-US"/>
        </w:rPr>
        <w:t xml:space="preserve"> </w:t>
      </w:r>
      <w:r w:rsidRPr="004F3C00">
        <w:rPr>
          <w:rFonts w:ascii="Arial" w:eastAsiaTheme="minorHAnsi" w:hAnsi="Arial" w:cs="Arial"/>
          <w:iCs/>
          <w:color w:val="000000"/>
          <w:sz w:val="22"/>
          <w:szCs w:val="22"/>
          <w:lang w:val="es-CO" w:eastAsia="en-US"/>
        </w:rPr>
        <w:t>SGP. Las condiciones del crédito no permitieron realizar prepagos</w:t>
      </w:r>
      <w:r>
        <w:rPr>
          <w:rFonts w:ascii="Arial" w:eastAsiaTheme="minorHAnsi" w:hAnsi="Arial" w:cs="Arial"/>
          <w:iCs/>
          <w:color w:val="000000"/>
          <w:sz w:val="22"/>
          <w:szCs w:val="22"/>
          <w:lang w:val="es-CO" w:eastAsia="en-US"/>
        </w:rPr>
        <w:t>.</w:t>
      </w:r>
    </w:p>
    <w:p w:rsidR="00355BC7" w:rsidRDefault="00355BC7" w:rsidP="00355BC7">
      <w:pPr>
        <w:jc w:val="both"/>
        <w:rPr>
          <w:rFonts w:ascii="Arial" w:eastAsiaTheme="minorHAnsi" w:hAnsi="Arial" w:cs="Arial"/>
          <w:sz w:val="22"/>
          <w:szCs w:val="22"/>
          <w:lang w:val="es-CO" w:eastAsia="en-US"/>
        </w:rPr>
      </w:pPr>
    </w:p>
    <w:p w:rsidR="00C05507" w:rsidRDefault="009E7F4B" w:rsidP="00C05507">
      <w:pPr>
        <w:pStyle w:val="Default"/>
        <w:jc w:val="both"/>
        <w:rPr>
          <w:rFonts w:eastAsiaTheme="minorHAnsi"/>
          <w:iCs/>
          <w:sz w:val="22"/>
          <w:szCs w:val="22"/>
        </w:rPr>
      </w:pPr>
      <w:r w:rsidRPr="00C05507">
        <w:rPr>
          <w:rFonts w:eastAsiaTheme="minorHAnsi"/>
          <w:iCs/>
          <w:sz w:val="22"/>
          <w:szCs w:val="22"/>
        </w:rPr>
        <w:t xml:space="preserve">Ahora bien, </w:t>
      </w:r>
      <w:r w:rsidR="004F3C00" w:rsidRPr="00C05507">
        <w:rPr>
          <w:rFonts w:eastAsiaTheme="minorHAnsi"/>
          <w:iCs/>
          <w:sz w:val="22"/>
          <w:szCs w:val="22"/>
        </w:rPr>
        <w:t xml:space="preserve">teniendo en cuenta que </w:t>
      </w:r>
      <w:r w:rsidR="004F3C00" w:rsidRPr="00C05507">
        <w:rPr>
          <w:sz w:val="22"/>
          <w:szCs w:val="22"/>
        </w:rPr>
        <w:t xml:space="preserve">el valor del crédito subía constantemente y adicionalmente se cobraba una tasa de interés, </w:t>
      </w:r>
      <w:r w:rsidR="004F3C00" w:rsidRPr="00C05507">
        <w:rPr>
          <w:rFonts w:eastAsiaTheme="minorHAnsi"/>
          <w:iCs/>
          <w:sz w:val="22"/>
          <w:szCs w:val="22"/>
        </w:rPr>
        <w:t>en</w:t>
      </w:r>
      <w:r w:rsidR="009F163B" w:rsidRPr="00C05507">
        <w:rPr>
          <w:rFonts w:eastAsiaTheme="minorHAnsi"/>
          <w:iCs/>
          <w:sz w:val="22"/>
          <w:szCs w:val="22"/>
        </w:rPr>
        <w:t xml:space="preserve"> el 2014, el Municipio de Mitú realizó la sustitución de la deuda con la Financiera de Desarrollo Territorial</w:t>
      </w:r>
      <w:r w:rsidR="00AE40CF">
        <w:rPr>
          <w:rFonts w:eastAsiaTheme="minorHAnsi"/>
          <w:iCs/>
          <w:sz w:val="22"/>
          <w:szCs w:val="22"/>
        </w:rPr>
        <w:t xml:space="preserve"> </w:t>
      </w:r>
      <w:r w:rsidR="009F163B" w:rsidRPr="00C05507">
        <w:rPr>
          <w:rFonts w:eastAsiaTheme="minorHAnsi"/>
          <w:iCs/>
          <w:sz w:val="22"/>
          <w:szCs w:val="22"/>
        </w:rPr>
        <w:t>-</w:t>
      </w:r>
      <w:r w:rsidR="00AE40CF">
        <w:rPr>
          <w:rFonts w:eastAsiaTheme="minorHAnsi"/>
          <w:iCs/>
          <w:sz w:val="22"/>
          <w:szCs w:val="22"/>
        </w:rPr>
        <w:t xml:space="preserve"> </w:t>
      </w:r>
      <w:r w:rsidR="009F163B" w:rsidRPr="00C05507">
        <w:rPr>
          <w:rFonts w:eastAsiaTheme="minorHAnsi"/>
          <w:iCs/>
          <w:sz w:val="22"/>
          <w:szCs w:val="22"/>
        </w:rPr>
        <w:t xml:space="preserve">FINDETER. </w:t>
      </w:r>
      <w:r w:rsidR="00C05507">
        <w:rPr>
          <w:rFonts w:eastAsiaTheme="minorHAnsi"/>
          <w:iCs/>
          <w:sz w:val="22"/>
          <w:szCs w:val="22"/>
        </w:rPr>
        <w:t>Esta operación se hizo a</w:t>
      </w:r>
      <w:r w:rsidR="009F163B" w:rsidRPr="00C05507">
        <w:rPr>
          <w:rFonts w:eastAsiaTheme="minorHAnsi"/>
          <w:iCs/>
          <w:sz w:val="22"/>
          <w:szCs w:val="22"/>
        </w:rPr>
        <w:t xml:space="preserve"> través de la posibilidad de líneas de redescuento que otorgó el Decreto 1300 de 2014. La sustitución de la deuda mejoró el perfil de</w:t>
      </w:r>
      <w:r w:rsidR="00C05507">
        <w:rPr>
          <w:rFonts w:eastAsiaTheme="minorHAnsi"/>
          <w:iCs/>
          <w:sz w:val="22"/>
          <w:szCs w:val="22"/>
        </w:rPr>
        <w:t xml:space="preserve">l servicio de la deuda, pues </w:t>
      </w:r>
      <w:r w:rsidR="0015499C">
        <w:rPr>
          <w:rFonts w:eastAsiaTheme="minorHAnsi"/>
          <w:iCs/>
          <w:sz w:val="22"/>
          <w:szCs w:val="22"/>
        </w:rPr>
        <w:t xml:space="preserve">se </w:t>
      </w:r>
      <w:r w:rsidR="0015499C">
        <w:rPr>
          <w:rFonts w:eastAsiaTheme="minorHAnsi"/>
          <w:iCs/>
          <w:sz w:val="22"/>
          <w:szCs w:val="22"/>
        </w:rPr>
        <w:lastRenderedPageBreak/>
        <w:t xml:space="preserve">pactó una </w:t>
      </w:r>
      <w:r w:rsidR="00C05507" w:rsidRPr="00C05507">
        <w:rPr>
          <w:rFonts w:eastAsiaTheme="minorHAnsi"/>
          <w:iCs/>
          <w:sz w:val="22"/>
          <w:szCs w:val="22"/>
        </w:rPr>
        <w:t xml:space="preserve">tasa </w:t>
      </w:r>
      <w:r w:rsidR="0015499C">
        <w:rPr>
          <w:rFonts w:eastAsiaTheme="minorHAnsi"/>
          <w:iCs/>
          <w:sz w:val="22"/>
          <w:szCs w:val="22"/>
        </w:rPr>
        <w:t xml:space="preserve">compensada e </w:t>
      </w:r>
      <w:r w:rsidR="00C05507" w:rsidRPr="00C05507">
        <w:rPr>
          <w:rFonts w:eastAsiaTheme="minorHAnsi"/>
          <w:iCs/>
          <w:sz w:val="22"/>
          <w:szCs w:val="22"/>
        </w:rPr>
        <w:t>inter</w:t>
      </w:r>
      <w:r w:rsidR="0015499C">
        <w:rPr>
          <w:rFonts w:eastAsiaTheme="minorHAnsi"/>
          <w:iCs/>
          <w:sz w:val="22"/>
          <w:szCs w:val="22"/>
        </w:rPr>
        <w:t xml:space="preserve">eses </w:t>
      </w:r>
      <w:r w:rsidR="00C05507" w:rsidRPr="00C05507">
        <w:rPr>
          <w:rFonts w:eastAsiaTheme="minorHAnsi"/>
          <w:iCs/>
          <w:sz w:val="22"/>
          <w:szCs w:val="22"/>
        </w:rPr>
        <w:t xml:space="preserve">del </w:t>
      </w:r>
      <w:r w:rsidR="00C05507">
        <w:rPr>
          <w:rFonts w:eastAsiaTheme="minorHAnsi"/>
          <w:sz w:val="22"/>
          <w:szCs w:val="22"/>
        </w:rPr>
        <w:t>IPC 2</w:t>
      </w:r>
      <w:r w:rsidR="00AE40CF">
        <w:rPr>
          <w:rFonts w:eastAsiaTheme="minorHAnsi"/>
          <w:sz w:val="22"/>
          <w:szCs w:val="22"/>
        </w:rPr>
        <w:t>,</w:t>
      </w:r>
      <w:r w:rsidR="00C05507">
        <w:rPr>
          <w:rFonts w:eastAsiaTheme="minorHAnsi"/>
          <w:sz w:val="22"/>
          <w:szCs w:val="22"/>
        </w:rPr>
        <w:t>86</w:t>
      </w:r>
      <w:r w:rsidR="00AE40CF">
        <w:rPr>
          <w:rFonts w:eastAsiaTheme="minorHAnsi"/>
          <w:sz w:val="22"/>
          <w:szCs w:val="22"/>
        </w:rPr>
        <w:t xml:space="preserve"> </w:t>
      </w:r>
      <w:r w:rsidR="00C05507">
        <w:rPr>
          <w:rFonts w:eastAsiaTheme="minorHAnsi"/>
          <w:sz w:val="22"/>
          <w:szCs w:val="22"/>
        </w:rPr>
        <w:t>% + 7</w:t>
      </w:r>
      <w:r w:rsidR="00AE40CF">
        <w:rPr>
          <w:rFonts w:eastAsiaTheme="minorHAnsi"/>
          <w:sz w:val="22"/>
          <w:szCs w:val="22"/>
        </w:rPr>
        <w:t xml:space="preserve"> </w:t>
      </w:r>
      <w:r w:rsidR="00C05507">
        <w:rPr>
          <w:rFonts w:eastAsiaTheme="minorHAnsi"/>
          <w:sz w:val="22"/>
          <w:szCs w:val="22"/>
        </w:rPr>
        <w:t>% e</w:t>
      </w:r>
      <w:r w:rsidR="00C05507" w:rsidRPr="00C05507">
        <w:rPr>
          <w:rFonts w:eastAsiaTheme="minorHAnsi"/>
          <w:iCs/>
          <w:sz w:val="22"/>
          <w:szCs w:val="22"/>
        </w:rPr>
        <w:t>fectivo anual</w:t>
      </w:r>
      <w:r w:rsidR="00C05507">
        <w:rPr>
          <w:rFonts w:eastAsiaTheme="minorHAnsi"/>
          <w:iCs/>
          <w:sz w:val="22"/>
          <w:szCs w:val="22"/>
        </w:rPr>
        <w:t xml:space="preserve">, lo que </w:t>
      </w:r>
      <w:r w:rsidR="0015499C">
        <w:rPr>
          <w:rFonts w:eastAsiaTheme="minorHAnsi"/>
          <w:iCs/>
          <w:sz w:val="22"/>
          <w:szCs w:val="22"/>
        </w:rPr>
        <w:t xml:space="preserve">le </w:t>
      </w:r>
      <w:r w:rsidR="00C05507">
        <w:rPr>
          <w:rFonts w:eastAsiaTheme="minorHAnsi"/>
          <w:iCs/>
          <w:sz w:val="22"/>
          <w:szCs w:val="22"/>
        </w:rPr>
        <w:t>permitió al Municipio</w:t>
      </w:r>
      <w:r w:rsidR="00C05507" w:rsidRPr="00C05507">
        <w:rPr>
          <w:rFonts w:eastAsiaTheme="minorHAnsi"/>
          <w:iCs/>
          <w:sz w:val="22"/>
          <w:szCs w:val="22"/>
        </w:rPr>
        <w:t xml:space="preserve"> </w:t>
      </w:r>
      <w:r w:rsidR="00C05507">
        <w:rPr>
          <w:rFonts w:eastAsiaTheme="minorHAnsi"/>
          <w:iCs/>
          <w:sz w:val="22"/>
          <w:szCs w:val="22"/>
        </w:rPr>
        <w:t xml:space="preserve">liberar </w:t>
      </w:r>
      <w:r w:rsidR="00C05507" w:rsidRPr="00C05507">
        <w:rPr>
          <w:rFonts w:eastAsiaTheme="minorHAnsi"/>
          <w:iCs/>
          <w:sz w:val="22"/>
          <w:szCs w:val="22"/>
        </w:rPr>
        <w:t>unos recursos</w:t>
      </w:r>
      <w:r w:rsidR="00C05507">
        <w:rPr>
          <w:rFonts w:eastAsiaTheme="minorHAnsi"/>
          <w:iCs/>
          <w:sz w:val="22"/>
          <w:szCs w:val="22"/>
        </w:rPr>
        <w:t>.</w:t>
      </w:r>
    </w:p>
    <w:p w:rsidR="0015499C" w:rsidRDefault="0015499C" w:rsidP="00C05507">
      <w:pPr>
        <w:pStyle w:val="Default"/>
        <w:jc w:val="both"/>
        <w:rPr>
          <w:rFonts w:eastAsiaTheme="minorHAnsi"/>
          <w:iCs/>
          <w:sz w:val="22"/>
          <w:szCs w:val="22"/>
        </w:rPr>
      </w:pPr>
    </w:p>
    <w:p w:rsidR="0015499C" w:rsidRDefault="0015499C" w:rsidP="00C05507">
      <w:pPr>
        <w:pStyle w:val="Default"/>
        <w:jc w:val="both"/>
        <w:rPr>
          <w:sz w:val="22"/>
          <w:szCs w:val="22"/>
        </w:rPr>
      </w:pPr>
      <w:r w:rsidRPr="0015499C">
        <w:rPr>
          <w:sz w:val="22"/>
          <w:szCs w:val="22"/>
        </w:rPr>
        <w:t>Sin embargo, los recursos no se liberan de inmediato porque el giro directo</w:t>
      </w:r>
      <w:r>
        <w:rPr>
          <w:sz w:val="22"/>
          <w:szCs w:val="22"/>
        </w:rPr>
        <w:t xml:space="preserve"> que efectúa el Ministerio de Vivienda, Ciudad y Territorio, </w:t>
      </w:r>
      <w:r w:rsidRPr="0015499C">
        <w:rPr>
          <w:sz w:val="22"/>
          <w:szCs w:val="22"/>
        </w:rPr>
        <w:t xml:space="preserve">no se modificó. Al final del año </w:t>
      </w:r>
      <w:r w:rsidR="00501AF5">
        <w:rPr>
          <w:sz w:val="22"/>
          <w:szCs w:val="22"/>
        </w:rPr>
        <w:t xml:space="preserve">la Fiduciaria </w:t>
      </w:r>
      <w:r w:rsidRPr="0015499C">
        <w:rPr>
          <w:sz w:val="22"/>
          <w:szCs w:val="22"/>
        </w:rPr>
        <w:t xml:space="preserve">Alianza le devuelve al </w:t>
      </w:r>
      <w:r w:rsidR="00AE40CF">
        <w:rPr>
          <w:sz w:val="22"/>
          <w:szCs w:val="22"/>
        </w:rPr>
        <w:t>M</w:t>
      </w:r>
      <w:r w:rsidRPr="0015499C">
        <w:rPr>
          <w:sz w:val="22"/>
          <w:szCs w:val="22"/>
        </w:rPr>
        <w:t>unicipio lo que le sobra, por eso el efecto no es inmediato</w:t>
      </w:r>
      <w:r w:rsidR="00501AF5">
        <w:rPr>
          <w:sz w:val="22"/>
          <w:szCs w:val="22"/>
        </w:rPr>
        <w:t>.</w:t>
      </w:r>
      <w:r w:rsidR="00A553DB">
        <w:rPr>
          <w:sz w:val="22"/>
          <w:szCs w:val="22"/>
        </w:rPr>
        <w:t xml:space="preserve"> </w:t>
      </w:r>
      <w:r w:rsidR="003255A4">
        <w:rPr>
          <w:sz w:val="22"/>
          <w:szCs w:val="22"/>
        </w:rPr>
        <w:t>Los recursos devueltos ascienden a $800 aproximadamente, los cuales</w:t>
      </w:r>
      <w:r w:rsidR="00A553DB">
        <w:rPr>
          <w:sz w:val="22"/>
          <w:szCs w:val="22"/>
        </w:rPr>
        <w:t>,</w:t>
      </w:r>
      <w:r w:rsidR="003255A4">
        <w:rPr>
          <w:sz w:val="22"/>
          <w:szCs w:val="22"/>
        </w:rPr>
        <w:t xml:space="preserve"> son incorporados en el presupuesto en la vigencia siguiente como recursos del balance</w:t>
      </w:r>
      <w:r w:rsidR="00A553DB">
        <w:rPr>
          <w:sz w:val="22"/>
          <w:szCs w:val="22"/>
        </w:rPr>
        <w:t xml:space="preserve"> para ser ejecutados</w:t>
      </w:r>
      <w:r w:rsidR="003255A4">
        <w:rPr>
          <w:sz w:val="22"/>
          <w:szCs w:val="22"/>
        </w:rPr>
        <w:t>.</w:t>
      </w:r>
    </w:p>
    <w:p w:rsidR="00501AF5" w:rsidRDefault="00501AF5" w:rsidP="00C05507">
      <w:pPr>
        <w:pStyle w:val="Default"/>
        <w:jc w:val="both"/>
        <w:rPr>
          <w:sz w:val="22"/>
          <w:szCs w:val="22"/>
        </w:rPr>
      </w:pPr>
    </w:p>
    <w:p w:rsidR="00501AF5" w:rsidRPr="00501AF5" w:rsidRDefault="00501AF5" w:rsidP="00501AF5">
      <w:pPr>
        <w:autoSpaceDE w:val="0"/>
        <w:autoSpaceDN w:val="0"/>
        <w:adjustRightInd w:val="0"/>
        <w:jc w:val="both"/>
        <w:rPr>
          <w:rFonts w:ascii="Arial" w:eastAsiaTheme="minorHAnsi" w:hAnsi="Arial" w:cs="Arial"/>
          <w:color w:val="000000"/>
          <w:sz w:val="22"/>
          <w:szCs w:val="22"/>
          <w:lang w:val="es-CO" w:eastAsia="en-US"/>
        </w:rPr>
      </w:pPr>
      <w:r w:rsidRPr="00501AF5">
        <w:rPr>
          <w:rFonts w:ascii="Arial" w:hAnsi="Arial" w:cs="Arial"/>
          <w:sz w:val="22"/>
          <w:szCs w:val="22"/>
        </w:rPr>
        <w:t xml:space="preserve">Posteriormente aparece otro problema que aún está vigente y está relacionado con la variabilidad del IPC, pues sube más de lo esperado, de modo que el perfil del servicio de la deuda desmejora, razón por la cual el </w:t>
      </w:r>
      <w:r w:rsidR="00AE40CF">
        <w:rPr>
          <w:rFonts w:ascii="Arial" w:hAnsi="Arial" w:cs="Arial"/>
          <w:sz w:val="22"/>
          <w:szCs w:val="22"/>
        </w:rPr>
        <w:t>M</w:t>
      </w:r>
      <w:r w:rsidRPr="00501AF5">
        <w:rPr>
          <w:rFonts w:ascii="Arial" w:hAnsi="Arial" w:cs="Arial"/>
          <w:sz w:val="22"/>
          <w:szCs w:val="22"/>
        </w:rPr>
        <w:t xml:space="preserve">unicipio ha buscado alternativas para prepagar, como una solución para liberar recursos </w:t>
      </w:r>
      <w:r w:rsidRPr="00501AF5">
        <w:rPr>
          <w:rFonts w:ascii="Arial" w:eastAsiaTheme="minorHAnsi" w:hAnsi="Arial" w:cs="Arial"/>
          <w:iCs/>
          <w:color w:val="000000"/>
          <w:sz w:val="22"/>
          <w:szCs w:val="22"/>
          <w:lang w:val="es-CO" w:eastAsia="en-US"/>
        </w:rPr>
        <w:t xml:space="preserve">para realizar inversión </w:t>
      </w:r>
      <w:r w:rsidR="00873AE3">
        <w:rPr>
          <w:rFonts w:ascii="Arial" w:eastAsiaTheme="minorHAnsi" w:hAnsi="Arial" w:cs="Arial"/>
          <w:iCs/>
          <w:color w:val="000000"/>
          <w:sz w:val="22"/>
          <w:szCs w:val="22"/>
          <w:lang w:val="es-CO" w:eastAsia="en-US"/>
        </w:rPr>
        <w:t xml:space="preserve">dado </w:t>
      </w:r>
      <w:r w:rsidRPr="00501AF5">
        <w:rPr>
          <w:rFonts w:ascii="Arial" w:eastAsiaTheme="minorHAnsi" w:hAnsi="Arial" w:cs="Arial"/>
          <w:iCs/>
          <w:color w:val="000000"/>
          <w:sz w:val="22"/>
          <w:szCs w:val="22"/>
          <w:lang w:val="es-CO" w:eastAsia="en-US"/>
        </w:rPr>
        <w:t>que un gran porcentaje de los recursos de la Participación de SGP – APSB (75</w:t>
      </w:r>
      <w:r w:rsidR="00AE40CF">
        <w:rPr>
          <w:rFonts w:ascii="Arial" w:eastAsiaTheme="minorHAnsi" w:hAnsi="Arial" w:cs="Arial"/>
          <w:iCs/>
          <w:color w:val="000000"/>
          <w:sz w:val="22"/>
          <w:szCs w:val="22"/>
          <w:lang w:val="es-CO" w:eastAsia="en-US"/>
        </w:rPr>
        <w:t xml:space="preserve"> </w:t>
      </w:r>
      <w:r w:rsidRPr="00501AF5">
        <w:rPr>
          <w:rFonts w:ascii="Arial" w:eastAsiaTheme="minorHAnsi" w:hAnsi="Arial" w:cs="Arial"/>
          <w:iCs/>
          <w:color w:val="000000"/>
          <w:sz w:val="22"/>
          <w:szCs w:val="22"/>
          <w:lang w:val="es-CO" w:eastAsia="en-US"/>
        </w:rPr>
        <w:t xml:space="preserve">%) se orienta para el pago de deuda pública contraída en el 2010 con el Patrimonio Autónomo </w:t>
      </w:r>
      <w:r w:rsidR="00AE40CF">
        <w:rPr>
          <w:rFonts w:ascii="Arial" w:eastAsiaTheme="minorHAnsi" w:hAnsi="Arial" w:cs="Arial"/>
          <w:iCs/>
          <w:color w:val="000000"/>
          <w:sz w:val="22"/>
          <w:szCs w:val="22"/>
          <w:lang w:val="es-CO" w:eastAsia="en-US"/>
        </w:rPr>
        <w:t xml:space="preserve">- </w:t>
      </w:r>
      <w:r w:rsidRPr="00501AF5">
        <w:rPr>
          <w:rFonts w:ascii="Arial" w:eastAsiaTheme="minorHAnsi" w:hAnsi="Arial" w:cs="Arial"/>
          <w:iCs/>
          <w:color w:val="000000"/>
          <w:sz w:val="22"/>
          <w:szCs w:val="22"/>
          <w:lang w:val="es-CO" w:eastAsia="en-US"/>
        </w:rPr>
        <w:t>Grupo Financiero de Infraestructura Ltda., administrados por Alianza Fiduciaria, a la fecha sustituida por FINDETER</w:t>
      </w:r>
      <w:r>
        <w:rPr>
          <w:rFonts w:ascii="Arial" w:eastAsiaTheme="minorHAnsi" w:hAnsi="Arial" w:cs="Arial"/>
          <w:iCs/>
          <w:color w:val="000000"/>
          <w:sz w:val="22"/>
          <w:szCs w:val="22"/>
          <w:lang w:val="es-CO" w:eastAsia="en-US"/>
        </w:rPr>
        <w:t>.</w:t>
      </w:r>
      <w:r w:rsidRPr="00501AF5">
        <w:rPr>
          <w:rFonts w:ascii="Arial" w:eastAsiaTheme="minorHAnsi" w:hAnsi="Arial" w:cs="Arial"/>
          <w:iCs/>
          <w:color w:val="000000"/>
          <w:sz w:val="22"/>
          <w:szCs w:val="22"/>
          <w:lang w:val="es-CO" w:eastAsia="en-US"/>
        </w:rPr>
        <w:t xml:space="preserve"> </w:t>
      </w:r>
    </w:p>
    <w:p w:rsidR="00501AF5" w:rsidRPr="00501AF5" w:rsidRDefault="00501AF5" w:rsidP="00501AF5">
      <w:pPr>
        <w:autoSpaceDE w:val="0"/>
        <w:autoSpaceDN w:val="0"/>
        <w:adjustRightInd w:val="0"/>
        <w:jc w:val="both"/>
        <w:rPr>
          <w:rFonts w:ascii="Arial" w:eastAsiaTheme="minorHAnsi" w:hAnsi="Arial" w:cs="Arial"/>
          <w:color w:val="000000"/>
          <w:sz w:val="22"/>
          <w:szCs w:val="22"/>
          <w:lang w:val="es-CO" w:eastAsia="en-US"/>
        </w:rPr>
      </w:pPr>
    </w:p>
    <w:p w:rsidR="00574FD6" w:rsidRPr="00873AE3" w:rsidRDefault="00501AF5" w:rsidP="00873AE3">
      <w:pPr>
        <w:pStyle w:val="Default"/>
        <w:jc w:val="both"/>
        <w:rPr>
          <w:rFonts w:eastAsiaTheme="minorHAnsi"/>
          <w:sz w:val="22"/>
          <w:szCs w:val="22"/>
        </w:rPr>
      </w:pPr>
      <w:r w:rsidRPr="00873AE3">
        <w:rPr>
          <w:rFonts w:eastAsiaTheme="minorHAnsi"/>
          <w:iCs/>
          <w:sz w:val="22"/>
          <w:szCs w:val="22"/>
        </w:rPr>
        <w:t xml:space="preserve">La </w:t>
      </w:r>
      <w:r w:rsidR="009F163B" w:rsidRPr="00873AE3">
        <w:rPr>
          <w:rFonts w:eastAsiaTheme="minorHAnsi"/>
          <w:iCs/>
          <w:sz w:val="22"/>
          <w:szCs w:val="22"/>
        </w:rPr>
        <w:t>alta restricción financiera</w:t>
      </w:r>
      <w:r w:rsidRPr="00873AE3">
        <w:rPr>
          <w:rFonts w:eastAsiaTheme="minorHAnsi"/>
          <w:iCs/>
          <w:sz w:val="22"/>
          <w:szCs w:val="22"/>
        </w:rPr>
        <w:t xml:space="preserve"> en el manejo de los recursos de la </w:t>
      </w:r>
      <w:r w:rsidR="00AE40CF">
        <w:rPr>
          <w:rFonts w:eastAsiaTheme="minorHAnsi"/>
          <w:iCs/>
          <w:sz w:val="22"/>
          <w:szCs w:val="22"/>
        </w:rPr>
        <w:t>P</w:t>
      </w:r>
      <w:r w:rsidRPr="00873AE3">
        <w:rPr>
          <w:rFonts w:eastAsiaTheme="minorHAnsi"/>
          <w:iCs/>
          <w:sz w:val="22"/>
          <w:szCs w:val="22"/>
        </w:rPr>
        <w:t xml:space="preserve">articipación de APSB del SGP, representa una </w:t>
      </w:r>
      <w:r w:rsidR="00574FD6" w:rsidRPr="00873AE3">
        <w:rPr>
          <w:rFonts w:eastAsiaTheme="minorHAnsi"/>
          <w:iCs/>
          <w:sz w:val="22"/>
          <w:szCs w:val="22"/>
        </w:rPr>
        <w:t>limita</w:t>
      </w:r>
      <w:r w:rsidRPr="00873AE3">
        <w:rPr>
          <w:rFonts w:eastAsiaTheme="minorHAnsi"/>
          <w:iCs/>
          <w:sz w:val="22"/>
          <w:szCs w:val="22"/>
        </w:rPr>
        <w:t xml:space="preserve">nte </w:t>
      </w:r>
      <w:r w:rsidR="00873AE3" w:rsidRPr="00873AE3">
        <w:rPr>
          <w:rFonts w:eastAsiaTheme="minorHAnsi"/>
          <w:iCs/>
          <w:sz w:val="22"/>
          <w:szCs w:val="22"/>
        </w:rPr>
        <w:t xml:space="preserve">para </w:t>
      </w:r>
      <w:r w:rsidR="00574FD6" w:rsidRPr="00873AE3">
        <w:rPr>
          <w:rFonts w:eastAsiaTheme="minorHAnsi"/>
          <w:iCs/>
          <w:sz w:val="22"/>
          <w:szCs w:val="22"/>
        </w:rPr>
        <w:t>la Entidad Territorial para emprender acciones en procura de adelantar actividades que le permitan avanzar en inversiones necesarias, tales como plantas de tratamiento de agua potable, optimización de planta de tratamiento de aguas residuales, estratificación, actualización de estudio tarifario, implementación del PGIRS, entre otras acciones, en donde se requeriría un volumen alto de recursos</w:t>
      </w:r>
      <w:r w:rsidR="00873AE3">
        <w:rPr>
          <w:rFonts w:eastAsiaTheme="minorHAnsi"/>
          <w:iCs/>
          <w:sz w:val="22"/>
          <w:szCs w:val="22"/>
        </w:rPr>
        <w:t>.</w:t>
      </w:r>
      <w:r w:rsidR="00574FD6" w:rsidRPr="00873AE3">
        <w:rPr>
          <w:rFonts w:eastAsiaTheme="minorHAnsi"/>
          <w:iCs/>
          <w:sz w:val="22"/>
          <w:szCs w:val="22"/>
        </w:rPr>
        <w:t xml:space="preserve"> </w:t>
      </w:r>
    </w:p>
    <w:p w:rsidR="00574FD6" w:rsidRPr="00873AE3" w:rsidRDefault="00574FD6" w:rsidP="00574FD6">
      <w:pPr>
        <w:autoSpaceDE w:val="0"/>
        <w:autoSpaceDN w:val="0"/>
        <w:adjustRightInd w:val="0"/>
        <w:jc w:val="both"/>
        <w:rPr>
          <w:rFonts w:ascii="Arial" w:eastAsiaTheme="minorHAnsi" w:hAnsi="Arial" w:cs="Arial"/>
          <w:color w:val="000000"/>
          <w:sz w:val="22"/>
          <w:szCs w:val="22"/>
          <w:lang w:val="es-CO" w:eastAsia="en-US"/>
        </w:rPr>
      </w:pPr>
    </w:p>
    <w:p w:rsidR="00574FD6" w:rsidRPr="00873AE3" w:rsidRDefault="00574FD6" w:rsidP="00574FD6">
      <w:pPr>
        <w:autoSpaceDE w:val="0"/>
        <w:autoSpaceDN w:val="0"/>
        <w:adjustRightInd w:val="0"/>
        <w:jc w:val="both"/>
        <w:rPr>
          <w:rFonts w:ascii="Arial" w:eastAsiaTheme="minorHAnsi" w:hAnsi="Arial" w:cs="Arial"/>
          <w:color w:val="000000"/>
          <w:sz w:val="22"/>
          <w:szCs w:val="22"/>
          <w:lang w:val="es-CO" w:eastAsia="en-US"/>
        </w:rPr>
      </w:pPr>
      <w:r w:rsidRPr="00873AE3">
        <w:rPr>
          <w:rFonts w:ascii="Arial" w:eastAsiaTheme="minorHAnsi" w:hAnsi="Arial" w:cs="Arial"/>
          <w:iCs/>
          <w:color w:val="000000"/>
          <w:sz w:val="22"/>
          <w:szCs w:val="22"/>
          <w:lang w:val="es-CO" w:eastAsia="en-US"/>
        </w:rPr>
        <w:t>Sin embargo, se advierte que esta situación se podría aliviar financieramente si el Municipio logra concretar la gestión de venta de cartera de ese crédito a el Banco Agrario y la aceptación por parte de FINDETER, actual acreedor, del prepago de la deuda que asciende a $3.021 millones.</w:t>
      </w:r>
    </w:p>
    <w:p w:rsidR="009F163B" w:rsidRPr="00873AE3" w:rsidRDefault="009F163B" w:rsidP="009F163B">
      <w:pPr>
        <w:jc w:val="both"/>
        <w:rPr>
          <w:rFonts w:ascii="Arial" w:eastAsiaTheme="minorHAnsi" w:hAnsi="Arial" w:cs="Arial"/>
          <w:sz w:val="22"/>
          <w:szCs w:val="22"/>
          <w:lang w:val="es-CO" w:eastAsia="en-US"/>
        </w:rPr>
      </w:pPr>
    </w:p>
    <w:p w:rsidR="00574FD6" w:rsidRPr="00873AE3" w:rsidRDefault="00574FD6" w:rsidP="007A4604">
      <w:pPr>
        <w:jc w:val="both"/>
        <w:rPr>
          <w:rFonts w:ascii="Arial" w:eastAsiaTheme="minorHAnsi" w:hAnsi="Arial" w:cs="Arial"/>
          <w:color w:val="000000"/>
          <w:sz w:val="22"/>
          <w:szCs w:val="22"/>
          <w:lang w:val="es-CO" w:eastAsia="en-US"/>
        </w:rPr>
      </w:pPr>
      <w:r w:rsidRPr="00873AE3">
        <w:rPr>
          <w:rFonts w:ascii="Arial" w:eastAsiaTheme="minorHAnsi" w:hAnsi="Arial" w:cs="Arial"/>
          <w:iCs/>
          <w:color w:val="000000"/>
          <w:sz w:val="22"/>
          <w:szCs w:val="22"/>
          <w:lang w:val="es-CO" w:eastAsia="en-US"/>
        </w:rPr>
        <w:t xml:space="preserve">En caso de consolidarse la </w:t>
      </w:r>
      <w:r w:rsidR="00C278EA" w:rsidRPr="00873AE3">
        <w:rPr>
          <w:rFonts w:ascii="Arial" w:eastAsiaTheme="minorHAnsi" w:hAnsi="Arial" w:cs="Arial"/>
          <w:iCs/>
          <w:color w:val="000000"/>
          <w:sz w:val="22"/>
          <w:szCs w:val="22"/>
          <w:lang w:val="es-CO" w:eastAsia="en-US"/>
        </w:rPr>
        <w:t>gestión</w:t>
      </w:r>
      <w:r w:rsidR="007A4604" w:rsidRPr="00873AE3">
        <w:rPr>
          <w:rFonts w:ascii="Arial" w:eastAsiaTheme="minorHAnsi" w:hAnsi="Arial" w:cs="Arial"/>
          <w:iCs/>
          <w:color w:val="000000"/>
          <w:sz w:val="22"/>
          <w:szCs w:val="22"/>
          <w:lang w:val="es-CO" w:eastAsia="en-US"/>
        </w:rPr>
        <w:t xml:space="preserve"> del prepago de la deuda a FINDETER</w:t>
      </w:r>
      <w:r w:rsidR="00C278EA" w:rsidRPr="00873AE3">
        <w:rPr>
          <w:rFonts w:ascii="Arial" w:eastAsiaTheme="minorHAnsi" w:hAnsi="Arial" w:cs="Arial"/>
          <w:iCs/>
          <w:color w:val="000000"/>
          <w:sz w:val="22"/>
          <w:szCs w:val="22"/>
          <w:lang w:val="es-CO" w:eastAsia="en-US"/>
        </w:rPr>
        <w:t>,</w:t>
      </w:r>
      <w:r w:rsidRPr="00873AE3">
        <w:rPr>
          <w:rFonts w:ascii="Arial" w:eastAsiaTheme="minorHAnsi" w:hAnsi="Arial" w:cs="Arial"/>
          <w:iCs/>
          <w:color w:val="000000"/>
          <w:sz w:val="22"/>
          <w:szCs w:val="22"/>
          <w:lang w:val="es-CO" w:eastAsia="en-US"/>
        </w:rPr>
        <w:t xml:space="preserve"> </w:t>
      </w:r>
      <w:r w:rsidR="00C278EA" w:rsidRPr="00873AE3">
        <w:rPr>
          <w:rFonts w:ascii="Arial" w:eastAsiaTheme="minorHAnsi" w:hAnsi="Arial" w:cs="Arial"/>
          <w:iCs/>
          <w:color w:val="000000"/>
          <w:sz w:val="22"/>
          <w:szCs w:val="22"/>
          <w:lang w:val="es-CO" w:eastAsia="en-US"/>
        </w:rPr>
        <w:t>e</w:t>
      </w:r>
      <w:r w:rsidR="00C278EA" w:rsidRPr="00873AE3">
        <w:rPr>
          <w:rFonts w:ascii="Arial" w:eastAsia="Times New Roman" w:hAnsi="Arial" w:cs="Arial"/>
          <w:color w:val="000000"/>
          <w:sz w:val="22"/>
          <w:szCs w:val="22"/>
        </w:rPr>
        <w:t xml:space="preserve">l Municipio liberaría algunos recursos para inversión en el </w:t>
      </w:r>
      <w:r w:rsidR="00AE40CF">
        <w:rPr>
          <w:rFonts w:ascii="Arial" w:eastAsia="Times New Roman" w:hAnsi="Arial" w:cs="Arial"/>
          <w:color w:val="000000"/>
          <w:sz w:val="22"/>
          <w:szCs w:val="22"/>
        </w:rPr>
        <w:t>S</w:t>
      </w:r>
      <w:r w:rsidR="00C278EA" w:rsidRPr="00873AE3">
        <w:rPr>
          <w:rFonts w:ascii="Arial" w:eastAsia="Times New Roman" w:hAnsi="Arial" w:cs="Arial"/>
          <w:color w:val="000000"/>
          <w:sz w:val="22"/>
          <w:szCs w:val="22"/>
        </w:rPr>
        <w:t xml:space="preserve">ector de APSB, dada las nuevas condiciones del crédito, </w:t>
      </w:r>
      <w:r w:rsidR="007A4604" w:rsidRPr="00873AE3">
        <w:rPr>
          <w:rFonts w:ascii="Arial" w:eastAsia="Times New Roman" w:hAnsi="Arial" w:cs="Arial"/>
          <w:color w:val="000000"/>
          <w:sz w:val="22"/>
          <w:szCs w:val="22"/>
        </w:rPr>
        <w:t>por tanto,</w:t>
      </w:r>
      <w:r w:rsidR="00C278EA" w:rsidRPr="00873AE3">
        <w:rPr>
          <w:rFonts w:ascii="Arial" w:eastAsia="Times New Roman" w:hAnsi="Arial" w:cs="Arial"/>
          <w:color w:val="000000"/>
          <w:sz w:val="22"/>
          <w:szCs w:val="22"/>
        </w:rPr>
        <w:t xml:space="preserve"> la tasa de interés pasaría de 13</w:t>
      </w:r>
      <w:r w:rsidR="00AE40CF">
        <w:rPr>
          <w:rFonts w:ascii="Arial" w:eastAsia="Times New Roman" w:hAnsi="Arial" w:cs="Arial"/>
          <w:color w:val="000000"/>
          <w:sz w:val="22"/>
          <w:szCs w:val="22"/>
        </w:rPr>
        <w:t>,</w:t>
      </w:r>
      <w:r w:rsidR="00C278EA" w:rsidRPr="00873AE3">
        <w:rPr>
          <w:rFonts w:ascii="Arial" w:eastAsia="Times New Roman" w:hAnsi="Arial" w:cs="Arial"/>
          <w:color w:val="000000"/>
          <w:sz w:val="22"/>
          <w:szCs w:val="22"/>
        </w:rPr>
        <w:t>01</w:t>
      </w:r>
      <w:r w:rsidR="00AE40CF">
        <w:rPr>
          <w:rFonts w:ascii="Arial" w:eastAsia="Times New Roman" w:hAnsi="Arial" w:cs="Arial"/>
          <w:color w:val="000000"/>
          <w:sz w:val="22"/>
          <w:szCs w:val="22"/>
        </w:rPr>
        <w:t xml:space="preserve"> </w:t>
      </w:r>
      <w:r w:rsidR="00C278EA" w:rsidRPr="00873AE3">
        <w:rPr>
          <w:rFonts w:ascii="Arial" w:eastAsia="Times New Roman" w:hAnsi="Arial" w:cs="Arial"/>
          <w:color w:val="000000"/>
          <w:sz w:val="22"/>
          <w:szCs w:val="22"/>
        </w:rPr>
        <w:t>% (EA) a 9</w:t>
      </w:r>
      <w:r w:rsidR="00AE40CF">
        <w:rPr>
          <w:rFonts w:ascii="Arial" w:eastAsia="Times New Roman" w:hAnsi="Arial" w:cs="Arial"/>
          <w:color w:val="000000"/>
          <w:sz w:val="22"/>
          <w:szCs w:val="22"/>
        </w:rPr>
        <w:t>,</w:t>
      </w:r>
      <w:r w:rsidR="00C278EA" w:rsidRPr="00873AE3">
        <w:rPr>
          <w:rFonts w:ascii="Arial" w:eastAsia="Times New Roman" w:hAnsi="Arial" w:cs="Arial"/>
          <w:color w:val="000000"/>
          <w:sz w:val="22"/>
          <w:szCs w:val="22"/>
        </w:rPr>
        <w:t>4</w:t>
      </w:r>
      <w:r w:rsidR="00AE40CF">
        <w:rPr>
          <w:rFonts w:ascii="Arial" w:eastAsia="Times New Roman" w:hAnsi="Arial" w:cs="Arial"/>
          <w:color w:val="000000"/>
          <w:sz w:val="22"/>
          <w:szCs w:val="22"/>
        </w:rPr>
        <w:t xml:space="preserve"> </w:t>
      </w:r>
      <w:r w:rsidR="00C278EA" w:rsidRPr="00873AE3">
        <w:rPr>
          <w:rFonts w:ascii="Arial" w:eastAsia="Times New Roman" w:hAnsi="Arial" w:cs="Arial"/>
          <w:color w:val="000000"/>
          <w:sz w:val="22"/>
          <w:szCs w:val="22"/>
        </w:rPr>
        <w:t>% (EA)</w:t>
      </w:r>
      <w:r w:rsidR="007A4604" w:rsidRPr="00873AE3">
        <w:rPr>
          <w:rFonts w:ascii="Arial" w:eastAsia="Times New Roman" w:hAnsi="Arial" w:cs="Arial"/>
          <w:color w:val="000000"/>
          <w:sz w:val="22"/>
          <w:szCs w:val="22"/>
        </w:rPr>
        <w:t xml:space="preserve">. El plazo sería </w:t>
      </w:r>
      <w:r w:rsidRPr="00873AE3">
        <w:rPr>
          <w:rFonts w:ascii="Arial" w:eastAsiaTheme="minorHAnsi" w:hAnsi="Arial" w:cs="Arial"/>
          <w:iCs/>
          <w:color w:val="000000"/>
          <w:sz w:val="22"/>
          <w:szCs w:val="22"/>
          <w:lang w:val="es-CO" w:eastAsia="en-US"/>
        </w:rPr>
        <w:t xml:space="preserve">hasta ochenta (80) meses contados a partir de la fecha de aprobación, sin superar el 27 de julio de 2028, es decir el plazo inicial del empréstito con el Patrimonio Autónomo </w:t>
      </w:r>
      <w:r w:rsidR="00AE40CF">
        <w:rPr>
          <w:rFonts w:ascii="Arial" w:eastAsiaTheme="minorHAnsi" w:hAnsi="Arial" w:cs="Arial"/>
          <w:iCs/>
          <w:color w:val="000000"/>
          <w:sz w:val="22"/>
          <w:szCs w:val="22"/>
          <w:lang w:val="es-CO" w:eastAsia="en-US"/>
        </w:rPr>
        <w:t xml:space="preserve">- </w:t>
      </w:r>
      <w:r w:rsidRPr="00873AE3">
        <w:rPr>
          <w:rFonts w:ascii="Arial" w:eastAsiaTheme="minorHAnsi" w:hAnsi="Arial" w:cs="Arial"/>
          <w:iCs/>
          <w:color w:val="000000"/>
          <w:sz w:val="22"/>
          <w:szCs w:val="22"/>
          <w:lang w:val="es-CO" w:eastAsia="en-US"/>
        </w:rPr>
        <w:t>Grupo Financiero de Infraestructura Ltda., administrados por Alianza Fiduciaria, a la fecha sustituida por FINDETER, sin periodo de gracia y la renta pignorada continuaría siendo la Participación de APSB del SGP</w:t>
      </w:r>
      <w:r w:rsidR="00873AE3">
        <w:rPr>
          <w:rFonts w:ascii="Arial" w:eastAsiaTheme="minorHAnsi" w:hAnsi="Arial" w:cs="Arial"/>
          <w:iCs/>
          <w:color w:val="000000"/>
          <w:sz w:val="22"/>
          <w:szCs w:val="22"/>
          <w:lang w:val="es-CO" w:eastAsia="en-US"/>
        </w:rPr>
        <w:t>.</w:t>
      </w:r>
    </w:p>
    <w:p w:rsidR="00574FD6" w:rsidRPr="00873AE3" w:rsidRDefault="00574FD6" w:rsidP="00355BC7">
      <w:pPr>
        <w:autoSpaceDE w:val="0"/>
        <w:autoSpaceDN w:val="0"/>
        <w:adjustRightInd w:val="0"/>
        <w:jc w:val="both"/>
        <w:rPr>
          <w:rFonts w:ascii="Arial" w:hAnsi="Arial" w:cs="Arial"/>
          <w:sz w:val="22"/>
          <w:szCs w:val="22"/>
        </w:rPr>
      </w:pPr>
    </w:p>
    <w:p w:rsidR="00355BC7" w:rsidRPr="00873AE3" w:rsidRDefault="00355BC7" w:rsidP="00355BC7">
      <w:pPr>
        <w:autoSpaceDE w:val="0"/>
        <w:autoSpaceDN w:val="0"/>
        <w:adjustRightInd w:val="0"/>
        <w:jc w:val="both"/>
        <w:rPr>
          <w:rFonts w:ascii="Arial" w:hAnsi="Arial" w:cs="Arial"/>
          <w:sz w:val="22"/>
          <w:szCs w:val="22"/>
        </w:rPr>
      </w:pPr>
      <w:r w:rsidRPr="00873AE3">
        <w:rPr>
          <w:rFonts w:ascii="Arial" w:hAnsi="Arial" w:cs="Arial"/>
          <w:sz w:val="22"/>
          <w:szCs w:val="22"/>
        </w:rPr>
        <w:t>En relación con los reportes de información se observaron inconsistencias en algunas de las vigencias analizadas, relacionadas con conceptos registrados en las ejecuciones presupuestales de ingresos y gastos frente a lo reportado en el FUT.</w:t>
      </w:r>
    </w:p>
    <w:p w:rsidR="00355BC7" w:rsidRPr="00873AE3" w:rsidRDefault="00355BC7" w:rsidP="00355BC7">
      <w:pPr>
        <w:jc w:val="both"/>
        <w:rPr>
          <w:rFonts w:ascii="Arial" w:eastAsiaTheme="minorHAnsi" w:hAnsi="Arial" w:cs="Arial"/>
          <w:b/>
          <w:sz w:val="22"/>
          <w:szCs w:val="22"/>
          <w:lang w:val="es-CO" w:eastAsia="en-US"/>
        </w:rPr>
      </w:pPr>
    </w:p>
    <w:p w:rsidR="00355BC7" w:rsidRDefault="00355BC7" w:rsidP="00355BC7">
      <w:pPr>
        <w:jc w:val="both"/>
        <w:rPr>
          <w:rFonts w:ascii="Arial" w:eastAsiaTheme="minorHAnsi" w:hAnsi="Arial" w:cs="Arial"/>
          <w:sz w:val="22"/>
          <w:szCs w:val="22"/>
          <w:lang w:val="es-CO" w:eastAsia="en-US"/>
        </w:rPr>
      </w:pPr>
      <w:r w:rsidRPr="00873AE3">
        <w:rPr>
          <w:rFonts w:ascii="Arial" w:eastAsiaTheme="minorHAnsi" w:hAnsi="Arial" w:cs="Arial"/>
          <w:sz w:val="22"/>
          <w:szCs w:val="22"/>
          <w:lang w:val="es-CO" w:eastAsia="en-US"/>
        </w:rPr>
        <w:t xml:space="preserve">La administración Municipal, presenta baja capacidad institucional en el </w:t>
      </w:r>
      <w:r w:rsidR="00AE40CF">
        <w:rPr>
          <w:rFonts w:ascii="Arial" w:eastAsiaTheme="minorHAnsi" w:hAnsi="Arial" w:cs="Arial"/>
          <w:sz w:val="22"/>
          <w:szCs w:val="22"/>
          <w:lang w:val="es-CO" w:eastAsia="en-US"/>
        </w:rPr>
        <w:t>S</w:t>
      </w:r>
      <w:r w:rsidRPr="00873AE3">
        <w:rPr>
          <w:rFonts w:ascii="Arial" w:eastAsiaTheme="minorHAnsi" w:hAnsi="Arial" w:cs="Arial"/>
          <w:sz w:val="22"/>
          <w:szCs w:val="22"/>
          <w:lang w:val="es-CO" w:eastAsia="en-US"/>
        </w:rPr>
        <w:t xml:space="preserve">ector, carencia o inexistencia de algunos archivos o actos administrativos, desconocimiento de los funcionarios del </w:t>
      </w:r>
      <w:r w:rsidR="00AE40CF">
        <w:rPr>
          <w:rFonts w:ascii="Arial" w:eastAsiaTheme="minorHAnsi" w:hAnsi="Arial" w:cs="Arial"/>
          <w:sz w:val="22"/>
          <w:szCs w:val="22"/>
          <w:lang w:val="es-CO" w:eastAsia="en-US"/>
        </w:rPr>
        <w:t>S</w:t>
      </w:r>
      <w:r w:rsidRPr="00873AE3">
        <w:rPr>
          <w:rFonts w:ascii="Arial" w:eastAsiaTheme="minorHAnsi" w:hAnsi="Arial" w:cs="Arial"/>
          <w:sz w:val="22"/>
          <w:szCs w:val="22"/>
          <w:lang w:val="es-CO" w:eastAsia="en-US"/>
        </w:rPr>
        <w:t>ector de algunos temas o sus procesos.</w:t>
      </w:r>
    </w:p>
    <w:p w:rsidR="00873AE3" w:rsidRPr="00873AE3" w:rsidRDefault="00873AE3" w:rsidP="00355BC7">
      <w:pPr>
        <w:jc w:val="both"/>
        <w:rPr>
          <w:rFonts w:ascii="Arial" w:eastAsiaTheme="minorHAnsi" w:hAnsi="Arial" w:cs="Arial"/>
          <w:sz w:val="22"/>
          <w:szCs w:val="22"/>
          <w:lang w:val="es-CO" w:eastAsia="en-US"/>
        </w:rPr>
      </w:pPr>
    </w:p>
    <w:p w:rsidR="00355BC7" w:rsidRPr="00873AE3" w:rsidRDefault="00355BC7" w:rsidP="00355BC7">
      <w:pPr>
        <w:ind w:left="785"/>
        <w:jc w:val="both"/>
        <w:rPr>
          <w:rFonts w:ascii="Arial" w:eastAsiaTheme="minorHAnsi" w:hAnsi="Arial" w:cs="Arial"/>
          <w:b/>
          <w:bCs/>
          <w:sz w:val="22"/>
          <w:szCs w:val="22"/>
          <w:lang w:val="es-CO" w:eastAsia="en-US"/>
        </w:rPr>
      </w:pPr>
    </w:p>
    <w:p w:rsidR="00355BC7" w:rsidRDefault="00355BC7" w:rsidP="00355BC7">
      <w:pPr>
        <w:numPr>
          <w:ilvl w:val="0"/>
          <w:numId w:val="3"/>
        </w:numPr>
        <w:jc w:val="both"/>
        <w:rPr>
          <w:rFonts w:ascii="Arial" w:eastAsiaTheme="minorHAnsi" w:hAnsi="Arial" w:cs="Arial"/>
          <w:b/>
          <w:bCs/>
          <w:sz w:val="22"/>
          <w:szCs w:val="22"/>
          <w:lang w:val="es-CO" w:eastAsia="en-US"/>
        </w:rPr>
      </w:pPr>
      <w:r>
        <w:rPr>
          <w:rFonts w:ascii="Arial" w:eastAsiaTheme="minorHAnsi" w:hAnsi="Arial" w:cs="Arial"/>
          <w:b/>
          <w:bCs/>
          <w:sz w:val="22"/>
          <w:szCs w:val="22"/>
          <w:lang w:val="es-CO" w:eastAsia="en-US"/>
        </w:rPr>
        <w:t>CONCLUSIONES</w:t>
      </w:r>
      <w:r w:rsidR="00AE40CF">
        <w:rPr>
          <w:rFonts w:ascii="Arial" w:eastAsiaTheme="minorHAnsi" w:hAnsi="Arial" w:cs="Arial"/>
          <w:b/>
          <w:bCs/>
          <w:sz w:val="22"/>
          <w:szCs w:val="22"/>
          <w:lang w:val="es-CO" w:eastAsia="en-US"/>
        </w:rPr>
        <w:t>.</w:t>
      </w:r>
    </w:p>
    <w:p w:rsidR="00355BC7" w:rsidRDefault="00355BC7" w:rsidP="00355BC7">
      <w:pPr>
        <w:jc w:val="both"/>
        <w:rPr>
          <w:rFonts w:ascii="Arial" w:eastAsiaTheme="minorHAnsi" w:hAnsi="Arial" w:cs="Arial"/>
          <w:sz w:val="22"/>
          <w:szCs w:val="22"/>
          <w:lang w:val="es-CO" w:eastAsia="en-US"/>
        </w:rPr>
      </w:pPr>
    </w:p>
    <w:p w:rsidR="00355BC7" w:rsidRDefault="00355BC7" w:rsidP="00355BC7">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Después de realizar el análisis a la información recibida por parte del Municipio de Mitú, y a las reuniones virtuales realizadas entre el 27 de mayo de 2020 al 2 de junio de 2020, se alcanzaron a identificar algunas situaciones en el sector de agua potable y saneamiento básico enmarcadas en la prestación del servicio tales como baja cobertura de acueducto, alcantarillado y aseo en el área rural, distribución de agua no apta para el consumo humano, cambio en la destinación de los recursos y un manejo inadecuado desde lo presupuestal y contable a los recursos que se deben manejar desde el Fondo de Solidaridad y Redistribución del Ingreso-FSRI,</w:t>
      </w:r>
    </w:p>
    <w:p w:rsidR="00355BC7" w:rsidRDefault="00355BC7" w:rsidP="00355BC7">
      <w:pPr>
        <w:autoSpaceDE w:val="0"/>
        <w:autoSpaceDN w:val="0"/>
        <w:adjustRightInd w:val="0"/>
        <w:jc w:val="both"/>
        <w:rPr>
          <w:rFonts w:ascii="Arial" w:hAnsi="Arial" w:cs="Arial"/>
          <w:color w:val="000000"/>
          <w:sz w:val="22"/>
          <w:szCs w:val="22"/>
          <w:shd w:val="clear" w:color="auto" w:fill="FCFCFC"/>
        </w:rPr>
      </w:pPr>
    </w:p>
    <w:p w:rsidR="00355BC7" w:rsidRDefault="00355BC7" w:rsidP="00355BC7">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Adicionalmente, presenta situaciones en el aseguramiento de la prestación del servicio enmarcadas en una estratificación y estudio de costos y tarifas desactualizados, en el caso de la estratificación el último acto administrativos referente actuaciones en ese tema es de 2001.</w:t>
      </w:r>
    </w:p>
    <w:p w:rsidR="00355BC7" w:rsidRDefault="00355BC7" w:rsidP="00355BC7">
      <w:pPr>
        <w:autoSpaceDE w:val="0"/>
        <w:autoSpaceDN w:val="0"/>
        <w:adjustRightInd w:val="0"/>
        <w:jc w:val="both"/>
        <w:rPr>
          <w:rFonts w:ascii="Arial" w:hAnsi="Arial" w:cs="Arial"/>
          <w:color w:val="000000"/>
          <w:sz w:val="22"/>
          <w:szCs w:val="22"/>
          <w:shd w:val="clear" w:color="auto" w:fill="FCFCFC"/>
        </w:rPr>
      </w:pPr>
    </w:p>
    <w:p w:rsidR="00A6501B" w:rsidRDefault="00355BC7" w:rsidP="00355BC7">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 xml:space="preserve">Por otra parte, el </w:t>
      </w:r>
      <w:r w:rsidR="00523D02">
        <w:rPr>
          <w:rFonts w:ascii="Arial" w:hAnsi="Arial" w:cs="Arial"/>
          <w:color w:val="000000"/>
          <w:sz w:val="22"/>
          <w:szCs w:val="22"/>
          <w:shd w:val="clear" w:color="auto" w:fill="FCFCFC"/>
        </w:rPr>
        <w:t>alto volumen de recursos de la P</w:t>
      </w:r>
      <w:r>
        <w:rPr>
          <w:rFonts w:ascii="Arial" w:hAnsi="Arial" w:cs="Arial"/>
          <w:color w:val="000000"/>
          <w:sz w:val="22"/>
          <w:szCs w:val="22"/>
          <w:shd w:val="clear" w:color="auto" w:fill="FCFCFC"/>
        </w:rPr>
        <w:t xml:space="preserve">articipación </w:t>
      </w:r>
      <w:r w:rsidR="00523D02">
        <w:rPr>
          <w:rFonts w:ascii="Arial" w:hAnsi="Arial" w:cs="Arial"/>
          <w:color w:val="000000"/>
          <w:sz w:val="22"/>
          <w:szCs w:val="22"/>
          <w:shd w:val="clear" w:color="auto" w:fill="FCFCFC"/>
        </w:rPr>
        <w:t xml:space="preserve">de </w:t>
      </w:r>
      <w:r>
        <w:rPr>
          <w:rFonts w:ascii="Arial" w:hAnsi="Arial" w:cs="Arial"/>
          <w:color w:val="000000"/>
          <w:sz w:val="22"/>
          <w:szCs w:val="22"/>
          <w:shd w:val="clear" w:color="auto" w:fill="FCFCFC"/>
        </w:rPr>
        <w:t>A</w:t>
      </w:r>
      <w:r w:rsidR="00523D02">
        <w:rPr>
          <w:rFonts w:ascii="Arial" w:hAnsi="Arial" w:cs="Arial"/>
          <w:color w:val="000000"/>
          <w:sz w:val="22"/>
          <w:szCs w:val="22"/>
          <w:shd w:val="clear" w:color="auto" w:fill="FCFCFC"/>
        </w:rPr>
        <w:t>gua Potable y Saneamiento Básico –</w:t>
      </w:r>
      <w:r w:rsidR="00AE40CF">
        <w:rPr>
          <w:rFonts w:ascii="Arial" w:hAnsi="Arial" w:cs="Arial"/>
          <w:color w:val="000000"/>
          <w:sz w:val="22"/>
          <w:szCs w:val="22"/>
          <w:shd w:val="clear" w:color="auto" w:fill="FCFCFC"/>
        </w:rPr>
        <w:t xml:space="preserve"> </w:t>
      </w:r>
      <w:r w:rsidR="00523D02">
        <w:rPr>
          <w:rFonts w:ascii="Arial" w:hAnsi="Arial" w:cs="Arial"/>
          <w:color w:val="000000"/>
          <w:sz w:val="22"/>
          <w:szCs w:val="22"/>
          <w:shd w:val="clear" w:color="auto" w:fill="FCFCFC"/>
        </w:rPr>
        <w:t xml:space="preserve">APSB </w:t>
      </w:r>
      <w:r>
        <w:rPr>
          <w:rFonts w:ascii="Arial" w:hAnsi="Arial" w:cs="Arial"/>
          <w:color w:val="000000"/>
          <w:sz w:val="22"/>
          <w:szCs w:val="22"/>
          <w:shd w:val="clear" w:color="auto" w:fill="FCFCFC"/>
        </w:rPr>
        <w:t xml:space="preserve">PSB que el Municipio destina para el pago de la deuda pública, </w:t>
      </w:r>
      <w:r w:rsidR="00EC4DAE">
        <w:rPr>
          <w:rFonts w:ascii="Arial" w:hAnsi="Arial" w:cs="Arial"/>
          <w:color w:val="000000"/>
          <w:sz w:val="22"/>
          <w:szCs w:val="22"/>
          <w:shd w:val="clear" w:color="auto" w:fill="FCFCFC"/>
        </w:rPr>
        <w:t xml:space="preserve">contraída bajo la figura de Bonos de Agua, </w:t>
      </w:r>
      <w:r w:rsidR="00523D02">
        <w:rPr>
          <w:rFonts w:ascii="Arial" w:hAnsi="Arial" w:cs="Arial"/>
          <w:color w:val="000000"/>
          <w:sz w:val="22"/>
          <w:szCs w:val="22"/>
          <w:shd w:val="clear" w:color="auto" w:fill="FCFCFC"/>
        </w:rPr>
        <w:t xml:space="preserve">representa </w:t>
      </w:r>
      <w:r>
        <w:rPr>
          <w:rFonts w:ascii="Arial" w:hAnsi="Arial" w:cs="Arial"/>
          <w:color w:val="000000"/>
          <w:sz w:val="22"/>
          <w:szCs w:val="22"/>
          <w:shd w:val="clear" w:color="auto" w:fill="FCFCFC"/>
        </w:rPr>
        <w:t xml:space="preserve">una limitante para iniciativa de proyectos de inversión a corto y mediano plazo </w:t>
      </w:r>
      <w:r w:rsidR="00523D02">
        <w:rPr>
          <w:rFonts w:ascii="Arial" w:hAnsi="Arial" w:cs="Arial"/>
          <w:color w:val="000000"/>
          <w:sz w:val="22"/>
          <w:szCs w:val="22"/>
          <w:shd w:val="clear" w:color="auto" w:fill="FCFCFC"/>
        </w:rPr>
        <w:t xml:space="preserve">de alto impacto en el </w:t>
      </w:r>
      <w:r w:rsidR="00AE40CF">
        <w:rPr>
          <w:rFonts w:ascii="Arial" w:hAnsi="Arial" w:cs="Arial"/>
          <w:color w:val="000000"/>
          <w:sz w:val="22"/>
          <w:szCs w:val="22"/>
          <w:shd w:val="clear" w:color="auto" w:fill="FCFCFC"/>
        </w:rPr>
        <w:t>S</w:t>
      </w:r>
      <w:r w:rsidR="00523D02">
        <w:rPr>
          <w:rFonts w:ascii="Arial" w:hAnsi="Arial" w:cs="Arial"/>
          <w:color w:val="000000"/>
          <w:sz w:val="22"/>
          <w:szCs w:val="22"/>
          <w:shd w:val="clear" w:color="auto" w:fill="FCFCFC"/>
        </w:rPr>
        <w:t xml:space="preserve">ector dado el </w:t>
      </w:r>
      <w:r>
        <w:rPr>
          <w:rFonts w:ascii="Arial" w:hAnsi="Arial" w:cs="Arial"/>
          <w:color w:val="000000"/>
          <w:sz w:val="22"/>
          <w:szCs w:val="22"/>
          <w:shd w:val="clear" w:color="auto" w:fill="FCFCFC"/>
        </w:rPr>
        <w:t>alto</w:t>
      </w:r>
      <w:r w:rsidR="00523D02">
        <w:rPr>
          <w:rFonts w:ascii="Arial" w:hAnsi="Arial" w:cs="Arial"/>
          <w:color w:val="000000"/>
          <w:sz w:val="22"/>
          <w:szCs w:val="22"/>
          <w:shd w:val="clear" w:color="auto" w:fill="FCFCFC"/>
        </w:rPr>
        <w:t xml:space="preserve"> costo de los mismos.</w:t>
      </w:r>
    </w:p>
    <w:p w:rsidR="00A6501B" w:rsidRDefault="00A6501B" w:rsidP="00355BC7">
      <w:pPr>
        <w:autoSpaceDE w:val="0"/>
        <w:autoSpaceDN w:val="0"/>
        <w:adjustRightInd w:val="0"/>
        <w:jc w:val="both"/>
        <w:rPr>
          <w:rFonts w:ascii="Arial" w:hAnsi="Arial" w:cs="Arial"/>
          <w:color w:val="000000"/>
          <w:sz w:val="22"/>
          <w:szCs w:val="22"/>
          <w:shd w:val="clear" w:color="auto" w:fill="FCFCFC"/>
        </w:rPr>
      </w:pPr>
    </w:p>
    <w:p w:rsidR="00355BC7" w:rsidRDefault="00A6501B" w:rsidP="00355BC7">
      <w:pPr>
        <w:autoSpaceDE w:val="0"/>
        <w:autoSpaceDN w:val="0"/>
        <w:adjustRightInd w:val="0"/>
        <w:jc w:val="both"/>
        <w:rPr>
          <w:rFonts w:ascii="Arial" w:hAnsi="Arial" w:cs="Arial"/>
          <w:sz w:val="22"/>
          <w:szCs w:val="22"/>
        </w:rPr>
      </w:pPr>
      <w:r>
        <w:rPr>
          <w:rFonts w:ascii="Arial" w:hAnsi="Arial" w:cs="Arial"/>
          <w:color w:val="000000"/>
          <w:sz w:val="22"/>
          <w:szCs w:val="22"/>
          <w:shd w:val="clear" w:color="auto" w:fill="FCFCFC"/>
        </w:rPr>
        <w:t xml:space="preserve">Sin embargo, una vez el Municipio consolide la disminución de la financiación de la deuda pública mediante la figura de prepago de la deuda a FINDETER y compra de cartera por parte del Banco Agrario, la </w:t>
      </w:r>
      <w:r w:rsidR="00AE40CF">
        <w:rPr>
          <w:rFonts w:ascii="Arial" w:hAnsi="Arial" w:cs="Arial"/>
          <w:color w:val="000000"/>
          <w:sz w:val="22"/>
          <w:szCs w:val="22"/>
          <w:shd w:val="clear" w:color="auto" w:fill="FCFCFC"/>
        </w:rPr>
        <w:t>E</w:t>
      </w:r>
      <w:r>
        <w:rPr>
          <w:rFonts w:ascii="Arial" w:hAnsi="Arial" w:cs="Arial"/>
          <w:color w:val="000000"/>
          <w:sz w:val="22"/>
          <w:szCs w:val="22"/>
          <w:shd w:val="clear" w:color="auto" w:fill="FCFCFC"/>
        </w:rPr>
        <w:t xml:space="preserve">ntidad </w:t>
      </w:r>
      <w:r w:rsidR="00AE40CF">
        <w:rPr>
          <w:rFonts w:ascii="Arial" w:hAnsi="Arial" w:cs="Arial"/>
          <w:color w:val="000000"/>
          <w:sz w:val="22"/>
          <w:szCs w:val="22"/>
          <w:shd w:val="clear" w:color="auto" w:fill="FCFCFC"/>
        </w:rPr>
        <w:t>T</w:t>
      </w:r>
      <w:r>
        <w:rPr>
          <w:rFonts w:ascii="Arial" w:hAnsi="Arial" w:cs="Arial"/>
          <w:color w:val="000000"/>
          <w:sz w:val="22"/>
          <w:szCs w:val="22"/>
          <w:shd w:val="clear" w:color="auto" w:fill="FCFCFC"/>
        </w:rPr>
        <w:t xml:space="preserve">erritorial podría contar con </w:t>
      </w:r>
      <w:r w:rsidR="00EC4DAE">
        <w:rPr>
          <w:rFonts w:ascii="Arial" w:hAnsi="Arial" w:cs="Arial"/>
          <w:color w:val="000000"/>
          <w:sz w:val="22"/>
          <w:szCs w:val="22"/>
          <w:shd w:val="clear" w:color="auto" w:fill="FCFCFC"/>
        </w:rPr>
        <w:t>un mayor flujo de recursos que podrían coadyuvar a la financiación de algunas inversiones.</w:t>
      </w:r>
    </w:p>
    <w:p w:rsidR="00355BC7" w:rsidRDefault="00355BC7" w:rsidP="00355BC7">
      <w:pPr>
        <w:autoSpaceDE w:val="0"/>
        <w:autoSpaceDN w:val="0"/>
        <w:adjustRightInd w:val="0"/>
        <w:jc w:val="both"/>
        <w:rPr>
          <w:rFonts w:ascii="Arial" w:hAnsi="Arial" w:cs="Arial"/>
          <w:color w:val="000000"/>
          <w:sz w:val="22"/>
          <w:szCs w:val="22"/>
          <w:shd w:val="clear" w:color="auto" w:fill="FCFCFC"/>
        </w:rPr>
      </w:pPr>
    </w:p>
    <w:p w:rsidR="00355BC7" w:rsidRDefault="00355BC7" w:rsidP="00355BC7">
      <w:pPr>
        <w:autoSpaceDE w:val="0"/>
        <w:autoSpaceDN w:val="0"/>
        <w:adjustRightInd w:val="0"/>
        <w:jc w:val="both"/>
        <w:rPr>
          <w:rFonts w:ascii="Arial" w:hAnsi="Arial" w:cs="Arial"/>
          <w:color w:val="000000"/>
          <w:sz w:val="22"/>
          <w:szCs w:val="22"/>
          <w:shd w:val="clear" w:color="auto" w:fill="FCFCFC"/>
        </w:rPr>
      </w:pPr>
      <w:r>
        <w:rPr>
          <w:rFonts w:ascii="Arial" w:hAnsi="Arial" w:cs="Arial"/>
          <w:color w:val="000000"/>
          <w:sz w:val="22"/>
          <w:szCs w:val="22"/>
          <w:shd w:val="clear" w:color="auto" w:fill="FCFCFC"/>
        </w:rPr>
        <w:t xml:space="preserve">Aunado a lo anterior el Municipio presenta una baja capacidad institucional reflejada en la falta de claridad en los temas sectoriales, inexistencia de archivos y desconocimiento de algunos temas, reportes erróneos de la información que se debe cargar al Formato Único Territorial-FUT. </w:t>
      </w:r>
    </w:p>
    <w:p w:rsidR="00355BC7" w:rsidRDefault="00355BC7" w:rsidP="00355BC7">
      <w:pPr>
        <w:autoSpaceDE w:val="0"/>
        <w:autoSpaceDN w:val="0"/>
        <w:adjustRightInd w:val="0"/>
        <w:jc w:val="both"/>
        <w:rPr>
          <w:rFonts w:ascii="Arial" w:hAnsi="Arial" w:cs="Arial"/>
          <w:color w:val="000000"/>
          <w:sz w:val="22"/>
          <w:szCs w:val="22"/>
          <w:shd w:val="clear" w:color="auto" w:fill="FCFCFC"/>
        </w:rPr>
      </w:pPr>
    </w:p>
    <w:p w:rsidR="00355BC7" w:rsidRPr="00752183" w:rsidRDefault="00355BC7" w:rsidP="00752183">
      <w:pPr>
        <w:pStyle w:val="Prrafodelista"/>
        <w:numPr>
          <w:ilvl w:val="0"/>
          <w:numId w:val="3"/>
        </w:numPr>
        <w:jc w:val="both"/>
        <w:rPr>
          <w:rFonts w:ascii="Arial" w:eastAsiaTheme="minorHAnsi" w:hAnsi="Arial" w:cs="Arial"/>
          <w:b/>
          <w:sz w:val="22"/>
          <w:szCs w:val="22"/>
          <w:lang w:eastAsia="en-US"/>
        </w:rPr>
      </w:pPr>
      <w:r w:rsidRPr="00752183">
        <w:rPr>
          <w:rFonts w:ascii="Arial" w:eastAsiaTheme="minorHAnsi" w:hAnsi="Arial" w:cs="Arial"/>
          <w:b/>
          <w:sz w:val="22"/>
          <w:szCs w:val="22"/>
          <w:lang w:eastAsia="en-US"/>
        </w:rPr>
        <w:t>EVENTOS DE RIESGOS</w:t>
      </w:r>
      <w:r w:rsidR="00AE40CF" w:rsidRPr="00752183">
        <w:rPr>
          <w:rFonts w:ascii="Arial" w:eastAsiaTheme="minorHAnsi" w:hAnsi="Arial" w:cs="Arial"/>
          <w:b/>
          <w:sz w:val="22"/>
          <w:szCs w:val="22"/>
          <w:lang w:eastAsia="en-US"/>
        </w:rPr>
        <w:t>.</w:t>
      </w:r>
    </w:p>
    <w:p w:rsidR="00355BC7" w:rsidRDefault="00355BC7" w:rsidP="00355BC7">
      <w:pPr>
        <w:jc w:val="both"/>
        <w:rPr>
          <w:rFonts w:ascii="Arial" w:eastAsiaTheme="minorHAnsi" w:hAnsi="Arial" w:cs="Arial"/>
          <w:b/>
          <w:sz w:val="22"/>
          <w:szCs w:val="22"/>
          <w:lang w:eastAsia="en-US"/>
        </w:rPr>
      </w:pPr>
    </w:p>
    <w:p w:rsidR="00355BC7" w:rsidRDefault="00355BC7" w:rsidP="00355BC7">
      <w:pPr>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A partir de la información recibida se identificaron los siguientes riesgos en virtud del artículo 9 del Decreto 028 de 2008.  </w:t>
      </w:r>
    </w:p>
    <w:p w:rsidR="00355BC7" w:rsidRDefault="00355BC7" w:rsidP="00355BC7">
      <w:pPr>
        <w:jc w:val="both"/>
        <w:rPr>
          <w:rFonts w:ascii="Arial" w:eastAsiaTheme="minorHAnsi" w:hAnsi="Arial" w:cs="Arial"/>
          <w:sz w:val="22"/>
          <w:szCs w:val="22"/>
          <w:lang w:eastAsia="en-US"/>
        </w:rPr>
      </w:pPr>
    </w:p>
    <w:p w:rsidR="00355BC7" w:rsidRDefault="00355BC7" w:rsidP="00355BC7">
      <w:pPr>
        <w:jc w:val="both"/>
        <w:rPr>
          <w:rFonts w:ascii="Arial" w:hAnsi="Arial" w:cs="Arial"/>
          <w:b/>
          <w:i/>
          <w:sz w:val="22"/>
          <w:szCs w:val="22"/>
        </w:rPr>
      </w:pPr>
      <w:r>
        <w:rPr>
          <w:rFonts w:ascii="Arial" w:hAnsi="Arial" w:cs="Arial"/>
          <w:b/>
          <w:sz w:val="22"/>
          <w:szCs w:val="22"/>
        </w:rPr>
        <w:t xml:space="preserve">1. </w:t>
      </w:r>
      <w:r w:rsidR="007C3EB1">
        <w:rPr>
          <w:rFonts w:ascii="Arial" w:hAnsi="Arial" w:cs="Arial"/>
          <w:b/>
          <w:sz w:val="22"/>
          <w:szCs w:val="22"/>
        </w:rPr>
        <w:t xml:space="preserve">Evento de </w:t>
      </w:r>
      <w:r>
        <w:rPr>
          <w:rFonts w:ascii="Arial" w:hAnsi="Arial" w:cs="Arial"/>
          <w:b/>
          <w:sz w:val="22"/>
          <w:szCs w:val="22"/>
        </w:rPr>
        <w:t xml:space="preserve">Riesgo 9.1 </w:t>
      </w:r>
      <w:r>
        <w:rPr>
          <w:rFonts w:ascii="Arial" w:hAnsi="Arial" w:cs="Arial"/>
          <w:b/>
          <w:i/>
          <w:sz w:val="22"/>
          <w:szCs w:val="22"/>
        </w:rPr>
        <w:t>“</w:t>
      </w:r>
      <w:r>
        <w:rPr>
          <w:rFonts w:ascii="Arial" w:hAnsi="Arial" w:cs="Arial"/>
          <w:b/>
          <w:i/>
          <w:iCs/>
          <w:sz w:val="22"/>
          <w:szCs w:val="22"/>
        </w:rPr>
        <w:t>No envío de información conforme a los plazos, condiciones y formatos indicados por el gobierno nacional y/o haber remitido información incompleta y/o errónea</w:t>
      </w:r>
      <w:r>
        <w:rPr>
          <w:rFonts w:ascii="Arial" w:hAnsi="Arial" w:cs="Arial"/>
          <w:b/>
          <w:i/>
          <w:sz w:val="22"/>
          <w:szCs w:val="22"/>
        </w:rPr>
        <w:t>”.</w:t>
      </w:r>
    </w:p>
    <w:p w:rsidR="00355BC7" w:rsidRDefault="00355BC7" w:rsidP="00355BC7">
      <w:pPr>
        <w:jc w:val="both"/>
        <w:rPr>
          <w:rFonts w:ascii="Arial" w:eastAsiaTheme="minorHAnsi" w:hAnsi="Arial" w:cs="Arial"/>
          <w:sz w:val="22"/>
          <w:szCs w:val="22"/>
          <w:lang w:eastAsia="en-US"/>
        </w:rPr>
      </w:pPr>
    </w:p>
    <w:p w:rsidR="00355BC7" w:rsidRDefault="00355BC7" w:rsidP="00355BC7">
      <w:pPr>
        <w:jc w:val="both"/>
        <w:rPr>
          <w:rFonts w:ascii="Arial" w:hAnsi="Arial" w:cs="Arial"/>
          <w:b/>
          <w:sz w:val="22"/>
          <w:szCs w:val="22"/>
        </w:rPr>
      </w:pPr>
      <w:r>
        <w:rPr>
          <w:rFonts w:ascii="Arial" w:hAnsi="Arial" w:cs="Arial"/>
          <w:b/>
          <w:sz w:val="22"/>
          <w:szCs w:val="22"/>
        </w:rPr>
        <w:t>Inconsistencias en la información</w:t>
      </w:r>
      <w:r w:rsidR="007C3EB1">
        <w:rPr>
          <w:rFonts w:ascii="Arial" w:hAnsi="Arial" w:cs="Arial"/>
          <w:b/>
          <w:sz w:val="22"/>
          <w:szCs w:val="22"/>
        </w:rPr>
        <w:t>.</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 xml:space="preserve">De acuerdo con lo establecido en el artículo 2.6.4.3 del Decreto 1068 de 2015, modificado por el artículo primero del Decreto 1536 de 2016 las entidades territoriales tienen la obligación de cargue de la información solicitada por la norma en el Formulario Único </w:t>
      </w:r>
      <w:r>
        <w:rPr>
          <w:rFonts w:ascii="Arial" w:hAnsi="Arial" w:cs="Arial"/>
          <w:sz w:val="22"/>
          <w:szCs w:val="22"/>
        </w:rPr>
        <w:lastRenderedPageBreak/>
        <w:t xml:space="preserve">Territorial – FUT de manera trimestral. Dicha información debe ser consistente y coherente con la información oficial contable de la entidad territorial. </w:t>
      </w:r>
    </w:p>
    <w:p w:rsidR="00355BC7" w:rsidRDefault="00355BC7" w:rsidP="00355BC7">
      <w:pPr>
        <w:jc w:val="both"/>
        <w:rPr>
          <w:rFonts w:ascii="Arial" w:hAnsi="Arial" w:cs="Arial"/>
          <w:sz w:val="22"/>
          <w:szCs w:val="22"/>
          <w:highlight w:val="yellow"/>
        </w:rPr>
      </w:pPr>
    </w:p>
    <w:p w:rsidR="00355BC7" w:rsidRDefault="00355BC7" w:rsidP="00355BC7">
      <w:pPr>
        <w:jc w:val="both"/>
        <w:rPr>
          <w:rFonts w:ascii="Arial" w:hAnsi="Arial" w:cs="Arial"/>
          <w:sz w:val="22"/>
          <w:szCs w:val="22"/>
        </w:rPr>
      </w:pPr>
      <w:r>
        <w:rPr>
          <w:rFonts w:ascii="Arial" w:hAnsi="Arial" w:cs="Arial"/>
          <w:sz w:val="22"/>
          <w:szCs w:val="22"/>
        </w:rPr>
        <w:t>Los Formatos sobre reservas presupuestales e ingresos que amparan reservas presupuestales no se incorporó la información relacionada con SGP_APSB. Según los cierres fiscales de 2019 y 2020, el Municipio constituyo reservas presupuestales por $960 millones y $161 millones respectivamente, al verificar en los formatos de las categorías del FUT “</w:t>
      </w:r>
      <w:r w:rsidRPr="00752183">
        <w:rPr>
          <w:rFonts w:ascii="Arial" w:hAnsi="Arial" w:cs="Arial"/>
          <w:i/>
          <w:sz w:val="22"/>
          <w:szCs w:val="22"/>
        </w:rPr>
        <w:t>Ingresos Reservas</w:t>
      </w:r>
      <w:r w:rsidR="007C3EB1">
        <w:rPr>
          <w:rFonts w:ascii="Arial" w:hAnsi="Arial" w:cs="Arial"/>
          <w:sz w:val="22"/>
          <w:szCs w:val="22"/>
        </w:rPr>
        <w:t>”</w:t>
      </w:r>
      <w:r>
        <w:rPr>
          <w:rFonts w:ascii="Arial" w:hAnsi="Arial" w:cs="Arial"/>
          <w:sz w:val="22"/>
          <w:szCs w:val="22"/>
        </w:rPr>
        <w:t xml:space="preserve"> y “</w:t>
      </w:r>
      <w:r w:rsidRPr="00752183">
        <w:rPr>
          <w:rFonts w:ascii="Arial" w:hAnsi="Arial" w:cs="Arial"/>
          <w:i/>
          <w:sz w:val="22"/>
          <w:szCs w:val="22"/>
        </w:rPr>
        <w:t>Ejecución de reservas</w:t>
      </w:r>
      <w:r>
        <w:rPr>
          <w:rFonts w:ascii="Arial" w:hAnsi="Arial" w:cs="Arial"/>
          <w:sz w:val="22"/>
          <w:szCs w:val="22"/>
        </w:rPr>
        <w:t>” no se registró la totalidad de las cifras, pues solo se adicionaron $26 millones en 2019, y en el 2020 no se registró ningún recurso.</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noProof/>
          <w:lang w:val="es-CO" w:eastAsia="es-CO"/>
        </w:rPr>
        <w:drawing>
          <wp:inline distT="0" distB="0" distL="0" distR="0">
            <wp:extent cx="5612765" cy="2723515"/>
            <wp:effectExtent l="0" t="0" r="698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765" cy="2723515"/>
                    </a:xfrm>
                    <a:prstGeom prst="rect">
                      <a:avLst/>
                    </a:prstGeom>
                    <a:noFill/>
                    <a:ln>
                      <a:noFill/>
                    </a:ln>
                  </pic:spPr>
                </pic:pic>
              </a:graphicData>
            </a:graphic>
          </wp:inline>
        </w:drawing>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noProof/>
          <w:lang w:val="es-CO" w:eastAsia="es-CO"/>
        </w:rPr>
        <w:drawing>
          <wp:inline distT="0" distB="0" distL="0" distR="0">
            <wp:extent cx="5612765" cy="894715"/>
            <wp:effectExtent l="0" t="0" r="698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765" cy="894715"/>
                    </a:xfrm>
                    <a:prstGeom prst="rect">
                      <a:avLst/>
                    </a:prstGeom>
                    <a:noFill/>
                    <a:ln>
                      <a:noFill/>
                    </a:ln>
                  </pic:spPr>
                </pic:pic>
              </a:graphicData>
            </a:graphic>
          </wp:inline>
        </w:drawing>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Por otra parte, El Municipio presupuesta y registra en partida doble las obligaciones por servicio de la deuda (2019 y 2020), pues la registra en el gasto de inversión (Categoría Gasto de inversión- FUT-Ejecución Presupuestal de Gasto) y también en el formato de la Categoría del “</w:t>
      </w:r>
      <w:r w:rsidRPr="00752183">
        <w:rPr>
          <w:rFonts w:ascii="Arial" w:hAnsi="Arial" w:cs="Arial"/>
          <w:i/>
          <w:sz w:val="22"/>
          <w:szCs w:val="22"/>
        </w:rPr>
        <w:t>Servicio de la Deuda</w:t>
      </w:r>
      <w:r>
        <w:rPr>
          <w:rFonts w:ascii="Arial" w:hAnsi="Arial" w:cs="Arial"/>
          <w:sz w:val="22"/>
          <w:szCs w:val="22"/>
        </w:rPr>
        <w:t>”, lo que genera distorsión en la interpretación de los resultados fiscales.</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b/>
          <w:sz w:val="22"/>
          <w:szCs w:val="22"/>
          <w:u w:val="single"/>
        </w:rPr>
      </w:pPr>
      <w:r>
        <w:rPr>
          <w:rFonts w:ascii="Arial" w:hAnsi="Arial" w:cs="Arial"/>
          <w:b/>
          <w:sz w:val="22"/>
          <w:szCs w:val="22"/>
          <w:u w:val="single"/>
        </w:rPr>
        <w:t>Registro Ejecución Presupuestal de Gastos</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sz w:val="22"/>
          <w:szCs w:val="22"/>
        </w:rPr>
      </w:pPr>
      <w:r>
        <w:rPr>
          <w:rFonts w:ascii="Arial" w:hAnsi="Arial" w:cs="Arial"/>
          <w:noProof/>
          <w:lang w:val="es-CO" w:eastAsia="es-CO"/>
        </w:rPr>
        <w:drawing>
          <wp:inline distT="0" distB="0" distL="0" distR="0">
            <wp:extent cx="5622290"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2290" cy="661670"/>
                    </a:xfrm>
                    <a:prstGeom prst="rect">
                      <a:avLst/>
                    </a:prstGeom>
                    <a:noFill/>
                    <a:ln>
                      <a:noFill/>
                    </a:ln>
                  </pic:spPr>
                </pic:pic>
              </a:graphicData>
            </a:graphic>
          </wp:inline>
        </w:drawing>
      </w:r>
    </w:p>
    <w:p w:rsidR="00355BC7" w:rsidRDefault="00355BC7" w:rsidP="00355BC7">
      <w:pPr>
        <w:jc w:val="both"/>
        <w:rPr>
          <w:rFonts w:ascii="Arial" w:hAnsi="Arial" w:cs="Arial"/>
          <w:sz w:val="12"/>
          <w:szCs w:val="12"/>
        </w:rPr>
      </w:pPr>
      <w:r>
        <w:rPr>
          <w:rFonts w:ascii="Arial" w:hAnsi="Arial" w:cs="Arial"/>
          <w:b/>
          <w:sz w:val="12"/>
          <w:szCs w:val="12"/>
        </w:rPr>
        <w:t>Fuente:</w:t>
      </w:r>
      <w:r>
        <w:rPr>
          <w:rFonts w:ascii="Arial" w:hAnsi="Arial" w:cs="Arial"/>
          <w:sz w:val="12"/>
          <w:szCs w:val="12"/>
        </w:rPr>
        <w:t xml:space="preserve"> Ejecución Presupuestal Municipio de Mitú-2020</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b/>
          <w:sz w:val="22"/>
          <w:szCs w:val="22"/>
          <w:u w:val="single"/>
        </w:rPr>
      </w:pPr>
      <w:r>
        <w:rPr>
          <w:rFonts w:ascii="Arial" w:hAnsi="Arial" w:cs="Arial"/>
          <w:b/>
          <w:sz w:val="22"/>
          <w:szCs w:val="22"/>
          <w:u w:val="single"/>
        </w:rPr>
        <w:t xml:space="preserve">Registro FUT Categoría- Gastos de Inversión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noProof/>
          <w:lang w:val="es-CO" w:eastAsia="es-CO"/>
        </w:rPr>
        <w:drawing>
          <wp:inline distT="0" distB="0" distL="0" distR="0">
            <wp:extent cx="5612765" cy="150749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765" cy="1507490"/>
                    </a:xfrm>
                    <a:prstGeom prst="rect">
                      <a:avLst/>
                    </a:prstGeom>
                    <a:noFill/>
                    <a:ln>
                      <a:noFill/>
                    </a:ln>
                  </pic:spPr>
                </pic:pic>
              </a:graphicData>
            </a:graphic>
          </wp:inline>
        </w:drawing>
      </w:r>
    </w:p>
    <w:p w:rsidR="00355BC7" w:rsidRDefault="00355BC7" w:rsidP="00355BC7">
      <w:pPr>
        <w:jc w:val="both"/>
        <w:rPr>
          <w:rFonts w:ascii="Arial" w:hAnsi="Arial" w:cs="Arial"/>
          <w:sz w:val="12"/>
          <w:szCs w:val="12"/>
        </w:rPr>
      </w:pPr>
      <w:r>
        <w:rPr>
          <w:rFonts w:ascii="Arial" w:hAnsi="Arial" w:cs="Arial"/>
          <w:b/>
          <w:sz w:val="12"/>
          <w:szCs w:val="12"/>
        </w:rPr>
        <w:t>Fuente:</w:t>
      </w:r>
      <w:r>
        <w:rPr>
          <w:rFonts w:ascii="Arial" w:hAnsi="Arial" w:cs="Arial"/>
          <w:sz w:val="12"/>
          <w:szCs w:val="12"/>
        </w:rPr>
        <w:t xml:space="preserve"> FUT Categoría Ingresos 2020</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sz w:val="22"/>
          <w:szCs w:val="22"/>
          <w:u w:val="single"/>
        </w:rPr>
      </w:pPr>
      <w:r>
        <w:rPr>
          <w:rFonts w:ascii="Arial" w:hAnsi="Arial" w:cs="Arial"/>
          <w:b/>
          <w:sz w:val="22"/>
          <w:szCs w:val="22"/>
          <w:u w:val="single"/>
        </w:rPr>
        <w:t>Registro FUT Categoría-Servicio de la Deuda</w:t>
      </w:r>
      <w:r w:rsidR="007C3EB1">
        <w:rPr>
          <w:rFonts w:ascii="Arial" w:hAnsi="Arial" w:cs="Arial"/>
          <w:b/>
          <w:sz w:val="22"/>
          <w:szCs w:val="22"/>
          <w:u w:val="single"/>
        </w:rPr>
        <w:t>.</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noProof/>
          <w:lang w:val="es-CO" w:eastAsia="es-CO"/>
        </w:rPr>
        <w:drawing>
          <wp:inline distT="0" distB="0" distL="0" distR="0">
            <wp:extent cx="5632450" cy="18872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2450" cy="1887220"/>
                    </a:xfrm>
                    <a:prstGeom prst="rect">
                      <a:avLst/>
                    </a:prstGeom>
                    <a:noFill/>
                    <a:ln>
                      <a:noFill/>
                    </a:ln>
                  </pic:spPr>
                </pic:pic>
              </a:graphicData>
            </a:graphic>
          </wp:inline>
        </w:drawing>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b/>
          <w:sz w:val="22"/>
          <w:szCs w:val="22"/>
        </w:rPr>
      </w:pPr>
      <w:r>
        <w:rPr>
          <w:rFonts w:ascii="Arial" w:hAnsi="Arial" w:cs="Arial"/>
          <w:b/>
          <w:sz w:val="22"/>
          <w:szCs w:val="22"/>
        </w:rPr>
        <w:t>Evidencia</w:t>
      </w:r>
      <w:r w:rsidR="007C3EB1">
        <w:rPr>
          <w:rFonts w:ascii="Arial" w:hAnsi="Arial" w:cs="Arial"/>
          <w:b/>
          <w:sz w:val="22"/>
          <w:szCs w:val="22"/>
        </w:rPr>
        <w:t>:</w:t>
      </w:r>
    </w:p>
    <w:p w:rsidR="00355BC7" w:rsidRDefault="00355BC7" w:rsidP="00355BC7">
      <w:pPr>
        <w:jc w:val="both"/>
        <w:rPr>
          <w:rFonts w:ascii="Arial" w:eastAsia="Times New Roman" w:hAnsi="Arial" w:cs="Arial"/>
          <w:sz w:val="22"/>
          <w:szCs w:val="22"/>
          <w:lang w:eastAsia="es-CO"/>
        </w:rPr>
      </w:pPr>
    </w:p>
    <w:p w:rsidR="00355BC7" w:rsidRDefault="00355BC7" w:rsidP="00355BC7">
      <w:pPr>
        <w:jc w:val="both"/>
        <w:rPr>
          <w:rFonts w:ascii="Arial" w:hAnsi="Arial" w:cs="Arial"/>
          <w:sz w:val="22"/>
          <w:szCs w:val="22"/>
        </w:rPr>
      </w:pPr>
      <w:r>
        <w:rPr>
          <w:rFonts w:ascii="Arial" w:eastAsia="Times New Roman" w:hAnsi="Arial" w:cs="Arial"/>
          <w:sz w:val="22"/>
          <w:szCs w:val="22"/>
          <w:lang w:eastAsia="es-CO"/>
        </w:rPr>
        <w:t>Reporte al Consolidador de Hacienda e Información Pública - CHIP del municipio de Mitú– Vaupés – Formulario Único Territorial – FUT Vigencia 2019 -2020 Participación de Agua Potable y Saneamiento Básico, Mitú - serie “Historial de seguimiento y Control a los recursos del Sistema General de Participaciones – Ejecución y Seguimiento” Expediente Digital No 13/2018/D028—PREDI Diagnostico del 29 de marzo del 2019 en el SIED, enlace</w:t>
      </w:r>
      <w:r w:rsidR="007C3EB1">
        <w:rPr>
          <w:rFonts w:ascii="Arial" w:eastAsia="Times New Roman" w:hAnsi="Arial" w:cs="Arial"/>
          <w:sz w:val="22"/>
          <w:szCs w:val="22"/>
          <w:lang w:eastAsia="es-CO"/>
        </w:rPr>
        <w:t>:</w:t>
      </w:r>
    </w:p>
    <w:p w:rsidR="00355BC7" w:rsidRPr="00752183" w:rsidRDefault="00CF44D2" w:rsidP="00355BC7">
      <w:pPr>
        <w:jc w:val="both"/>
        <w:rPr>
          <w:rFonts w:ascii="Arial" w:hAnsi="Arial" w:cs="Arial"/>
          <w:sz w:val="20"/>
          <w:szCs w:val="20"/>
        </w:rPr>
      </w:pPr>
      <w:hyperlink r:id="rId39" w:history="1">
        <w:r w:rsidR="00355BC7" w:rsidRPr="00752183">
          <w:rPr>
            <w:rStyle w:val="Hipervnculo"/>
            <w:rFonts w:ascii="Arial" w:hAnsi="Arial" w:cs="Arial"/>
            <w:sz w:val="20"/>
            <w:szCs w:val="20"/>
          </w:rPr>
          <w:t>http://portalgestiondoc.minhacienda.red/PortalEmpleado/#url-960061</w:t>
        </w:r>
      </w:hyperlink>
    </w:p>
    <w:p w:rsidR="00355BC7" w:rsidRDefault="00355BC7" w:rsidP="00355BC7">
      <w:pPr>
        <w:jc w:val="both"/>
        <w:rPr>
          <w:rFonts w:ascii="Arial" w:hAnsi="Arial" w:cs="Arial"/>
          <w:sz w:val="22"/>
          <w:szCs w:val="22"/>
        </w:rPr>
      </w:pPr>
    </w:p>
    <w:p w:rsidR="00355BC7" w:rsidRDefault="00355BC7" w:rsidP="00355BC7">
      <w:pPr>
        <w:jc w:val="both"/>
        <w:rPr>
          <w:rFonts w:ascii="Arial" w:eastAsia="Times New Roman" w:hAnsi="Arial" w:cs="Arial"/>
          <w:sz w:val="22"/>
          <w:szCs w:val="22"/>
          <w:lang w:eastAsia="es-CO"/>
        </w:rPr>
      </w:pPr>
      <w:r>
        <w:rPr>
          <w:rFonts w:ascii="Arial" w:hAnsi="Arial" w:cs="Arial"/>
          <w:sz w:val="22"/>
          <w:szCs w:val="22"/>
        </w:rPr>
        <w:t xml:space="preserve">Ejecución Presupuestal del municipio </w:t>
      </w:r>
      <w:r>
        <w:rPr>
          <w:rFonts w:ascii="Arial" w:eastAsia="Times New Roman" w:hAnsi="Arial" w:cs="Arial"/>
          <w:sz w:val="22"/>
          <w:szCs w:val="22"/>
          <w:lang w:eastAsia="es-CO"/>
        </w:rPr>
        <w:t xml:space="preserve">Mitú– Vaupés </w:t>
      </w:r>
      <w:r>
        <w:rPr>
          <w:rFonts w:ascii="Arial" w:hAnsi="Arial" w:cs="Arial"/>
          <w:sz w:val="22"/>
          <w:szCs w:val="22"/>
        </w:rPr>
        <w:t xml:space="preserve">vigencias 2019-2020 </w:t>
      </w:r>
      <w:r>
        <w:rPr>
          <w:rFonts w:ascii="Arial" w:eastAsia="Times New Roman" w:hAnsi="Arial" w:cs="Arial"/>
          <w:sz w:val="22"/>
          <w:szCs w:val="22"/>
          <w:lang w:eastAsia="es-CO"/>
        </w:rPr>
        <w:t>Participación de Agua Potable y Saneamiento Básico, Mitú– Vaupés serie “Historial de seguimiento y Control a los recursos del Sistema General de Participaciones – Ejecución y Seguimiento” Expediente Digital No 13/2018/D028-PREDI Radicado No 1-2019-052503 del 16 de diciembre de 2019. enlace:</w:t>
      </w:r>
    </w:p>
    <w:p w:rsidR="00355BC7" w:rsidRPr="00752183" w:rsidRDefault="00CF44D2" w:rsidP="00355BC7">
      <w:pPr>
        <w:jc w:val="both"/>
        <w:rPr>
          <w:rFonts w:ascii="Arial" w:hAnsi="Arial" w:cs="Arial"/>
          <w:sz w:val="20"/>
          <w:szCs w:val="20"/>
        </w:rPr>
      </w:pPr>
      <w:hyperlink r:id="rId40" w:anchor="url-960061" w:history="1">
        <w:r w:rsidR="00355BC7" w:rsidRPr="00752183">
          <w:rPr>
            <w:rStyle w:val="Hipervnculo"/>
            <w:rFonts w:ascii="Arial" w:hAnsi="Arial" w:cs="Arial"/>
            <w:sz w:val="20"/>
            <w:szCs w:val="20"/>
          </w:rPr>
          <w:t>http://portalgestiondoc.minhacienda.red/PortalEmpleado/#url-960061</w:t>
        </w:r>
      </w:hyperlink>
    </w:p>
    <w:p w:rsidR="00355BC7" w:rsidRDefault="00355BC7" w:rsidP="00355BC7">
      <w:pPr>
        <w:jc w:val="both"/>
        <w:rPr>
          <w:rFonts w:ascii="Arial" w:hAnsi="Arial" w:cs="Arial"/>
          <w:sz w:val="22"/>
          <w:szCs w:val="22"/>
        </w:rPr>
      </w:pPr>
    </w:p>
    <w:p w:rsidR="00355BC7" w:rsidRDefault="00355BC7" w:rsidP="00355BC7">
      <w:pPr>
        <w:tabs>
          <w:tab w:val="left" w:pos="8460"/>
        </w:tabs>
        <w:jc w:val="both"/>
        <w:rPr>
          <w:rFonts w:ascii="Arial" w:hAnsi="Arial" w:cs="Arial"/>
          <w:b/>
          <w:iCs/>
          <w:sz w:val="22"/>
          <w:szCs w:val="22"/>
        </w:rPr>
      </w:pPr>
      <w:r>
        <w:rPr>
          <w:rFonts w:ascii="Arial" w:hAnsi="Arial" w:cs="Arial"/>
          <w:b/>
          <w:sz w:val="22"/>
          <w:szCs w:val="22"/>
        </w:rPr>
        <w:t xml:space="preserve">2. </w:t>
      </w:r>
      <w:r w:rsidR="007C3EB1">
        <w:rPr>
          <w:rFonts w:ascii="Arial" w:hAnsi="Arial" w:cs="Arial"/>
          <w:b/>
          <w:sz w:val="22"/>
          <w:szCs w:val="22"/>
        </w:rPr>
        <w:t xml:space="preserve">Evento de </w:t>
      </w:r>
      <w:r>
        <w:rPr>
          <w:rFonts w:ascii="Arial" w:hAnsi="Arial" w:cs="Arial"/>
          <w:b/>
          <w:sz w:val="22"/>
          <w:szCs w:val="22"/>
        </w:rPr>
        <w:t xml:space="preserve">Riesgo 9.3. </w:t>
      </w:r>
      <w:r>
        <w:rPr>
          <w:rFonts w:ascii="Arial" w:hAnsi="Arial" w:cs="Arial"/>
          <w:b/>
          <w:i/>
          <w:sz w:val="22"/>
          <w:szCs w:val="22"/>
        </w:rPr>
        <w:t>“Presentar a la corporación de elección popular correspondiente un presupuesto no ajustado a las normas que rigen la programación y ejecución de los recursos del sistema general de participaciones”</w:t>
      </w:r>
      <w:r>
        <w:rPr>
          <w:rFonts w:ascii="Arial" w:hAnsi="Arial" w:cs="Arial"/>
          <w:b/>
          <w:iCs/>
          <w:sz w:val="22"/>
          <w:szCs w:val="22"/>
        </w:rPr>
        <w:t>.</w:t>
      </w:r>
    </w:p>
    <w:p w:rsidR="00355BC7" w:rsidRDefault="00355BC7" w:rsidP="00355BC7">
      <w:pPr>
        <w:jc w:val="both"/>
        <w:rPr>
          <w:rFonts w:ascii="Arial" w:eastAsiaTheme="minorHAnsi" w:hAnsi="Arial" w:cs="Arial"/>
          <w:sz w:val="22"/>
          <w:szCs w:val="22"/>
          <w:lang w:eastAsia="en-US"/>
        </w:rPr>
      </w:pPr>
    </w:p>
    <w:p w:rsidR="00355BC7" w:rsidRDefault="00355BC7" w:rsidP="00355BC7">
      <w:pPr>
        <w:jc w:val="both"/>
        <w:rPr>
          <w:rFonts w:ascii="Arial" w:eastAsiaTheme="minorHAnsi" w:hAnsi="Arial" w:cs="Arial"/>
          <w:sz w:val="22"/>
          <w:szCs w:val="22"/>
        </w:rPr>
      </w:pPr>
      <w:r>
        <w:rPr>
          <w:rFonts w:ascii="Arial" w:hAnsi="Arial" w:cs="Arial"/>
          <w:sz w:val="22"/>
          <w:szCs w:val="22"/>
        </w:rPr>
        <w:t>De acuerdo con el artículo 89 de la Ley 142 de 1994 los concejos municipales y distritales deben crear los Fondos de Solidaridad y Redistribución de Ingresos – FSRI para que al presupuesto del municipio o distrito se incorporen las transferencias que a dichos fondos deberán hacer las empresas de servicios públicos domiciliaros.</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Al respecto el numeral 9 del artículo 2.3.5.1.1.2.4 del Decreto 1077 de 2015 establece que</w:t>
      </w:r>
      <w:r>
        <w:rPr>
          <w:rFonts w:ascii="Arial" w:hAnsi="Arial" w:cs="Arial"/>
          <w:i/>
          <w:sz w:val="22"/>
          <w:szCs w:val="22"/>
        </w:rPr>
        <w:t xml:space="preserve"> “Son cuentas especiales que de acuerdo con la Ley 142 de 1994, deben constituir los municipios, distritos y departamentos en su contabilidad y presupuesto, a través de las cuales se contabilizarán los recursos destinados a otorgar subsidios a los servicios públicos domiciliarios.”</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i/>
          <w:sz w:val="22"/>
          <w:szCs w:val="22"/>
          <w:lang w:val="es-CO"/>
        </w:rPr>
      </w:pPr>
      <w:r>
        <w:rPr>
          <w:rFonts w:ascii="Arial" w:hAnsi="Arial" w:cs="Arial"/>
          <w:sz w:val="22"/>
          <w:szCs w:val="22"/>
          <w:lang w:val="es-CO"/>
        </w:rPr>
        <w:t xml:space="preserve">Adicionalmente, el artículo 109 del Decreto 111 de 1996 señala que </w:t>
      </w:r>
      <w:r>
        <w:rPr>
          <w:rFonts w:ascii="Arial" w:hAnsi="Arial" w:cs="Arial"/>
          <w:i/>
          <w:sz w:val="22"/>
          <w:szCs w:val="22"/>
          <w:lang w:val="es-CO"/>
        </w:rPr>
        <w:t>“Las entidades territoriales al expedir las normas orgánicas de presupuesto deberán seguir las disposiciones de la ley orgánica del presupuesto, adaptándolas a la organización, normas constitucionales y condiciones de cada entidad territorial. Mientras se expiden estas normas, se aplicará la ley orgánica del presupuesto en lo que fuere pertinente.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La Administración Municipal entregó copia del Acuerdo No. 017 del 29 de agosto de 2002, por medio del cual se creó el Fondo de Solidaridad y Redistribución Ingresos del Municipio de Mitú del que trata el artículo 89 de la Ley 142.</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lang w:val="es-CO"/>
        </w:rPr>
      </w:pPr>
      <w:r>
        <w:rPr>
          <w:rFonts w:ascii="Arial" w:hAnsi="Arial" w:cs="Arial"/>
          <w:sz w:val="22"/>
          <w:szCs w:val="22"/>
        </w:rPr>
        <w:t xml:space="preserve">La revisión realizada durante la auditoria a las ejecuciones presupuestales de ingresos, de las vigencias 2019 y 2020 evidenció que la Entidad Territorial no incorpora en el presupuesto </w:t>
      </w:r>
      <w:r>
        <w:rPr>
          <w:rFonts w:ascii="Arial" w:hAnsi="Arial" w:cs="Arial"/>
          <w:sz w:val="22"/>
          <w:szCs w:val="22"/>
          <w:lang w:val="es-CO"/>
        </w:rPr>
        <w:t>la cuenta presupuestal de rentas correspondiente al Fondo de Solidaridad y Redistribución del Ingreso, a pesar de que de conformidad con los artículos 11 y 30 del Decreto 111 de 1996, los fondos especiales son cuentas de ingreso y no de gasto y el FSRI corresponde a un Fondo Especial, en consecuencia, el presupuesto se presentó sin el lleno de los requisitos a la Corporación Administrativa, vulnerando las disposiciones contenidas en el Estatuto Orgánico de Presupuesto.</w:t>
      </w:r>
    </w:p>
    <w:p w:rsidR="00355BC7" w:rsidRDefault="00355BC7" w:rsidP="00355BC7">
      <w:pPr>
        <w:jc w:val="both"/>
        <w:rPr>
          <w:rFonts w:ascii="Arial" w:eastAsia="Times New Roman" w:hAnsi="Arial" w:cs="Arial"/>
          <w:b/>
          <w:sz w:val="22"/>
          <w:szCs w:val="22"/>
          <w:lang w:val="es-CO" w:eastAsia="en-US"/>
        </w:rPr>
      </w:pPr>
    </w:p>
    <w:p w:rsidR="00355BC7" w:rsidRDefault="00355BC7" w:rsidP="00355BC7">
      <w:pPr>
        <w:jc w:val="both"/>
        <w:rPr>
          <w:rFonts w:ascii="Arial" w:hAnsi="Arial" w:cs="Arial"/>
          <w:sz w:val="22"/>
          <w:szCs w:val="22"/>
        </w:rPr>
      </w:pPr>
      <w:r>
        <w:rPr>
          <w:rFonts w:ascii="Arial" w:hAnsi="Arial" w:cs="Arial"/>
          <w:sz w:val="22"/>
          <w:szCs w:val="22"/>
        </w:rPr>
        <w:t xml:space="preserve">En este sentido se concluye que el FSRI no funciona presupuestalmente como un fondo especial (ya que no reporta los aportes recaudados en las ejecuciones de ingresos).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noProof/>
          <w:lang w:val="es-CO" w:eastAsia="es-CO"/>
        </w:rPr>
        <w:drawing>
          <wp:inline distT="0" distB="0" distL="0" distR="0">
            <wp:extent cx="5369560" cy="963295"/>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9560" cy="963295"/>
                    </a:xfrm>
                    <a:prstGeom prst="rect">
                      <a:avLst/>
                    </a:prstGeom>
                    <a:noFill/>
                    <a:ln>
                      <a:noFill/>
                    </a:ln>
                  </pic:spPr>
                </pic:pic>
              </a:graphicData>
            </a:graphic>
          </wp:inline>
        </w:drawing>
      </w:r>
    </w:p>
    <w:p w:rsidR="00355BC7" w:rsidRDefault="00355BC7" w:rsidP="00355BC7">
      <w:pPr>
        <w:jc w:val="both"/>
        <w:rPr>
          <w:rFonts w:ascii="Arial" w:hAnsi="Arial" w:cs="Arial"/>
          <w:sz w:val="16"/>
          <w:szCs w:val="16"/>
        </w:rPr>
      </w:pPr>
      <w:r>
        <w:rPr>
          <w:rFonts w:ascii="Arial" w:hAnsi="Arial" w:cs="Arial"/>
          <w:sz w:val="16"/>
          <w:szCs w:val="16"/>
        </w:rPr>
        <w:t>Fuente: Ejecución Presupuestal de ingresos 2020 Municipio de Mitú</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b/>
          <w:sz w:val="22"/>
          <w:szCs w:val="22"/>
        </w:rPr>
      </w:pPr>
      <w:r>
        <w:rPr>
          <w:rFonts w:ascii="Arial" w:hAnsi="Arial" w:cs="Arial"/>
          <w:b/>
          <w:sz w:val="22"/>
          <w:szCs w:val="22"/>
        </w:rPr>
        <w:t>Evidencia</w:t>
      </w:r>
      <w:r w:rsidR="007C3EB1">
        <w:rPr>
          <w:rFonts w:ascii="Arial" w:hAnsi="Arial" w:cs="Arial"/>
          <w:b/>
          <w:sz w:val="22"/>
          <w:szCs w:val="22"/>
        </w:rPr>
        <w:t>:</w:t>
      </w:r>
    </w:p>
    <w:p w:rsidR="00355BC7" w:rsidRDefault="00355BC7" w:rsidP="00355BC7">
      <w:pPr>
        <w:jc w:val="both"/>
        <w:rPr>
          <w:rFonts w:ascii="Arial" w:hAnsi="Arial" w:cs="Arial"/>
          <w:b/>
          <w:sz w:val="22"/>
          <w:szCs w:val="22"/>
        </w:rPr>
      </w:pPr>
    </w:p>
    <w:p w:rsidR="00355BC7" w:rsidRDefault="00355BC7" w:rsidP="00355BC7">
      <w:pPr>
        <w:jc w:val="both"/>
        <w:rPr>
          <w:rFonts w:ascii="Arial" w:eastAsia="Times New Roman" w:hAnsi="Arial" w:cs="Arial"/>
          <w:sz w:val="22"/>
          <w:szCs w:val="22"/>
          <w:lang w:eastAsia="es-CO"/>
        </w:rPr>
      </w:pPr>
      <w:r>
        <w:rPr>
          <w:rFonts w:ascii="Arial" w:hAnsi="Arial" w:cs="Arial"/>
          <w:sz w:val="22"/>
          <w:szCs w:val="22"/>
        </w:rPr>
        <w:t xml:space="preserve">Presupuesto Municipal 2019-2020, ejecución presupuestal de ingresos vigencias 2019-2020 </w:t>
      </w:r>
      <w:r>
        <w:rPr>
          <w:rFonts w:ascii="Arial" w:eastAsia="Times New Roman" w:hAnsi="Arial" w:cs="Arial"/>
          <w:sz w:val="22"/>
          <w:szCs w:val="22"/>
          <w:lang w:eastAsia="es-CO"/>
        </w:rPr>
        <w:t xml:space="preserve">Participación de Agua Potable y Saneamiento Básico, Mitú– Vaupés serie “Historial de Seguimiento y Control a los recursos del Sistema General de Participaciones – Ejecución </w:t>
      </w:r>
      <w:r>
        <w:rPr>
          <w:rFonts w:ascii="Arial" w:eastAsia="Times New Roman" w:hAnsi="Arial" w:cs="Arial"/>
          <w:sz w:val="22"/>
          <w:szCs w:val="22"/>
          <w:lang w:eastAsia="es-CO"/>
        </w:rPr>
        <w:lastRenderedPageBreak/>
        <w:t>y Seguimiento” Expediente Digital No 13/2018/D028-PREDI Radicado No 1-2019-052503 del 16 de diciembre de 2019. enlace:</w:t>
      </w:r>
    </w:p>
    <w:p w:rsidR="00355BC7" w:rsidRPr="00752183" w:rsidRDefault="00CF44D2" w:rsidP="00355BC7">
      <w:pPr>
        <w:jc w:val="both"/>
        <w:rPr>
          <w:rFonts w:ascii="Arial" w:hAnsi="Arial" w:cs="Arial"/>
          <w:sz w:val="20"/>
          <w:szCs w:val="20"/>
        </w:rPr>
      </w:pPr>
      <w:hyperlink r:id="rId42" w:anchor="url-960061" w:history="1">
        <w:r w:rsidR="00355BC7" w:rsidRPr="00752183">
          <w:rPr>
            <w:rStyle w:val="Hipervnculo"/>
            <w:rFonts w:ascii="Arial" w:hAnsi="Arial" w:cs="Arial"/>
            <w:sz w:val="20"/>
            <w:szCs w:val="20"/>
          </w:rPr>
          <w:t>http://portalgestiondoc.minhacienda.red/PortalEmpleado/#url-960061</w:t>
        </w:r>
      </w:hyperlink>
    </w:p>
    <w:p w:rsidR="00355BC7" w:rsidRDefault="00355BC7" w:rsidP="00355BC7">
      <w:pPr>
        <w:autoSpaceDE w:val="0"/>
        <w:autoSpaceDN w:val="0"/>
        <w:adjustRightInd w:val="0"/>
        <w:jc w:val="both"/>
        <w:rPr>
          <w:rFonts w:ascii="Arial" w:eastAsiaTheme="minorHAnsi" w:hAnsi="Arial" w:cs="Arial"/>
          <w:sz w:val="22"/>
          <w:szCs w:val="22"/>
          <w:lang w:val="es-CO" w:eastAsia="en-US"/>
        </w:rPr>
      </w:pPr>
    </w:p>
    <w:p w:rsidR="00355BC7" w:rsidRDefault="007C3EB1" w:rsidP="00355BC7">
      <w:pPr>
        <w:numPr>
          <w:ilvl w:val="0"/>
          <w:numId w:val="11"/>
        </w:numPr>
        <w:autoSpaceDE w:val="0"/>
        <w:autoSpaceDN w:val="0"/>
        <w:adjustRightInd w:val="0"/>
        <w:jc w:val="both"/>
        <w:rPr>
          <w:rFonts w:ascii="Arial" w:eastAsiaTheme="minorHAnsi" w:hAnsi="Arial" w:cs="Arial"/>
          <w:b/>
          <w:i/>
          <w:sz w:val="22"/>
          <w:szCs w:val="22"/>
          <w:lang w:val="es-CO" w:eastAsia="en-US"/>
        </w:rPr>
      </w:pPr>
      <w:r>
        <w:rPr>
          <w:rFonts w:ascii="Arial" w:hAnsi="Arial" w:cs="Arial"/>
          <w:b/>
          <w:sz w:val="22"/>
          <w:szCs w:val="22"/>
        </w:rPr>
        <w:t xml:space="preserve">Evento de </w:t>
      </w:r>
      <w:r w:rsidR="00355BC7">
        <w:rPr>
          <w:rFonts w:ascii="Arial" w:hAnsi="Arial" w:cs="Arial"/>
          <w:b/>
          <w:sz w:val="22"/>
          <w:szCs w:val="22"/>
        </w:rPr>
        <w:t>Riesgo</w:t>
      </w:r>
      <w:r w:rsidR="00355BC7">
        <w:rPr>
          <w:rFonts w:ascii="Arial" w:eastAsiaTheme="minorHAnsi" w:hAnsi="Arial" w:cs="Arial"/>
          <w:b/>
          <w:i/>
          <w:sz w:val="22"/>
          <w:szCs w:val="22"/>
          <w:lang w:val="es-CO" w:eastAsia="en-US"/>
        </w:rPr>
        <w:t xml:space="preserve"> 9.4. “Cambio en la Destinación de los recursos”</w:t>
      </w:r>
      <w:r>
        <w:rPr>
          <w:rFonts w:ascii="Arial" w:eastAsiaTheme="minorHAnsi" w:hAnsi="Arial" w:cs="Arial"/>
          <w:b/>
          <w:i/>
          <w:sz w:val="22"/>
          <w:szCs w:val="22"/>
          <w:lang w:val="es-CO" w:eastAsia="en-US"/>
        </w:rPr>
        <w:t>.</w:t>
      </w:r>
    </w:p>
    <w:p w:rsidR="00355BC7" w:rsidRDefault="00355BC7" w:rsidP="00355BC7">
      <w:pPr>
        <w:autoSpaceDE w:val="0"/>
        <w:autoSpaceDN w:val="0"/>
        <w:adjustRightInd w:val="0"/>
        <w:jc w:val="both"/>
        <w:rPr>
          <w:rFonts w:ascii="Arial" w:eastAsiaTheme="minorHAnsi" w:hAnsi="Arial" w:cs="Arial"/>
          <w:b/>
          <w:i/>
          <w:sz w:val="22"/>
          <w:szCs w:val="22"/>
          <w:lang w:val="es-CO" w:eastAsia="en-US"/>
        </w:rPr>
      </w:pPr>
    </w:p>
    <w:p w:rsidR="00355BC7" w:rsidRDefault="00355BC7" w:rsidP="00355BC7">
      <w:pPr>
        <w:autoSpaceDE w:val="0"/>
        <w:autoSpaceDN w:val="0"/>
        <w:adjustRightInd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Los recursos de la participación de Agua Potable y saneamiento Básico del SGP se deben destinar a la financiación de la prestación de los servicios públicos domiciliarios en las actividades clasificadas como elegibles de gasto en el artículo 11 de la Ley 1176 de 2007.</w:t>
      </w:r>
    </w:p>
    <w:p w:rsidR="00355BC7" w:rsidRDefault="00355BC7" w:rsidP="00355BC7">
      <w:pPr>
        <w:autoSpaceDE w:val="0"/>
        <w:autoSpaceDN w:val="0"/>
        <w:adjustRightInd w:val="0"/>
        <w:jc w:val="both"/>
        <w:rPr>
          <w:rFonts w:ascii="Arial" w:eastAsiaTheme="minorHAnsi" w:hAnsi="Arial" w:cs="Arial"/>
          <w:b/>
          <w:i/>
          <w:sz w:val="22"/>
          <w:szCs w:val="22"/>
          <w:lang w:val="es-CO" w:eastAsia="en-US"/>
        </w:rPr>
      </w:pPr>
    </w:p>
    <w:p w:rsidR="00355BC7" w:rsidRDefault="00355BC7" w:rsidP="00355BC7">
      <w:pPr>
        <w:autoSpaceDE w:val="0"/>
        <w:autoSpaceDN w:val="0"/>
        <w:adjustRightInd w:val="0"/>
        <w:jc w:val="both"/>
        <w:rPr>
          <w:rFonts w:ascii="Arial" w:eastAsia="CenturyGothic" w:hAnsi="Arial" w:cs="Arial"/>
          <w:sz w:val="22"/>
          <w:szCs w:val="22"/>
          <w:lang w:val="es-CO"/>
        </w:rPr>
      </w:pPr>
      <w:r>
        <w:rPr>
          <w:rFonts w:ascii="Arial" w:hAnsi="Arial" w:cs="Arial"/>
          <w:sz w:val="22"/>
          <w:szCs w:val="22"/>
          <w:lang w:val="es-CO"/>
        </w:rPr>
        <w:t>A parir de los contratos revisados y financiados con la participación de APSB-SGP de las vigencias 2017 y 2018 se identificó que se sufragaron gastos correspondientes a suministro de combustible, es decir gastos operativos que deben ser financiados con recursos percibidos por concepto de tarifa o con recursos propios. El monto de esa financiación fue de $22 millones y correspondió a los contratos No. 1</w:t>
      </w:r>
      <w:r>
        <w:rPr>
          <w:rFonts w:ascii="Arial" w:eastAsia="CenturyGothic" w:hAnsi="Arial" w:cs="Arial"/>
          <w:sz w:val="22"/>
          <w:szCs w:val="22"/>
          <w:lang w:val="es-CO"/>
        </w:rPr>
        <w:t>70 del 2017 por valor de $4.621. 760 y el No. 105 de 2019 que ascendió a $17.180.198</w:t>
      </w:r>
      <w:r w:rsidR="007C3EB1">
        <w:rPr>
          <w:rFonts w:ascii="Arial" w:eastAsia="CenturyGothic" w:hAnsi="Arial" w:cs="Arial"/>
          <w:sz w:val="22"/>
          <w:szCs w:val="22"/>
          <w:lang w:val="es-CO"/>
        </w:rPr>
        <w:t>.</w:t>
      </w:r>
    </w:p>
    <w:p w:rsidR="00355BC7" w:rsidRDefault="00355BC7" w:rsidP="00355BC7">
      <w:pPr>
        <w:autoSpaceDE w:val="0"/>
        <w:autoSpaceDN w:val="0"/>
        <w:adjustRightInd w:val="0"/>
        <w:jc w:val="both"/>
        <w:rPr>
          <w:rFonts w:ascii="Arial" w:eastAsia="CenturyGothic" w:hAnsi="Arial" w:cs="Arial"/>
          <w:sz w:val="22"/>
          <w:szCs w:val="22"/>
          <w:lang w:val="es-CO"/>
        </w:rPr>
      </w:pPr>
    </w:p>
    <w:p w:rsidR="00355BC7" w:rsidRDefault="00355BC7" w:rsidP="00355BC7">
      <w:pPr>
        <w:autoSpaceDE w:val="0"/>
        <w:autoSpaceDN w:val="0"/>
        <w:adjustRightInd w:val="0"/>
        <w:jc w:val="both"/>
        <w:rPr>
          <w:rFonts w:ascii="Arial" w:eastAsia="CenturyGothic" w:hAnsi="Arial" w:cs="Arial"/>
          <w:b/>
          <w:sz w:val="22"/>
          <w:szCs w:val="22"/>
          <w:lang w:val="es-CO"/>
        </w:rPr>
      </w:pPr>
      <w:r>
        <w:rPr>
          <w:rFonts w:ascii="Arial" w:eastAsia="CenturyGothic" w:hAnsi="Arial" w:cs="Arial"/>
          <w:sz w:val="22"/>
          <w:szCs w:val="22"/>
          <w:lang w:val="es-CO"/>
        </w:rPr>
        <w:t xml:space="preserve">Por otra parte, </w:t>
      </w:r>
      <w:r>
        <w:rPr>
          <w:rFonts w:ascii="Arial" w:eastAsia="Arial Narrow" w:hAnsi="Arial" w:cs="Arial"/>
          <w:sz w:val="22"/>
          <w:szCs w:val="22"/>
          <w:lang w:val="es-CO"/>
        </w:rPr>
        <w:t>el Plan de Desarrollo Municipal “2020-2023” incorporo la actividad de “Construcción de Baterías Sanitarias” como acción de mejoramiento de vivienda. Acciones o proyectos que no pueden ser financiados con los recursos de la participación de APSB del SGP, conforme lo dispone el artículo 11 de la Ley 1176 de 2007.</w:t>
      </w:r>
    </w:p>
    <w:p w:rsidR="00355BC7" w:rsidRDefault="00355BC7" w:rsidP="00355BC7">
      <w:pPr>
        <w:autoSpaceDE w:val="0"/>
        <w:autoSpaceDN w:val="0"/>
        <w:adjustRightInd w:val="0"/>
        <w:jc w:val="both"/>
        <w:rPr>
          <w:rFonts w:ascii="Arial" w:eastAsia="CenturyGothic" w:hAnsi="Arial" w:cs="Arial"/>
          <w:sz w:val="22"/>
          <w:szCs w:val="22"/>
          <w:lang w:val="es-CO"/>
        </w:rPr>
      </w:pPr>
    </w:p>
    <w:p w:rsidR="00355BC7" w:rsidRDefault="00355BC7" w:rsidP="00355BC7">
      <w:pPr>
        <w:jc w:val="both"/>
        <w:rPr>
          <w:rFonts w:ascii="Arial" w:hAnsi="Arial" w:cs="Arial"/>
          <w:b/>
          <w:sz w:val="22"/>
          <w:szCs w:val="22"/>
        </w:rPr>
      </w:pPr>
      <w:r>
        <w:rPr>
          <w:rFonts w:ascii="Arial" w:hAnsi="Arial" w:cs="Arial"/>
          <w:b/>
          <w:sz w:val="22"/>
          <w:szCs w:val="22"/>
        </w:rPr>
        <w:t>Evidencia</w:t>
      </w:r>
      <w:r w:rsidR="007C3EB1">
        <w:rPr>
          <w:rFonts w:ascii="Arial" w:hAnsi="Arial" w:cs="Arial"/>
          <w:b/>
          <w:sz w:val="22"/>
          <w:szCs w:val="22"/>
        </w:rPr>
        <w:t>:</w:t>
      </w:r>
    </w:p>
    <w:p w:rsidR="00355BC7" w:rsidRDefault="00355BC7" w:rsidP="00355BC7">
      <w:pPr>
        <w:autoSpaceDE w:val="0"/>
        <w:autoSpaceDN w:val="0"/>
        <w:adjustRightInd w:val="0"/>
        <w:jc w:val="both"/>
        <w:rPr>
          <w:rFonts w:ascii="Arial" w:eastAsia="CenturyGothic" w:hAnsi="Arial" w:cs="Arial"/>
          <w:sz w:val="22"/>
          <w:szCs w:val="22"/>
          <w:lang w:val="es-CO"/>
        </w:rPr>
      </w:pPr>
    </w:p>
    <w:p w:rsidR="00355BC7" w:rsidRDefault="00355BC7" w:rsidP="00355BC7">
      <w:pPr>
        <w:jc w:val="both"/>
        <w:rPr>
          <w:rFonts w:ascii="Arial" w:eastAsia="Times New Roman" w:hAnsi="Arial" w:cs="Arial"/>
          <w:sz w:val="22"/>
          <w:szCs w:val="22"/>
          <w:lang w:eastAsia="es-CO"/>
        </w:rPr>
      </w:pPr>
      <w:r>
        <w:rPr>
          <w:rFonts w:ascii="Arial" w:eastAsia="Times New Roman" w:hAnsi="Arial" w:cs="Arial"/>
          <w:sz w:val="22"/>
          <w:szCs w:val="22"/>
          <w:lang w:eastAsia="es-CO"/>
        </w:rPr>
        <w:t xml:space="preserve">1. Contratos: </w:t>
      </w:r>
      <w:r>
        <w:rPr>
          <w:rFonts w:ascii="Arial" w:hAnsi="Arial" w:cs="Arial"/>
          <w:sz w:val="22"/>
          <w:szCs w:val="22"/>
          <w:lang w:val="es-CO"/>
        </w:rPr>
        <w:t>No. 1</w:t>
      </w:r>
      <w:r>
        <w:rPr>
          <w:rFonts w:ascii="Arial" w:eastAsia="CenturyGothic" w:hAnsi="Arial" w:cs="Arial"/>
          <w:sz w:val="22"/>
          <w:szCs w:val="22"/>
          <w:lang w:val="es-CO"/>
        </w:rPr>
        <w:t xml:space="preserve">70 del 2017, No. 105 de 2019 </w:t>
      </w:r>
      <w:r>
        <w:rPr>
          <w:rFonts w:ascii="Arial" w:eastAsia="Times New Roman" w:hAnsi="Arial" w:cs="Arial"/>
          <w:sz w:val="22"/>
          <w:szCs w:val="22"/>
          <w:lang w:eastAsia="es-CO"/>
        </w:rPr>
        <w:t xml:space="preserve">Mitú– Vaupés </w:t>
      </w:r>
      <w:r>
        <w:rPr>
          <w:rFonts w:ascii="Arial" w:hAnsi="Arial" w:cs="Arial"/>
          <w:sz w:val="22"/>
          <w:szCs w:val="22"/>
        </w:rPr>
        <w:t xml:space="preserve">vigencias 2019-2020 </w:t>
      </w:r>
      <w:r>
        <w:rPr>
          <w:rFonts w:ascii="Arial" w:eastAsia="Times New Roman" w:hAnsi="Arial" w:cs="Arial"/>
          <w:sz w:val="22"/>
          <w:szCs w:val="22"/>
          <w:lang w:eastAsia="es-CO"/>
        </w:rPr>
        <w:t>Participación de Agua Potable y Saneamiento Básico, Mitú– Vaupés serie “Historial de seguimiento y Control a los recursos del Sistema General de Participaciones – Ejecución y Seguimiento” Expediente Digital No 13/2018/D028-PREDI Radicado No 1-2021-000876 del 21 de enero de 2021.</w:t>
      </w:r>
    </w:p>
    <w:p w:rsidR="00355BC7" w:rsidRDefault="00355BC7" w:rsidP="00355BC7">
      <w:pPr>
        <w:jc w:val="both"/>
        <w:rPr>
          <w:rFonts w:ascii="Arial" w:eastAsia="Times New Roman" w:hAnsi="Arial" w:cs="Arial"/>
          <w:sz w:val="22"/>
          <w:szCs w:val="22"/>
          <w:lang w:eastAsia="es-CO"/>
        </w:rPr>
      </w:pPr>
    </w:p>
    <w:p w:rsidR="00355BC7" w:rsidRDefault="00355BC7" w:rsidP="00355BC7">
      <w:pPr>
        <w:jc w:val="both"/>
        <w:rPr>
          <w:rFonts w:ascii="Arial" w:eastAsia="Times New Roman" w:hAnsi="Arial" w:cs="Arial"/>
          <w:sz w:val="22"/>
          <w:szCs w:val="22"/>
          <w:lang w:eastAsia="es-CO"/>
        </w:rPr>
      </w:pPr>
      <w:r>
        <w:rPr>
          <w:rFonts w:ascii="Arial" w:eastAsia="Times New Roman" w:hAnsi="Arial" w:cs="Arial"/>
          <w:sz w:val="22"/>
          <w:szCs w:val="22"/>
          <w:lang w:eastAsia="es-CO"/>
        </w:rPr>
        <w:t>2. Plan de Desarrollo Municipal</w:t>
      </w:r>
    </w:p>
    <w:p w:rsidR="00355BC7" w:rsidRDefault="00355BC7" w:rsidP="00355BC7">
      <w:pPr>
        <w:jc w:val="both"/>
        <w:rPr>
          <w:rFonts w:ascii="Arial" w:eastAsia="Times New Roman" w:hAnsi="Arial" w:cs="Arial"/>
          <w:sz w:val="22"/>
          <w:szCs w:val="22"/>
          <w:lang w:eastAsia="es-CO"/>
        </w:rPr>
      </w:pPr>
    </w:p>
    <w:tbl>
      <w:tblPr>
        <w:tblW w:w="0" w:type="dxa"/>
        <w:jc w:val="center"/>
        <w:tblLayout w:type="fixed"/>
        <w:tblLook w:val="04A0" w:firstRow="1" w:lastRow="0" w:firstColumn="1" w:lastColumn="0" w:noHBand="0" w:noVBand="1"/>
      </w:tblPr>
      <w:tblGrid>
        <w:gridCol w:w="1271"/>
        <w:gridCol w:w="856"/>
        <w:gridCol w:w="845"/>
        <w:gridCol w:w="1265"/>
        <w:gridCol w:w="1287"/>
        <w:gridCol w:w="1275"/>
        <w:gridCol w:w="1276"/>
        <w:gridCol w:w="703"/>
      </w:tblGrid>
      <w:tr w:rsidR="00355BC7" w:rsidTr="00355BC7">
        <w:trPr>
          <w:trHeight w:val="558"/>
          <w:jc w:val="center"/>
        </w:trPr>
        <w:tc>
          <w:tcPr>
            <w:tcW w:w="1271"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b/>
                <w:sz w:val="14"/>
                <w:szCs w:val="14"/>
                <w:lang w:val="es-CO"/>
              </w:rPr>
            </w:pPr>
            <w:r>
              <w:rPr>
                <w:rFonts w:ascii="Arial" w:eastAsiaTheme="minorHAnsi" w:hAnsi="Arial" w:cs="Arial"/>
                <w:b/>
                <w:sz w:val="14"/>
                <w:szCs w:val="14"/>
                <w:lang w:val="es-CO"/>
              </w:rPr>
              <w:t>INDICADOR DE BIENESTAR</w:t>
            </w:r>
          </w:p>
        </w:tc>
        <w:tc>
          <w:tcPr>
            <w:tcW w:w="85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b/>
                <w:sz w:val="14"/>
                <w:szCs w:val="14"/>
                <w:lang w:val="es-CO"/>
              </w:rPr>
            </w:pPr>
            <w:r>
              <w:rPr>
                <w:rFonts w:ascii="Arial" w:eastAsiaTheme="minorHAnsi" w:hAnsi="Arial" w:cs="Arial"/>
                <w:b/>
                <w:sz w:val="14"/>
                <w:szCs w:val="14"/>
                <w:lang w:val="es-CO"/>
              </w:rPr>
              <w:t>LINEA BASE</w:t>
            </w:r>
          </w:p>
        </w:tc>
        <w:tc>
          <w:tcPr>
            <w:tcW w:w="84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b/>
                <w:sz w:val="14"/>
                <w:szCs w:val="14"/>
                <w:lang w:val="es-CO"/>
              </w:rPr>
            </w:pPr>
            <w:r>
              <w:rPr>
                <w:rFonts w:ascii="Arial" w:eastAsiaTheme="minorHAnsi" w:hAnsi="Arial" w:cs="Arial"/>
                <w:b/>
                <w:sz w:val="14"/>
                <w:szCs w:val="14"/>
                <w:lang w:val="es-CO"/>
              </w:rPr>
              <w:t>FUENTE</w:t>
            </w:r>
          </w:p>
        </w:tc>
        <w:tc>
          <w:tcPr>
            <w:tcW w:w="126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b/>
                <w:sz w:val="14"/>
                <w:szCs w:val="14"/>
                <w:lang w:val="es-CO"/>
              </w:rPr>
            </w:pPr>
            <w:r>
              <w:rPr>
                <w:rFonts w:ascii="Arial" w:eastAsiaTheme="minorHAnsi" w:hAnsi="Arial" w:cs="Arial"/>
                <w:b/>
                <w:sz w:val="14"/>
                <w:szCs w:val="14"/>
                <w:lang w:val="es-CO"/>
              </w:rPr>
              <w:t>META CUATRENIO</w:t>
            </w:r>
          </w:p>
        </w:tc>
        <w:tc>
          <w:tcPr>
            <w:tcW w:w="1287"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b/>
                <w:sz w:val="14"/>
                <w:szCs w:val="14"/>
                <w:lang w:val="es-CO"/>
              </w:rPr>
            </w:pPr>
            <w:r>
              <w:rPr>
                <w:rFonts w:ascii="Arial" w:eastAsiaTheme="minorHAnsi" w:hAnsi="Arial" w:cs="Arial"/>
                <w:b/>
                <w:sz w:val="14"/>
                <w:szCs w:val="14"/>
                <w:lang w:val="es-CO"/>
              </w:rPr>
              <w:t>PROGRAMA</w:t>
            </w:r>
          </w:p>
        </w:tc>
        <w:tc>
          <w:tcPr>
            <w:tcW w:w="127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b/>
                <w:sz w:val="14"/>
                <w:szCs w:val="14"/>
                <w:lang w:val="es-CO"/>
              </w:rPr>
            </w:pPr>
            <w:r>
              <w:rPr>
                <w:rFonts w:ascii="Arial" w:eastAsiaTheme="minorHAnsi" w:hAnsi="Arial" w:cs="Arial"/>
                <w:b/>
                <w:sz w:val="14"/>
                <w:szCs w:val="14"/>
                <w:lang w:val="es-CO"/>
              </w:rPr>
              <w:t>PRODCTO</w:t>
            </w:r>
          </w:p>
        </w:tc>
        <w:tc>
          <w:tcPr>
            <w:tcW w:w="1276"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b/>
                <w:sz w:val="14"/>
                <w:szCs w:val="14"/>
                <w:lang w:val="es-CO"/>
              </w:rPr>
            </w:pPr>
            <w:r>
              <w:rPr>
                <w:rFonts w:ascii="Arial" w:eastAsiaTheme="minorHAnsi" w:hAnsi="Arial" w:cs="Arial"/>
                <w:b/>
                <w:sz w:val="14"/>
                <w:szCs w:val="14"/>
                <w:lang w:val="es-CO"/>
              </w:rPr>
              <w:t>INDICADOR DE PRODUCTO</w:t>
            </w: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b/>
                <w:sz w:val="14"/>
                <w:szCs w:val="14"/>
                <w:lang w:val="es-CO"/>
              </w:rPr>
            </w:pPr>
            <w:r>
              <w:rPr>
                <w:rFonts w:ascii="Arial" w:eastAsiaTheme="minorHAnsi" w:hAnsi="Arial" w:cs="Arial"/>
                <w:b/>
                <w:sz w:val="14"/>
                <w:szCs w:val="14"/>
                <w:lang w:val="es-CO"/>
              </w:rPr>
              <w:t>META</w:t>
            </w:r>
          </w:p>
        </w:tc>
      </w:tr>
      <w:tr w:rsidR="00355BC7" w:rsidTr="00355BC7">
        <w:trPr>
          <w:trHeight w:val="694"/>
          <w:jc w:val="center"/>
        </w:trPr>
        <w:tc>
          <w:tcPr>
            <w:tcW w:w="1271"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5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845"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color w:val="000000"/>
                <w:sz w:val="14"/>
                <w:szCs w:val="14"/>
                <w:lang w:val="es-CO"/>
              </w:rPr>
            </w:pPr>
            <w:r>
              <w:rPr>
                <w:rFonts w:ascii="Arial" w:eastAsiaTheme="minorHAnsi" w:hAnsi="Arial" w:cs="Arial"/>
                <w:color w:val="000000"/>
                <w:sz w:val="14"/>
                <w:szCs w:val="14"/>
                <w:lang w:val="es-CO"/>
              </w:rPr>
              <w:t>SGP-APSB</w:t>
            </w:r>
          </w:p>
        </w:tc>
        <w:tc>
          <w:tcPr>
            <w:tcW w:w="126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87"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Theme="minorHAnsi" w:hAnsi="Arial" w:cs="Arial"/>
                <w:color w:val="000000"/>
                <w:sz w:val="14"/>
                <w:szCs w:val="14"/>
                <w:lang w:val="es-CO"/>
              </w:rPr>
            </w:pPr>
          </w:p>
        </w:tc>
        <w:tc>
          <w:tcPr>
            <w:tcW w:w="1275"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Calibri" w:hAnsi="Arial" w:cs="Arial"/>
                <w:sz w:val="14"/>
                <w:szCs w:val="14"/>
                <w:lang w:val="es-CO" w:eastAsia="en-US"/>
              </w:rPr>
            </w:pPr>
            <w:r>
              <w:rPr>
                <w:rFonts w:ascii="Arial" w:eastAsia="Calibri" w:hAnsi="Arial" w:cs="Arial"/>
                <w:sz w:val="14"/>
                <w:szCs w:val="14"/>
                <w:lang w:val="es-CO" w:eastAsia="en-US"/>
              </w:rPr>
              <w:t xml:space="preserve">Unidades sanitarias con saneamiento básico construidas </w:t>
            </w:r>
          </w:p>
          <w:p w:rsidR="00355BC7" w:rsidRDefault="00355BC7">
            <w:pPr>
              <w:autoSpaceDE w:val="0"/>
              <w:autoSpaceDN w:val="0"/>
              <w:adjustRightInd w:val="0"/>
              <w:rPr>
                <w:rFonts w:ascii="Arial" w:eastAsia="Calibri" w:hAnsi="Arial" w:cs="Arial"/>
                <w:sz w:val="14"/>
                <w:szCs w:val="14"/>
                <w:lang w:val="es-CO" w:eastAsia="en-US"/>
              </w:rPr>
            </w:pPr>
          </w:p>
        </w:tc>
        <w:tc>
          <w:tcPr>
            <w:tcW w:w="1276" w:type="dxa"/>
            <w:tcBorders>
              <w:top w:val="single" w:sz="4" w:space="0" w:color="auto"/>
              <w:left w:val="single" w:sz="4" w:space="0" w:color="auto"/>
              <w:bottom w:val="single" w:sz="4" w:space="0" w:color="auto"/>
              <w:right w:val="single" w:sz="4" w:space="0" w:color="auto"/>
            </w:tcBorders>
          </w:tcPr>
          <w:p w:rsidR="00355BC7" w:rsidRDefault="00355BC7">
            <w:pPr>
              <w:autoSpaceDE w:val="0"/>
              <w:autoSpaceDN w:val="0"/>
              <w:adjustRightInd w:val="0"/>
              <w:rPr>
                <w:rFonts w:ascii="Arial" w:eastAsia="Calibri" w:hAnsi="Arial" w:cs="Arial"/>
                <w:sz w:val="14"/>
                <w:szCs w:val="14"/>
                <w:lang w:val="es-CO" w:eastAsia="en-US"/>
              </w:rPr>
            </w:pPr>
            <w:r>
              <w:rPr>
                <w:rFonts w:ascii="Arial" w:eastAsia="Calibri" w:hAnsi="Arial" w:cs="Arial"/>
                <w:sz w:val="14"/>
                <w:szCs w:val="14"/>
                <w:lang w:val="es-CO" w:eastAsia="en-US"/>
              </w:rPr>
              <w:t xml:space="preserve">Viviendas beneficiadas con la construcción de unidades sanitarias </w:t>
            </w:r>
          </w:p>
          <w:p w:rsidR="00355BC7" w:rsidRDefault="00355BC7">
            <w:pPr>
              <w:autoSpaceDE w:val="0"/>
              <w:autoSpaceDN w:val="0"/>
              <w:adjustRightInd w:val="0"/>
              <w:rPr>
                <w:rFonts w:ascii="Arial" w:eastAsia="Calibri" w:hAnsi="Arial" w:cs="Arial"/>
                <w:sz w:val="14"/>
                <w:szCs w:val="14"/>
                <w:lang w:val="es-CO" w:eastAsia="en-US"/>
              </w:rPr>
            </w:pPr>
          </w:p>
        </w:tc>
        <w:tc>
          <w:tcPr>
            <w:tcW w:w="703" w:type="dxa"/>
            <w:tcBorders>
              <w:top w:val="single" w:sz="4" w:space="0" w:color="auto"/>
              <w:left w:val="single" w:sz="4" w:space="0" w:color="auto"/>
              <w:bottom w:val="single" w:sz="4" w:space="0" w:color="auto"/>
              <w:right w:val="single" w:sz="4" w:space="0" w:color="auto"/>
            </w:tcBorders>
            <w:hideMark/>
          </w:tcPr>
          <w:p w:rsidR="00355BC7" w:rsidRDefault="00355BC7">
            <w:pPr>
              <w:autoSpaceDE w:val="0"/>
              <w:autoSpaceDN w:val="0"/>
              <w:adjustRightInd w:val="0"/>
              <w:rPr>
                <w:rFonts w:ascii="Arial" w:eastAsiaTheme="minorHAnsi" w:hAnsi="Arial" w:cs="Arial"/>
                <w:sz w:val="14"/>
                <w:szCs w:val="14"/>
                <w:lang w:val="es-CO"/>
              </w:rPr>
            </w:pPr>
            <w:r>
              <w:rPr>
                <w:rFonts w:ascii="Arial" w:eastAsiaTheme="minorHAnsi" w:hAnsi="Arial" w:cs="Arial"/>
                <w:sz w:val="14"/>
                <w:szCs w:val="14"/>
                <w:lang w:val="es-CO"/>
              </w:rPr>
              <w:t>15</w:t>
            </w:r>
          </w:p>
        </w:tc>
      </w:tr>
    </w:tbl>
    <w:p w:rsidR="00355BC7" w:rsidRDefault="00355BC7" w:rsidP="00355BC7">
      <w:pPr>
        <w:tabs>
          <w:tab w:val="left" w:pos="426"/>
        </w:tabs>
        <w:jc w:val="center"/>
        <w:rPr>
          <w:rFonts w:ascii="Arial" w:hAnsi="Arial" w:cs="Arial"/>
          <w:sz w:val="16"/>
          <w:szCs w:val="16"/>
        </w:rPr>
      </w:pPr>
      <w:r>
        <w:rPr>
          <w:rFonts w:ascii="Arial" w:hAnsi="Arial" w:cs="Arial"/>
          <w:b/>
          <w:sz w:val="16"/>
          <w:szCs w:val="16"/>
        </w:rPr>
        <w:t>Fuente:</w:t>
      </w:r>
      <w:r>
        <w:rPr>
          <w:rFonts w:ascii="Arial" w:hAnsi="Arial" w:cs="Arial"/>
          <w:sz w:val="16"/>
          <w:szCs w:val="16"/>
        </w:rPr>
        <w:t xml:space="preserve"> Plan de Desarrollo 2020-2023</w:t>
      </w:r>
    </w:p>
    <w:p w:rsidR="00355BC7" w:rsidRDefault="00355BC7" w:rsidP="00355BC7">
      <w:pPr>
        <w:jc w:val="both"/>
        <w:rPr>
          <w:rFonts w:ascii="Arial" w:eastAsia="Times New Roman" w:hAnsi="Arial" w:cs="Arial"/>
          <w:sz w:val="22"/>
          <w:szCs w:val="22"/>
          <w:lang w:eastAsia="es-CO"/>
        </w:rPr>
      </w:pPr>
    </w:p>
    <w:p w:rsidR="00355BC7" w:rsidRDefault="00355BC7" w:rsidP="00355BC7">
      <w:pPr>
        <w:jc w:val="both"/>
        <w:rPr>
          <w:rFonts w:ascii="Arial" w:eastAsia="Times New Roman" w:hAnsi="Arial" w:cs="Arial"/>
          <w:sz w:val="22"/>
          <w:szCs w:val="22"/>
          <w:lang w:eastAsia="es-CO"/>
        </w:rPr>
      </w:pPr>
      <w:r>
        <w:rPr>
          <w:rFonts w:ascii="Arial" w:eastAsia="Times New Roman" w:hAnsi="Arial" w:cs="Arial"/>
          <w:sz w:val="22"/>
          <w:szCs w:val="22"/>
          <w:lang w:eastAsia="es-CO"/>
        </w:rPr>
        <w:t xml:space="preserve">Enlace: </w:t>
      </w:r>
      <w:hyperlink r:id="rId43" w:history="1">
        <w:r w:rsidRPr="00752183">
          <w:rPr>
            <w:rStyle w:val="Hipervnculo"/>
            <w:rFonts w:ascii="Arial" w:eastAsia="Times New Roman" w:hAnsi="Arial" w:cs="Arial"/>
            <w:sz w:val="20"/>
            <w:szCs w:val="20"/>
            <w:lang w:eastAsia="es-CO"/>
          </w:rPr>
          <w:t>http://portalgestiondoc.minhacienda.red/PortalEmpleado/#tasks</w:t>
        </w:r>
      </w:hyperlink>
    </w:p>
    <w:p w:rsidR="00355BC7" w:rsidRDefault="00355BC7" w:rsidP="00355BC7">
      <w:pPr>
        <w:autoSpaceDE w:val="0"/>
        <w:autoSpaceDN w:val="0"/>
        <w:adjustRightInd w:val="0"/>
        <w:jc w:val="both"/>
        <w:rPr>
          <w:rFonts w:ascii="Arial" w:eastAsia="CenturyGothic" w:hAnsi="Arial" w:cs="Arial"/>
          <w:b/>
          <w:sz w:val="22"/>
          <w:szCs w:val="22"/>
          <w:lang w:val="es-CO"/>
        </w:rPr>
      </w:pPr>
    </w:p>
    <w:p w:rsidR="00355BC7" w:rsidRDefault="00355BC7" w:rsidP="00355BC7">
      <w:pPr>
        <w:jc w:val="both"/>
        <w:rPr>
          <w:rFonts w:ascii="Arial" w:eastAsia="Times New Roman" w:hAnsi="Arial" w:cs="Arial"/>
          <w:b/>
          <w:bCs/>
          <w:i/>
          <w:iCs/>
          <w:sz w:val="22"/>
          <w:szCs w:val="22"/>
          <w:lang w:val="es-CO" w:eastAsia="en-US"/>
        </w:rPr>
      </w:pPr>
      <w:r>
        <w:rPr>
          <w:rFonts w:ascii="Arial" w:eastAsiaTheme="minorHAnsi" w:hAnsi="Arial" w:cs="Arial"/>
          <w:b/>
          <w:sz w:val="22"/>
          <w:szCs w:val="22"/>
          <w:lang w:val="es-CO" w:eastAsia="en-US"/>
        </w:rPr>
        <w:t xml:space="preserve">4. </w:t>
      </w:r>
      <w:r w:rsidR="007C3EB1">
        <w:rPr>
          <w:rFonts w:ascii="Arial" w:eastAsiaTheme="minorHAnsi" w:hAnsi="Arial" w:cs="Arial"/>
          <w:b/>
          <w:sz w:val="22"/>
          <w:szCs w:val="22"/>
          <w:lang w:val="es-CO" w:eastAsia="en-US"/>
        </w:rPr>
        <w:t xml:space="preserve">Evento de </w:t>
      </w:r>
      <w:r>
        <w:rPr>
          <w:rFonts w:ascii="Arial" w:eastAsiaTheme="minorHAnsi" w:hAnsi="Arial" w:cs="Arial"/>
          <w:b/>
          <w:sz w:val="22"/>
          <w:szCs w:val="22"/>
          <w:lang w:val="es-CO" w:eastAsia="en-US"/>
        </w:rPr>
        <w:t>Riesgo</w:t>
      </w:r>
      <w:r>
        <w:rPr>
          <w:rFonts w:ascii="Arial" w:eastAsia="Times New Roman" w:hAnsi="Arial" w:cs="Arial"/>
          <w:b/>
          <w:bCs/>
          <w:i/>
          <w:iCs/>
          <w:sz w:val="22"/>
          <w:szCs w:val="22"/>
          <w:lang w:val="es-CO" w:eastAsia="en-US"/>
        </w:rPr>
        <w:t xml:space="preserve"> 9.7. “Registro contable de los recursos que no sigue las disposiciones legales vigentes”.</w:t>
      </w:r>
    </w:p>
    <w:p w:rsidR="00355BC7" w:rsidRDefault="00355BC7" w:rsidP="00355BC7">
      <w:pPr>
        <w:jc w:val="both"/>
        <w:rPr>
          <w:rFonts w:ascii="Arial" w:eastAsia="Times New Roman" w:hAnsi="Arial" w:cs="Arial"/>
          <w:b/>
          <w:bCs/>
          <w:i/>
          <w:iCs/>
          <w:sz w:val="22"/>
          <w:szCs w:val="22"/>
          <w:lang w:val="es-CO" w:eastAsia="en-US"/>
        </w:rPr>
      </w:pPr>
    </w:p>
    <w:p w:rsidR="00355BC7" w:rsidRDefault="00355BC7" w:rsidP="00355BC7">
      <w:pPr>
        <w:jc w:val="both"/>
        <w:rPr>
          <w:rFonts w:ascii="Arial" w:eastAsia="Times New Roman" w:hAnsi="Arial" w:cs="Arial"/>
          <w:i/>
          <w:sz w:val="22"/>
          <w:szCs w:val="22"/>
          <w:lang w:eastAsia="es-CO"/>
        </w:rPr>
      </w:pPr>
      <w:r>
        <w:rPr>
          <w:rFonts w:ascii="Arial" w:eastAsia="Times New Roman" w:hAnsi="Arial" w:cs="Arial"/>
          <w:sz w:val="22"/>
          <w:szCs w:val="22"/>
        </w:rPr>
        <w:t>El artículo 2.3.4.1.2.4 del Decreto 1077 de 2015 que define la naturaleza y operación de los Fondos de Solidaridad y Redistribución del Ingreso, dispone que “</w:t>
      </w:r>
      <w:r>
        <w:rPr>
          <w:rFonts w:ascii="Arial" w:eastAsia="Times New Roman" w:hAnsi="Arial" w:cs="Arial"/>
          <w:i/>
          <w:sz w:val="22"/>
          <w:szCs w:val="22"/>
          <w:lang w:eastAsia="es-CO"/>
        </w:rPr>
        <w:t xml:space="preserve">Los Fondos de </w:t>
      </w:r>
      <w:r>
        <w:rPr>
          <w:rFonts w:ascii="Arial" w:eastAsia="Times New Roman" w:hAnsi="Arial" w:cs="Arial"/>
          <w:i/>
          <w:sz w:val="22"/>
          <w:szCs w:val="22"/>
          <w:lang w:eastAsia="es-CO"/>
        </w:rPr>
        <w:lastRenderedPageBreak/>
        <w:t>Solidaridad y Redistribución de Ingresos, que de acuerdo con la Ley 142 de 1994 deben constituir los concejos municipales y distritales y las asambleas, serán cuentas especiales dentro de la contabilidad de los municipios, distritos y departamentos, a través de las cuales se contabilizarán exclusivamente los recursos destinados a otorgar subsidios a los servicios públicos domiciliarios”.</w:t>
      </w:r>
    </w:p>
    <w:p w:rsidR="00355BC7" w:rsidRDefault="00355BC7" w:rsidP="00355BC7">
      <w:pPr>
        <w:jc w:val="both"/>
        <w:rPr>
          <w:rFonts w:ascii="Arial" w:eastAsia="Times New Roman" w:hAnsi="Arial" w:cs="Arial"/>
          <w:i/>
          <w:sz w:val="22"/>
          <w:szCs w:val="22"/>
          <w:lang w:eastAsia="es-CO"/>
        </w:rPr>
      </w:pPr>
    </w:p>
    <w:p w:rsidR="00355BC7" w:rsidRDefault="00355BC7" w:rsidP="00355BC7">
      <w:pPr>
        <w:jc w:val="both"/>
        <w:rPr>
          <w:rFonts w:ascii="Arial" w:hAnsi="Arial" w:cs="Arial"/>
          <w:sz w:val="22"/>
          <w:szCs w:val="22"/>
        </w:rPr>
      </w:pPr>
      <w:r>
        <w:rPr>
          <w:rFonts w:ascii="Arial" w:hAnsi="Arial" w:cs="Arial"/>
          <w:sz w:val="22"/>
          <w:szCs w:val="22"/>
        </w:rPr>
        <w:t>El Municipio de Mitú, tiene creado el FSRI. Sin embargo, no se mostró evidencia de la contabilidad de los recursos que deben ingresar al Fondo de Solidaridad y Redistribución del Ingreso, ya que en la información contable revisada de la vigencia 2018 y 2019 no tienen creadas las cuentas contables especiales para cada uno de los servicios públicos de acueducto, alcantarillado y aseo.</w:t>
      </w:r>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b/>
          <w:sz w:val="22"/>
          <w:szCs w:val="22"/>
        </w:rPr>
      </w:pPr>
      <w:r>
        <w:rPr>
          <w:rFonts w:ascii="Arial" w:hAnsi="Arial" w:cs="Arial"/>
          <w:b/>
          <w:sz w:val="22"/>
          <w:szCs w:val="22"/>
        </w:rPr>
        <w:t>Evidencia</w:t>
      </w:r>
      <w:r w:rsidR="007C3EB1">
        <w:rPr>
          <w:rFonts w:ascii="Arial" w:hAnsi="Arial" w:cs="Arial"/>
          <w:b/>
          <w:sz w:val="22"/>
          <w:szCs w:val="22"/>
        </w:rPr>
        <w:t>:</w:t>
      </w:r>
    </w:p>
    <w:p w:rsidR="00355BC7" w:rsidRDefault="00355BC7" w:rsidP="00355BC7">
      <w:pPr>
        <w:jc w:val="both"/>
        <w:rPr>
          <w:rFonts w:ascii="Arial" w:hAnsi="Arial" w:cs="Arial"/>
          <w:b/>
          <w:sz w:val="22"/>
          <w:szCs w:val="22"/>
        </w:rPr>
      </w:pPr>
    </w:p>
    <w:p w:rsidR="007C3EB1" w:rsidRDefault="00355BC7" w:rsidP="00355BC7">
      <w:pPr>
        <w:jc w:val="both"/>
        <w:rPr>
          <w:rFonts w:ascii="Arial" w:eastAsia="Times New Roman" w:hAnsi="Arial" w:cs="Arial"/>
          <w:sz w:val="22"/>
          <w:szCs w:val="22"/>
          <w:lang w:eastAsia="es-CO"/>
        </w:rPr>
      </w:pPr>
      <w:r>
        <w:rPr>
          <w:rFonts w:ascii="Arial" w:hAnsi="Arial" w:cs="Arial"/>
          <w:sz w:val="22"/>
          <w:szCs w:val="22"/>
        </w:rPr>
        <w:t xml:space="preserve">Estados financieros, Balance General Municipio de Mitú 2019-2020 </w:t>
      </w:r>
      <w:r>
        <w:rPr>
          <w:rFonts w:ascii="Arial" w:eastAsia="Times New Roman" w:hAnsi="Arial" w:cs="Arial"/>
          <w:sz w:val="22"/>
          <w:szCs w:val="22"/>
          <w:lang w:eastAsia="es-CO"/>
        </w:rPr>
        <w:t xml:space="preserve">Participación de Agua Potable y Saneamiento Básico, Mitú– Vaupés serie “Historial de seguimiento y Control a los recursos del Sistema General de Participaciones – Ejecución y Seguimiento” Expediente Digital No 13/2018/D028-PREDI Radicado No </w:t>
      </w:r>
      <w:r>
        <w:rPr>
          <w:rFonts w:ascii="Arial" w:eastAsiaTheme="minorHAnsi" w:hAnsi="Arial" w:cs="Arial"/>
          <w:sz w:val="22"/>
          <w:szCs w:val="22"/>
          <w:lang w:val="es-CO" w:eastAsia="en-US"/>
        </w:rPr>
        <w:t xml:space="preserve">1-2019-052503 </w:t>
      </w:r>
      <w:r>
        <w:rPr>
          <w:rFonts w:ascii="Arial" w:eastAsia="Times New Roman" w:hAnsi="Arial" w:cs="Arial"/>
          <w:sz w:val="22"/>
          <w:szCs w:val="22"/>
          <w:lang w:eastAsia="es-CO"/>
        </w:rPr>
        <w:t>del 6 de junio de 2019.</w:t>
      </w:r>
      <w:r w:rsidR="007C3EB1">
        <w:rPr>
          <w:rFonts w:ascii="Arial" w:eastAsia="Times New Roman" w:hAnsi="Arial" w:cs="Arial"/>
          <w:sz w:val="22"/>
          <w:szCs w:val="22"/>
          <w:lang w:eastAsia="es-CO"/>
        </w:rPr>
        <w:t xml:space="preserve"> </w:t>
      </w:r>
      <w:r>
        <w:rPr>
          <w:rFonts w:ascii="Arial" w:eastAsia="Times New Roman" w:hAnsi="Arial" w:cs="Arial"/>
          <w:sz w:val="22"/>
          <w:szCs w:val="22"/>
          <w:lang w:eastAsia="es-CO"/>
        </w:rPr>
        <w:t>Enlace</w:t>
      </w:r>
      <w:r w:rsidR="007C3EB1">
        <w:rPr>
          <w:rFonts w:ascii="Arial" w:eastAsia="Times New Roman" w:hAnsi="Arial" w:cs="Arial"/>
          <w:sz w:val="22"/>
          <w:szCs w:val="22"/>
          <w:lang w:eastAsia="es-CO"/>
        </w:rPr>
        <w:t>:</w:t>
      </w:r>
    </w:p>
    <w:p w:rsidR="00355BC7" w:rsidRPr="00752183" w:rsidRDefault="00CF44D2" w:rsidP="00355BC7">
      <w:pPr>
        <w:jc w:val="both"/>
        <w:rPr>
          <w:rFonts w:ascii="Arial" w:hAnsi="Arial" w:cs="Arial"/>
          <w:sz w:val="20"/>
          <w:szCs w:val="20"/>
        </w:rPr>
      </w:pPr>
      <w:hyperlink r:id="rId44" w:anchor="url-960061" w:history="1">
        <w:r w:rsidR="00355BC7" w:rsidRPr="00752183">
          <w:rPr>
            <w:rStyle w:val="Hipervnculo"/>
            <w:rFonts w:ascii="Arial" w:hAnsi="Arial" w:cs="Arial"/>
            <w:sz w:val="20"/>
            <w:szCs w:val="20"/>
          </w:rPr>
          <w:t>http://portalgestiondoc.minhacienda.red/PortalEmpleado/#url-960061</w:t>
        </w:r>
      </w:hyperlink>
    </w:p>
    <w:p w:rsidR="00355BC7" w:rsidRDefault="00355BC7" w:rsidP="00355BC7">
      <w:pPr>
        <w:jc w:val="both"/>
        <w:rPr>
          <w:rFonts w:ascii="Arial" w:hAnsi="Arial" w:cs="Arial"/>
          <w:b/>
          <w:sz w:val="22"/>
          <w:szCs w:val="22"/>
        </w:rPr>
      </w:pPr>
    </w:p>
    <w:p w:rsidR="00355BC7" w:rsidRDefault="00355BC7" w:rsidP="00355BC7">
      <w:pPr>
        <w:spacing w:before="80"/>
        <w:jc w:val="both"/>
        <w:rPr>
          <w:rFonts w:ascii="Arial" w:eastAsia="Times New Roman" w:hAnsi="Arial" w:cs="Arial"/>
          <w:b/>
          <w:sz w:val="22"/>
          <w:szCs w:val="22"/>
          <w:lang w:val="es-CO" w:eastAsia="en-US"/>
        </w:rPr>
      </w:pPr>
      <w:r>
        <w:rPr>
          <w:rFonts w:ascii="Arial" w:hAnsi="Arial" w:cs="Arial"/>
          <w:b/>
          <w:sz w:val="22"/>
          <w:szCs w:val="22"/>
        </w:rPr>
        <w:t xml:space="preserve">5. </w:t>
      </w:r>
      <w:r w:rsidR="007C3EB1">
        <w:rPr>
          <w:rFonts w:ascii="Arial" w:hAnsi="Arial" w:cs="Arial"/>
          <w:b/>
          <w:sz w:val="22"/>
          <w:szCs w:val="22"/>
        </w:rPr>
        <w:t xml:space="preserve">Evento de </w:t>
      </w:r>
      <w:r>
        <w:rPr>
          <w:rFonts w:ascii="Arial" w:hAnsi="Arial" w:cs="Arial"/>
          <w:b/>
          <w:sz w:val="22"/>
          <w:szCs w:val="22"/>
        </w:rPr>
        <w:t>Riesgo</w:t>
      </w:r>
      <w:r>
        <w:rPr>
          <w:rFonts w:ascii="Arial" w:eastAsia="Times New Roman" w:hAnsi="Arial" w:cs="Arial"/>
          <w:b/>
          <w:color w:val="000000"/>
          <w:kern w:val="24"/>
          <w:sz w:val="22"/>
          <w:szCs w:val="22"/>
          <w:lang w:val="es-CO" w:eastAsia="en-US"/>
        </w:rPr>
        <w:t xml:space="preserve"> 9.12. </w:t>
      </w:r>
      <w:r>
        <w:rPr>
          <w:rFonts w:ascii="Arial" w:eastAsia="Times New Roman" w:hAnsi="Arial" w:cs="Arial"/>
          <w:b/>
          <w:i/>
          <w:color w:val="000000"/>
          <w:kern w:val="24"/>
          <w:sz w:val="22"/>
          <w:szCs w:val="22"/>
          <w:lang w:val="es-CO" w:eastAsia="en-US"/>
        </w:rPr>
        <w:t>“No cumplimiento de las condiciones de focalización, identificación de beneficiarios de programas sociales, estratificación y demás procedimientos previstos para la adecuada focalización y ejecución del gasto social”.</w:t>
      </w:r>
      <w:r>
        <w:rPr>
          <w:rFonts w:ascii="Arial" w:eastAsia="Times New Roman" w:hAnsi="Arial" w:cs="Arial"/>
          <w:b/>
          <w:color w:val="000000"/>
          <w:kern w:val="24"/>
          <w:sz w:val="22"/>
          <w:szCs w:val="22"/>
          <w:lang w:val="es-CO" w:eastAsia="en-US"/>
        </w:rPr>
        <w:t xml:space="preserve"> </w:t>
      </w:r>
    </w:p>
    <w:p w:rsidR="00355BC7" w:rsidRDefault="00355BC7" w:rsidP="00355BC7">
      <w:pPr>
        <w:tabs>
          <w:tab w:val="left" w:pos="8460"/>
        </w:tabs>
        <w:jc w:val="both"/>
        <w:rPr>
          <w:rFonts w:ascii="Arial" w:hAnsi="Arial" w:cs="Arial"/>
          <w:b/>
          <w:sz w:val="22"/>
          <w:szCs w:val="22"/>
        </w:rPr>
      </w:pPr>
    </w:p>
    <w:p w:rsidR="00355BC7" w:rsidRDefault="00355BC7" w:rsidP="00355BC7">
      <w:pPr>
        <w:jc w:val="both"/>
        <w:rPr>
          <w:rFonts w:ascii="Arial" w:hAnsi="Arial" w:cs="Arial"/>
          <w:sz w:val="22"/>
          <w:szCs w:val="22"/>
        </w:rPr>
      </w:pPr>
      <w:r>
        <w:rPr>
          <w:rFonts w:ascii="Arial" w:hAnsi="Arial" w:cs="Arial"/>
          <w:b/>
          <w:sz w:val="22"/>
          <w:szCs w:val="22"/>
        </w:rPr>
        <w:t xml:space="preserve">ESTRATIFICACION: </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El artículo 101 de la Ley 142 de 1994, dispone a los municipios la obligación de estratificar los predios de uso residencial y mantener actualizada dicha estratificación con ayuda del Comité Permanente de Estratificación Socio Económica.</w:t>
      </w:r>
    </w:p>
    <w:p w:rsidR="00355BC7" w:rsidRDefault="00355BC7" w:rsidP="00355BC7">
      <w:pPr>
        <w:jc w:val="both"/>
        <w:rPr>
          <w:rFonts w:ascii="Arial" w:hAnsi="Arial" w:cs="Arial"/>
          <w:sz w:val="22"/>
          <w:szCs w:val="22"/>
        </w:rPr>
      </w:pPr>
    </w:p>
    <w:p w:rsidR="00355BC7" w:rsidRDefault="00355BC7" w:rsidP="00355BC7">
      <w:pPr>
        <w:jc w:val="both"/>
        <w:rPr>
          <w:rFonts w:ascii="Arial" w:hAnsi="Arial" w:cs="Arial"/>
          <w:sz w:val="22"/>
          <w:szCs w:val="22"/>
        </w:rPr>
      </w:pPr>
      <w:r>
        <w:rPr>
          <w:rFonts w:ascii="Arial" w:hAnsi="Arial" w:cs="Arial"/>
          <w:sz w:val="22"/>
          <w:szCs w:val="22"/>
        </w:rPr>
        <w:t>La Ley 732 de 2002 establece plazos para realizar, adoptar y aplicar las estratificaciones socioeconómicas urbanas y rurales en el territorio nacional y se precisan los mecanismos de ejecución, control y atención de reclamos por el estrato asignado.</w:t>
      </w:r>
    </w:p>
    <w:p w:rsidR="00355BC7" w:rsidRDefault="00355BC7" w:rsidP="00355BC7">
      <w:pPr>
        <w:autoSpaceDE w:val="0"/>
        <w:autoSpaceDN w:val="0"/>
        <w:adjustRightInd w:val="0"/>
        <w:jc w:val="both"/>
        <w:rPr>
          <w:rFonts w:ascii="Arial" w:eastAsiaTheme="minorHAnsi" w:hAnsi="Arial" w:cs="Arial"/>
          <w:sz w:val="22"/>
          <w:szCs w:val="22"/>
          <w:highlight w:val="cyan"/>
          <w:lang w:val="es-CO" w:eastAsia="en-US"/>
        </w:rPr>
      </w:pPr>
    </w:p>
    <w:p w:rsidR="00355BC7" w:rsidRDefault="00355BC7" w:rsidP="00355BC7">
      <w:pPr>
        <w:autoSpaceDE w:val="0"/>
        <w:autoSpaceDN w:val="0"/>
        <w:adjustRightInd w:val="0"/>
        <w:jc w:val="both"/>
        <w:rPr>
          <w:rFonts w:ascii="Arial" w:hAnsi="Arial" w:cs="Arial"/>
          <w:color w:val="000000" w:themeColor="text1"/>
          <w:sz w:val="22"/>
          <w:szCs w:val="22"/>
        </w:rPr>
      </w:pPr>
      <w:r>
        <w:rPr>
          <w:rFonts w:ascii="Arial" w:eastAsiaTheme="minorHAnsi" w:hAnsi="Arial" w:cs="Arial"/>
          <w:sz w:val="22"/>
          <w:szCs w:val="22"/>
          <w:lang w:val="es-CO" w:eastAsia="en-US"/>
        </w:rPr>
        <w:t xml:space="preserve">En el Municipio de Mitú la estratificación socioeconómica urbana fue adoptada mediante el Decreto </w:t>
      </w:r>
      <w:r>
        <w:rPr>
          <w:rFonts w:ascii="Arial" w:hAnsi="Arial" w:cs="Arial"/>
          <w:color w:val="000000" w:themeColor="text1"/>
          <w:sz w:val="22"/>
          <w:szCs w:val="22"/>
        </w:rPr>
        <w:t xml:space="preserve">123 del 16 de agosto de 2001. </w:t>
      </w:r>
    </w:p>
    <w:p w:rsidR="00355BC7" w:rsidRDefault="00355BC7" w:rsidP="00355BC7">
      <w:pPr>
        <w:autoSpaceDE w:val="0"/>
        <w:autoSpaceDN w:val="0"/>
        <w:adjustRightInd w:val="0"/>
        <w:jc w:val="both"/>
        <w:rPr>
          <w:rFonts w:ascii="Arial" w:eastAsiaTheme="minorHAnsi" w:hAnsi="Arial" w:cs="Arial"/>
          <w:sz w:val="22"/>
          <w:szCs w:val="22"/>
          <w:lang w:val="es-CO" w:eastAsia="en-US"/>
        </w:rPr>
      </w:pPr>
    </w:p>
    <w:p w:rsidR="00355BC7" w:rsidRDefault="00355BC7" w:rsidP="00355BC7">
      <w:pPr>
        <w:autoSpaceDE w:val="0"/>
        <w:autoSpaceDN w:val="0"/>
        <w:adjustRightInd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Los datos aportados por el Municipio concluyen que la información de la estratificación requiere ser actualizada, teniendo en cuenta su dinámica poblacional y el crecimiento urbanístico de los últimos 3 años. </w:t>
      </w:r>
    </w:p>
    <w:p w:rsidR="00355BC7" w:rsidRDefault="00355BC7" w:rsidP="00355BC7">
      <w:pPr>
        <w:jc w:val="both"/>
        <w:rPr>
          <w:rFonts w:ascii="Arial" w:hAnsi="Arial" w:cs="Arial"/>
          <w:b/>
          <w:sz w:val="22"/>
          <w:szCs w:val="22"/>
          <w:lang w:val="es-CO"/>
        </w:rPr>
      </w:pPr>
    </w:p>
    <w:p w:rsidR="00355BC7" w:rsidRDefault="00355BC7" w:rsidP="00355BC7">
      <w:pPr>
        <w:jc w:val="both"/>
        <w:rPr>
          <w:rFonts w:ascii="Arial" w:hAnsi="Arial" w:cs="Arial"/>
          <w:b/>
          <w:sz w:val="22"/>
          <w:szCs w:val="22"/>
          <w:lang w:val="es-CO"/>
        </w:rPr>
      </w:pPr>
      <w:r>
        <w:rPr>
          <w:rFonts w:ascii="Arial" w:hAnsi="Arial" w:cs="Arial"/>
          <w:b/>
          <w:sz w:val="22"/>
          <w:szCs w:val="22"/>
          <w:lang w:val="es-CO"/>
        </w:rPr>
        <w:t>Evidencia</w:t>
      </w:r>
      <w:r w:rsidR="007C3EB1">
        <w:rPr>
          <w:rFonts w:ascii="Arial" w:hAnsi="Arial" w:cs="Arial"/>
          <w:b/>
          <w:sz w:val="22"/>
          <w:szCs w:val="22"/>
          <w:lang w:val="es-CO"/>
        </w:rPr>
        <w:t>:</w:t>
      </w:r>
    </w:p>
    <w:p w:rsidR="00355BC7" w:rsidRDefault="00355BC7" w:rsidP="00355BC7">
      <w:pPr>
        <w:jc w:val="both"/>
        <w:rPr>
          <w:rFonts w:ascii="Arial" w:hAnsi="Arial" w:cs="Arial"/>
          <w:b/>
          <w:sz w:val="22"/>
          <w:szCs w:val="22"/>
          <w:lang w:val="es-CO"/>
        </w:rPr>
      </w:pPr>
    </w:p>
    <w:p w:rsidR="007C3EB1" w:rsidRDefault="00355BC7" w:rsidP="00355BC7">
      <w:pPr>
        <w:jc w:val="both"/>
        <w:rPr>
          <w:rFonts w:ascii="Arial" w:eastAsia="Times New Roman" w:hAnsi="Arial" w:cs="Arial"/>
          <w:sz w:val="22"/>
          <w:szCs w:val="22"/>
          <w:lang w:eastAsia="es-CO"/>
        </w:rPr>
      </w:pPr>
      <w:r>
        <w:rPr>
          <w:rFonts w:ascii="Arial" w:eastAsiaTheme="minorHAnsi" w:hAnsi="Arial" w:cs="Arial"/>
          <w:sz w:val="22"/>
          <w:szCs w:val="22"/>
          <w:lang w:val="es-CO" w:eastAsia="en-US"/>
        </w:rPr>
        <w:t xml:space="preserve">Decreto </w:t>
      </w:r>
      <w:r>
        <w:rPr>
          <w:rFonts w:ascii="Arial" w:hAnsi="Arial" w:cs="Arial"/>
          <w:color w:val="000000" w:themeColor="text1"/>
          <w:sz w:val="22"/>
          <w:szCs w:val="22"/>
        </w:rPr>
        <w:t>123 del 16 de agosto de 2001.</w:t>
      </w:r>
      <w:r>
        <w:rPr>
          <w:rFonts w:ascii="Arial" w:eastAsia="Times New Roman" w:hAnsi="Arial" w:cs="Arial"/>
          <w:sz w:val="22"/>
          <w:szCs w:val="22"/>
          <w:lang w:eastAsia="es-CO"/>
        </w:rPr>
        <w:t xml:space="preserve"> Participación de Agua Potable y Saneamiento Básico, Mitú– Vaupés serie “Historial de seguimiento y Control a los recursos del Sistema </w:t>
      </w:r>
      <w:r>
        <w:rPr>
          <w:rFonts w:ascii="Arial" w:eastAsia="Times New Roman" w:hAnsi="Arial" w:cs="Arial"/>
          <w:sz w:val="22"/>
          <w:szCs w:val="22"/>
          <w:lang w:eastAsia="es-CO"/>
        </w:rPr>
        <w:lastRenderedPageBreak/>
        <w:t xml:space="preserve">General de Participaciones – Ejecución y Seguimiento” Expediente Digital No 13/2018/D028-PREDI Radicado No </w:t>
      </w:r>
      <w:r>
        <w:rPr>
          <w:rFonts w:ascii="Arial" w:eastAsiaTheme="minorHAnsi" w:hAnsi="Arial" w:cs="Arial"/>
          <w:sz w:val="22"/>
          <w:szCs w:val="22"/>
          <w:lang w:val="es-CO" w:eastAsia="en-US"/>
        </w:rPr>
        <w:t>1-2019-052503</w:t>
      </w:r>
      <w:r>
        <w:rPr>
          <w:rFonts w:ascii="Arial" w:eastAsia="Times New Roman" w:hAnsi="Arial" w:cs="Arial"/>
          <w:sz w:val="22"/>
          <w:szCs w:val="22"/>
          <w:lang w:eastAsia="es-CO"/>
        </w:rPr>
        <w:t xml:space="preserve"> del 6 de junio de 2019</w:t>
      </w:r>
      <w:r w:rsidR="007C3EB1">
        <w:rPr>
          <w:rFonts w:ascii="Arial" w:eastAsia="Times New Roman" w:hAnsi="Arial" w:cs="Arial"/>
          <w:sz w:val="22"/>
          <w:szCs w:val="22"/>
          <w:lang w:eastAsia="es-CO"/>
        </w:rPr>
        <w:t xml:space="preserve">, </w:t>
      </w:r>
      <w:r>
        <w:rPr>
          <w:rFonts w:ascii="Arial" w:eastAsia="Times New Roman" w:hAnsi="Arial" w:cs="Arial"/>
          <w:sz w:val="22"/>
          <w:szCs w:val="22"/>
          <w:lang w:eastAsia="es-CO"/>
        </w:rPr>
        <w:t>enlace</w:t>
      </w:r>
      <w:r w:rsidR="007C3EB1">
        <w:rPr>
          <w:rFonts w:ascii="Arial" w:eastAsia="Times New Roman" w:hAnsi="Arial" w:cs="Arial"/>
          <w:sz w:val="22"/>
          <w:szCs w:val="22"/>
          <w:lang w:eastAsia="es-CO"/>
        </w:rPr>
        <w:t>:</w:t>
      </w:r>
    </w:p>
    <w:p w:rsidR="00355BC7" w:rsidRPr="00752183" w:rsidRDefault="00CF44D2" w:rsidP="00355BC7">
      <w:pPr>
        <w:jc w:val="both"/>
        <w:rPr>
          <w:rFonts w:ascii="Arial" w:hAnsi="Arial" w:cs="Arial"/>
          <w:sz w:val="20"/>
          <w:szCs w:val="20"/>
        </w:rPr>
      </w:pPr>
      <w:hyperlink r:id="rId45" w:anchor="url-960061" w:history="1">
        <w:r w:rsidR="00355BC7" w:rsidRPr="00752183">
          <w:rPr>
            <w:rStyle w:val="Hipervnculo"/>
            <w:rFonts w:ascii="Arial" w:hAnsi="Arial" w:cs="Arial"/>
            <w:sz w:val="20"/>
            <w:szCs w:val="20"/>
          </w:rPr>
          <w:t>http://portalgestiondoc.minhacienda.red/PortalEmpleado/#url-960061</w:t>
        </w:r>
      </w:hyperlink>
    </w:p>
    <w:p w:rsidR="00355BC7" w:rsidRDefault="00355BC7" w:rsidP="00355BC7">
      <w:pPr>
        <w:jc w:val="both"/>
        <w:rPr>
          <w:rFonts w:ascii="Arial" w:hAnsi="Arial" w:cs="Arial"/>
          <w:b/>
          <w:sz w:val="22"/>
          <w:szCs w:val="22"/>
        </w:rPr>
      </w:pPr>
    </w:p>
    <w:p w:rsidR="00355BC7" w:rsidRDefault="00355BC7" w:rsidP="00355BC7">
      <w:pPr>
        <w:jc w:val="both"/>
        <w:rPr>
          <w:rFonts w:ascii="Arial" w:hAnsi="Arial" w:cs="Arial"/>
          <w:b/>
          <w:sz w:val="22"/>
          <w:szCs w:val="22"/>
          <w:lang w:val="es-CO"/>
        </w:rPr>
      </w:pPr>
      <w:r>
        <w:rPr>
          <w:rFonts w:ascii="Arial" w:hAnsi="Arial" w:cs="Arial"/>
          <w:b/>
          <w:sz w:val="22"/>
          <w:szCs w:val="22"/>
        </w:rPr>
        <w:t xml:space="preserve">6. </w:t>
      </w:r>
      <w:r w:rsidR="007C3EB1">
        <w:rPr>
          <w:rFonts w:ascii="Arial" w:hAnsi="Arial" w:cs="Arial"/>
          <w:b/>
          <w:sz w:val="22"/>
          <w:szCs w:val="22"/>
        </w:rPr>
        <w:t xml:space="preserve">Evento de </w:t>
      </w:r>
      <w:r>
        <w:rPr>
          <w:rFonts w:ascii="Arial" w:hAnsi="Arial" w:cs="Arial"/>
          <w:b/>
          <w:sz w:val="22"/>
          <w:szCs w:val="22"/>
        </w:rPr>
        <w:t>Riesgo</w:t>
      </w:r>
      <w:r>
        <w:rPr>
          <w:rFonts w:ascii="Arial" w:hAnsi="Arial" w:cs="Arial"/>
          <w:b/>
          <w:sz w:val="22"/>
          <w:szCs w:val="22"/>
          <w:lang w:val="es-CO"/>
        </w:rPr>
        <w:t xml:space="preserve"> 9.13. </w:t>
      </w:r>
      <w:r w:rsidR="007C3EB1">
        <w:rPr>
          <w:rFonts w:ascii="Arial" w:hAnsi="Arial" w:cs="Arial"/>
          <w:b/>
          <w:sz w:val="22"/>
          <w:szCs w:val="22"/>
          <w:lang w:val="es-CO"/>
        </w:rPr>
        <w:t>“</w:t>
      </w:r>
      <w:r w:rsidRPr="00752183">
        <w:rPr>
          <w:rFonts w:ascii="Arial" w:hAnsi="Arial" w:cs="Arial"/>
          <w:b/>
          <w:i/>
          <w:sz w:val="22"/>
          <w:szCs w:val="22"/>
          <w:lang w:val="es-CO"/>
        </w:rPr>
        <w:t>No disponer de los mecanismos e instrumentos de participación ciudadana y de rendición de cuentas, cuando la ley lo exija</w:t>
      </w:r>
      <w:r w:rsidR="007C3EB1">
        <w:rPr>
          <w:rFonts w:ascii="Arial" w:hAnsi="Arial" w:cs="Arial"/>
          <w:b/>
          <w:sz w:val="22"/>
          <w:szCs w:val="22"/>
          <w:lang w:val="es-CO"/>
        </w:rPr>
        <w:t>”</w:t>
      </w:r>
      <w:r>
        <w:rPr>
          <w:rFonts w:ascii="Arial" w:hAnsi="Arial" w:cs="Arial"/>
          <w:b/>
          <w:sz w:val="22"/>
          <w:szCs w:val="22"/>
          <w:lang w:val="es-CO"/>
        </w:rPr>
        <w:t>.</w:t>
      </w:r>
    </w:p>
    <w:p w:rsidR="00355BC7" w:rsidRDefault="00355BC7" w:rsidP="00355BC7">
      <w:pPr>
        <w:jc w:val="both"/>
        <w:rPr>
          <w:rFonts w:ascii="Arial" w:hAnsi="Arial" w:cs="Arial"/>
          <w:b/>
          <w:sz w:val="22"/>
          <w:szCs w:val="22"/>
          <w:highlight w:val="yellow"/>
          <w:lang w:val="es-CO"/>
        </w:rPr>
      </w:pPr>
    </w:p>
    <w:p w:rsidR="00355BC7" w:rsidRDefault="00355BC7" w:rsidP="00355BC7">
      <w:pPr>
        <w:jc w:val="both"/>
        <w:rPr>
          <w:rFonts w:ascii="Arial" w:hAnsi="Arial" w:cs="Arial"/>
          <w:b/>
          <w:sz w:val="22"/>
          <w:szCs w:val="22"/>
          <w:highlight w:val="yellow"/>
          <w:lang w:val="es-CO"/>
        </w:rPr>
      </w:pPr>
      <w:r>
        <w:rPr>
          <w:rFonts w:ascii="Arial" w:hAnsi="Arial" w:cs="Arial"/>
          <w:b/>
          <w:sz w:val="22"/>
          <w:szCs w:val="22"/>
          <w:lang w:eastAsia="en-US"/>
        </w:rPr>
        <w:t>Comité de Desarrollo y Control Social</w:t>
      </w:r>
      <w:r w:rsidR="007C3EB1">
        <w:rPr>
          <w:rFonts w:ascii="Arial" w:hAnsi="Arial" w:cs="Arial"/>
          <w:b/>
          <w:sz w:val="22"/>
          <w:szCs w:val="22"/>
          <w:lang w:eastAsia="en-US"/>
        </w:rPr>
        <w:t>.</w:t>
      </w:r>
    </w:p>
    <w:p w:rsidR="00355BC7" w:rsidRDefault="00355BC7" w:rsidP="00355BC7">
      <w:pPr>
        <w:jc w:val="both"/>
        <w:rPr>
          <w:rFonts w:ascii="Arial" w:hAnsi="Arial" w:cs="Arial"/>
          <w:sz w:val="22"/>
          <w:szCs w:val="22"/>
          <w:highlight w:val="yellow"/>
        </w:rPr>
      </w:pPr>
    </w:p>
    <w:p w:rsidR="00355BC7" w:rsidRDefault="00355BC7" w:rsidP="00355BC7">
      <w:pPr>
        <w:jc w:val="both"/>
        <w:rPr>
          <w:rFonts w:ascii="Arial" w:hAnsi="Arial" w:cs="Arial"/>
          <w:sz w:val="22"/>
          <w:szCs w:val="22"/>
          <w:lang w:eastAsia="en-US"/>
        </w:rPr>
      </w:pPr>
      <w:r>
        <w:rPr>
          <w:rFonts w:ascii="Arial" w:hAnsi="Arial" w:cs="Arial"/>
          <w:sz w:val="22"/>
          <w:szCs w:val="22"/>
          <w:lang w:eastAsia="en-US"/>
        </w:rPr>
        <w:t xml:space="preserve">Los Comités de Desarrollo y Control Social, están establecidos en el Título V de la Ley 142 de 1994 reglamentado por el </w:t>
      </w:r>
      <w:r>
        <w:rPr>
          <w:rFonts w:ascii="Arial" w:hAnsi="Arial" w:cs="Arial"/>
          <w:color w:val="000000" w:themeColor="text1"/>
          <w:sz w:val="22"/>
          <w:szCs w:val="22"/>
        </w:rPr>
        <w:t xml:space="preserve">Decreto 1429 de 1995. Tienen como </w:t>
      </w:r>
      <w:r>
        <w:rPr>
          <w:rFonts w:ascii="Arial" w:hAnsi="Arial" w:cs="Arial"/>
          <w:sz w:val="22"/>
          <w:szCs w:val="22"/>
          <w:lang w:eastAsia="en-US"/>
        </w:rPr>
        <w:t>función principal, la de organizar la participación comunitaria en la vigilancia de la gestión y en la fiscalización de las entidades de carácter privado, oficial o mixto, que presten los Servicios Públicos Domiciliarios definidos en el artículo primero de la Ley 142 de 1994.</w:t>
      </w:r>
    </w:p>
    <w:p w:rsidR="00355BC7" w:rsidRDefault="00355BC7" w:rsidP="00355BC7">
      <w:pPr>
        <w:autoSpaceDE w:val="0"/>
        <w:autoSpaceDN w:val="0"/>
        <w:adjustRightInd w:val="0"/>
        <w:jc w:val="both"/>
        <w:rPr>
          <w:rFonts w:ascii="Arial" w:eastAsia="Calibri" w:hAnsi="Arial" w:cs="Arial"/>
          <w:sz w:val="22"/>
          <w:szCs w:val="22"/>
          <w:highlight w:val="cyan"/>
          <w:lang w:eastAsia="en-US"/>
        </w:rPr>
      </w:pPr>
    </w:p>
    <w:p w:rsidR="00355BC7" w:rsidRDefault="00355BC7" w:rsidP="00355BC7">
      <w:pPr>
        <w:jc w:val="both"/>
        <w:rPr>
          <w:rFonts w:ascii="Arial" w:hAnsi="Arial" w:cs="Arial"/>
          <w:sz w:val="22"/>
          <w:szCs w:val="22"/>
        </w:rPr>
      </w:pPr>
      <w:r>
        <w:rPr>
          <w:rFonts w:ascii="Arial" w:hAnsi="Arial" w:cs="Arial"/>
          <w:color w:val="000000" w:themeColor="text1"/>
          <w:sz w:val="22"/>
          <w:szCs w:val="22"/>
        </w:rPr>
        <w:t>En Mitú-Vaupés, el Comité fue creado mediante la Resolución No. 383 del 26 de julio de 2011. Sin embargo, e</w:t>
      </w:r>
      <w:r>
        <w:rPr>
          <w:rFonts w:ascii="Arial" w:hAnsi="Arial" w:cs="Arial"/>
          <w:sz w:val="22"/>
          <w:szCs w:val="22"/>
        </w:rPr>
        <w:t>l Comité de Desarrollo y Control Social, no opera desde hace varios años.</w:t>
      </w:r>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hAnsi="Arial" w:cs="Arial"/>
          <w:b/>
          <w:sz w:val="22"/>
          <w:szCs w:val="22"/>
        </w:rPr>
      </w:pPr>
      <w:r>
        <w:rPr>
          <w:rFonts w:ascii="Arial" w:hAnsi="Arial" w:cs="Arial"/>
          <w:b/>
          <w:sz w:val="22"/>
          <w:szCs w:val="22"/>
        </w:rPr>
        <w:t>Evidencia</w:t>
      </w:r>
      <w:r w:rsidR="007C3EB1">
        <w:rPr>
          <w:rFonts w:ascii="Arial" w:hAnsi="Arial" w:cs="Arial"/>
          <w:b/>
          <w:sz w:val="22"/>
          <w:szCs w:val="22"/>
        </w:rPr>
        <w:t>:</w:t>
      </w:r>
    </w:p>
    <w:p w:rsidR="00355BC7" w:rsidRDefault="00355BC7" w:rsidP="00355BC7">
      <w:pPr>
        <w:jc w:val="both"/>
        <w:rPr>
          <w:rFonts w:ascii="Arial" w:hAnsi="Arial" w:cs="Arial"/>
          <w:sz w:val="22"/>
          <w:szCs w:val="22"/>
        </w:rPr>
      </w:pPr>
    </w:p>
    <w:p w:rsidR="007C3EB1" w:rsidRDefault="00355BC7" w:rsidP="00355BC7">
      <w:pPr>
        <w:jc w:val="both"/>
        <w:rPr>
          <w:rFonts w:ascii="Arial" w:eastAsia="Times New Roman" w:hAnsi="Arial" w:cs="Arial"/>
          <w:sz w:val="22"/>
          <w:szCs w:val="22"/>
          <w:lang w:eastAsia="es-CO"/>
        </w:rPr>
      </w:pPr>
      <w:r>
        <w:rPr>
          <w:rFonts w:ascii="Arial" w:hAnsi="Arial" w:cs="Arial"/>
          <w:sz w:val="22"/>
          <w:szCs w:val="22"/>
        </w:rPr>
        <w:t>Certificación entidad territorial sobre el no funcionamiento del Comité, Participación</w:t>
      </w:r>
      <w:r>
        <w:rPr>
          <w:rFonts w:ascii="Arial" w:eastAsia="Times New Roman" w:hAnsi="Arial" w:cs="Arial"/>
          <w:sz w:val="22"/>
          <w:szCs w:val="22"/>
          <w:lang w:eastAsia="es-CO"/>
        </w:rPr>
        <w:t xml:space="preserve"> de Agua Potable y Saneamiento Básico, Mitú– Vaupés serie “Historial de seguimiento y Control a los recursos del Sistema General de Participaciones – Ejecución y Seguimiento” Expediente Digital No 13/2018/D028-PREDI Radicado No </w:t>
      </w:r>
      <w:r>
        <w:rPr>
          <w:rFonts w:ascii="Arial" w:hAnsi="Arial" w:cs="Arial"/>
          <w:bCs/>
          <w:color w:val="000000"/>
          <w:sz w:val="22"/>
          <w:szCs w:val="22"/>
          <w:lang w:val="es-AR"/>
        </w:rPr>
        <w:t xml:space="preserve">1-2021-083653 </w:t>
      </w:r>
      <w:r>
        <w:rPr>
          <w:rFonts w:ascii="Arial" w:eastAsia="Times New Roman" w:hAnsi="Arial" w:cs="Arial"/>
          <w:sz w:val="22"/>
          <w:szCs w:val="22"/>
          <w:lang w:eastAsia="es-CO"/>
        </w:rPr>
        <w:t>del 22 de septiembre de 2021</w:t>
      </w:r>
      <w:r w:rsidR="007C3EB1">
        <w:rPr>
          <w:rFonts w:ascii="Arial" w:eastAsia="Times New Roman" w:hAnsi="Arial" w:cs="Arial"/>
          <w:sz w:val="22"/>
          <w:szCs w:val="22"/>
          <w:lang w:eastAsia="es-CO"/>
        </w:rPr>
        <w:t xml:space="preserve">, </w:t>
      </w:r>
      <w:r>
        <w:rPr>
          <w:rFonts w:ascii="Arial" w:eastAsia="Times New Roman" w:hAnsi="Arial" w:cs="Arial"/>
          <w:sz w:val="22"/>
          <w:szCs w:val="22"/>
          <w:lang w:eastAsia="es-CO"/>
        </w:rPr>
        <w:t>Enlace</w:t>
      </w:r>
      <w:r w:rsidR="007C3EB1">
        <w:rPr>
          <w:rFonts w:ascii="Arial" w:eastAsia="Times New Roman" w:hAnsi="Arial" w:cs="Arial"/>
          <w:sz w:val="22"/>
          <w:szCs w:val="22"/>
          <w:lang w:eastAsia="es-CO"/>
        </w:rPr>
        <w:t>:</w:t>
      </w:r>
    </w:p>
    <w:p w:rsidR="00355BC7" w:rsidRPr="00752183" w:rsidRDefault="00CF44D2" w:rsidP="00355BC7">
      <w:pPr>
        <w:jc w:val="both"/>
        <w:rPr>
          <w:rFonts w:ascii="Arial" w:hAnsi="Arial" w:cs="Arial"/>
          <w:sz w:val="20"/>
          <w:szCs w:val="20"/>
        </w:rPr>
      </w:pPr>
      <w:hyperlink r:id="rId46" w:anchor="url-960061" w:history="1">
        <w:r w:rsidR="00355BC7" w:rsidRPr="00752183">
          <w:rPr>
            <w:rStyle w:val="Hipervnculo"/>
            <w:rFonts w:ascii="Arial" w:hAnsi="Arial" w:cs="Arial"/>
            <w:sz w:val="20"/>
            <w:szCs w:val="20"/>
          </w:rPr>
          <w:t>http://portalgestiondoc.minhacienda.red/PortalEmpleado/#url-960061</w:t>
        </w:r>
      </w:hyperlink>
    </w:p>
    <w:p w:rsidR="00355BC7" w:rsidRDefault="00355BC7" w:rsidP="00355BC7">
      <w:pPr>
        <w:jc w:val="both"/>
        <w:rPr>
          <w:rFonts w:ascii="Arial" w:hAnsi="Arial" w:cs="Arial"/>
          <w:color w:val="000000" w:themeColor="text1"/>
          <w:sz w:val="22"/>
          <w:szCs w:val="22"/>
        </w:rPr>
      </w:pPr>
    </w:p>
    <w:p w:rsidR="00355BC7" w:rsidRDefault="00355BC7" w:rsidP="00355BC7">
      <w:pPr>
        <w:jc w:val="both"/>
        <w:rPr>
          <w:rFonts w:ascii="Arial" w:eastAsia="Calibri" w:hAnsi="Arial" w:cs="Arial"/>
          <w:b/>
          <w:i/>
          <w:sz w:val="22"/>
          <w:szCs w:val="22"/>
          <w:lang w:val="es-CO" w:eastAsia="en-US"/>
        </w:rPr>
      </w:pPr>
      <w:r>
        <w:rPr>
          <w:rFonts w:ascii="Arial" w:eastAsia="Calibri" w:hAnsi="Arial" w:cs="Arial"/>
          <w:b/>
          <w:sz w:val="22"/>
          <w:szCs w:val="22"/>
          <w:lang w:val="es-CO" w:eastAsia="en-US"/>
        </w:rPr>
        <w:t xml:space="preserve">7. </w:t>
      </w:r>
      <w:r w:rsidR="007C3EB1">
        <w:rPr>
          <w:rFonts w:ascii="Arial" w:eastAsia="Calibri" w:hAnsi="Arial" w:cs="Arial"/>
          <w:b/>
          <w:sz w:val="22"/>
          <w:szCs w:val="22"/>
          <w:lang w:val="es-CO" w:eastAsia="en-US"/>
        </w:rPr>
        <w:t xml:space="preserve">Evento de </w:t>
      </w:r>
      <w:r>
        <w:rPr>
          <w:rFonts w:ascii="Arial" w:hAnsi="Arial" w:cs="Arial"/>
          <w:b/>
          <w:sz w:val="22"/>
          <w:szCs w:val="22"/>
        </w:rPr>
        <w:t>Riesgo</w:t>
      </w:r>
      <w:r>
        <w:rPr>
          <w:rFonts w:ascii="Arial" w:eastAsia="Calibri" w:hAnsi="Arial" w:cs="Arial"/>
          <w:b/>
          <w:sz w:val="22"/>
          <w:szCs w:val="22"/>
          <w:lang w:val="es-CO" w:eastAsia="en-US"/>
        </w:rPr>
        <w:t xml:space="preserve"> 9.18. </w:t>
      </w:r>
      <w:r>
        <w:rPr>
          <w:rFonts w:ascii="Arial" w:eastAsia="Calibri" w:hAnsi="Arial" w:cs="Arial"/>
          <w:b/>
          <w:i/>
          <w:sz w:val="22"/>
          <w:szCs w:val="22"/>
          <w:lang w:val="es-CO" w:eastAsia="en-US"/>
        </w:rPr>
        <w:t xml:space="preserve">“Aquella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inadecuado de los recursos del Sistema General de Participaciones” </w:t>
      </w:r>
    </w:p>
    <w:p w:rsidR="00355BC7" w:rsidRDefault="00355BC7" w:rsidP="00355BC7">
      <w:pPr>
        <w:jc w:val="both"/>
        <w:rPr>
          <w:rFonts w:ascii="Arial" w:hAnsi="Arial" w:cs="Arial"/>
          <w:b/>
          <w:sz w:val="22"/>
          <w:szCs w:val="22"/>
          <w:lang w:val="es-CO"/>
        </w:rPr>
      </w:pPr>
    </w:p>
    <w:p w:rsidR="00355BC7" w:rsidRDefault="00355BC7" w:rsidP="00355BC7">
      <w:pPr>
        <w:jc w:val="both"/>
        <w:rPr>
          <w:rFonts w:ascii="Arial" w:eastAsia="Calibri" w:hAnsi="Arial" w:cs="Arial"/>
          <w:sz w:val="22"/>
          <w:szCs w:val="22"/>
          <w:lang w:val="es-CO" w:eastAsia="en-US"/>
        </w:rPr>
      </w:pPr>
      <w:r>
        <w:rPr>
          <w:rFonts w:ascii="Arial" w:eastAsia="Calibri" w:hAnsi="Arial" w:cs="Arial"/>
          <w:b/>
          <w:sz w:val="22"/>
          <w:szCs w:val="22"/>
          <w:u w:val="single"/>
          <w:lang w:val="es-CO" w:eastAsia="en-US"/>
        </w:rPr>
        <w:t>INDICADOR INDICE DE CALIDAD DE AGUA-IRCA</w:t>
      </w:r>
      <w:r>
        <w:rPr>
          <w:rFonts w:ascii="Arial" w:eastAsia="Calibri" w:hAnsi="Arial" w:cs="Arial"/>
          <w:sz w:val="22"/>
          <w:szCs w:val="22"/>
          <w:lang w:val="es-CO" w:eastAsia="en-US"/>
        </w:rPr>
        <w:t>.</w:t>
      </w:r>
    </w:p>
    <w:p w:rsidR="00355BC7" w:rsidRDefault="00355BC7" w:rsidP="00355BC7">
      <w:pPr>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El Sistema para la Protección y Control de la Calidad del Agua para Consumo Humano - SIVICAP, está regulado por el Decreto 1575 de 2007 y demás normas reglamentarias. </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t>La medición sobre la calidad del agua consiste en el análisis de los resultados obtenidos de la vigilancia de la disposición de agua para consumo humano, realizada por el Instituto Nacional de Salud a través de las mediciones y reportes que realizan las secretarias de salud departamentales del País en el Índice de Riesgo de la Calidad del Agua para Consumo Humano - IRCA.</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autoSpaceDE w:val="0"/>
        <w:autoSpaceDN w:val="0"/>
        <w:adjustRightInd w:val="0"/>
        <w:jc w:val="both"/>
        <w:rPr>
          <w:rFonts w:ascii="Arial" w:eastAsia="Calibri" w:hAnsi="Arial" w:cs="Arial"/>
          <w:sz w:val="22"/>
          <w:szCs w:val="22"/>
          <w:lang w:val="es-CO" w:eastAsia="en-US"/>
        </w:rPr>
      </w:pPr>
      <w:r>
        <w:rPr>
          <w:rFonts w:ascii="Arial" w:eastAsia="Calibri" w:hAnsi="Arial" w:cs="Arial"/>
          <w:sz w:val="22"/>
          <w:szCs w:val="22"/>
          <w:lang w:val="es-CO" w:eastAsia="en-US"/>
        </w:rPr>
        <w:lastRenderedPageBreak/>
        <w:t>Es así, que el artículo 15 de la Resolución 2115 de 2007, dispone las acciones que debe realizar la autoridad sanitaria competente para clasificar el nivel de riesgo de agua para consumo humano que presentan las entidades prestadoras del Servicio.</w:t>
      </w:r>
    </w:p>
    <w:p w:rsidR="00355BC7" w:rsidRDefault="00355BC7" w:rsidP="00355BC7">
      <w:pPr>
        <w:autoSpaceDE w:val="0"/>
        <w:autoSpaceDN w:val="0"/>
        <w:adjustRightInd w:val="0"/>
        <w:jc w:val="both"/>
        <w:rPr>
          <w:rFonts w:ascii="Arial" w:eastAsia="Calibri" w:hAnsi="Arial" w:cs="Arial"/>
          <w:sz w:val="22"/>
          <w:szCs w:val="22"/>
          <w:lang w:val="es-CO" w:eastAsia="en-US"/>
        </w:rPr>
      </w:pPr>
    </w:p>
    <w:p w:rsidR="00355BC7" w:rsidRDefault="00355BC7" w:rsidP="00355BC7">
      <w:pPr>
        <w:jc w:val="both"/>
        <w:rPr>
          <w:rFonts w:ascii="Arial" w:eastAsia="Calibri" w:hAnsi="Arial" w:cs="Arial"/>
          <w:sz w:val="22"/>
          <w:szCs w:val="22"/>
          <w:lang w:val="es-CO" w:eastAsia="en-US"/>
        </w:rPr>
      </w:pPr>
      <w:r>
        <w:rPr>
          <w:rFonts w:ascii="Arial" w:eastAsia="Calibri" w:hAnsi="Arial" w:cs="Arial"/>
          <w:sz w:val="22"/>
          <w:szCs w:val="22"/>
          <w:lang w:val="es-CO" w:eastAsia="en-US"/>
        </w:rPr>
        <w:t>Los informes de Monitoreo realizados por el Ministerio de Vivienda, Ciudad y Territorio de las vigencias 2017 - 2020 indican que el Municipio de Mitú incumple con el indicador del IRCA, esto por cuanto en el Instituto Nacional de Salud- INS no se encontró información de las autoridades de salud departamental sobre el reporte de Índice de Calidad del Agua-IRCA.</w:t>
      </w:r>
    </w:p>
    <w:p w:rsidR="00355BC7" w:rsidRDefault="00355BC7" w:rsidP="00355BC7">
      <w:pPr>
        <w:jc w:val="both"/>
        <w:rPr>
          <w:rFonts w:ascii="Arial" w:eastAsia="Arial" w:hAnsi="Arial" w:cs="Arial"/>
          <w:sz w:val="22"/>
          <w:szCs w:val="22"/>
          <w:lang w:val="es-CO"/>
        </w:rPr>
      </w:pPr>
    </w:p>
    <w:p w:rsidR="00355BC7" w:rsidRDefault="00355BC7" w:rsidP="00355BC7">
      <w:pPr>
        <w:pStyle w:val="Default"/>
        <w:jc w:val="both"/>
        <w:rPr>
          <w:b/>
          <w:bCs/>
          <w:sz w:val="22"/>
          <w:szCs w:val="22"/>
        </w:rPr>
      </w:pPr>
      <w:r>
        <w:rPr>
          <w:sz w:val="22"/>
          <w:szCs w:val="22"/>
        </w:rPr>
        <w:t>Según la información que reporta el Instituto Nacional de Salud-INS, en su página WEB los siguientes son los niveles de riesgo del IRCA que ha mostrado el Municipio de Mitú en los últimos cuatro años</w:t>
      </w:r>
      <w:r>
        <w:rPr>
          <w:b/>
          <w:bCs/>
          <w:sz w:val="22"/>
          <w:szCs w:val="22"/>
        </w:rPr>
        <w:t xml:space="preserve"> </w:t>
      </w:r>
    </w:p>
    <w:p w:rsidR="00355BC7" w:rsidRDefault="00355BC7" w:rsidP="00355BC7">
      <w:pPr>
        <w:pStyle w:val="Default"/>
        <w:jc w:val="both"/>
        <w:rPr>
          <w:rFonts w:ascii="Arial Narrow" w:hAnsi="Arial Narrow"/>
          <w:b/>
          <w:bCs/>
          <w:sz w:val="22"/>
          <w:szCs w:val="22"/>
        </w:rPr>
      </w:pPr>
    </w:p>
    <w:tbl>
      <w:tblPr>
        <w:tblW w:w="0" w:type="dxa"/>
        <w:tblLayout w:type="fixed"/>
        <w:tblLook w:val="04A0" w:firstRow="1" w:lastRow="0" w:firstColumn="1" w:lastColumn="0" w:noHBand="0" w:noVBand="1"/>
      </w:tblPr>
      <w:tblGrid>
        <w:gridCol w:w="841"/>
        <w:gridCol w:w="850"/>
        <w:gridCol w:w="1134"/>
        <w:gridCol w:w="1134"/>
        <w:gridCol w:w="1134"/>
        <w:gridCol w:w="1134"/>
        <w:gridCol w:w="1134"/>
        <w:gridCol w:w="1418"/>
      </w:tblGrid>
      <w:tr w:rsidR="00355BC7" w:rsidTr="00355BC7">
        <w:trPr>
          <w:trHeight w:val="480"/>
        </w:trPr>
        <w:tc>
          <w:tcPr>
            <w:tcW w:w="841" w:type="dxa"/>
            <w:tcBorders>
              <w:top w:val="single" w:sz="8" w:space="0" w:color="auto"/>
              <w:left w:val="single" w:sz="8" w:space="0" w:color="auto"/>
              <w:bottom w:val="single" w:sz="4" w:space="0" w:color="auto"/>
              <w:right w:val="single" w:sz="4" w:space="0" w:color="auto"/>
            </w:tcBorders>
            <w:shd w:val="clear" w:color="auto" w:fill="0070C0"/>
            <w:vAlign w:val="center"/>
            <w:hideMark/>
          </w:tcPr>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Año</w:t>
            </w:r>
          </w:p>
        </w:tc>
        <w:tc>
          <w:tcPr>
            <w:tcW w:w="850" w:type="dxa"/>
            <w:tcBorders>
              <w:top w:val="single" w:sz="8" w:space="0" w:color="auto"/>
              <w:left w:val="nil"/>
              <w:bottom w:val="single" w:sz="4" w:space="0" w:color="auto"/>
              <w:right w:val="single" w:sz="4" w:space="0" w:color="auto"/>
            </w:tcBorders>
            <w:shd w:val="clear" w:color="auto" w:fill="0070C0"/>
            <w:vAlign w:val="center"/>
            <w:hideMark/>
          </w:tcPr>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Código_</w:t>
            </w:r>
          </w:p>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Dep</w:t>
            </w:r>
          </w:p>
        </w:tc>
        <w:tc>
          <w:tcPr>
            <w:tcW w:w="1134" w:type="dxa"/>
            <w:tcBorders>
              <w:top w:val="single" w:sz="8" w:space="0" w:color="auto"/>
              <w:left w:val="nil"/>
              <w:bottom w:val="single" w:sz="4" w:space="0" w:color="auto"/>
              <w:right w:val="single" w:sz="4" w:space="0" w:color="auto"/>
            </w:tcBorders>
            <w:shd w:val="clear" w:color="auto" w:fill="0070C0"/>
            <w:vAlign w:val="center"/>
            <w:hideMark/>
          </w:tcPr>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Departamento</w:t>
            </w:r>
          </w:p>
        </w:tc>
        <w:tc>
          <w:tcPr>
            <w:tcW w:w="1134" w:type="dxa"/>
            <w:tcBorders>
              <w:top w:val="single" w:sz="8" w:space="0" w:color="auto"/>
              <w:left w:val="nil"/>
              <w:bottom w:val="single" w:sz="4" w:space="0" w:color="auto"/>
              <w:right w:val="single" w:sz="4" w:space="0" w:color="auto"/>
            </w:tcBorders>
            <w:shd w:val="clear" w:color="auto" w:fill="0070C0"/>
            <w:vAlign w:val="center"/>
            <w:hideMark/>
          </w:tcPr>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Código Mun</w:t>
            </w:r>
          </w:p>
        </w:tc>
        <w:tc>
          <w:tcPr>
            <w:tcW w:w="1134" w:type="dxa"/>
            <w:tcBorders>
              <w:top w:val="single" w:sz="8" w:space="0" w:color="auto"/>
              <w:left w:val="nil"/>
              <w:bottom w:val="single" w:sz="4" w:space="0" w:color="auto"/>
              <w:right w:val="single" w:sz="4" w:space="0" w:color="auto"/>
            </w:tcBorders>
            <w:shd w:val="clear" w:color="auto" w:fill="0070C0"/>
            <w:vAlign w:val="center"/>
            <w:hideMark/>
          </w:tcPr>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Municipio</w:t>
            </w:r>
          </w:p>
        </w:tc>
        <w:tc>
          <w:tcPr>
            <w:tcW w:w="1134" w:type="dxa"/>
            <w:tcBorders>
              <w:top w:val="single" w:sz="8" w:space="0" w:color="auto"/>
              <w:left w:val="nil"/>
              <w:bottom w:val="single" w:sz="4" w:space="0" w:color="auto"/>
              <w:right w:val="single" w:sz="4" w:space="0" w:color="auto"/>
            </w:tcBorders>
            <w:shd w:val="clear" w:color="auto" w:fill="0070C0"/>
            <w:vAlign w:val="center"/>
            <w:hideMark/>
          </w:tcPr>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Muestras</w:t>
            </w:r>
          </w:p>
        </w:tc>
        <w:tc>
          <w:tcPr>
            <w:tcW w:w="1134" w:type="dxa"/>
            <w:tcBorders>
              <w:top w:val="single" w:sz="8" w:space="0" w:color="auto"/>
              <w:left w:val="nil"/>
              <w:bottom w:val="single" w:sz="4" w:space="0" w:color="auto"/>
              <w:right w:val="single" w:sz="4" w:space="0" w:color="auto"/>
            </w:tcBorders>
            <w:shd w:val="clear" w:color="auto" w:fill="0070C0"/>
            <w:vAlign w:val="center"/>
            <w:hideMark/>
          </w:tcPr>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IRCA</w:t>
            </w:r>
          </w:p>
        </w:tc>
        <w:tc>
          <w:tcPr>
            <w:tcW w:w="1418" w:type="dxa"/>
            <w:tcBorders>
              <w:top w:val="single" w:sz="8" w:space="0" w:color="auto"/>
              <w:left w:val="nil"/>
              <w:bottom w:val="single" w:sz="4" w:space="0" w:color="auto"/>
              <w:right w:val="single" w:sz="8" w:space="0" w:color="auto"/>
            </w:tcBorders>
            <w:shd w:val="clear" w:color="auto" w:fill="0070C0"/>
            <w:vAlign w:val="center"/>
            <w:hideMark/>
          </w:tcPr>
          <w:p w:rsidR="00355BC7" w:rsidRDefault="00355BC7">
            <w:pPr>
              <w:jc w:val="center"/>
              <w:rPr>
                <w:rFonts w:ascii="Arial Narrow" w:eastAsia="Times New Roman" w:hAnsi="Arial Narrow" w:cs="Tahoma"/>
                <w:b/>
                <w:bCs/>
                <w:color w:val="FFFFFF"/>
                <w:sz w:val="16"/>
                <w:szCs w:val="16"/>
                <w:lang w:val="en-US" w:eastAsia="en-US"/>
              </w:rPr>
            </w:pPr>
            <w:r>
              <w:rPr>
                <w:rFonts w:ascii="Arial Narrow" w:eastAsia="Times New Roman" w:hAnsi="Arial Narrow" w:cs="Tahoma"/>
                <w:b/>
                <w:bCs/>
                <w:color w:val="FFFFFF"/>
                <w:sz w:val="16"/>
                <w:szCs w:val="16"/>
                <w:lang w:val="en-US" w:eastAsia="en-US"/>
              </w:rPr>
              <w:t>Nivel_riesgo</w:t>
            </w:r>
          </w:p>
        </w:tc>
      </w:tr>
      <w:tr w:rsidR="00355BC7" w:rsidTr="00355BC7">
        <w:trPr>
          <w:trHeight w:val="285"/>
        </w:trPr>
        <w:tc>
          <w:tcPr>
            <w:tcW w:w="841" w:type="dxa"/>
            <w:tcBorders>
              <w:top w:val="nil"/>
              <w:left w:val="single" w:sz="8" w:space="0" w:color="auto"/>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2017</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97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Vaupes</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97001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Mitú</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57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50.1</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355BC7" w:rsidRDefault="00355BC7">
            <w:pPr>
              <w:rPr>
                <w:rFonts w:ascii="Arial" w:eastAsia="Times New Roman" w:hAnsi="Arial" w:cs="Arial"/>
                <w:b/>
                <w:bCs/>
                <w:color w:val="000000"/>
                <w:sz w:val="16"/>
                <w:szCs w:val="16"/>
                <w:lang w:val="en-US" w:eastAsia="en-US"/>
              </w:rPr>
            </w:pPr>
            <w:r>
              <w:rPr>
                <w:rFonts w:ascii="Arial" w:eastAsia="Times New Roman" w:hAnsi="Arial" w:cs="Arial"/>
                <w:b/>
                <w:bCs/>
                <w:color w:val="000000"/>
                <w:sz w:val="16"/>
                <w:szCs w:val="16"/>
                <w:lang w:val="en-US" w:eastAsia="en-US"/>
              </w:rPr>
              <w:t>ALTO</w:t>
            </w:r>
          </w:p>
        </w:tc>
      </w:tr>
      <w:tr w:rsidR="00355BC7" w:rsidTr="00355BC7">
        <w:trPr>
          <w:trHeight w:val="285"/>
        </w:trPr>
        <w:tc>
          <w:tcPr>
            <w:tcW w:w="841" w:type="dxa"/>
            <w:tcBorders>
              <w:top w:val="nil"/>
              <w:left w:val="single" w:sz="8" w:space="0" w:color="auto"/>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97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Vaupes</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97001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Mitú</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57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28.95</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355BC7" w:rsidRDefault="00355BC7">
            <w:pPr>
              <w:rPr>
                <w:rFonts w:ascii="Arial" w:eastAsia="Times New Roman" w:hAnsi="Arial" w:cs="Arial"/>
                <w:b/>
                <w:bCs/>
                <w:color w:val="000000"/>
                <w:sz w:val="16"/>
                <w:szCs w:val="16"/>
                <w:lang w:val="en-US" w:eastAsia="en-US"/>
              </w:rPr>
            </w:pPr>
            <w:r>
              <w:rPr>
                <w:rFonts w:ascii="Arial" w:eastAsia="Times New Roman" w:hAnsi="Arial" w:cs="Arial"/>
                <w:b/>
                <w:bCs/>
                <w:color w:val="000000"/>
                <w:sz w:val="16"/>
                <w:szCs w:val="16"/>
                <w:lang w:val="en-US" w:eastAsia="en-US"/>
              </w:rPr>
              <w:t>MEDIO</w:t>
            </w:r>
          </w:p>
        </w:tc>
      </w:tr>
      <w:tr w:rsidR="00355BC7" w:rsidTr="00355BC7">
        <w:trPr>
          <w:trHeight w:val="285"/>
        </w:trPr>
        <w:tc>
          <w:tcPr>
            <w:tcW w:w="841" w:type="dxa"/>
            <w:tcBorders>
              <w:top w:val="nil"/>
              <w:left w:val="single" w:sz="8" w:space="0" w:color="auto"/>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2019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97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Vaupes</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97001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Mitú</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0</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355BC7" w:rsidRDefault="00355BC7">
            <w:pPr>
              <w:rPr>
                <w:rFonts w:ascii="Arial" w:eastAsia="Times New Roman" w:hAnsi="Arial" w:cs="Arial"/>
                <w:b/>
                <w:bCs/>
                <w:color w:val="000000"/>
                <w:sz w:val="16"/>
                <w:szCs w:val="16"/>
                <w:lang w:val="en-US" w:eastAsia="en-US"/>
              </w:rPr>
            </w:pPr>
            <w:r>
              <w:rPr>
                <w:rFonts w:ascii="Arial" w:eastAsia="Times New Roman" w:hAnsi="Arial" w:cs="Arial"/>
                <w:b/>
                <w:bCs/>
                <w:color w:val="000000"/>
                <w:sz w:val="16"/>
                <w:szCs w:val="16"/>
                <w:lang w:val="en-US" w:eastAsia="en-US"/>
              </w:rPr>
              <w:t>N.A (No reporte)</w:t>
            </w:r>
          </w:p>
        </w:tc>
      </w:tr>
      <w:tr w:rsidR="00355BC7" w:rsidTr="00355BC7">
        <w:trPr>
          <w:trHeight w:val="285"/>
        </w:trPr>
        <w:tc>
          <w:tcPr>
            <w:tcW w:w="841" w:type="dxa"/>
            <w:tcBorders>
              <w:top w:val="nil"/>
              <w:left w:val="single" w:sz="8" w:space="0" w:color="auto"/>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97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Vaupes</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97001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Mitú</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32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55BC7" w:rsidRDefault="00355BC7">
            <w:pPr>
              <w:jc w:val="center"/>
              <w:rPr>
                <w:rFonts w:ascii="Arial" w:eastAsia="Times New Roman" w:hAnsi="Arial" w:cs="Arial"/>
                <w:color w:val="000000"/>
                <w:sz w:val="16"/>
                <w:szCs w:val="16"/>
                <w:lang w:val="en-US" w:eastAsia="en-US"/>
              </w:rPr>
            </w:pPr>
            <w:r>
              <w:rPr>
                <w:rFonts w:ascii="Arial" w:eastAsia="Times New Roman" w:hAnsi="Arial" w:cs="Arial"/>
                <w:color w:val="000000"/>
                <w:sz w:val="16"/>
                <w:szCs w:val="16"/>
                <w:lang w:val="en-US" w:eastAsia="en-US"/>
              </w:rPr>
              <w:t>32.57</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355BC7" w:rsidRDefault="00355BC7">
            <w:pPr>
              <w:rPr>
                <w:rFonts w:ascii="Arial" w:eastAsia="Times New Roman" w:hAnsi="Arial" w:cs="Arial"/>
                <w:b/>
                <w:bCs/>
                <w:color w:val="000000"/>
                <w:sz w:val="16"/>
                <w:szCs w:val="16"/>
                <w:lang w:val="en-US" w:eastAsia="en-US"/>
              </w:rPr>
            </w:pPr>
            <w:r>
              <w:rPr>
                <w:rFonts w:ascii="Arial" w:eastAsia="Times New Roman" w:hAnsi="Arial" w:cs="Arial"/>
                <w:b/>
                <w:bCs/>
                <w:color w:val="000000"/>
                <w:sz w:val="16"/>
                <w:szCs w:val="16"/>
                <w:lang w:val="en-US" w:eastAsia="en-US"/>
              </w:rPr>
              <w:t>MEDIO</w:t>
            </w:r>
          </w:p>
        </w:tc>
      </w:tr>
    </w:tbl>
    <w:p w:rsidR="00355BC7" w:rsidRDefault="00355BC7" w:rsidP="00355BC7">
      <w:pPr>
        <w:pStyle w:val="Default"/>
        <w:rPr>
          <w:rFonts w:ascii="Arial Narrow" w:hAnsi="Arial Narrow"/>
          <w:bCs/>
          <w:sz w:val="14"/>
          <w:szCs w:val="14"/>
        </w:rPr>
      </w:pPr>
      <w:r>
        <w:rPr>
          <w:rFonts w:ascii="Arial Narrow" w:eastAsia="Arial Narrow" w:hAnsi="Arial Narrow" w:cs="Arial Narrow"/>
          <w:b/>
          <w:bCs/>
          <w:sz w:val="14"/>
          <w:szCs w:val="14"/>
        </w:rPr>
        <w:t xml:space="preserve">Fuente 1) </w:t>
      </w:r>
      <w:r>
        <w:rPr>
          <w:rFonts w:ascii="Arial Narrow" w:eastAsia="Arial Narrow" w:hAnsi="Arial Narrow" w:cs="Arial Narrow"/>
          <w:bCs/>
          <w:sz w:val="14"/>
          <w:szCs w:val="14"/>
        </w:rPr>
        <w:t xml:space="preserve">Informe </w:t>
      </w:r>
      <w:r>
        <w:rPr>
          <w:rFonts w:ascii="Arial Narrow" w:hAnsi="Arial Narrow" w:cs="Times New Roman"/>
          <w:bCs/>
          <w:color w:val="auto"/>
          <w:sz w:val="14"/>
          <w:szCs w:val="14"/>
        </w:rPr>
        <w:t>Nacional para la Calidad del Agua –INCA de (2017- 2019) -</w:t>
      </w:r>
      <w:r>
        <w:rPr>
          <w:rFonts w:ascii="Arial Narrow" w:hAnsi="Arial Narrow" w:cs="Times New Roman"/>
          <w:b/>
          <w:bCs/>
          <w:color w:val="auto"/>
          <w:sz w:val="14"/>
          <w:szCs w:val="14"/>
        </w:rPr>
        <w:t xml:space="preserve"> 2) </w:t>
      </w:r>
      <w:r>
        <w:rPr>
          <w:rFonts w:ascii="Arial Narrow" w:hAnsi="Arial Narrow" w:cs="Times New Roman"/>
          <w:bCs/>
          <w:color w:val="auto"/>
          <w:sz w:val="14"/>
          <w:szCs w:val="14"/>
        </w:rPr>
        <w:t>https://sivilab.ins.gov.co/SIVILAB/ReportesCG/ReportesSIVICAP?menuId=228-INS</w:t>
      </w:r>
    </w:p>
    <w:p w:rsidR="00355BC7" w:rsidRPr="00752183" w:rsidRDefault="00355BC7" w:rsidP="00355BC7">
      <w:pPr>
        <w:pStyle w:val="Default"/>
        <w:rPr>
          <w:bCs/>
          <w:color w:val="auto"/>
          <w:sz w:val="20"/>
          <w:szCs w:val="20"/>
        </w:rPr>
      </w:pPr>
    </w:p>
    <w:p w:rsidR="00355BC7" w:rsidRPr="00752183" w:rsidRDefault="00355BC7" w:rsidP="00355BC7">
      <w:pPr>
        <w:pStyle w:val="Default"/>
        <w:jc w:val="both"/>
        <w:rPr>
          <w:bCs/>
          <w:color w:val="auto"/>
          <w:sz w:val="22"/>
          <w:szCs w:val="22"/>
        </w:rPr>
      </w:pPr>
      <w:r w:rsidRPr="00752183">
        <w:rPr>
          <w:bCs/>
          <w:color w:val="auto"/>
          <w:sz w:val="22"/>
          <w:szCs w:val="22"/>
        </w:rPr>
        <w:t>Los reportes desde el 2017 al 2019 indican que el Municipio no está garantizando un consumo de agua óptimo para la población, el indicador fluctúa entre un nivel alto a medio y el 2019 se identifica sin reporte</w:t>
      </w:r>
      <w:r w:rsidR="007C3EB1">
        <w:rPr>
          <w:bCs/>
          <w:color w:val="auto"/>
          <w:sz w:val="22"/>
          <w:szCs w:val="22"/>
        </w:rPr>
        <w:t>.</w:t>
      </w:r>
    </w:p>
    <w:p w:rsidR="00355BC7" w:rsidRDefault="00355BC7" w:rsidP="00355BC7">
      <w:pPr>
        <w:jc w:val="both"/>
        <w:rPr>
          <w:rFonts w:ascii="Arial" w:eastAsia="Arial" w:hAnsi="Arial" w:cs="Arial"/>
          <w:sz w:val="22"/>
          <w:szCs w:val="22"/>
          <w:lang w:val="es-CO"/>
        </w:rPr>
      </w:pPr>
    </w:p>
    <w:p w:rsidR="00355BC7" w:rsidRDefault="00355BC7" w:rsidP="00355BC7">
      <w:pPr>
        <w:pStyle w:val="Textocomentario"/>
        <w:jc w:val="both"/>
        <w:rPr>
          <w:rFonts w:ascii="Arial" w:hAnsi="Arial" w:cs="Arial"/>
          <w:sz w:val="22"/>
          <w:szCs w:val="22"/>
        </w:rPr>
      </w:pPr>
      <w:r>
        <w:rPr>
          <w:rFonts w:ascii="Arial" w:eastAsia="Arial" w:hAnsi="Arial" w:cs="Arial"/>
          <w:sz w:val="22"/>
          <w:szCs w:val="22"/>
          <w:lang w:val="es-CO"/>
        </w:rPr>
        <w:t>Al cierre de la vigencia 2020, las mediciones registradas en el Instituto Nacional de Salud –INS muestran un indicador IRCA que se ubica en Riesgo Medio -IRCA, lo que indica que la entidad territorial no está garantizando a la población agua apta para el consumo humano.</w:t>
      </w:r>
    </w:p>
    <w:p w:rsidR="00355BC7" w:rsidRDefault="00355BC7" w:rsidP="00355BC7">
      <w:pPr>
        <w:pStyle w:val="Textocomentario"/>
        <w:rPr>
          <w:rFonts w:ascii="Arial" w:hAnsi="Arial" w:cs="Arial"/>
          <w:sz w:val="22"/>
          <w:szCs w:val="22"/>
        </w:rPr>
      </w:pPr>
    </w:p>
    <w:p w:rsidR="00355BC7" w:rsidRDefault="00355BC7" w:rsidP="00355BC7">
      <w:pPr>
        <w:pStyle w:val="Textocomentario"/>
        <w:jc w:val="both"/>
        <w:rPr>
          <w:rFonts w:ascii="Arial" w:hAnsi="Arial" w:cs="Arial"/>
          <w:sz w:val="22"/>
          <w:szCs w:val="22"/>
        </w:rPr>
      </w:pPr>
      <w:r>
        <w:rPr>
          <w:rFonts w:ascii="Arial" w:hAnsi="Arial" w:cs="Arial"/>
          <w:sz w:val="22"/>
          <w:szCs w:val="22"/>
        </w:rPr>
        <w:t>Lo que permite concluir que al no garantizar a la población el consumo de agua potable apta para el consumo humano, resulta de inminente riesgo para la prestación adecuada del servicio.</w:t>
      </w:r>
    </w:p>
    <w:p w:rsidR="00355BC7" w:rsidRDefault="00355BC7" w:rsidP="00355BC7">
      <w:pPr>
        <w:jc w:val="both"/>
        <w:rPr>
          <w:rFonts w:ascii="Arial" w:eastAsia="Arial" w:hAnsi="Arial" w:cs="Arial"/>
          <w:sz w:val="22"/>
          <w:szCs w:val="22"/>
          <w:lang w:val="es-CO"/>
        </w:rPr>
      </w:pPr>
    </w:p>
    <w:p w:rsidR="00355BC7" w:rsidRDefault="00355BC7" w:rsidP="00355BC7">
      <w:pPr>
        <w:jc w:val="both"/>
        <w:rPr>
          <w:rFonts w:ascii="Arial" w:eastAsia="Arial" w:hAnsi="Arial" w:cs="Arial"/>
          <w:sz w:val="22"/>
          <w:szCs w:val="22"/>
          <w:lang w:val="es-CO"/>
        </w:rPr>
      </w:pPr>
      <w:r>
        <w:rPr>
          <w:rFonts w:ascii="Arial" w:eastAsia="Arial" w:hAnsi="Arial" w:cs="Arial"/>
          <w:sz w:val="22"/>
          <w:szCs w:val="22"/>
          <w:lang w:val="es-CO"/>
        </w:rPr>
        <w:t xml:space="preserve">Según los reportes registrados en la página </w:t>
      </w:r>
      <w:r w:rsidR="007C3EB1" w:rsidRPr="00752183">
        <w:rPr>
          <w:rFonts w:ascii="Arial" w:eastAsia="Arial" w:hAnsi="Arial" w:cs="Arial"/>
          <w:i/>
          <w:sz w:val="22"/>
          <w:szCs w:val="22"/>
          <w:lang w:val="es-CO"/>
        </w:rPr>
        <w:t>W</w:t>
      </w:r>
      <w:r w:rsidRPr="00752183">
        <w:rPr>
          <w:rFonts w:ascii="Arial" w:eastAsia="Arial" w:hAnsi="Arial" w:cs="Arial"/>
          <w:i/>
          <w:sz w:val="22"/>
          <w:szCs w:val="22"/>
          <w:lang w:val="es-CO"/>
        </w:rPr>
        <w:t>eb</w:t>
      </w:r>
      <w:r>
        <w:rPr>
          <w:rFonts w:ascii="Arial" w:eastAsia="Arial" w:hAnsi="Arial" w:cs="Arial"/>
          <w:sz w:val="22"/>
          <w:szCs w:val="22"/>
          <w:lang w:val="es-CO"/>
        </w:rPr>
        <w:t xml:space="preserve"> del SIVILAB del INS (</w:t>
      </w:r>
      <w:hyperlink r:id="rId47" w:history="1">
        <w:r>
          <w:rPr>
            <w:rStyle w:val="Hipervnculo"/>
            <w:rFonts w:ascii="Arial" w:eastAsia="Arial" w:hAnsi="Arial" w:cs="Arial"/>
            <w:sz w:val="22"/>
            <w:szCs w:val="22"/>
            <w:lang w:val="es-CO"/>
          </w:rPr>
          <w:t>https://sivilab.ins.gov.co/SIVILAB/ReportesCG/ReportesSIVICAP?menuId=228</w:t>
        </w:r>
      </w:hyperlink>
      <w:r>
        <w:rPr>
          <w:rFonts w:ascii="Arial" w:eastAsia="Arial" w:hAnsi="Arial" w:cs="Arial"/>
          <w:sz w:val="22"/>
          <w:szCs w:val="22"/>
          <w:lang w:val="es-CO"/>
        </w:rPr>
        <w:t xml:space="preserve">), en lo transcurrido de 2021, no se evidenciaron reportes sobre el comportamiento del IRCA. Los reportes mensualizados por municipios y por prestadores no registraron datos para ningunos de los meses del 2021. </w:t>
      </w:r>
    </w:p>
    <w:p w:rsidR="00355BC7" w:rsidRDefault="00355BC7" w:rsidP="00355BC7">
      <w:pPr>
        <w:autoSpaceDE w:val="0"/>
        <w:autoSpaceDN w:val="0"/>
        <w:adjustRightInd w:val="0"/>
        <w:jc w:val="both"/>
        <w:rPr>
          <w:rFonts w:ascii="Arial" w:hAnsi="Arial" w:cs="Arial"/>
          <w:b/>
          <w:sz w:val="22"/>
          <w:szCs w:val="22"/>
        </w:rPr>
      </w:pPr>
    </w:p>
    <w:p w:rsidR="00355BC7" w:rsidRDefault="00355BC7" w:rsidP="00355BC7">
      <w:pPr>
        <w:autoSpaceDE w:val="0"/>
        <w:autoSpaceDN w:val="0"/>
        <w:adjustRightInd w:val="0"/>
        <w:jc w:val="both"/>
        <w:rPr>
          <w:rFonts w:ascii="Arial" w:hAnsi="Arial" w:cs="Arial"/>
          <w:b/>
          <w:sz w:val="22"/>
          <w:szCs w:val="22"/>
        </w:rPr>
      </w:pPr>
      <w:r>
        <w:rPr>
          <w:rFonts w:ascii="Arial" w:hAnsi="Arial" w:cs="Arial"/>
          <w:b/>
          <w:sz w:val="22"/>
          <w:szCs w:val="22"/>
        </w:rPr>
        <w:t>Evidencia</w:t>
      </w:r>
      <w:r w:rsidR="007C3EB1">
        <w:rPr>
          <w:rFonts w:ascii="Arial" w:hAnsi="Arial" w:cs="Arial"/>
          <w:b/>
          <w:sz w:val="22"/>
          <w:szCs w:val="22"/>
        </w:rPr>
        <w:t>:</w:t>
      </w:r>
    </w:p>
    <w:p w:rsidR="00355BC7" w:rsidRDefault="00355BC7" w:rsidP="00355BC7">
      <w:pPr>
        <w:autoSpaceDE w:val="0"/>
        <w:autoSpaceDN w:val="0"/>
        <w:adjustRightInd w:val="0"/>
        <w:jc w:val="both"/>
        <w:rPr>
          <w:rFonts w:ascii="Arial" w:hAnsi="Arial" w:cs="Arial"/>
          <w:sz w:val="22"/>
          <w:szCs w:val="22"/>
        </w:rPr>
      </w:pPr>
    </w:p>
    <w:p w:rsidR="007C3EB1" w:rsidRDefault="00355BC7" w:rsidP="00355BC7">
      <w:pPr>
        <w:jc w:val="both"/>
        <w:rPr>
          <w:rFonts w:ascii="Arial" w:eastAsia="Times New Roman" w:hAnsi="Arial" w:cs="Arial"/>
          <w:sz w:val="22"/>
          <w:szCs w:val="22"/>
          <w:lang w:eastAsia="es-CO"/>
        </w:rPr>
      </w:pPr>
      <w:r>
        <w:rPr>
          <w:rFonts w:ascii="Arial" w:hAnsi="Arial" w:cs="Arial"/>
          <w:sz w:val="22"/>
          <w:szCs w:val="22"/>
        </w:rPr>
        <w:t xml:space="preserve">Informe sobre Calidad de Agua-INS 2020. </w:t>
      </w:r>
      <w:r>
        <w:rPr>
          <w:rFonts w:ascii="Arial" w:eastAsia="Times New Roman" w:hAnsi="Arial" w:cs="Arial"/>
          <w:sz w:val="22"/>
          <w:szCs w:val="22"/>
          <w:lang w:eastAsia="es-CO"/>
        </w:rPr>
        <w:t xml:space="preserve">Participación de Agua Potable y Saneamiento Básico, Mitú– Vaupés serie “Historial de seguimiento y Control a los recursos del Sistema General de Participaciones – Ejecución y Seguimiento” Expediente Digital No 13/2018/D028-PREDI Radicado No </w:t>
      </w:r>
      <w:r>
        <w:rPr>
          <w:rFonts w:ascii="Arial" w:hAnsi="Arial" w:cs="Arial"/>
          <w:sz w:val="22"/>
          <w:szCs w:val="22"/>
        </w:rPr>
        <w:t>1-2020-056253 del 1 de julio de 2020</w:t>
      </w:r>
      <w:r w:rsidR="007C3EB1">
        <w:rPr>
          <w:rFonts w:ascii="Arial" w:hAnsi="Arial" w:cs="Arial"/>
          <w:sz w:val="22"/>
          <w:szCs w:val="22"/>
        </w:rPr>
        <w:t xml:space="preserve">, </w:t>
      </w:r>
      <w:r w:rsidR="007C3EB1">
        <w:rPr>
          <w:rFonts w:ascii="Arial" w:eastAsia="Times New Roman" w:hAnsi="Arial" w:cs="Arial"/>
          <w:sz w:val="22"/>
          <w:szCs w:val="22"/>
          <w:lang w:eastAsia="es-CO"/>
        </w:rPr>
        <w:t>e</w:t>
      </w:r>
      <w:r>
        <w:rPr>
          <w:rFonts w:ascii="Arial" w:eastAsia="Times New Roman" w:hAnsi="Arial" w:cs="Arial"/>
          <w:sz w:val="22"/>
          <w:szCs w:val="22"/>
          <w:lang w:eastAsia="es-CO"/>
        </w:rPr>
        <w:t>nlace</w:t>
      </w:r>
      <w:r w:rsidR="007C3EB1">
        <w:rPr>
          <w:rFonts w:ascii="Arial" w:eastAsia="Times New Roman" w:hAnsi="Arial" w:cs="Arial"/>
          <w:sz w:val="22"/>
          <w:szCs w:val="22"/>
          <w:lang w:eastAsia="es-CO"/>
        </w:rPr>
        <w:t>:</w:t>
      </w:r>
    </w:p>
    <w:p w:rsidR="00355BC7" w:rsidRPr="00752183" w:rsidRDefault="00CF44D2" w:rsidP="00355BC7">
      <w:pPr>
        <w:jc w:val="both"/>
        <w:rPr>
          <w:rFonts w:ascii="Arial" w:hAnsi="Arial" w:cs="Arial"/>
          <w:sz w:val="20"/>
          <w:szCs w:val="20"/>
        </w:rPr>
      </w:pPr>
      <w:hyperlink r:id="rId48" w:anchor="url-960061" w:history="1">
        <w:r w:rsidR="00355BC7" w:rsidRPr="00752183">
          <w:rPr>
            <w:rStyle w:val="Hipervnculo"/>
            <w:rFonts w:ascii="Arial" w:hAnsi="Arial" w:cs="Arial"/>
            <w:sz w:val="20"/>
            <w:szCs w:val="20"/>
          </w:rPr>
          <w:t>http://portalgestiondoc.minhacienda.red/PortalEmpleado/#url-960061</w:t>
        </w:r>
      </w:hyperlink>
    </w:p>
    <w:p w:rsidR="00355BC7" w:rsidRDefault="00355BC7" w:rsidP="00355BC7">
      <w:pPr>
        <w:autoSpaceDE w:val="0"/>
        <w:autoSpaceDN w:val="0"/>
        <w:adjustRightInd w:val="0"/>
        <w:jc w:val="both"/>
        <w:rPr>
          <w:rFonts w:ascii="Arial" w:hAnsi="Arial" w:cs="Arial"/>
          <w:sz w:val="22"/>
          <w:szCs w:val="22"/>
        </w:rPr>
      </w:pPr>
    </w:p>
    <w:p w:rsidR="00355BC7" w:rsidRDefault="00355BC7" w:rsidP="00355BC7">
      <w:pPr>
        <w:jc w:val="both"/>
        <w:rPr>
          <w:rFonts w:ascii="Arial" w:hAnsi="Arial" w:cs="Arial"/>
          <w:b/>
          <w:sz w:val="22"/>
          <w:szCs w:val="22"/>
          <w:u w:val="single"/>
        </w:rPr>
      </w:pPr>
      <w:r>
        <w:rPr>
          <w:rFonts w:ascii="Arial" w:hAnsi="Arial" w:cs="Arial"/>
          <w:b/>
          <w:sz w:val="22"/>
          <w:szCs w:val="22"/>
          <w:u w:val="single"/>
        </w:rPr>
        <w:t>SUBSIDIOS</w:t>
      </w:r>
      <w:r w:rsidR="007C3EB1">
        <w:rPr>
          <w:rFonts w:ascii="Arial" w:hAnsi="Arial" w:cs="Arial"/>
          <w:b/>
          <w:sz w:val="22"/>
          <w:szCs w:val="22"/>
          <w:u w:val="single"/>
        </w:rPr>
        <w:t>.</w:t>
      </w:r>
    </w:p>
    <w:p w:rsidR="00355BC7" w:rsidRDefault="00355BC7" w:rsidP="00355BC7">
      <w:pPr>
        <w:jc w:val="both"/>
        <w:rPr>
          <w:rFonts w:ascii="Arial" w:hAnsi="Arial" w:cs="Arial"/>
          <w:sz w:val="22"/>
          <w:szCs w:val="22"/>
        </w:rPr>
      </w:pP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 xml:space="preserve">La Ley 142 de 1994, en su artículo 14 de define que Subsidio es: </w:t>
      </w:r>
      <w:r>
        <w:rPr>
          <w:rFonts w:ascii="Arial" w:eastAsia="Calibri" w:hAnsi="Arial" w:cs="Arial"/>
          <w:i/>
          <w:iCs/>
          <w:color w:val="000000"/>
          <w:sz w:val="22"/>
          <w:szCs w:val="22"/>
          <w:lang w:val="es-CO" w:eastAsia="en-US"/>
        </w:rPr>
        <w:t>“la diferencia entre lo que se paga por un bien o servicio, y el costo de éste, cuando tal costo es mayor al pago que se recibe”</w:t>
      </w:r>
      <w:r>
        <w:rPr>
          <w:rFonts w:ascii="Arial" w:eastAsia="Calibri" w:hAnsi="Arial" w:cs="Arial"/>
          <w:color w:val="000000"/>
          <w:sz w:val="22"/>
          <w:szCs w:val="22"/>
          <w:lang w:val="es-CO" w:eastAsia="en-US"/>
        </w:rPr>
        <w:t>.</w:t>
      </w:r>
    </w:p>
    <w:p w:rsidR="00355BC7" w:rsidRDefault="00355BC7" w:rsidP="00355BC7">
      <w:pPr>
        <w:autoSpaceDE w:val="0"/>
        <w:autoSpaceDN w:val="0"/>
        <w:adjustRightInd w:val="0"/>
        <w:rPr>
          <w:rFonts w:ascii="Arial" w:eastAsia="Calibri" w:hAnsi="Arial" w:cs="Arial"/>
          <w:color w:val="000000"/>
          <w:sz w:val="22"/>
          <w:szCs w:val="22"/>
          <w:highlight w:val="yellow"/>
          <w:lang w:val="es-CO" w:eastAsia="en-US"/>
        </w:rPr>
      </w:pPr>
    </w:p>
    <w:p w:rsidR="00355BC7" w:rsidRDefault="00355BC7" w:rsidP="00355BC7">
      <w:pPr>
        <w:autoSpaceDE w:val="0"/>
        <w:autoSpaceDN w:val="0"/>
        <w:adjustRightInd w:val="0"/>
        <w:jc w:val="both"/>
        <w:rPr>
          <w:rFonts w:ascii="Arial" w:eastAsia="Calibri" w:hAnsi="Arial" w:cs="Arial"/>
          <w:color w:val="000000"/>
          <w:sz w:val="22"/>
          <w:szCs w:val="22"/>
          <w:lang w:val="es-CO" w:eastAsia="en-US"/>
        </w:rPr>
      </w:pPr>
      <w:r>
        <w:rPr>
          <w:rFonts w:ascii="Arial" w:eastAsia="Calibri" w:hAnsi="Arial" w:cs="Arial"/>
          <w:color w:val="000000"/>
          <w:sz w:val="22"/>
          <w:szCs w:val="22"/>
          <w:lang w:val="es-CO" w:eastAsia="en-US"/>
        </w:rPr>
        <w:t>Los subsidios se otorgan en los Servicios Públicos Domiciliarios de Acueducto, Alcantarillado y Aseo, para la población de estrato 1, 2 y 3. Conforme el parágrafo 2 del artículo 11 de la Ley 1176 de 2007, los municipios de categorías 2, 3, 4, 5 y 6 deben destinar como mínimo el 15</w:t>
      </w:r>
      <w:r w:rsidR="007C3EB1">
        <w:rPr>
          <w:rFonts w:ascii="Arial" w:eastAsia="Calibri" w:hAnsi="Arial" w:cs="Arial"/>
          <w:color w:val="000000"/>
          <w:sz w:val="22"/>
          <w:szCs w:val="22"/>
          <w:lang w:val="es-CO" w:eastAsia="en-US"/>
        </w:rPr>
        <w:t xml:space="preserve"> </w:t>
      </w:r>
      <w:r>
        <w:rPr>
          <w:rFonts w:ascii="Arial" w:eastAsia="Calibri" w:hAnsi="Arial" w:cs="Arial"/>
          <w:color w:val="000000"/>
          <w:sz w:val="22"/>
          <w:szCs w:val="22"/>
          <w:lang w:val="es-CO" w:eastAsia="en-US"/>
        </w:rPr>
        <w:t>% de los recursos recibidos en la correspondiente vigencia fiscal para pagar los subsidios a los estratos 1, 2 y 3.</w:t>
      </w:r>
    </w:p>
    <w:p w:rsidR="00355BC7" w:rsidRDefault="00355BC7" w:rsidP="00355BC7">
      <w:pPr>
        <w:autoSpaceDE w:val="0"/>
        <w:autoSpaceDN w:val="0"/>
        <w:adjustRightInd w:val="0"/>
        <w:jc w:val="both"/>
        <w:rPr>
          <w:rFonts w:ascii="Arial" w:eastAsia="Calibri" w:hAnsi="Arial" w:cs="Arial"/>
          <w:color w:val="000000"/>
          <w:sz w:val="22"/>
          <w:szCs w:val="22"/>
          <w:highlight w:val="yellow"/>
          <w:lang w:val="es-CO" w:eastAsia="en-US"/>
        </w:rPr>
      </w:pPr>
    </w:p>
    <w:p w:rsidR="00355BC7" w:rsidRDefault="00355BC7" w:rsidP="00355BC7">
      <w:pPr>
        <w:jc w:val="both"/>
        <w:rPr>
          <w:rFonts w:ascii="Arial" w:eastAsia="Calibri" w:hAnsi="Arial" w:cs="Arial"/>
          <w:sz w:val="22"/>
          <w:szCs w:val="22"/>
        </w:rPr>
      </w:pPr>
      <w:r>
        <w:rPr>
          <w:rFonts w:ascii="Arial" w:eastAsia="Calibri" w:hAnsi="Arial" w:cs="Arial"/>
          <w:sz w:val="22"/>
          <w:szCs w:val="22"/>
        </w:rPr>
        <w:t xml:space="preserve">los porcentajes de subsidios y contribuciones de acueducto, alcantarillado y aseo para los estratos 1, 2, y 3, están fijados mediante el Acuerdo Municipal No. 002 del 17 de enero de 2017.  </w:t>
      </w:r>
    </w:p>
    <w:p w:rsidR="00355BC7" w:rsidRDefault="00355BC7" w:rsidP="00355BC7">
      <w:pPr>
        <w:jc w:val="both"/>
        <w:rPr>
          <w:rFonts w:ascii="Arial" w:eastAsia="Arial" w:hAnsi="Arial" w:cs="Arial"/>
          <w:sz w:val="22"/>
          <w:szCs w:val="22"/>
          <w:lang w:val="es-CO"/>
        </w:rPr>
      </w:pPr>
    </w:p>
    <w:p w:rsidR="00355BC7" w:rsidRDefault="00355BC7" w:rsidP="00355BC7">
      <w:pPr>
        <w:jc w:val="both"/>
        <w:rPr>
          <w:rFonts w:ascii="Arial" w:eastAsia="Arial" w:hAnsi="Arial" w:cs="Arial"/>
          <w:sz w:val="22"/>
          <w:szCs w:val="22"/>
        </w:rPr>
      </w:pPr>
      <w:r>
        <w:rPr>
          <w:rFonts w:ascii="Arial" w:eastAsia="Arial" w:hAnsi="Arial" w:cs="Arial"/>
          <w:sz w:val="22"/>
          <w:szCs w:val="22"/>
          <w:lang w:val="es-CO"/>
        </w:rPr>
        <w:t xml:space="preserve">El Municipio para efectos de la facturación no implementa los porcentajes de subsidios conforme lo establece el Acuerdo No. 002 de 2017 por medio del cual se fijan los porcentajes de subsidios y contribuciones, pues los valores que se descuentan en la facturación a los usuarios por concepto de subsidios en los servicios de acueducto y alcantarillado son diferentes a los aprobados por el Concejo Municipal, lo cual representa falencias en la aplicación de la asignación de subsidios, en consecuencia en la prestación del </w:t>
      </w:r>
      <w:r w:rsidR="007C3EB1">
        <w:rPr>
          <w:rFonts w:ascii="Arial" w:eastAsia="Arial" w:hAnsi="Arial" w:cs="Arial"/>
          <w:sz w:val="22"/>
          <w:szCs w:val="22"/>
          <w:lang w:val="es-CO"/>
        </w:rPr>
        <w:t>S</w:t>
      </w:r>
      <w:r>
        <w:rPr>
          <w:rFonts w:ascii="Arial" w:eastAsia="Arial" w:hAnsi="Arial" w:cs="Arial"/>
          <w:sz w:val="22"/>
          <w:szCs w:val="22"/>
          <w:lang w:val="es-CO"/>
        </w:rPr>
        <w:t>ervicio y vulnerabilidad del marco legal del acuerdo No. 002 de 2017.</w:t>
      </w:r>
    </w:p>
    <w:p w:rsidR="00355BC7" w:rsidRDefault="00355BC7" w:rsidP="00355BC7">
      <w:pPr>
        <w:autoSpaceDE w:val="0"/>
        <w:autoSpaceDN w:val="0"/>
        <w:adjustRightInd w:val="0"/>
        <w:jc w:val="both"/>
        <w:rPr>
          <w:rFonts w:ascii="Arial" w:hAnsi="Arial" w:cs="Arial"/>
          <w:b/>
          <w:sz w:val="22"/>
          <w:szCs w:val="22"/>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618"/>
        <w:gridCol w:w="2251"/>
        <w:gridCol w:w="1503"/>
      </w:tblGrid>
      <w:tr w:rsidR="00355BC7" w:rsidRPr="007C3EB1" w:rsidTr="00752183">
        <w:trPr>
          <w:trHeight w:val="462"/>
          <w:tblHeader/>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center"/>
              <w:rPr>
                <w:rFonts w:ascii="Arial" w:hAnsi="Arial" w:cs="Arial"/>
                <w:b/>
                <w:sz w:val="20"/>
                <w:szCs w:val="20"/>
              </w:rPr>
            </w:pPr>
            <w:r w:rsidRPr="00752183">
              <w:rPr>
                <w:rFonts w:ascii="Arial" w:hAnsi="Arial" w:cs="Arial"/>
                <w:b/>
                <w:sz w:val="20"/>
                <w:szCs w:val="20"/>
              </w:rPr>
              <w:t>ACUERDO /FACTURAS</w:t>
            </w:r>
          </w:p>
          <w:p w:rsidR="00355BC7" w:rsidRPr="00752183" w:rsidRDefault="00355BC7">
            <w:pPr>
              <w:autoSpaceDE w:val="0"/>
              <w:autoSpaceDN w:val="0"/>
              <w:adjustRightInd w:val="0"/>
              <w:jc w:val="center"/>
              <w:rPr>
                <w:rFonts w:ascii="Arial" w:hAnsi="Arial" w:cs="Arial"/>
                <w:b/>
                <w:sz w:val="20"/>
                <w:szCs w:val="20"/>
              </w:rPr>
            </w:pPr>
            <w:r w:rsidRPr="00752183">
              <w:rPr>
                <w:rFonts w:ascii="Arial" w:hAnsi="Arial" w:cs="Arial"/>
                <w:b/>
                <w:sz w:val="20"/>
                <w:szCs w:val="20"/>
              </w:rPr>
              <w:t>ESTRATO 1</w:t>
            </w:r>
          </w:p>
        </w:tc>
        <w:tc>
          <w:tcPr>
            <w:tcW w:w="1622"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sz w:val="20"/>
                <w:szCs w:val="20"/>
              </w:rPr>
            </w:pPr>
            <w:r w:rsidRPr="00752183">
              <w:rPr>
                <w:rFonts w:ascii="Arial" w:hAnsi="Arial" w:cs="Arial"/>
                <w:b/>
                <w:sz w:val="20"/>
                <w:szCs w:val="20"/>
              </w:rPr>
              <w:t xml:space="preserve">ACUEDUCTO </w:t>
            </w:r>
          </w:p>
        </w:tc>
        <w:tc>
          <w:tcPr>
            <w:tcW w:w="225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sz w:val="20"/>
                <w:szCs w:val="20"/>
              </w:rPr>
            </w:pPr>
            <w:r w:rsidRPr="00752183">
              <w:rPr>
                <w:rFonts w:ascii="Arial" w:hAnsi="Arial" w:cs="Arial"/>
                <w:b/>
                <w:sz w:val="20"/>
                <w:szCs w:val="20"/>
              </w:rPr>
              <w:t>ALCANTARILLADO</w:t>
            </w:r>
          </w:p>
          <w:p w:rsidR="00355BC7" w:rsidRPr="00752183" w:rsidRDefault="00355BC7">
            <w:pPr>
              <w:jc w:val="center"/>
              <w:rPr>
                <w:rFonts w:ascii="Arial" w:hAnsi="Arial" w:cs="Arial"/>
                <w:b/>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sz w:val="20"/>
                <w:szCs w:val="20"/>
              </w:rPr>
            </w:pPr>
            <w:r w:rsidRPr="00752183">
              <w:rPr>
                <w:rFonts w:ascii="Arial" w:hAnsi="Arial" w:cs="Arial"/>
                <w:b/>
                <w:sz w:val="20"/>
                <w:szCs w:val="20"/>
              </w:rPr>
              <w:t xml:space="preserve">ASEO </w:t>
            </w:r>
          </w:p>
        </w:tc>
      </w:tr>
      <w:tr w:rsidR="00355BC7" w:rsidRPr="007C3EB1" w:rsidTr="00355BC7">
        <w:trPr>
          <w:trHeight w:val="548"/>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both"/>
              <w:rPr>
                <w:rFonts w:ascii="Arial" w:hAnsi="Arial" w:cs="Arial"/>
                <w:b/>
                <w:sz w:val="20"/>
                <w:szCs w:val="20"/>
              </w:rPr>
            </w:pPr>
            <w:r w:rsidRPr="00752183">
              <w:rPr>
                <w:rFonts w:ascii="Arial" w:hAnsi="Arial" w:cs="Arial"/>
                <w:b/>
                <w:sz w:val="20"/>
                <w:szCs w:val="20"/>
              </w:rPr>
              <w:t xml:space="preserve">Porcentaje dispuesto Acuerdo No 002 de 2017 </w:t>
            </w:r>
          </w:p>
        </w:tc>
        <w:tc>
          <w:tcPr>
            <w:tcW w:w="1622" w:type="dxa"/>
            <w:tcBorders>
              <w:top w:val="single" w:sz="4" w:space="0" w:color="auto"/>
              <w:left w:val="single" w:sz="4" w:space="0" w:color="auto"/>
              <w:bottom w:val="single" w:sz="4" w:space="0" w:color="auto"/>
              <w:right w:val="single" w:sz="4" w:space="0" w:color="auto"/>
            </w:tcBorders>
            <w:hideMark/>
          </w:tcPr>
          <w:p w:rsidR="00355BC7" w:rsidRPr="00752183" w:rsidRDefault="00CF44D2">
            <w:pPr>
              <w:jc w:val="center"/>
              <w:rPr>
                <w:rFonts w:ascii="Arial" w:hAnsi="Arial" w:cs="Arial"/>
                <w:b/>
                <w:sz w:val="20"/>
                <w:szCs w:val="20"/>
              </w:rPr>
            </w:pPr>
            <w:r>
              <w:rPr>
                <w:noProof/>
                <w:sz w:val="20"/>
                <w:szCs w:val="20"/>
                <w:lang w:val="es-CO" w:eastAsia="es-CO"/>
              </w:rPr>
              <w:pict>
                <v:shape id="Flecha curvada hacia la izquierda 57" o:spid="_x0000_s1035" type="#_x0000_t103" style="position:absolute;left:0;text-align:left;margin-left:48.8pt;margin-top:4.15pt;width:14.85pt;height:3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" adj="17188,20497,5400" fillcolor="#ffca08" strokecolor="#bc9404" strokeweight="1.5pt"/>
              </w:pict>
            </w:r>
            <w:r w:rsidR="00355BC7" w:rsidRPr="00752183">
              <w:rPr>
                <w:rFonts w:ascii="Arial" w:hAnsi="Arial" w:cs="Arial"/>
                <w:b/>
                <w:color w:val="0070C0"/>
                <w:sz w:val="20"/>
                <w:szCs w:val="20"/>
              </w:rPr>
              <w:t>70 %</w:t>
            </w:r>
          </w:p>
        </w:tc>
        <w:tc>
          <w:tcPr>
            <w:tcW w:w="2257" w:type="dxa"/>
            <w:tcBorders>
              <w:top w:val="single" w:sz="4" w:space="0" w:color="auto"/>
              <w:left w:val="single" w:sz="4" w:space="0" w:color="auto"/>
              <w:bottom w:val="single" w:sz="4" w:space="0" w:color="auto"/>
              <w:right w:val="single" w:sz="4" w:space="0" w:color="auto"/>
            </w:tcBorders>
            <w:hideMark/>
          </w:tcPr>
          <w:p w:rsidR="00355BC7" w:rsidRPr="00752183" w:rsidRDefault="00CF44D2">
            <w:pPr>
              <w:jc w:val="center"/>
              <w:rPr>
                <w:rFonts w:ascii="Arial" w:hAnsi="Arial" w:cs="Arial"/>
                <w:b/>
                <w:sz w:val="20"/>
                <w:szCs w:val="20"/>
              </w:rPr>
            </w:pPr>
            <w:r>
              <w:rPr>
                <w:noProof/>
                <w:sz w:val="20"/>
                <w:szCs w:val="20"/>
                <w:lang w:val="es-CO" w:eastAsia="es-CO"/>
              </w:rPr>
              <w:pict>
                <v:shape id="Flecha curvada hacia la izquierda 56" o:spid="_x0000_s1034" type="#_x0000_t103" style="position:absolute;left:0;text-align:left;margin-left:69.05pt;margin-top:4.1pt;width:14.5pt;height:3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" adj="17298,20525,5400" fillcolor="#ffca08" strokecolor="#bc9404" strokeweight="1.5pt"/>
              </w:pict>
            </w:r>
            <w:r w:rsidR="00355BC7" w:rsidRPr="00752183">
              <w:rPr>
                <w:rFonts w:ascii="Arial" w:hAnsi="Arial" w:cs="Arial"/>
                <w:b/>
                <w:color w:val="0070C0"/>
                <w:sz w:val="20"/>
                <w:szCs w:val="20"/>
              </w:rPr>
              <w:t>70 %</w:t>
            </w:r>
          </w:p>
        </w:tc>
        <w:tc>
          <w:tcPr>
            <w:tcW w:w="1527" w:type="dxa"/>
            <w:tcBorders>
              <w:top w:val="single" w:sz="4" w:space="0" w:color="auto"/>
              <w:left w:val="single" w:sz="4" w:space="0" w:color="auto"/>
              <w:bottom w:val="single" w:sz="4" w:space="0" w:color="auto"/>
              <w:right w:val="single" w:sz="4" w:space="0" w:color="auto"/>
            </w:tcBorders>
            <w:hideMark/>
          </w:tcPr>
          <w:p w:rsidR="00355BC7" w:rsidRPr="00752183" w:rsidRDefault="00CF44D2">
            <w:pPr>
              <w:jc w:val="center"/>
              <w:rPr>
                <w:rFonts w:ascii="Arial" w:hAnsi="Arial" w:cs="Arial"/>
                <w:b/>
                <w:sz w:val="20"/>
                <w:szCs w:val="20"/>
              </w:rPr>
            </w:pPr>
            <w:r>
              <w:rPr>
                <w:noProof/>
                <w:sz w:val="20"/>
                <w:szCs w:val="20"/>
                <w:lang w:val="es-CO" w:eastAsia="es-CO"/>
              </w:rPr>
              <w:pict>
                <v:shape id="Flecha curvada hacia la izquierda 55" o:spid="_x0000_s1033" type="#_x0000_t103" style="position:absolute;left:0;text-align:left;margin-left:48.55pt;margin-top:3.65pt;width:14.4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" adj="17353,20538,5400" fillcolor="#e84c22" strokecolor="#aa3516" strokeweight="1.5pt"/>
              </w:pict>
            </w:r>
            <w:r w:rsidR="00355BC7" w:rsidRPr="00752183">
              <w:rPr>
                <w:rFonts w:ascii="Arial" w:hAnsi="Arial" w:cs="Arial"/>
                <w:b/>
                <w:color w:val="0070C0"/>
                <w:sz w:val="20"/>
                <w:szCs w:val="20"/>
              </w:rPr>
              <w:t>70 %</w:t>
            </w:r>
          </w:p>
        </w:tc>
      </w:tr>
      <w:tr w:rsidR="00355BC7" w:rsidRPr="007C3EB1" w:rsidTr="00355BC7">
        <w:trPr>
          <w:trHeight w:val="548"/>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both"/>
              <w:rPr>
                <w:rFonts w:ascii="Arial" w:hAnsi="Arial" w:cs="Arial"/>
                <w:b/>
                <w:sz w:val="20"/>
                <w:szCs w:val="20"/>
              </w:rPr>
            </w:pPr>
            <w:r w:rsidRPr="00752183">
              <w:rPr>
                <w:rFonts w:ascii="Arial" w:hAnsi="Arial" w:cs="Arial"/>
                <w:b/>
                <w:sz w:val="20"/>
                <w:szCs w:val="20"/>
              </w:rPr>
              <w:t xml:space="preserve">Porcentaje descontado en </w:t>
            </w:r>
            <w:r w:rsidRPr="00752183">
              <w:rPr>
                <w:rFonts w:ascii="Arial" w:hAnsi="Arial" w:cs="Arial"/>
                <w:b/>
                <w:sz w:val="20"/>
                <w:szCs w:val="20"/>
                <w:u w:val="thick"/>
              </w:rPr>
              <w:t xml:space="preserve">Factura No. 300,916 </w:t>
            </w:r>
          </w:p>
        </w:tc>
        <w:tc>
          <w:tcPr>
            <w:tcW w:w="1622"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color w:val="0070C0"/>
                <w:sz w:val="20"/>
                <w:szCs w:val="20"/>
              </w:rPr>
            </w:pPr>
            <w:r w:rsidRPr="00752183">
              <w:rPr>
                <w:rFonts w:ascii="Arial" w:hAnsi="Arial" w:cs="Arial"/>
                <w:b/>
                <w:color w:val="0070C0"/>
                <w:sz w:val="20"/>
                <w:szCs w:val="20"/>
              </w:rPr>
              <w:t>58 %</w:t>
            </w:r>
          </w:p>
        </w:tc>
        <w:tc>
          <w:tcPr>
            <w:tcW w:w="2257"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color w:val="0070C0"/>
                <w:sz w:val="20"/>
                <w:szCs w:val="20"/>
              </w:rPr>
            </w:pPr>
            <w:r w:rsidRPr="00752183">
              <w:rPr>
                <w:rFonts w:ascii="Arial" w:hAnsi="Arial" w:cs="Arial"/>
                <w:b/>
                <w:color w:val="0070C0"/>
                <w:sz w:val="20"/>
                <w:szCs w:val="20"/>
              </w:rPr>
              <w:t>59 %</w:t>
            </w:r>
          </w:p>
        </w:tc>
        <w:tc>
          <w:tcPr>
            <w:tcW w:w="1527"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color w:val="0070C0"/>
                <w:sz w:val="20"/>
                <w:szCs w:val="20"/>
              </w:rPr>
            </w:pPr>
            <w:r w:rsidRPr="00752183">
              <w:rPr>
                <w:rFonts w:ascii="Arial" w:hAnsi="Arial" w:cs="Arial"/>
                <w:b/>
                <w:color w:val="0070C0"/>
                <w:sz w:val="20"/>
                <w:szCs w:val="20"/>
              </w:rPr>
              <w:t>70 %</w:t>
            </w:r>
          </w:p>
        </w:tc>
      </w:tr>
      <w:tr w:rsidR="00355BC7" w:rsidRPr="007C3EB1" w:rsidTr="00355BC7">
        <w:trPr>
          <w:trHeight w:val="548"/>
        </w:trPr>
        <w:tc>
          <w:tcPr>
            <w:tcW w:w="3470" w:type="dxa"/>
            <w:tcBorders>
              <w:top w:val="single" w:sz="4" w:space="0" w:color="auto"/>
              <w:left w:val="single" w:sz="4" w:space="0" w:color="auto"/>
              <w:bottom w:val="single" w:sz="4" w:space="0" w:color="auto"/>
              <w:right w:val="single" w:sz="4" w:space="0" w:color="auto"/>
            </w:tcBorders>
          </w:tcPr>
          <w:p w:rsidR="00355BC7" w:rsidRPr="00752183" w:rsidRDefault="00355BC7">
            <w:pPr>
              <w:autoSpaceDE w:val="0"/>
              <w:autoSpaceDN w:val="0"/>
              <w:adjustRightInd w:val="0"/>
              <w:jc w:val="both"/>
              <w:rPr>
                <w:rFonts w:ascii="Arial" w:hAnsi="Arial" w:cs="Arial"/>
                <w:b/>
                <w:sz w:val="20"/>
                <w:szCs w:val="20"/>
              </w:rPr>
            </w:pPr>
          </w:p>
        </w:tc>
        <w:tc>
          <w:tcPr>
            <w:tcW w:w="1622"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0070C0"/>
                <w:sz w:val="20"/>
                <w:szCs w:val="20"/>
              </w:rPr>
            </w:pPr>
          </w:p>
        </w:tc>
        <w:tc>
          <w:tcPr>
            <w:tcW w:w="225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0070C0"/>
                <w:sz w:val="20"/>
                <w:szCs w:val="20"/>
              </w:rPr>
            </w:pPr>
          </w:p>
        </w:tc>
        <w:tc>
          <w:tcPr>
            <w:tcW w:w="152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0070C0"/>
                <w:sz w:val="20"/>
                <w:szCs w:val="20"/>
              </w:rPr>
            </w:pPr>
          </w:p>
        </w:tc>
      </w:tr>
      <w:tr w:rsidR="00355BC7" w:rsidRPr="007C3EB1" w:rsidTr="00355BC7">
        <w:trPr>
          <w:trHeight w:val="548"/>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both"/>
              <w:rPr>
                <w:rFonts w:ascii="Arial" w:hAnsi="Arial" w:cs="Arial"/>
                <w:b/>
                <w:sz w:val="20"/>
                <w:szCs w:val="20"/>
              </w:rPr>
            </w:pPr>
            <w:r w:rsidRPr="00752183">
              <w:rPr>
                <w:rFonts w:ascii="Arial" w:hAnsi="Arial" w:cs="Arial"/>
                <w:b/>
                <w:sz w:val="20"/>
                <w:szCs w:val="20"/>
              </w:rPr>
              <w:t xml:space="preserve">ACUERDO /FACTURAS-ESTRATO 2 </w:t>
            </w:r>
          </w:p>
        </w:tc>
        <w:tc>
          <w:tcPr>
            <w:tcW w:w="1622"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sz w:val="20"/>
                <w:szCs w:val="20"/>
              </w:rPr>
            </w:pPr>
            <w:r w:rsidRPr="00752183">
              <w:rPr>
                <w:rFonts w:ascii="Arial" w:hAnsi="Arial" w:cs="Arial"/>
                <w:b/>
                <w:sz w:val="20"/>
                <w:szCs w:val="20"/>
              </w:rPr>
              <w:t>ACUEDUCTO</w:t>
            </w:r>
          </w:p>
        </w:tc>
        <w:tc>
          <w:tcPr>
            <w:tcW w:w="225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sz w:val="20"/>
                <w:szCs w:val="20"/>
              </w:rPr>
            </w:pPr>
            <w:r w:rsidRPr="00752183">
              <w:rPr>
                <w:rFonts w:ascii="Arial" w:hAnsi="Arial" w:cs="Arial"/>
                <w:b/>
                <w:sz w:val="20"/>
                <w:szCs w:val="20"/>
              </w:rPr>
              <w:t>ALCANTARILLADO</w:t>
            </w:r>
          </w:p>
          <w:p w:rsidR="00355BC7" w:rsidRPr="00752183" w:rsidRDefault="00355BC7">
            <w:pPr>
              <w:jc w:val="center"/>
              <w:rPr>
                <w:rFonts w:ascii="Arial" w:hAnsi="Arial" w:cs="Arial"/>
                <w:b/>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sz w:val="20"/>
                <w:szCs w:val="20"/>
              </w:rPr>
            </w:pPr>
            <w:r w:rsidRPr="00752183">
              <w:rPr>
                <w:rFonts w:ascii="Arial" w:hAnsi="Arial" w:cs="Arial"/>
                <w:b/>
                <w:sz w:val="20"/>
                <w:szCs w:val="20"/>
              </w:rPr>
              <w:t xml:space="preserve">ASEO </w:t>
            </w:r>
          </w:p>
        </w:tc>
      </w:tr>
      <w:tr w:rsidR="00355BC7" w:rsidRPr="007C3EB1" w:rsidTr="00355BC7">
        <w:trPr>
          <w:trHeight w:val="606"/>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both"/>
              <w:rPr>
                <w:rFonts w:ascii="Arial" w:hAnsi="Arial" w:cs="Arial"/>
                <w:b/>
                <w:sz w:val="20"/>
                <w:szCs w:val="20"/>
              </w:rPr>
            </w:pPr>
            <w:r w:rsidRPr="00752183">
              <w:rPr>
                <w:rFonts w:ascii="Arial" w:hAnsi="Arial" w:cs="Arial"/>
                <w:b/>
                <w:sz w:val="20"/>
                <w:szCs w:val="20"/>
              </w:rPr>
              <w:t xml:space="preserve">Porcentaje dispuesto Acuerdo No 002 de 2017  </w:t>
            </w:r>
          </w:p>
        </w:tc>
        <w:tc>
          <w:tcPr>
            <w:tcW w:w="1622" w:type="dxa"/>
            <w:tcBorders>
              <w:top w:val="single" w:sz="4" w:space="0" w:color="auto"/>
              <w:left w:val="single" w:sz="4" w:space="0" w:color="auto"/>
              <w:bottom w:val="single" w:sz="4" w:space="0" w:color="auto"/>
              <w:right w:val="single" w:sz="4" w:space="0" w:color="auto"/>
            </w:tcBorders>
            <w:hideMark/>
          </w:tcPr>
          <w:p w:rsidR="00355BC7" w:rsidRPr="00752183" w:rsidRDefault="00CF44D2">
            <w:pPr>
              <w:jc w:val="center"/>
              <w:rPr>
                <w:rFonts w:ascii="Arial" w:hAnsi="Arial" w:cs="Arial"/>
                <w:b/>
                <w:color w:val="2B8222"/>
                <w:sz w:val="20"/>
                <w:szCs w:val="20"/>
              </w:rPr>
            </w:pPr>
            <w:r>
              <w:rPr>
                <w:noProof/>
                <w:sz w:val="20"/>
                <w:szCs w:val="20"/>
                <w:lang w:val="es-CO" w:eastAsia="es-CO"/>
              </w:rPr>
              <w:pict>
                <v:shape id="Flecha curvada hacia la izquierda 54" o:spid="_x0000_s1032" type="#_x0000_t103" style="position:absolute;left:0;text-align:left;margin-left:48.85pt;margin-top:9.95pt;width:14.85pt;height:3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" adj="16998,20450,5400" fillcolor="#ffca08" strokecolor="#bc9404" strokeweight="1.5pt"/>
              </w:pict>
            </w:r>
          </w:p>
          <w:p w:rsidR="00355BC7" w:rsidRPr="00752183" w:rsidRDefault="00355BC7">
            <w:pPr>
              <w:jc w:val="center"/>
              <w:rPr>
                <w:rFonts w:ascii="Arial" w:hAnsi="Arial" w:cs="Arial"/>
                <w:b/>
                <w:color w:val="2B8222"/>
                <w:sz w:val="20"/>
                <w:szCs w:val="20"/>
              </w:rPr>
            </w:pPr>
            <w:r w:rsidRPr="00752183">
              <w:rPr>
                <w:rFonts w:ascii="Arial" w:hAnsi="Arial" w:cs="Arial"/>
                <w:b/>
                <w:color w:val="2B8222"/>
                <w:sz w:val="20"/>
                <w:szCs w:val="20"/>
              </w:rPr>
              <w:t>40 %</w:t>
            </w:r>
          </w:p>
        </w:tc>
        <w:tc>
          <w:tcPr>
            <w:tcW w:w="2257" w:type="dxa"/>
            <w:tcBorders>
              <w:top w:val="single" w:sz="4" w:space="0" w:color="auto"/>
              <w:left w:val="single" w:sz="4" w:space="0" w:color="auto"/>
              <w:bottom w:val="single" w:sz="4" w:space="0" w:color="auto"/>
              <w:right w:val="single" w:sz="4" w:space="0" w:color="auto"/>
            </w:tcBorders>
            <w:hideMark/>
          </w:tcPr>
          <w:p w:rsidR="00355BC7" w:rsidRPr="00752183" w:rsidRDefault="00CF44D2">
            <w:pPr>
              <w:jc w:val="center"/>
              <w:rPr>
                <w:rFonts w:ascii="Arial" w:hAnsi="Arial" w:cs="Arial"/>
                <w:b/>
                <w:color w:val="2B8222"/>
                <w:sz w:val="20"/>
                <w:szCs w:val="20"/>
              </w:rPr>
            </w:pPr>
            <w:r>
              <w:rPr>
                <w:noProof/>
                <w:sz w:val="20"/>
                <w:szCs w:val="20"/>
                <w:lang w:val="es-CO" w:eastAsia="es-CO"/>
              </w:rPr>
              <w:pict>
                <v:shape id="Flecha curvada hacia la izquierda 53" o:spid="_x0000_s1031" type="#_x0000_t103" style="position:absolute;left:0;text-align:left;margin-left:67.9pt;margin-top:10.7pt;width:13.7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" adj="17574,20594,4614" fillcolor="#ffca08" strokecolor="#bc9404" strokeweight="1.5pt"/>
              </w:pict>
            </w:r>
          </w:p>
          <w:p w:rsidR="00355BC7" w:rsidRPr="00752183" w:rsidRDefault="00355BC7">
            <w:pPr>
              <w:jc w:val="center"/>
              <w:rPr>
                <w:rFonts w:ascii="Arial" w:hAnsi="Arial" w:cs="Arial"/>
                <w:b/>
                <w:color w:val="2B8222"/>
                <w:sz w:val="20"/>
                <w:szCs w:val="20"/>
              </w:rPr>
            </w:pPr>
            <w:r w:rsidRPr="00752183">
              <w:rPr>
                <w:rFonts w:ascii="Arial" w:hAnsi="Arial" w:cs="Arial"/>
                <w:b/>
                <w:color w:val="2B8222"/>
                <w:sz w:val="20"/>
                <w:szCs w:val="20"/>
              </w:rPr>
              <w:t>40 %</w:t>
            </w:r>
          </w:p>
        </w:tc>
        <w:tc>
          <w:tcPr>
            <w:tcW w:w="152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2B8222"/>
                <w:sz w:val="20"/>
                <w:szCs w:val="20"/>
              </w:rPr>
            </w:pPr>
          </w:p>
          <w:p w:rsidR="00355BC7" w:rsidRPr="00752183" w:rsidRDefault="00355BC7">
            <w:pPr>
              <w:jc w:val="center"/>
              <w:rPr>
                <w:rFonts w:ascii="Arial" w:hAnsi="Arial" w:cs="Arial"/>
                <w:b/>
                <w:color w:val="2B8222"/>
                <w:sz w:val="20"/>
                <w:szCs w:val="20"/>
              </w:rPr>
            </w:pPr>
            <w:r w:rsidRPr="00752183">
              <w:rPr>
                <w:rFonts w:ascii="Arial" w:hAnsi="Arial" w:cs="Arial"/>
                <w:b/>
                <w:color w:val="2B8222"/>
                <w:sz w:val="20"/>
                <w:szCs w:val="20"/>
              </w:rPr>
              <w:t>40 %</w:t>
            </w:r>
          </w:p>
        </w:tc>
      </w:tr>
      <w:tr w:rsidR="00355BC7" w:rsidRPr="007C3EB1" w:rsidTr="00355BC7">
        <w:trPr>
          <w:trHeight w:val="606"/>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both"/>
              <w:rPr>
                <w:rFonts w:ascii="Arial" w:hAnsi="Arial" w:cs="Arial"/>
                <w:b/>
                <w:sz w:val="20"/>
                <w:szCs w:val="20"/>
              </w:rPr>
            </w:pPr>
            <w:r w:rsidRPr="00752183">
              <w:rPr>
                <w:rFonts w:ascii="Arial" w:hAnsi="Arial" w:cs="Arial"/>
                <w:b/>
                <w:sz w:val="20"/>
                <w:szCs w:val="20"/>
              </w:rPr>
              <w:t xml:space="preserve">Porcentaje descontado en </w:t>
            </w:r>
            <w:r w:rsidRPr="00752183">
              <w:rPr>
                <w:rFonts w:ascii="Arial" w:hAnsi="Arial" w:cs="Arial"/>
                <w:b/>
                <w:sz w:val="20"/>
                <w:szCs w:val="20"/>
                <w:u w:val="thick"/>
              </w:rPr>
              <w:t xml:space="preserve">Factura No. 302,092 </w:t>
            </w:r>
          </w:p>
        </w:tc>
        <w:tc>
          <w:tcPr>
            <w:tcW w:w="1622"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color w:val="2B8222"/>
                <w:sz w:val="20"/>
                <w:szCs w:val="20"/>
              </w:rPr>
            </w:pPr>
            <w:r w:rsidRPr="00752183">
              <w:rPr>
                <w:rFonts w:ascii="Arial" w:hAnsi="Arial" w:cs="Arial"/>
                <w:b/>
                <w:color w:val="2B8222"/>
                <w:sz w:val="20"/>
                <w:szCs w:val="20"/>
              </w:rPr>
              <w:t>33 %</w:t>
            </w:r>
          </w:p>
        </w:tc>
        <w:tc>
          <w:tcPr>
            <w:tcW w:w="2257"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color w:val="2B8222"/>
                <w:sz w:val="20"/>
                <w:szCs w:val="20"/>
              </w:rPr>
            </w:pPr>
            <w:r w:rsidRPr="00752183">
              <w:rPr>
                <w:rFonts w:ascii="Arial" w:hAnsi="Arial" w:cs="Arial"/>
                <w:b/>
                <w:color w:val="2B8222"/>
                <w:sz w:val="20"/>
                <w:szCs w:val="20"/>
              </w:rPr>
              <w:t>34 %</w:t>
            </w:r>
          </w:p>
        </w:tc>
        <w:tc>
          <w:tcPr>
            <w:tcW w:w="1527" w:type="dxa"/>
            <w:tcBorders>
              <w:top w:val="single" w:sz="4" w:space="0" w:color="auto"/>
              <w:left w:val="single" w:sz="4" w:space="0" w:color="auto"/>
              <w:bottom w:val="single" w:sz="4" w:space="0" w:color="auto"/>
              <w:right w:val="single" w:sz="4" w:space="0" w:color="auto"/>
            </w:tcBorders>
            <w:hideMark/>
          </w:tcPr>
          <w:p w:rsidR="00355BC7" w:rsidRPr="00752183" w:rsidRDefault="00CF44D2">
            <w:pPr>
              <w:jc w:val="center"/>
              <w:rPr>
                <w:rFonts w:ascii="Arial" w:hAnsi="Arial" w:cs="Arial"/>
                <w:b/>
                <w:color w:val="2B8222"/>
                <w:sz w:val="20"/>
                <w:szCs w:val="20"/>
              </w:rPr>
            </w:pPr>
            <w:r>
              <w:rPr>
                <w:noProof/>
                <w:sz w:val="20"/>
                <w:szCs w:val="20"/>
                <w:lang w:val="es-CO" w:eastAsia="es-CO"/>
              </w:rPr>
              <w:pict>
                <v:shape id="Flecha curvada hacia la izquierda 52" o:spid="_x0000_s1030" type="#_x0000_t103" style="position:absolute;left:0;text-align:left;margin-left:48.55pt;margin-top:-18.25pt;width:14.5pt;height:3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" adj="17345,20536,5400" fillcolor="#e84c22" strokecolor="#aa3516" strokeweight="1.5pt"/>
              </w:pict>
            </w:r>
            <w:r w:rsidR="00355BC7" w:rsidRPr="00752183">
              <w:rPr>
                <w:rFonts w:ascii="Arial" w:hAnsi="Arial" w:cs="Arial"/>
                <w:b/>
                <w:color w:val="2B8222"/>
                <w:sz w:val="20"/>
                <w:szCs w:val="20"/>
              </w:rPr>
              <w:t>40 %</w:t>
            </w:r>
          </w:p>
        </w:tc>
      </w:tr>
      <w:tr w:rsidR="00355BC7" w:rsidRPr="007C3EB1" w:rsidTr="00355BC7">
        <w:trPr>
          <w:trHeight w:val="606"/>
        </w:trPr>
        <w:tc>
          <w:tcPr>
            <w:tcW w:w="3470" w:type="dxa"/>
            <w:tcBorders>
              <w:top w:val="single" w:sz="4" w:space="0" w:color="auto"/>
              <w:left w:val="single" w:sz="4" w:space="0" w:color="auto"/>
              <w:bottom w:val="single" w:sz="4" w:space="0" w:color="auto"/>
              <w:right w:val="single" w:sz="4" w:space="0" w:color="auto"/>
            </w:tcBorders>
          </w:tcPr>
          <w:p w:rsidR="00355BC7" w:rsidRPr="00752183" w:rsidRDefault="00355BC7">
            <w:pPr>
              <w:autoSpaceDE w:val="0"/>
              <w:autoSpaceDN w:val="0"/>
              <w:adjustRightInd w:val="0"/>
              <w:jc w:val="both"/>
              <w:rPr>
                <w:rFonts w:ascii="Arial" w:hAnsi="Arial" w:cs="Arial"/>
                <w:b/>
                <w:sz w:val="20"/>
                <w:szCs w:val="20"/>
              </w:rPr>
            </w:pPr>
          </w:p>
        </w:tc>
        <w:tc>
          <w:tcPr>
            <w:tcW w:w="1622"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4BACC6" w:themeColor="accent5"/>
                <w:sz w:val="20"/>
                <w:szCs w:val="20"/>
              </w:rPr>
            </w:pPr>
          </w:p>
        </w:tc>
        <w:tc>
          <w:tcPr>
            <w:tcW w:w="225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4BACC6" w:themeColor="accent5"/>
                <w:sz w:val="20"/>
                <w:szCs w:val="20"/>
              </w:rPr>
            </w:pPr>
          </w:p>
        </w:tc>
        <w:tc>
          <w:tcPr>
            <w:tcW w:w="152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4BACC6" w:themeColor="accent5"/>
                <w:sz w:val="20"/>
                <w:szCs w:val="20"/>
              </w:rPr>
            </w:pPr>
          </w:p>
        </w:tc>
      </w:tr>
      <w:tr w:rsidR="00355BC7" w:rsidRPr="007C3EB1" w:rsidTr="00355BC7">
        <w:trPr>
          <w:trHeight w:val="606"/>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both"/>
              <w:rPr>
                <w:rFonts w:ascii="Arial" w:hAnsi="Arial" w:cs="Arial"/>
                <w:b/>
                <w:sz w:val="20"/>
                <w:szCs w:val="20"/>
              </w:rPr>
            </w:pPr>
            <w:r w:rsidRPr="00752183">
              <w:rPr>
                <w:rFonts w:ascii="Arial" w:hAnsi="Arial" w:cs="Arial"/>
                <w:b/>
                <w:sz w:val="20"/>
                <w:szCs w:val="20"/>
              </w:rPr>
              <w:t>ACUERDO /FACTURAS ESTRATO 3</w:t>
            </w:r>
          </w:p>
        </w:tc>
        <w:tc>
          <w:tcPr>
            <w:tcW w:w="1622"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sz w:val="20"/>
                <w:szCs w:val="20"/>
              </w:rPr>
            </w:pPr>
            <w:r w:rsidRPr="00752183">
              <w:rPr>
                <w:rFonts w:ascii="Arial" w:hAnsi="Arial" w:cs="Arial"/>
                <w:b/>
                <w:sz w:val="20"/>
                <w:szCs w:val="20"/>
              </w:rPr>
              <w:t>ACUEDUCTO</w:t>
            </w:r>
          </w:p>
        </w:tc>
        <w:tc>
          <w:tcPr>
            <w:tcW w:w="225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sz w:val="20"/>
                <w:szCs w:val="20"/>
              </w:rPr>
            </w:pPr>
            <w:r w:rsidRPr="00752183">
              <w:rPr>
                <w:rFonts w:ascii="Arial" w:hAnsi="Arial" w:cs="Arial"/>
                <w:b/>
                <w:sz w:val="20"/>
                <w:szCs w:val="20"/>
              </w:rPr>
              <w:t>ALCANTARILLADO</w:t>
            </w:r>
          </w:p>
          <w:p w:rsidR="00355BC7" w:rsidRPr="00752183" w:rsidRDefault="00355BC7">
            <w:pPr>
              <w:jc w:val="center"/>
              <w:rPr>
                <w:rFonts w:ascii="Arial" w:hAnsi="Arial" w:cs="Arial"/>
                <w:b/>
                <w:sz w:val="20"/>
                <w:szCs w:val="20"/>
              </w:rPr>
            </w:pPr>
          </w:p>
        </w:tc>
        <w:tc>
          <w:tcPr>
            <w:tcW w:w="1527"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sz w:val="20"/>
                <w:szCs w:val="20"/>
              </w:rPr>
            </w:pPr>
            <w:r w:rsidRPr="00752183">
              <w:rPr>
                <w:rFonts w:ascii="Arial" w:hAnsi="Arial" w:cs="Arial"/>
                <w:b/>
                <w:sz w:val="20"/>
                <w:szCs w:val="20"/>
              </w:rPr>
              <w:t>ASEO</w:t>
            </w:r>
          </w:p>
        </w:tc>
      </w:tr>
      <w:tr w:rsidR="00355BC7" w:rsidRPr="007C3EB1" w:rsidTr="00355BC7">
        <w:trPr>
          <w:trHeight w:val="606"/>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both"/>
              <w:rPr>
                <w:rFonts w:ascii="Arial" w:hAnsi="Arial" w:cs="Arial"/>
                <w:b/>
                <w:sz w:val="20"/>
                <w:szCs w:val="20"/>
              </w:rPr>
            </w:pPr>
            <w:r w:rsidRPr="00752183">
              <w:rPr>
                <w:rFonts w:ascii="Arial" w:hAnsi="Arial" w:cs="Arial"/>
                <w:b/>
                <w:sz w:val="20"/>
                <w:szCs w:val="20"/>
              </w:rPr>
              <w:lastRenderedPageBreak/>
              <w:t xml:space="preserve">Porcentaje dispuesto Acuerdo No 002 de 2017  </w:t>
            </w:r>
          </w:p>
        </w:tc>
        <w:tc>
          <w:tcPr>
            <w:tcW w:w="1622"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7F7F7F" w:themeColor="text1" w:themeTint="80"/>
                <w:sz w:val="20"/>
                <w:szCs w:val="20"/>
              </w:rPr>
            </w:pPr>
          </w:p>
          <w:p w:rsidR="00355BC7" w:rsidRPr="00752183" w:rsidRDefault="00CF44D2">
            <w:pPr>
              <w:jc w:val="center"/>
              <w:rPr>
                <w:rFonts w:ascii="Arial" w:hAnsi="Arial" w:cs="Arial"/>
                <w:b/>
                <w:color w:val="7F7F7F" w:themeColor="text1" w:themeTint="80"/>
                <w:sz w:val="20"/>
                <w:szCs w:val="20"/>
              </w:rPr>
            </w:pPr>
            <w:r>
              <w:rPr>
                <w:noProof/>
                <w:sz w:val="20"/>
                <w:szCs w:val="20"/>
                <w:lang w:val="es-CO" w:eastAsia="es-CO"/>
              </w:rPr>
              <w:pict>
                <v:shape id="Flecha curvada hacia la izquierda 51" o:spid="_x0000_s1029" type="#_x0000_t103" style="position:absolute;left:0;text-align:left;margin-left:44.9pt;margin-top:.1pt;width:16.75pt;height:3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" adj="16623,20356,5400" fillcolor="#ffca08" strokecolor="#bc9404" strokeweight="1.5pt"/>
              </w:pict>
            </w:r>
            <w:r w:rsidR="00355BC7" w:rsidRPr="00752183">
              <w:rPr>
                <w:rFonts w:ascii="Arial" w:hAnsi="Arial" w:cs="Arial"/>
                <w:b/>
                <w:color w:val="7F7F7F" w:themeColor="text1" w:themeTint="80"/>
                <w:sz w:val="20"/>
                <w:szCs w:val="20"/>
              </w:rPr>
              <w:t>15 %</w:t>
            </w:r>
          </w:p>
        </w:tc>
        <w:tc>
          <w:tcPr>
            <w:tcW w:w="225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7F7F7F" w:themeColor="text1" w:themeTint="80"/>
                <w:sz w:val="20"/>
                <w:szCs w:val="20"/>
              </w:rPr>
            </w:pPr>
          </w:p>
          <w:p w:rsidR="00355BC7" w:rsidRPr="00752183" w:rsidRDefault="00CF44D2">
            <w:pPr>
              <w:jc w:val="center"/>
              <w:rPr>
                <w:rFonts w:ascii="Arial" w:hAnsi="Arial" w:cs="Arial"/>
                <w:b/>
                <w:color w:val="7F7F7F" w:themeColor="text1" w:themeTint="80"/>
                <w:sz w:val="20"/>
                <w:szCs w:val="20"/>
              </w:rPr>
            </w:pPr>
            <w:r>
              <w:rPr>
                <w:noProof/>
                <w:sz w:val="20"/>
                <w:szCs w:val="20"/>
                <w:lang w:val="es-CO" w:eastAsia="es-CO"/>
              </w:rPr>
              <w:pict>
                <v:shape id="Flecha curvada hacia la izquierda 50" o:spid="_x0000_s1028" type="#_x0000_t103" style="position:absolute;left:0;text-align:left;margin-left:63.6pt;margin-top:.1pt;width:16.05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" adj="16619,20355,5400" fillcolor="#ffca08" strokecolor="#bc9404" strokeweight="1.5pt"/>
              </w:pict>
            </w:r>
            <w:r w:rsidR="00355BC7" w:rsidRPr="00752183">
              <w:rPr>
                <w:rFonts w:ascii="Arial" w:hAnsi="Arial" w:cs="Arial"/>
                <w:b/>
                <w:color w:val="7F7F7F" w:themeColor="text1" w:themeTint="80"/>
                <w:sz w:val="20"/>
                <w:szCs w:val="20"/>
              </w:rPr>
              <w:t>15 %</w:t>
            </w:r>
          </w:p>
        </w:tc>
        <w:tc>
          <w:tcPr>
            <w:tcW w:w="1527" w:type="dxa"/>
            <w:tcBorders>
              <w:top w:val="single" w:sz="4" w:space="0" w:color="auto"/>
              <w:left w:val="single" w:sz="4" w:space="0" w:color="auto"/>
              <w:bottom w:val="single" w:sz="4" w:space="0" w:color="auto"/>
              <w:right w:val="single" w:sz="4" w:space="0" w:color="auto"/>
            </w:tcBorders>
          </w:tcPr>
          <w:p w:rsidR="00355BC7" w:rsidRPr="00752183" w:rsidRDefault="00355BC7">
            <w:pPr>
              <w:jc w:val="center"/>
              <w:rPr>
                <w:rFonts w:ascii="Arial" w:hAnsi="Arial" w:cs="Arial"/>
                <w:b/>
                <w:color w:val="7F7F7F" w:themeColor="text1" w:themeTint="80"/>
                <w:sz w:val="20"/>
                <w:szCs w:val="20"/>
              </w:rPr>
            </w:pPr>
          </w:p>
          <w:p w:rsidR="00355BC7" w:rsidRPr="00752183" w:rsidRDefault="00355BC7">
            <w:pPr>
              <w:jc w:val="center"/>
              <w:rPr>
                <w:rFonts w:ascii="Arial" w:hAnsi="Arial" w:cs="Arial"/>
                <w:b/>
                <w:color w:val="7F7F7F" w:themeColor="text1" w:themeTint="80"/>
                <w:sz w:val="20"/>
                <w:szCs w:val="20"/>
              </w:rPr>
            </w:pPr>
            <w:r w:rsidRPr="00752183">
              <w:rPr>
                <w:rFonts w:ascii="Arial" w:hAnsi="Arial" w:cs="Arial"/>
                <w:b/>
                <w:color w:val="7F7F7F" w:themeColor="text1" w:themeTint="80"/>
                <w:sz w:val="20"/>
                <w:szCs w:val="20"/>
              </w:rPr>
              <w:t>15 %</w:t>
            </w:r>
          </w:p>
        </w:tc>
      </w:tr>
      <w:tr w:rsidR="00355BC7" w:rsidRPr="007C3EB1" w:rsidTr="00355BC7">
        <w:trPr>
          <w:trHeight w:val="695"/>
        </w:trPr>
        <w:tc>
          <w:tcPr>
            <w:tcW w:w="3470" w:type="dxa"/>
            <w:tcBorders>
              <w:top w:val="single" w:sz="4" w:space="0" w:color="auto"/>
              <w:left w:val="single" w:sz="4" w:space="0" w:color="auto"/>
              <w:bottom w:val="single" w:sz="4" w:space="0" w:color="auto"/>
              <w:right w:val="single" w:sz="4" w:space="0" w:color="auto"/>
            </w:tcBorders>
            <w:hideMark/>
          </w:tcPr>
          <w:p w:rsidR="00355BC7" w:rsidRPr="00752183" w:rsidRDefault="00355BC7">
            <w:pPr>
              <w:autoSpaceDE w:val="0"/>
              <w:autoSpaceDN w:val="0"/>
              <w:adjustRightInd w:val="0"/>
              <w:jc w:val="both"/>
              <w:rPr>
                <w:rFonts w:ascii="Arial" w:hAnsi="Arial" w:cs="Arial"/>
                <w:b/>
                <w:sz w:val="20"/>
                <w:szCs w:val="20"/>
              </w:rPr>
            </w:pPr>
            <w:r w:rsidRPr="00752183">
              <w:rPr>
                <w:rFonts w:ascii="Arial" w:hAnsi="Arial" w:cs="Arial"/>
                <w:b/>
                <w:sz w:val="20"/>
                <w:szCs w:val="20"/>
              </w:rPr>
              <w:t xml:space="preserve">Porcentaje descontado en </w:t>
            </w:r>
            <w:r w:rsidRPr="00752183">
              <w:rPr>
                <w:rFonts w:ascii="Arial" w:hAnsi="Arial" w:cs="Arial"/>
                <w:b/>
                <w:sz w:val="20"/>
                <w:szCs w:val="20"/>
                <w:u w:val="thick"/>
              </w:rPr>
              <w:t xml:space="preserve">Factura No. 302,303 </w:t>
            </w:r>
          </w:p>
        </w:tc>
        <w:tc>
          <w:tcPr>
            <w:tcW w:w="1622"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color w:val="7F7F7F" w:themeColor="text1" w:themeTint="80"/>
                <w:sz w:val="20"/>
                <w:szCs w:val="20"/>
              </w:rPr>
            </w:pPr>
            <w:r w:rsidRPr="00752183">
              <w:rPr>
                <w:rFonts w:ascii="Arial" w:hAnsi="Arial" w:cs="Arial"/>
                <w:b/>
                <w:color w:val="7F7F7F" w:themeColor="text1" w:themeTint="80"/>
                <w:sz w:val="20"/>
                <w:szCs w:val="20"/>
              </w:rPr>
              <w:t>12 %</w:t>
            </w:r>
          </w:p>
        </w:tc>
        <w:tc>
          <w:tcPr>
            <w:tcW w:w="2257" w:type="dxa"/>
            <w:tcBorders>
              <w:top w:val="single" w:sz="4" w:space="0" w:color="auto"/>
              <w:left w:val="single" w:sz="4" w:space="0" w:color="auto"/>
              <w:bottom w:val="single" w:sz="4" w:space="0" w:color="auto"/>
              <w:right w:val="single" w:sz="4" w:space="0" w:color="auto"/>
            </w:tcBorders>
            <w:hideMark/>
          </w:tcPr>
          <w:p w:rsidR="00355BC7" w:rsidRPr="00752183" w:rsidRDefault="00355BC7">
            <w:pPr>
              <w:jc w:val="center"/>
              <w:rPr>
                <w:rFonts w:ascii="Arial" w:hAnsi="Arial" w:cs="Arial"/>
                <w:b/>
                <w:color w:val="7F7F7F" w:themeColor="text1" w:themeTint="80"/>
                <w:sz w:val="20"/>
                <w:szCs w:val="20"/>
              </w:rPr>
            </w:pPr>
            <w:r w:rsidRPr="00752183">
              <w:rPr>
                <w:rFonts w:ascii="Arial" w:hAnsi="Arial" w:cs="Arial"/>
                <w:b/>
                <w:color w:val="7F7F7F" w:themeColor="text1" w:themeTint="80"/>
                <w:sz w:val="20"/>
                <w:szCs w:val="20"/>
              </w:rPr>
              <w:t>13 %</w:t>
            </w:r>
          </w:p>
        </w:tc>
        <w:tc>
          <w:tcPr>
            <w:tcW w:w="1527" w:type="dxa"/>
            <w:tcBorders>
              <w:top w:val="single" w:sz="4" w:space="0" w:color="auto"/>
              <w:left w:val="single" w:sz="4" w:space="0" w:color="auto"/>
              <w:bottom w:val="single" w:sz="4" w:space="0" w:color="auto"/>
              <w:right w:val="single" w:sz="4" w:space="0" w:color="auto"/>
            </w:tcBorders>
            <w:hideMark/>
          </w:tcPr>
          <w:p w:rsidR="00355BC7" w:rsidRPr="00752183" w:rsidRDefault="00CF44D2">
            <w:pPr>
              <w:jc w:val="center"/>
              <w:rPr>
                <w:rFonts w:ascii="Arial" w:hAnsi="Arial" w:cs="Arial"/>
                <w:b/>
                <w:color w:val="7F7F7F" w:themeColor="text1" w:themeTint="80"/>
                <w:sz w:val="20"/>
                <w:szCs w:val="20"/>
              </w:rPr>
            </w:pPr>
            <w:r>
              <w:rPr>
                <w:noProof/>
                <w:sz w:val="20"/>
                <w:szCs w:val="20"/>
                <w:lang w:val="es-CO" w:eastAsia="es-CO"/>
              </w:rPr>
              <w:pict>
                <v:shape id="Flecha curvada hacia la izquierda 42" o:spid="_x0000_s1027" type="#_x0000_t103" style="position:absolute;left:0;text-align:left;margin-left:45.8pt;margin-top:-18.2pt;width:14.1pt;height: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" adj="17224,20506,5400" fillcolor="#e84c22" strokecolor="#aa3516" strokeweight="1.5pt"/>
              </w:pict>
            </w:r>
            <w:r w:rsidR="00355BC7" w:rsidRPr="00752183">
              <w:rPr>
                <w:rFonts w:ascii="Arial" w:hAnsi="Arial" w:cs="Arial"/>
                <w:b/>
                <w:color w:val="7F7F7F" w:themeColor="text1" w:themeTint="80"/>
                <w:sz w:val="20"/>
                <w:szCs w:val="20"/>
              </w:rPr>
              <w:t>15 %</w:t>
            </w:r>
          </w:p>
        </w:tc>
      </w:tr>
    </w:tbl>
    <w:p w:rsidR="00355BC7" w:rsidRDefault="00355BC7" w:rsidP="00355BC7">
      <w:pPr>
        <w:autoSpaceDE w:val="0"/>
        <w:autoSpaceDN w:val="0"/>
        <w:adjustRightInd w:val="0"/>
        <w:jc w:val="center"/>
        <w:rPr>
          <w:rFonts w:ascii="Arial" w:hAnsi="Arial" w:cs="Arial"/>
          <w:sz w:val="16"/>
          <w:szCs w:val="16"/>
        </w:rPr>
      </w:pPr>
      <w:r>
        <w:rPr>
          <w:rFonts w:ascii="Arial" w:hAnsi="Arial" w:cs="Arial"/>
          <w:sz w:val="16"/>
          <w:szCs w:val="16"/>
        </w:rPr>
        <w:t>Fuente: Acuerdo No. 002/2017 Consejo Municipal de Mitú- Facturas de Servicios Públicos 2020</w:t>
      </w:r>
    </w:p>
    <w:p w:rsidR="00355BC7" w:rsidRDefault="00355BC7" w:rsidP="00355BC7">
      <w:pPr>
        <w:jc w:val="both"/>
        <w:rPr>
          <w:rFonts w:ascii="Arial" w:eastAsiaTheme="minorHAnsi" w:hAnsi="Arial" w:cs="Arial"/>
          <w:lang w:val="es-CO" w:eastAsia="en-US"/>
        </w:rPr>
      </w:pPr>
    </w:p>
    <w:p w:rsidR="00355BC7" w:rsidRDefault="00355BC7" w:rsidP="00355BC7">
      <w:pPr>
        <w:autoSpaceDE w:val="0"/>
        <w:autoSpaceDN w:val="0"/>
        <w:adjustRightInd w:val="0"/>
        <w:jc w:val="both"/>
        <w:rPr>
          <w:rFonts w:ascii="Arial" w:hAnsi="Arial" w:cs="Arial"/>
          <w:b/>
          <w:sz w:val="22"/>
          <w:szCs w:val="22"/>
        </w:rPr>
      </w:pPr>
      <w:r>
        <w:rPr>
          <w:rFonts w:ascii="Arial" w:hAnsi="Arial" w:cs="Arial"/>
          <w:b/>
          <w:sz w:val="22"/>
          <w:szCs w:val="22"/>
        </w:rPr>
        <w:t>Evidencia</w:t>
      </w:r>
      <w:r w:rsidR="007C3EB1">
        <w:rPr>
          <w:rFonts w:ascii="Arial" w:hAnsi="Arial" w:cs="Arial"/>
          <w:b/>
          <w:sz w:val="22"/>
          <w:szCs w:val="22"/>
        </w:rPr>
        <w:t>:</w:t>
      </w:r>
    </w:p>
    <w:p w:rsidR="00355BC7" w:rsidRDefault="00355BC7" w:rsidP="00355BC7">
      <w:pPr>
        <w:autoSpaceDE w:val="0"/>
        <w:autoSpaceDN w:val="0"/>
        <w:adjustRightInd w:val="0"/>
        <w:jc w:val="both"/>
        <w:rPr>
          <w:rFonts w:ascii="Arial" w:hAnsi="Arial" w:cs="Arial"/>
          <w:sz w:val="22"/>
          <w:szCs w:val="22"/>
        </w:rPr>
      </w:pPr>
    </w:p>
    <w:p w:rsidR="007C3EB1" w:rsidRDefault="00355BC7" w:rsidP="00355BC7">
      <w:pPr>
        <w:jc w:val="both"/>
        <w:rPr>
          <w:rFonts w:ascii="Arial" w:eastAsia="Times New Roman" w:hAnsi="Arial" w:cs="Arial"/>
          <w:sz w:val="22"/>
          <w:szCs w:val="22"/>
          <w:lang w:eastAsia="es-CO"/>
        </w:rPr>
      </w:pPr>
      <w:r>
        <w:rPr>
          <w:rFonts w:ascii="Arial" w:eastAsia="Times New Roman" w:hAnsi="Arial" w:cs="Arial"/>
          <w:sz w:val="22"/>
          <w:szCs w:val="22"/>
          <w:lang w:eastAsia="es-CO"/>
        </w:rPr>
        <w:t>Acuerdo No. 002 de 2017, Facturas de Servicios Públicos del Municipio de Mitú Participación de Agua Potable y Saneamiento Básico, Mitú– Vaupés serie “Historial de seguimiento y Control a los recursos del Sistema General de Participaciones – Ejecución y Seguimiento” Expediente Digital No 13/2018/D028-PREDI Radicado No</w:t>
      </w:r>
      <w:r>
        <w:rPr>
          <w:rFonts w:ascii="Arial" w:hAnsi="Arial" w:cs="Arial"/>
          <w:sz w:val="22"/>
          <w:szCs w:val="22"/>
        </w:rPr>
        <w:t>. 1-2020-056253 del 1 de julio de 2020</w:t>
      </w:r>
      <w:r w:rsidR="007C3EB1">
        <w:rPr>
          <w:rFonts w:ascii="Arial" w:hAnsi="Arial" w:cs="Arial"/>
          <w:sz w:val="22"/>
          <w:szCs w:val="22"/>
        </w:rPr>
        <w:t xml:space="preserve">, </w:t>
      </w:r>
      <w:r w:rsidR="007C3EB1">
        <w:rPr>
          <w:rFonts w:ascii="Arial" w:eastAsia="Times New Roman" w:hAnsi="Arial" w:cs="Arial"/>
          <w:sz w:val="22"/>
          <w:szCs w:val="22"/>
          <w:lang w:eastAsia="es-CO"/>
        </w:rPr>
        <w:t>e</w:t>
      </w:r>
      <w:r>
        <w:rPr>
          <w:rFonts w:ascii="Arial" w:eastAsia="Times New Roman" w:hAnsi="Arial" w:cs="Arial"/>
          <w:sz w:val="22"/>
          <w:szCs w:val="22"/>
          <w:lang w:eastAsia="es-CO"/>
        </w:rPr>
        <w:t>nlace</w:t>
      </w:r>
      <w:r w:rsidR="007C3EB1">
        <w:rPr>
          <w:rFonts w:ascii="Arial" w:eastAsia="Times New Roman" w:hAnsi="Arial" w:cs="Arial"/>
          <w:sz w:val="22"/>
          <w:szCs w:val="22"/>
          <w:lang w:eastAsia="es-CO"/>
        </w:rPr>
        <w:t>:</w:t>
      </w:r>
    </w:p>
    <w:p w:rsidR="00355BC7" w:rsidRPr="00752183" w:rsidRDefault="00CF44D2" w:rsidP="00355BC7">
      <w:pPr>
        <w:jc w:val="both"/>
        <w:rPr>
          <w:rFonts w:ascii="Arial" w:hAnsi="Arial" w:cs="Arial"/>
          <w:sz w:val="20"/>
          <w:szCs w:val="20"/>
        </w:rPr>
      </w:pPr>
      <w:hyperlink r:id="rId49" w:anchor="url-960061" w:history="1">
        <w:r w:rsidR="00355BC7" w:rsidRPr="00752183">
          <w:rPr>
            <w:rStyle w:val="Hipervnculo"/>
            <w:rFonts w:ascii="Arial" w:hAnsi="Arial" w:cs="Arial"/>
            <w:sz w:val="20"/>
            <w:szCs w:val="20"/>
          </w:rPr>
          <w:t>http://portalgestiondoc.minhacienda.red/PortalEmpleado/#url-960061</w:t>
        </w:r>
      </w:hyperlink>
    </w:p>
    <w:p w:rsidR="00355BC7" w:rsidRDefault="00355BC7" w:rsidP="00355BC7">
      <w:pPr>
        <w:jc w:val="both"/>
        <w:rPr>
          <w:rFonts w:ascii="Arial" w:hAnsi="Arial" w:cs="Arial"/>
          <w:b/>
          <w:sz w:val="16"/>
          <w:szCs w:val="16"/>
        </w:rPr>
      </w:pPr>
    </w:p>
    <w:p w:rsidR="00355BC7" w:rsidRDefault="00355BC7" w:rsidP="00355BC7">
      <w:pPr>
        <w:jc w:val="both"/>
        <w:rPr>
          <w:rFonts w:ascii="Arial" w:hAnsi="Arial" w:cs="Arial"/>
          <w:sz w:val="16"/>
          <w:szCs w:val="16"/>
        </w:rPr>
      </w:pPr>
      <w:r>
        <w:rPr>
          <w:rFonts w:ascii="Arial" w:hAnsi="Arial" w:cs="Arial"/>
          <w:b/>
          <w:sz w:val="16"/>
          <w:szCs w:val="16"/>
        </w:rPr>
        <w:t>REVISIÓN TÉCNICA:</w:t>
      </w:r>
      <w:r>
        <w:rPr>
          <w:rFonts w:ascii="Arial" w:hAnsi="Arial" w:cs="Arial"/>
          <w:sz w:val="16"/>
          <w:szCs w:val="16"/>
        </w:rPr>
        <w:t xml:space="preserve"> Jairo Mauricio Mendoza</w:t>
      </w:r>
    </w:p>
    <w:p w:rsidR="00355BC7" w:rsidRDefault="00355BC7" w:rsidP="00355BC7">
      <w:pPr>
        <w:jc w:val="both"/>
        <w:rPr>
          <w:rFonts w:ascii="Arial" w:hAnsi="Arial" w:cs="Arial"/>
          <w:sz w:val="16"/>
          <w:szCs w:val="16"/>
        </w:rPr>
      </w:pPr>
      <w:r>
        <w:rPr>
          <w:rFonts w:ascii="Arial" w:hAnsi="Arial" w:cs="Arial"/>
          <w:b/>
          <w:sz w:val="16"/>
          <w:szCs w:val="16"/>
        </w:rPr>
        <w:t>REVISIÓN JURÍDICA.</w:t>
      </w:r>
      <w:r>
        <w:rPr>
          <w:rFonts w:ascii="Arial" w:hAnsi="Arial" w:cs="Arial"/>
          <w:sz w:val="16"/>
          <w:szCs w:val="16"/>
        </w:rPr>
        <w:t xml:space="preserve"> Equipo jurídico</w:t>
      </w:r>
    </w:p>
    <w:p w:rsidR="00355BC7" w:rsidRDefault="00355BC7" w:rsidP="00355BC7">
      <w:pPr>
        <w:jc w:val="both"/>
        <w:rPr>
          <w:rFonts w:ascii="Arial" w:hAnsi="Arial" w:cs="Arial"/>
          <w:caps/>
          <w:sz w:val="16"/>
          <w:szCs w:val="16"/>
        </w:rPr>
      </w:pPr>
      <w:r>
        <w:rPr>
          <w:rFonts w:ascii="Arial" w:hAnsi="Arial" w:cs="Arial"/>
          <w:b/>
          <w:sz w:val="16"/>
          <w:szCs w:val="16"/>
        </w:rPr>
        <w:t>ELABORÓ</w:t>
      </w:r>
      <w:r>
        <w:rPr>
          <w:rFonts w:ascii="Arial" w:hAnsi="Arial" w:cs="Arial"/>
          <w:sz w:val="16"/>
          <w:szCs w:val="16"/>
        </w:rPr>
        <w:t>: Rosmery Castillo Pacheco</w:t>
      </w:r>
    </w:p>
    <w:p w:rsidR="003447D2" w:rsidRPr="00355BC7" w:rsidRDefault="003447D2" w:rsidP="00355BC7"/>
    <w:sectPr w:rsidR="003447D2" w:rsidRPr="00355BC7" w:rsidSect="004E432F">
      <w:headerReference w:type="default" r:id="rId50"/>
      <w:footerReference w:type="default" r:id="rId51"/>
      <w:headerReference w:type="first" r:id="rId52"/>
      <w:footerReference w:type="first" r:id="rId53"/>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4D2" w:rsidRDefault="00CF44D2" w:rsidP="00F71345">
      <w:r>
        <w:separator/>
      </w:r>
    </w:p>
  </w:endnote>
  <w:endnote w:type="continuationSeparator" w:id="0">
    <w:p w:rsidR="00CF44D2" w:rsidRDefault="00CF44D2"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dy)">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CenturyGothic">
    <w:altName w:val="Malgun Gothic Semilight"/>
    <w:panose1 w:val="00000000000000000000"/>
    <w:charset w:val="00"/>
    <w:family w:val="swiss"/>
    <w:notTrueType/>
    <w:pitch w:val="default"/>
    <w:sig w:usb0="00000003" w:usb1="08080000" w:usb2="00000010" w:usb3="00000000" w:csb0="00100001" w:csb1="00000000"/>
  </w:font>
  <w:font w:name="Century Schoolbook">
    <w:panose1 w:val="0204060405050502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D6" w:rsidRPr="00D428BD" w:rsidRDefault="002B49D6" w:rsidP="00D428BD">
    <w:pPr>
      <w:pStyle w:val="Piedepgina"/>
    </w:pPr>
    <w:r>
      <w:rPr>
        <w:noProof/>
        <w:lang w:eastAsia="es-CO"/>
      </w:rPr>
      <w:drawing>
        <wp:inline distT="0" distB="0" distL="0" distR="0">
          <wp:extent cx="3399155" cy="981075"/>
          <wp:effectExtent l="0" t="0" r="0" b="0"/>
          <wp:docPr id="44" name="Imagen 44"/>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D6" w:rsidRPr="00D428BD" w:rsidRDefault="002B49D6" w:rsidP="00D428BD">
    <w:pPr>
      <w:pStyle w:val="Piedepgina"/>
    </w:pPr>
    <w:r>
      <w:rPr>
        <w:noProof/>
        <w:lang w:eastAsia="es-CO"/>
      </w:rPr>
      <w:drawing>
        <wp:inline distT="0" distB="0" distL="0" distR="0">
          <wp:extent cx="3399155" cy="981075"/>
          <wp:effectExtent l="0" t="0" r="0" b="0"/>
          <wp:docPr id="46" name="Imagen 46"/>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4D2" w:rsidRDefault="00CF44D2" w:rsidP="00F71345">
      <w:r>
        <w:separator/>
      </w:r>
    </w:p>
  </w:footnote>
  <w:footnote w:type="continuationSeparator" w:id="0">
    <w:p w:rsidR="00CF44D2" w:rsidRDefault="00CF44D2" w:rsidP="00F71345">
      <w:r>
        <w:continuationSeparator/>
      </w:r>
    </w:p>
  </w:footnote>
  <w:footnote w:id="1">
    <w:p w:rsidR="002B49D6" w:rsidRDefault="002B49D6" w:rsidP="00355BC7">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Tomado del Plan de Desarrollo Municipal paginas 74, 75 y 76</w:t>
      </w:r>
    </w:p>
  </w:footnote>
  <w:footnote w:id="2">
    <w:p w:rsidR="002B49D6" w:rsidRDefault="002B49D6" w:rsidP="00355BC7">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Plan de Desarrollo Municipal, pág. 76-77 </w:t>
      </w:r>
    </w:p>
  </w:footnote>
  <w:footnote w:id="3">
    <w:p w:rsidR="002B49D6" w:rsidRDefault="002B49D6" w:rsidP="00355BC7">
      <w:pPr>
        <w:pStyle w:val="Textonotapie"/>
      </w:pPr>
      <w:r>
        <w:rPr>
          <w:rStyle w:val="Refdenotaalpie"/>
        </w:rPr>
        <w:footnoteRef/>
      </w:r>
      <w:r>
        <w:t xml:space="preserve"> </w:t>
      </w:r>
      <w:r>
        <w:rPr>
          <w:rFonts w:ascii="Arial" w:hAnsi="Arial" w:cs="Arial"/>
          <w:sz w:val="16"/>
          <w:szCs w:val="16"/>
        </w:rPr>
        <w:t>Plan de Desarrollo Municipal, pág. 77-78</w:t>
      </w:r>
    </w:p>
  </w:footnote>
  <w:footnote w:id="4">
    <w:p w:rsidR="002B49D6" w:rsidRDefault="002B49D6" w:rsidP="00355BC7">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Página 53 del Informe de la Superintendencia de Servicios Públicos Domiciliarios, diciembre de 2019</w:t>
      </w:r>
    </w:p>
  </w:footnote>
  <w:footnote w:id="5">
    <w:p w:rsidR="002B49D6" w:rsidRDefault="002B49D6" w:rsidP="00355BC7">
      <w:pPr>
        <w:pStyle w:val="Textonotapie"/>
        <w:rPr>
          <w:rFonts w:ascii="Arial Narrow" w:hAnsi="Arial Narrow"/>
          <w:sz w:val="16"/>
          <w:szCs w:val="16"/>
        </w:rPr>
      </w:pPr>
      <w:r>
        <w:rPr>
          <w:rStyle w:val="Refdenotaalpie"/>
          <w:rFonts w:ascii="Arial Narrow" w:hAnsi="Arial Narrow"/>
          <w:sz w:val="16"/>
          <w:szCs w:val="16"/>
        </w:rPr>
        <w:footnoteRef/>
      </w:r>
      <w:r>
        <w:rPr>
          <w:rFonts w:ascii="Arial Narrow" w:hAnsi="Arial Narrow"/>
          <w:sz w:val="16"/>
          <w:szCs w:val="16"/>
        </w:rPr>
        <w:t xml:space="preserve"> Informe de Monitoreo SGP-APSB Ministerio de Vivienda, página 77</w:t>
      </w:r>
    </w:p>
  </w:footnote>
  <w:footnote w:id="6">
    <w:p w:rsidR="002B49D6" w:rsidRDefault="002B49D6" w:rsidP="00355BC7">
      <w:pPr>
        <w:pStyle w:val="00Body"/>
        <w:rPr>
          <w:rFonts w:ascii="Arial" w:hAnsi="Arial" w:cs="Arial"/>
          <w:sz w:val="16"/>
          <w:szCs w:val="16"/>
          <w:lang w:val="es-CO"/>
        </w:rPr>
      </w:pPr>
      <w:r>
        <w:rPr>
          <w:rStyle w:val="Refdenotaalpie"/>
          <w:rFonts w:ascii="Arial" w:hAnsi="Arial" w:cs="Arial"/>
          <w:sz w:val="16"/>
          <w:szCs w:val="16"/>
        </w:rPr>
        <w:footnoteRef/>
      </w:r>
      <w:r>
        <w:rPr>
          <w:rFonts w:ascii="Arial" w:hAnsi="Arial" w:cs="Arial"/>
          <w:sz w:val="16"/>
          <w:szCs w:val="16"/>
          <w:lang w:val="es-CO"/>
        </w:rPr>
        <w:t xml:space="preserve"> La grabación puede ser escuchada en el siguiente enlace: </w:t>
      </w:r>
      <w:hyperlink r:id="rId1" w:history="1">
        <w:r>
          <w:rPr>
            <w:rStyle w:val="Hipervnculo"/>
            <w:rFonts w:ascii="Arial" w:hAnsi="Arial" w:cs="Arial"/>
            <w:sz w:val="16"/>
            <w:szCs w:val="16"/>
            <w:lang w:val="es-CO"/>
          </w:rPr>
          <w:t>https://web.microsoftstream.com/video/97b20983-641d-4b3e-b246-3bb6d14185ff</w:t>
        </w:r>
      </w:hyperlink>
    </w:p>
    <w:p w:rsidR="002B49D6" w:rsidRDefault="002B49D6" w:rsidP="00355BC7">
      <w:pPr>
        <w:pStyle w:val="Textonotapie"/>
        <w:rPr>
          <w:lang w:val="es-CO"/>
        </w:rPr>
      </w:pPr>
    </w:p>
  </w:footnote>
  <w:footnote w:id="7">
    <w:p w:rsidR="002B49D6" w:rsidRDefault="002B49D6" w:rsidP="00355BC7">
      <w:pPr>
        <w:pStyle w:val="00Body"/>
        <w:rPr>
          <w:rFonts w:ascii="Arial" w:hAnsi="Arial" w:cs="Arial"/>
          <w:sz w:val="16"/>
          <w:szCs w:val="16"/>
          <w:lang w:val="es-CO"/>
        </w:rPr>
      </w:pPr>
      <w:r>
        <w:rPr>
          <w:rStyle w:val="Refdenotaalpie"/>
          <w:rFonts w:ascii="Arial" w:hAnsi="Arial" w:cs="Arial"/>
          <w:sz w:val="16"/>
          <w:szCs w:val="16"/>
        </w:rPr>
        <w:footnoteRef/>
      </w:r>
      <w:r>
        <w:rPr>
          <w:rFonts w:ascii="Arial" w:hAnsi="Arial" w:cs="Arial"/>
          <w:sz w:val="16"/>
          <w:szCs w:val="16"/>
          <w:lang w:val="es-CO"/>
        </w:rPr>
        <w:t xml:space="preserve"> El siguiente enlace contiene la grabación de la reunión en el minuto 0:52 (</w:t>
      </w:r>
      <w:hyperlink r:id="rId2" w:history="1">
        <w:r>
          <w:rPr>
            <w:rStyle w:val="Hipervnculo"/>
            <w:rFonts w:ascii="Arial" w:hAnsi="Arial" w:cs="Arial"/>
            <w:sz w:val="16"/>
            <w:szCs w:val="16"/>
            <w:lang w:val="es-CO"/>
          </w:rPr>
          <w:t>https://web.microsoftstream.com/video/97b20983-641d-4b3e-b246-3bb6d14185ff</w:t>
        </w:r>
      </w:hyperlink>
      <w:r>
        <w:rPr>
          <w:rFonts w:ascii="Arial" w:hAnsi="Arial" w:cs="Arial"/>
          <w:sz w:val="16"/>
          <w:szCs w:val="16"/>
          <w:lang w:val="es-CO"/>
        </w:rPr>
        <w:t>)</w:t>
      </w:r>
    </w:p>
    <w:p w:rsidR="002B49D6" w:rsidRDefault="002B49D6" w:rsidP="00355BC7">
      <w:pPr>
        <w:pStyle w:val="Textonotapie"/>
        <w:rPr>
          <w:lang w:val="es-CO"/>
        </w:rPr>
      </w:pPr>
    </w:p>
  </w:footnote>
  <w:footnote w:id="8">
    <w:p w:rsidR="002B49D6" w:rsidRDefault="002B49D6" w:rsidP="00355BC7">
      <w:pPr>
        <w:pStyle w:val="Textonotapie"/>
        <w:jc w:val="both"/>
        <w:rPr>
          <w:rFonts w:ascii="Arial" w:hAnsi="Arial" w:cs="Arial"/>
          <w:i/>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sz w:val="16"/>
          <w:szCs w:val="16"/>
        </w:rPr>
        <w:t>Artículo 18</w:t>
      </w:r>
      <w:r>
        <w:rPr>
          <w:rFonts w:ascii="Arial" w:hAnsi="Arial" w:cs="Arial"/>
          <w:sz w:val="16"/>
          <w:szCs w:val="16"/>
        </w:rPr>
        <w:t xml:space="preserve"> “</w:t>
      </w:r>
      <w:r>
        <w:rPr>
          <w:rFonts w:ascii="Arial" w:hAnsi="Arial" w:cs="Arial"/>
          <w:i/>
          <w:sz w:val="16"/>
          <w:szCs w:val="16"/>
        </w:rPr>
        <w:t>Los departamentos, los distritos y los municipios certificados administrarán los recursos del Sistema General de Participaciones en cuentas* especiales e independientes de los demás ingresos de las entidades territoriales. Estos dineros no harán unidad de caja con las demás rentas y recursos de la entidad territorial”. </w:t>
      </w:r>
    </w:p>
  </w:footnote>
  <w:footnote w:id="9">
    <w:p w:rsidR="002B49D6" w:rsidRDefault="002B49D6" w:rsidP="00355BC7">
      <w:pPr>
        <w:pStyle w:val="Textonotapie"/>
      </w:pPr>
      <w:r>
        <w:rPr>
          <w:rStyle w:val="Refdenotaalpie"/>
        </w:rPr>
        <w:footnoteRef/>
      </w:r>
      <w:r>
        <w:t xml:space="preserve"> </w:t>
      </w:r>
      <w:r>
        <w:rPr>
          <w:rFonts w:ascii="Arial" w:hAnsi="Arial" w:cs="Arial"/>
          <w:sz w:val="16"/>
          <w:szCs w:val="16"/>
          <w:lang w:val="es-CO"/>
        </w:rPr>
        <w:t>Por el cual se reglamenta el artículo 11 de la Ley 505 de 1999 y el parágrafo 10 del artículo 6 de la Ley 732 de 2002</w:t>
      </w:r>
    </w:p>
  </w:footnote>
  <w:footnote w:id="10">
    <w:p w:rsidR="002B49D6" w:rsidRDefault="002B49D6" w:rsidP="00355BC7">
      <w:pPr>
        <w:pStyle w:val="Textonotapie"/>
        <w:jc w:val="both"/>
        <w:rPr>
          <w:rFonts w:ascii="Arial" w:hAnsi="Arial" w:cs="Arial"/>
          <w:i/>
          <w:sz w:val="16"/>
          <w:szCs w:val="16"/>
        </w:rPr>
      </w:pPr>
      <w:r>
        <w:rPr>
          <w:rStyle w:val="Refdenotaalpie"/>
          <w:rFonts w:ascii="Arial" w:hAnsi="Arial" w:cs="Arial"/>
          <w:sz w:val="16"/>
          <w:szCs w:val="16"/>
        </w:rPr>
        <w:footnoteRef/>
      </w:r>
      <w:r>
        <w:rPr>
          <w:rFonts w:ascii="Arial" w:hAnsi="Arial" w:cs="Arial"/>
          <w:sz w:val="16"/>
          <w:szCs w:val="16"/>
        </w:rPr>
        <w:t xml:space="preserve"> Artículo 1 Decreto 007 de 2010 “</w:t>
      </w:r>
      <w:r>
        <w:rPr>
          <w:rFonts w:ascii="Arial" w:hAnsi="Arial" w:cs="Arial"/>
          <w:i/>
          <w:sz w:val="16"/>
          <w:szCs w:val="16"/>
          <w:lang w:val="es-CO"/>
        </w:rPr>
        <w:t>Es el conjunto de actividades permanentes a cargo de la Alcaldía y del Comité Permanente de Estratificación Municipal o Distrital, para mantener actualizada la clasificación de los Inmuebles residenciales mediante: a) la atención de los reclamos; b) la reclasificación de viviendas cuyas características físicas externas o internas -según sea el caso metodológico- hayan cambiado sustancialmente (mejorado o deteriorado), o cuyo contexto urbano, semiurbano o rural haya cambiado sustancialmente :mejorado o deteriorado); e) la estratificación e incorporación de nuevos desarrollos; y d) la revisión general cuando la Alcaldía o el Comité, previo concepto técnico de la entidad competente, detecten falta de comparabilidad entre los estratos. , El costo de la actualización de la estratificación comprende exclusivamente las actividades descritas en los manuales e instructivos metodológicos Nacionales establecidos”</w:t>
      </w:r>
    </w:p>
  </w:footnote>
  <w:footnote w:id="11">
    <w:p w:rsidR="002B49D6" w:rsidRDefault="002B49D6" w:rsidP="00355BC7">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El Municipio no tiene precisado el número de personas que lo habitan, se refirió a muchas. </w:t>
      </w:r>
    </w:p>
  </w:footnote>
  <w:footnote w:id="12">
    <w:p w:rsidR="002B49D6" w:rsidRDefault="002B49D6" w:rsidP="00355BC7">
      <w:pPr>
        <w:pStyle w:val="paragraph"/>
        <w:spacing w:before="0" w:beforeAutospacing="0" w:after="0" w:afterAutospacing="0"/>
        <w:jc w:val="both"/>
        <w:textAlignment w:val="baseline"/>
        <w:rPr>
          <w:rFonts w:ascii="Segoe UI" w:hAnsi="Segoe UI" w:cs="Segoe UI"/>
          <w:sz w:val="16"/>
          <w:szCs w:val="16"/>
          <w:lang w:val="es-CO"/>
        </w:rPr>
      </w:pPr>
      <w:r>
        <w:rPr>
          <w:rStyle w:val="Refdenotaalpie"/>
          <w:sz w:val="16"/>
          <w:szCs w:val="16"/>
        </w:rPr>
        <w:footnoteRef/>
      </w:r>
      <w:r>
        <w:rPr>
          <w:sz w:val="16"/>
          <w:szCs w:val="16"/>
          <w:lang w:val="es-CO"/>
        </w:rPr>
        <w:t xml:space="preserve"> </w:t>
      </w:r>
      <w:r>
        <w:rPr>
          <w:rStyle w:val="normaltextrun"/>
          <w:rFonts w:ascii="Arial" w:hAnsi="Arial" w:cs="Arial"/>
          <w:color w:val="000000"/>
          <w:sz w:val="16"/>
          <w:szCs w:val="16"/>
          <w:shd w:val="clear" w:color="auto" w:fill="FFFFFF"/>
          <w:lang w:val="es-CO"/>
        </w:rPr>
        <w:t>Artículo 11º</w:t>
      </w:r>
      <w:r>
        <w:rPr>
          <w:rStyle w:val="normaltextrun"/>
          <w:rFonts w:ascii="Arial" w:hAnsi="Arial" w:cs="Arial"/>
          <w:b/>
          <w:bCs/>
          <w:color w:val="000000"/>
          <w:sz w:val="16"/>
          <w:szCs w:val="16"/>
          <w:shd w:val="clear" w:color="auto" w:fill="FFFFFF"/>
          <w:lang w:val="es-CO"/>
        </w:rPr>
        <w:t>.  “</w:t>
      </w:r>
      <w:r>
        <w:rPr>
          <w:rStyle w:val="normaltextrun"/>
          <w:rFonts w:ascii="Arial" w:hAnsi="Arial" w:cs="Arial"/>
          <w:color w:val="000000"/>
          <w:sz w:val="16"/>
          <w:szCs w:val="16"/>
          <w:shd w:val="clear" w:color="auto" w:fill="FFFFFF"/>
          <w:lang w:val="es-CO"/>
        </w:rPr>
        <w:t>Los alcaldes deberán garantizar que las estratificaciones se realicen, se adopten, se apliquen y permanezcan actualizadas a través del Comité Permanente de Estratificación Municipal o Distrital. Para esto contarán con el concurso económico de las empresas de servicios públicos domiciliarios en su localidad, quienes aportarán en partes iguales a cada servicio que se preste, descontando de un mismo servicio, el monto correspondiente al servicio se repartirá proporcionalmente entre el número de empresas que lo presten.”</w:t>
      </w:r>
      <w:r>
        <w:rPr>
          <w:rStyle w:val="eop"/>
          <w:rFonts w:ascii="Arial" w:hAnsi="Arial" w:cs="Arial"/>
          <w:color w:val="000000"/>
          <w:sz w:val="16"/>
          <w:szCs w:val="16"/>
          <w:lang w:val="es-CO"/>
        </w:rPr>
        <w:t> </w:t>
      </w:r>
    </w:p>
    <w:p w:rsidR="002B49D6" w:rsidRDefault="002B49D6" w:rsidP="00355BC7">
      <w:pPr>
        <w:pStyle w:val="paragraph"/>
        <w:spacing w:before="0" w:beforeAutospacing="0" w:after="0" w:afterAutospacing="0"/>
        <w:jc w:val="both"/>
        <w:textAlignment w:val="baseline"/>
        <w:rPr>
          <w:rFonts w:ascii="Segoe UI" w:hAnsi="Segoe UI" w:cs="Segoe UI"/>
          <w:sz w:val="18"/>
          <w:szCs w:val="18"/>
          <w:lang w:val="es-CO"/>
        </w:rPr>
      </w:pPr>
      <w:r>
        <w:rPr>
          <w:rStyle w:val="eop"/>
          <w:rFonts w:ascii="Arial" w:hAnsi="Arial" w:cs="Arial"/>
          <w:color w:val="000000"/>
          <w:sz w:val="20"/>
          <w:lang w:val="es-CO"/>
        </w:rPr>
        <w:t> </w:t>
      </w:r>
    </w:p>
    <w:p w:rsidR="002B49D6" w:rsidRDefault="002B49D6" w:rsidP="00355BC7">
      <w:pPr>
        <w:pStyle w:val="Textonotapie"/>
        <w:rPr>
          <w:lang w:val="es-CO"/>
        </w:rPr>
      </w:pPr>
    </w:p>
  </w:footnote>
  <w:footnote w:id="13">
    <w:p w:rsidR="002B49D6" w:rsidRDefault="002B49D6" w:rsidP="00355BC7">
      <w:pPr>
        <w:pStyle w:val="Textonotapie"/>
        <w:rPr>
          <w:rFonts w:ascii="Arial" w:hAnsi="Arial" w:cs="Arial"/>
          <w:sz w:val="16"/>
          <w:szCs w:val="16"/>
        </w:rPr>
      </w:pPr>
      <w:r>
        <w:rPr>
          <w:rStyle w:val="Refdenotaalpie"/>
        </w:rPr>
        <w:footnoteRef/>
      </w:r>
      <w:r>
        <w:t xml:space="preserve"> </w:t>
      </w:r>
      <w:r>
        <w:rPr>
          <w:rFonts w:ascii="Arial" w:hAnsi="Arial" w:cs="Arial"/>
          <w:sz w:val="16"/>
          <w:szCs w:val="16"/>
        </w:rPr>
        <w:t>Las empresas no son mencionadas en el Decreto</w:t>
      </w:r>
    </w:p>
  </w:footnote>
  <w:footnote w:id="14">
    <w:p w:rsidR="002B49D6" w:rsidRDefault="002B49D6" w:rsidP="00355BC7">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El Informe fue suministrado por la Secretaria de Obras Públicas del Municipio de Mitú</w:t>
      </w:r>
    </w:p>
  </w:footnote>
  <w:footnote w:id="15">
    <w:p w:rsidR="002B49D6" w:rsidRDefault="002B49D6" w:rsidP="00355BC7">
      <w:pPr>
        <w:pStyle w:val="Textonotapie"/>
      </w:pPr>
      <w:r>
        <w:rPr>
          <w:rStyle w:val="Refdenotaalpie"/>
          <w:sz w:val="12"/>
          <w:szCs w:val="12"/>
        </w:rPr>
        <w:footnoteRef/>
      </w:r>
      <w:r>
        <w:rPr>
          <w:sz w:val="12"/>
          <w:szCs w:val="12"/>
        </w:rPr>
        <w:t xml:space="preserve"> </w:t>
      </w:r>
      <w:r>
        <w:rPr>
          <w:rFonts w:ascii="Arial" w:hAnsi="Arial" w:cs="Arial"/>
          <w:sz w:val="12"/>
          <w:szCs w:val="12"/>
        </w:rPr>
        <w:t>Informe: EVALUACIÓN INTEGRAL DE PRESTADORES UNIDAD ESPECIAL DE SERVICIOS PUBLICOS DOMICILIARIOS DEL MUNICIPIO DE MITÚ, página 8. diciembre de 2019.</w:t>
      </w:r>
    </w:p>
  </w:footnote>
  <w:footnote w:id="16">
    <w:p w:rsidR="002B49D6" w:rsidRDefault="002B49D6" w:rsidP="00355BC7">
      <w:pPr>
        <w:pStyle w:val="00Body"/>
        <w:rPr>
          <w:rFonts w:ascii="Arial" w:hAnsi="Arial" w:cs="Arial"/>
          <w:sz w:val="16"/>
          <w:szCs w:val="16"/>
          <w:lang w:val="es-CO"/>
        </w:rPr>
      </w:pPr>
      <w:r>
        <w:rPr>
          <w:rStyle w:val="Refdenotaalpie"/>
          <w:rFonts w:ascii="Arial" w:hAnsi="Arial" w:cs="Arial"/>
          <w:sz w:val="16"/>
          <w:szCs w:val="16"/>
        </w:rPr>
        <w:footnoteRef/>
      </w:r>
      <w:r>
        <w:rPr>
          <w:rFonts w:ascii="Arial" w:hAnsi="Arial" w:cs="Arial"/>
          <w:sz w:val="16"/>
          <w:szCs w:val="16"/>
          <w:lang w:val="es-CO"/>
        </w:rPr>
        <w:t xml:space="preserve"> La grabación se encuentra en el siguiente enlace: </w:t>
      </w:r>
      <w:hyperlink r:id="rId3" w:history="1">
        <w:r>
          <w:rPr>
            <w:rStyle w:val="Hipervnculo"/>
            <w:rFonts w:ascii="Arial" w:hAnsi="Arial" w:cs="Arial"/>
            <w:sz w:val="16"/>
            <w:szCs w:val="16"/>
            <w:lang w:val="es-CO"/>
          </w:rPr>
          <w:t>https://web.microsoftstream.com/video/97b20983-641d-4b3e-b246-3bb6d14185ff</w:t>
        </w:r>
      </w:hyperlink>
    </w:p>
    <w:p w:rsidR="002B49D6" w:rsidRDefault="002B49D6" w:rsidP="00355BC7">
      <w:pPr>
        <w:pStyle w:val="Textonotapie"/>
        <w:rPr>
          <w:lang w:val="es-CO"/>
        </w:rPr>
      </w:pPr>
    </w:p>
  </w:footnote>
  <w:footnote w:id="17">
    <w:p w:rsidR="002B49D6" w:rsidRPr="00E178D7" w:rsidRDefault="002B49D6" w:rsidP="00355BC7">
      <w:pPr>
        <w:pStyle w:val="Textonotapie"/>
        <w:rPr>
          <w:rFonts w:ascii="Arial" w:hAnsi="Arial" w:cs="Arial"/>
          <w:sz w:val="16"/>
          <w:szCs w:val="16"/>
        </w:rPr>
      </w:pPr>
      <w:r w:rsidRPr="00E178D7">
        <w:rPr>
          <w:rStyle w:val="Refdenotaalpie"/>
          <w:rFonts w:ascii="Arial" w:hAnsi="Arial" w:cs="Arial"/>
          <w:sz w:val="16"/>
          <w:szCs w:val="16"/>
        </w:rPr>
        <w:footnoteRef/>
      </w:r>
      <w:r w:rsidRPr="00E178D7">
        <w:rPr>
          <w:rFonts w:ascii="Arial" w:hAnsi="Arial" w:cs="Arial"/>
          <w:sz w:val="16"/>
          <w:szCs w:val="16"/>
        </w:rPr>
        <w:t xml:space="preserve"> https://web.microsoftstream.com/video/97b20983-641d-4b3e-b246-3bb6d14185ff- Grabado a la 1:18:48 del desarrollo de la reunión de reconocimiento institucional.</w:t>
      </w:r>
    </w:p>
  </w:footnote>
  <w:footnote w:id="18">
    <w:p w:rsidR="002B49D6" w:rsidRDefault="002B49D6" w:rsidP="00355BC7">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Informe </w:t>
      </w:r>
      <w:r>
        <w:rPr>
          <w:rFonts w:ascii="Arial" w:hAnsi="Arial" w:cs="Arial"/>
          <w:i/>
          <w:sz w:val="16"/>
          <w:szCs w:val="16"/>
        </w:rPr>
        <w:t xml:space="preserve">Evaluación Integral de Prestadores Unidad Especial de Servicios Públicos Domiciliarios del Municipio de Mitú, </w:t>
      </w:r>
      <w:r>
        <w:rPr>
          <w:rFonts w:ascii="Arial" w:hAnsi="Arial" w:cs="Arial"/>
          <w:sz w:val="16"/>
          <w:szCs w:val="16"/>
        </w:rPr>
        <w:t>Pág. 87</w:t>
      </w:r>
    </w:p>
  </w:footnote>
  <w:footnote w:id="19">
    <w:p w:rsidR="002B49D6" w:rsidRDefault="002B49D6" w:rsidP="00355BC7">
      <w:pPr>
        <w:pStyle w:val="Textonotapie"/>
        <w:rPr>
          <w:rFonts w:ascii="Arial" w:hAnsi="Arial" w:cs="Arial"/>
          <w:sz w:val="16"/>
          <w:szCs w:val="16"/>
        </w:rPr>
      </w:pPr>
      <w:r>
        <w:rPr>
          <w:rStyle w:val="Refdenotaalpie"/>
        </w:rPr>
        <w:footnoteRef/>
      </w:r>
      <w:r>
        <w:t xml:space="preserve"> </w:t>
      </w:r>
      <w:r>
        <w:rPr>
          <w:rFonts w:ascii="Arial" w:hAnsi="Arial" w:cs="Arial"/>
          <w:sz w:val="16"/>
          <w:szCs w:val="16"/>
        </w:rPr>
        <w:t xml:space="preserve">Informe </w:t>
      </w:r>
      <w:r>
        <w:rPr>
          <w:rFonts w:ascii="Arial" w:hAnsi="Arial" w:cs="Arial"/>
          <w:i/>
          <w:sz w:val="16"/>
          <w:szCs w:val="16"/>
        </w:rPr>
        <w:t xml:space="preserve">Evaluación Integral de Prestadores Unidad Especial de Servicios Públicos Domiciliarios del Municipio de Mitú, </w:t>
      </w:r>
      <w:r>
        <w:rPr>
          <w:rFonts w:ascii="Arial" w:hAnsi="Arial" w:cs="Arial"/>
          <w:sz w:val="16"/>
          <w:szCs w:val="16"/>
        </w:rPr>
        <w:t>Pág. 89-90</w:t>
      </w:r>
    </w:p>
    <w:p w:rsidR="002B49D6" w:rsidRDefault="002B49D6" w:rsidP="00355BC7">
      <w:pPr>
        <w:pStyle w:val="Textonotapie"/>
      </w:pPr>
    </w:p>
  </w:footnote>
  <w:footnote w:id="20">
    <w:p w:rsidR="002B49D6" w:rsidRDefault="002B49D6" w:rsidP="00355BC7">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Aunque en el Convenio quedó establecido que se trasladarían recursos para subsidios, el Minvivienda solamente transfirió recursos para subsidios hasta el 2013.   </w:t>
      </w:r>
    </w:p>
  </w:footnote>
  <w:footnote w:id="21">
    <w:p w:rsidR="002B49D6" w:rsidRDefault="002B49D6" w:rsidP="00355BC7">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Cifra calculada de los giros realizados por el Minvivienda al Consorcio FIA desde el 2009 hasta agosto de 2021, disponibles en el siguiente sitio web: </w:t>
      </w:r>
      <w:hyperlink r:id="rId4" w:history="1">
        <w:r>
          <w:rPr>
            <w:rStyle w:val="Hipervnculo"/>
            <w:rFonts w:ascii="Arial" w:hAnsi="Arial" w:cs="Arial"/>
            <w:sz w:val="18"/>
            <w:szCs w:val="18"/>
          </w:rPr>
          <w:t>http://www.minvivienda.gov.co/sobre-el-ministerio/finanzas-y-presupuesto/transferencias-sgp</w:t>
        </w:r>
      </w:hyperlink>
      <w:r>
        <w:rPr>
          <w:rFonts w:ascii="Arial" w:hAnsi="Arial" w:cs="Arial"/>
          <w:sz w:val="18"/>
          <w:szCs w:val="18"/>
        </w:rPr>
        <w:t xml:space="preserve"> </w:t>
      </w:r>
    </w:p>
  </w:footnote>
  <w:footnote w:id="22">
    <w:p w:rsidR="002B49D6" w:rsidRDefault="002B49D6" w:rsidP="00355BC7">
      <w:pPr>
        <w:pStyle w:val="Textonotapie"/>
        <w:rPr>
          <w:rFonts w:ascii="Arial" w:hAnsi="Arial" w:cs="Arial"/>
          <w:sz w:val="16"/>
          <w:szCs w:val="16"/>
          <w:lang w:val="es-MX"/>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MX"/>
        </w:rPr>
        <w:t xml:space="preserve">El gasto de inversión total ascendió a $32.156 millones, según fuente de ejecución presupuestal de gastos 2020. </w:t>
      </w:r>
    </w:p>
  </w:footnote>
  <w:footnote w:id="23">
    <w:p w:rsidR="002B49D6" w:rsidRDefault="002B49D6" w:rsidP="00B6750B">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La obra fue contratada el 16 de julio de 2010, por </w:t>
      </w:r>
      <w:r>
        <w:rPr>
          <w:rFonts w:ascii="Arial" w:eastAsia="Times New Roman" w:hAnsi="Arial" w:cs="Arial"/>
          <w:sz w:val="16"/>
          <w:szCs w:val="16"/>
        </w:rPr>
        <w:t>$ 4.393.985.762,00, la modalidad de contratación fue Licitación Pública, el contratista fue el señor Carlos Alberto González Patarroyo</w:t>
      </w:r>
      <w:r>
        <w:rPr>
          <w:rFonts w:ascii="Arial" w:hAnsi="Arial" w:cs="Arial"/>
          <w:sz w:val="16"/>
          <w:szCs w:val="16"/>
        </w:rPr>
        <w:t xml:space="preserve">.   </w:t>
      </w:r>
    </w:p>
  </w:footnote>
  <w:footnote w:id="24">
    <w:p w:rsidR="002B49D6" w:rsidRDefault="002B49D6" w:rsidP="00355BC7">
      <w:pPr>
        <w:pStyle w:val="Textonotapie"/>
        <w:jc w:val="both"/>
        <w:rPr>
          <w:rFonts w:asciiTheme="minorHAnsi" w:hAnsiTheme="minorHAnsi" w:cstheme="minorHAnsi"/>
          <w:sz w:val="16"/>
          <w:szCs w:val="16"/>
          <w:lang w:val="es-MX"/>
        </w:rPr>
      </w:pPr>
      <w:r>
        <w:rPr>
          <w:rStyle w:val="Refdenotaalpi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z w:val="16"/>
          <w:szCs w:val="16"/>
          <w:lang w:val="es-MX"/>
        </w:rPr>
        <w:t xml:space="preserve">El resultado de las exigibilidades es coincidente a los valores registrados en los actos administrativo de constitución de cuentas por pagar y reservas presupuestales resueltas mediante las Resoluciones No. 417 y No. 418 del 31 de diciembre de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D6" w:rsidRDefault="002B49D6" w:rsidP="00EA4A3C">
    <w:pPr>
      <w:rPr>
        <w:rFonts w:ascii="Arial" w:hAnsi="Arial" w:cs="Arial"/>
        <w:sz w:val="16"/>
        <w:szCs w:val="16"/>
      </w:rPr>
    </w:pPr>
    <w:r>
      <w:rPr>
        <w:noProof/>
        <w:lang w:val="es-CO" w:eastAsia="es-CO"/>
      </w:rPr>
      <w:drawing>
        <wp:inline distT="0" distB="0" distL="0" distR="0">
          <wp:extent cx="3305175" cy="723900"/>
          <wp:effectExtent l="0" t="0" r="9525" b="0"/>
          <wp:docPr id="43" name="Imagen 4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3305175" cy="723900"/>
                  </a:xfrm>
                  <a:prstGeom prst="rect">
                    <a:avLst/>
                  </a:prstGeom>
                </pic:spPr>
              </pic:pic>
            </a:graphicData>
          </a:graphic>
        </wp:inline>
      </w:drawing>
    </w:r>
  </w:p>
  <w:p w:rsidR="002B49D6" w:rsidRDefault="002B49D6" w:rsidP="00F01F75">
    <w:pPr>
      <w:pStyle w:val="Encabezado"/>
      <w:rPr>
        <w:rFonts w:ascii="Arial" w:hAnsi="Arial" w:cs="Arial"/>
        <w:sz w:val="16"/>
        <w:szCs w:val="16"/>
      </w:rPr>
    </w:pPr>
  </w:p>
  <w:p w:rsidR="002B49D6" w:rsidRPr="00F01F75" w:rsidRDefault="002B49D6" w:rsidP="00F01F75">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1F6B07">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1F6B07">
      <w:rPr>
        <w:rStyle w:val="Nmerodepgina"/>
        <w:rFonts w:ascii="Arial" w:hAnsi="Arial" w:cs="Arial"/>
        <w:noProof/>
        <w:sz w:val="16"/>
        <w:szCs w:val="16"/>
      </w:rPr>
      <w:t>61</w:t>
    </w:r>
    <w:r w:rsidRPr="00F01F75">
      <w:rPr>
        <w:rStyle w:val="Nmerodepgina"/>
        <w:rFonts w:ascii="Arial" w:hAnsi="Arial" w:cs="Arial"/>
        <w:sz w:val="16"/>
        <w:szCs w:val="16"/>
      </w:rPr>
      <w:fldChar w:fldCharType="end"/>
    </w:r>
  </w:p>
  <w:p w:rsidR="002B49D6" w:rsidRPr="00F01F75" w:rsidRDefault="002B49D6">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D6" w:rsidRDefault="002B49D6" w:rsidP="00EA4A3C">
    <w:pPr>
      <w:pStyle w:val="Encabezado"/>
    </w:pPr>
    <w:r>
      <w:rPr>
        <w:noProof/>
        <w:lang w:eastAsia="es-CO"/>
      </w:rPr>
      <w:drawing>
        <wp:inline distT="0" distB="0" distL="0" distR="0">
          <wp:extent cx="3305175" cy="723900"/>
          <wp:effectExtent l="0" t="0" r="9525" b="0"/>
          <wp:docPr id="45" name="Imagen 4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3305175"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113"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5E60065"/>
    <w:multiLevelType w:val="hybridMultilevel"/>
    <w:tmpl w:val="98EC08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E97ADD"/>
    <w:multiLevelType w:val="hybridMultilevel"/>
    <w:tmpl w:val="E11EC504"/>
    <w:lvl w:ilvl="0" w:tplc="0409000D">
      <w:start w:val="1"/>
      <w:numFmt w:val="bullet"/>
      <w:lvlText w:val=""/>
      <w:lvlJc w:val="left"/>
      <w:pPr>
        <w:ind w:left="2136" w:hanging="360"/>
      </w:pPr>
      <w:rPr>
        <w:rFonts w:ascii="Wingdings" w:hAnsi="Wingdings" w:hint="default"/>
      </w:rPr>
    </w:lvl>
    <w:lvl w:ilvl="1" w:tplc="580A0003">
      <w:start w:val="1"/>
      <w:numFmt w:val="bullet"/>
      <w:lvlText w:val="o"/>
      <w:lvlJc w:val="left"/>
      <w:pPr>
        <w:ind w:left="2856" w:hanging="360"/>
      </w:pPr>
      <w:rPr>
        <w:rFonts w:ascii="Courier New" w:hAnsi="Courier New" w:cs="Courier New" w:hint="default"/>
      </w:rPr>
    </w:lvl>
    <w:lvl w:ilvl="2" w:tplc="580A0005">
      <w:start w:val="1"/>
      <w:numFmt w:val="bullet"/>
      <w:lvlText w:val=""/>
      <w:lvlJc w:val="left"/>
      <w:pPr>
        <w:ind w:left="3576" w:hanging="360"/>
      </w:pPr>
      <w:rPr>
        <w:rFonts w:ascii="Wingdings" w:hAnsi="Wingdings" w:hint="default"/>
      </w:rPr>
    </w:lvl>
    <w:lvl w:ilvl="3" w:tplc="580A0001">
      <w:start w:val="1"/>
      <w:numFmt w:val="bullet"/>
      <w:lvlText w:val=""/>
      <w:lvlJc w:val="left"/>
      <w:pPr>
        <w:ind w:left="4296" w:hanging="360"/>
      </w:pPr>
      <w:rPr>
        <w:rFonts w:ascii="Symbol" w:hAnsi="Symbol" w:hint="default"/>
      </w:rPr>
    </w:lvl>
    <w:lvl w:ilvl="4" w:tplc="580A0003">
      <w:start w:val="1"/>
      <w:numFmt w:val="bullet"/>
      <w:lvlText w:val="o"/>
      <w:lvlJc w:val="left"/>
      <w:pPr>
        <w:ind w:left="5016" w:hanging="360"/>
      </w:pPr>
      <w:rPr>
        <w:rFonts w:ascii="Courier New" w:hAnsi="Courier New" w:cs="Courier New" w:hint="default"/>
      </w:rPr>
    </w:lvl>
    <w:lvl w:ilvl="5" w:tplc="580A0005">
      <w:start w:val="1"/>
      <w:numFmt w:val="bullet"/>
      <w:lvlText w:val=""/>
      <w:lvlJc w:val="left"/>
      <w:pPr>
        <w:ind w:left="5736" w:hanging="360"/>
      </w:pPr>
      <w:rPr>
        <w:rFonts w:ascii="Wingdings" w:hAnsi="Wingdings" w:hint="default"/>
      </w:rPr>
    </w:lvl>
    <w:lvl w:ilvl="6" w:tplc="580A0001">
      <w:start w:val="1"/>
      <w:numFmt w:val="bullet"/>
      <w:lvlText w:val=""/>
      <w:lvlJc w:val="left"/>
      <w:pPr>
        <w:ind w:left="6456" w:hanging="360"/>
      </w:pPr>
      <w:rPr>
        <w:rFonts w:ascii="Symbol" w:hAnsi="Symbol" w:hint="default"/>
      </w:rPr>
    </w:lvl>
    <w:lvl w:ilvl="7" w:tplc="580A0003">
      <w:start w:val="1"/>
      <w:numFmt w:val="bullet"/>
      <w:lvlText w:val="o"/>
      <w:lvlJc w:val="left"/>
      <w:pPr>
        <w:ind w:left="7176" w:hanging="360"/>
      </w:pPr>
      <w:rPr>
        <w:rFonts w:ascii="Courier New" w:hAnsi="Courier New" w:cs="Courier New" w:hint="default"/>
      </w:rPr>
    </w:lvl>
    <w:lvl w:ilvl="8" w:tplc="580A0005">
      <w:start w:val="1"/>
      <w:numFmt w:val="bullet"/>
      <w:lvlText w:val=""/>
      <w:lvlJc w:val="left"/>
      <w:pPr>
        <w:ind w:left="7896" w:hanging="360"/>
      </w:pPr>
      <w:rPr>
        <w:rFonts w:ascii="Wingdings" w:hAnsi="Wingdings" w:hint="default"/>
      </w:rPr>
    </w:lvl>
  </w:abstractNum>
  <w:abstractNum w:abstractNumId="3" w15:restartNumberingAfterBreak="0">
    <w:nsid w:val="0D2B54BF"/>
    <w:multiLevelType w:val="hybridMultilevel"/>
    <w:tmpl w:val="219006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256BBA"/>
    <w:multiLevelType w:val="hybridMultilevel"/>
    <w:tmpl w:val="34029804"/>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9075A2F"/>
    <w:multiLevelType w:val="hybridMultilevel"/>
    <w:tmpl w:val="FA6CBFA2"/>
    <w:lvl w:ilvl="0" w:tplc="34AAD5E4">
      <w:start w:val="4"/>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6" w15:restartNumberingAfterBreak="0">
    <w:nsid w:val="1B1E14CF"/>
    <w:multiLevelType w:val="hybridMultilevel"/>
    <w:tmpl w:val="F8847AD8"/>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7" w15:restartNumberingAfterBreak="0">
    <w:nsid w:val="2694337E"/>
    <w:multiLevelType w:val="hybridMultilevel"/>
    <w:tmpl w:val="5E40442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17F1EE5"/>
    <w:multiLevelType w:val="hybridMultilevel"/>
    <w:tmpl w:val="E2CC6C18"/>
    <w:lvl w:ilvl="0" w:tplc="580A000D">
      <w:start w:val="1"/>
      <w:numFmt w:val="bullet"/>
      <w:lvlText w:val=""/>
      <w:lvlJc w:val="left"/>
      <w:pPr>
        <w:ind w:left="2136" w:hanging="360"/>
      </w:pPr>
      <w:rPr>
        <w:rFonts w:ascii="Wingdings" w:hAnsi="Wingdings" w:hint="default"/>
      </w:rPr>
    </w:lvl>
    <w:lvl w:ilvl="1" w:tplc="580A0003">
      <w:start w:val="1"/>
      <w:numFmt w:val="bullet"/>
      <w:lvlText w:val="o"/>
      <w:lvlJc w:val="left"/>
      <w:pPr>
        <w:ind w:left="2856" w:hanging="360"/>
      </w:pPr>
      <w:rPr>
        <w:rFonts w:ascii="Courier New" w:hAnsi="Courier New" w:cs="Courier New" w:hint="default"/>
      </w:rPr>
    </w:lvl>
    <w:lvl w:ilvl="2" w:tplc="580A0005">
      <w:start w:val="1"/>
      <w:numFmt w:val="bullet"/>
      <w:lvlText w:val=""/>
      <w:lvlJc w:val="left"/>
      <w:pPr>
        <w:ind w:left="3576" w:hanging="360"/>
      </w:pPr>
      <w:rPr>
        <w:rFonts w:ascii="Wingdings" w:hAnsi="Wingdings" w:hint="default"/>
      </w:rPr>
    </w:lvl>
    <w:lvl w:ilvl="3" w:tplc="580A0001">
      <w:start w:val="1"/>
      <w:numFmt w:val="bullet"/>
      <w:lvlText w:val=""/>
      <w:lvlJc w:val="left"/>
      <w:pPr>
        <w:ind w:left="4296" w:hanging="360"/>
      </w:pPr>
      <w:rPr>
        <w:rFonts w:ascii="Symbol" w:hAnsi="Symbol" w:hint="default"/>
      </w:rPr>
    </w:lvl>
    <w:lvl w:ilvl="4" w:tplc="580A0003">
      <w:start w:val="1"/>
      <w:numFmt w:val="bullet"/>
      <w:lvlText w:val="o"/>
      <w:lvlJc w:val="left"/>
      <w:pPr>
        <w:ind w:left="5016" w:hanging="360"/>
      </w:pPr>
      <w:rPr>
        <w:rFonts w:ascii="Courier New" w:hAnsi="Courier New" w:cs="Courier New" w:hint="default"/>
      </w:rPr>
    </w:lvl>
    <w:lvl w:ilvl="5" w:tplc="580A0005">
      <w:start w:val="1"/>
      <w:numFmt w:val="bullet"/>
      <w:lvlText w:val=""/>
      <w:lvlJc w:val="left"/>
      <w:pPr>
        <w:ind w:left="5736" w:hanging="360"/>
      </w:pPr>
      <w:rPr>
        <w:rFonts w:ascii="Wingdings" w:hAnsi="Wingdings" w:hint="default"/>
      </w:rPr>
    </w:lvl>
    <w:lvl w:ilvl="6" w:tplc="580A0001">
      <w:start w:val="1"/>
      <w:numFmt w:val="bullet"/>
      <w:lvlText w:val=""/>
      <w:lvlJc w:val="left"/>
      <w:pPr>
        <w:ind w:left="6456" w:hanging="360"/>
      </w:pPr>
      <w:rPr>
        <w:rFonts w:ascii="Symbol" w:hAnsi="Symbol" w:hint="default"/>
      </w:rPr>
    </w:lvl>
    <w:lvl w:ilvl="7" w:tplc="580A0003">
      <w:start w:val="1"/>
      <w:numFmt w:val="bullet"/>
      <w:lvlText w:val="o"/>
      <w:lvlJc w:val="left"/>
      <w:pPr>
        <w:ind w:left="7176" w:hanging="360"/>
      </w:pPr>
      <w:rPr>
        <w:rFonts w:ascii="Courier New" w:hAnsi="Courier New" w:cs="Courier New" w:hint="default"/>
      </w:rPr>
    </w:lvl>
    <w:lvl w:ilvl="8" w:tplc="580A0005">
      <w:start w:val="1"/>
      <w:numFmt w:val="bullet"/>
      <w:lvlText w:val=""/>
      <w:lvlJc w:val="left"/>
      <w:pPr>
        <w:ind w:left="7896" w:hanging="360"/>
      </w:pPr>
      <w:rPr>
        <w:rFonts w:ascii="Wingdings" w:hAnsi="Wingdings" w:hint="default"/>
      </w:rPr>
    </w:lvl>
  </w:abstractNum>
  <w:abstractNum w:abstractNumId="9" w15:restartNumberingAfterBreak="0">
    <w:nsid w:val="4BA119D1"/>
    <w:multiLevelType w:val="hybridMultilevel"/>
    <w:tmpl w:val="F5D0E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F0E143C"/>
    <w:multiLevelType w:val="hybridMultilevel"/>
    <w:tmpl w:val="14F2CD4E"/>
    <w:lvl w:ilvl="0" w:tplc="0409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Times New Roman"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Times New Roman"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Times New Roman" w:hint="default"/>
      </w:rPr>
    </w:lvl>
    <w:lvl w:ilvl="8" w:tplc="580A0005">
      <w:start w:val="1"/>
      <w:numFmt w:val="bullet"/>
      <w:lvlText w:val=""/>
      <w:lvlJc w:val="left"/>
      <w:pPr>
        <w:ind w:left="6480" w:hanging="360"/>
      </w:pPr>
      <w:rPr>
        <w:rFonts w:ascii="Wingdings" w:hAnsi="Wingdings" w:hint="default"/>
      </w:rPr>
    </w:lvl>
  </w:abstractNum>
  <w:abstractNum w:abstractNumId="11" w15:restartNumberingAfterBreak="0">
    <w:nsid w:val="51225138"/>
    <w:multiLevelType w:val="hybridMultilevel"/>
    <w:tmpl w:val="3BB61182"/>
    <w:lvl w:ilvl="0" w:tplc="C7823A02">
      <w:numFmt w:val="bullet"/>
      <w:lvlText w:val="-"/>
      <w:lvlJc w:val="left"/>
      <w:pPr>
        <w:ind w:left="360" w:hanging="360"/>
      </w:pPr>
      <w:rPr>
        <w:rFonts w:ascii="Calibri" w:eastAsiaTheme="minorHAnsi" w:hAnsi="Calibri" w:cstheme="minorBid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C95618B"/>
    <w:multiLevelType w:val="hybridMultilevel"/>
    <w:tmpl w:val="5D3E8AE0"/>
    <w:lvl w:ilvl="0" w:tplc="6CFA3666">
      <w:start w:val="3"/>
      <w:numFmt w:val="decimal"/>
      <w:lvlText w:val="%1."/>
      <w:lvlJc w:val="left"/>
      <w:pPr>
        <w:ind w:left="720" w:hanging="360"/>
      </w:pPr>
      <w:rPr>
        <w:rFonts w:eastAsia="MS Mincho"/>
        <w:i w:val="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13" w15:restartNumberingAfterBreak="0">
    <w:nsid w:val="6D0532C9"/>
    <w:multiLevelType w:val="hybridMultilevel"/>
    <w:tmpl w:val="05423848"/>
    <w:lvl w:ilvl="0" w:tplc="C7823A02">
      <w:numFmt w:val="bullet"/>
      <w:lvlText w:val="-"/>
      <w:lvlJc w:val="left"/>
      <w:pPr>
        <w:ind w:left="360" w:hanging="360"/>
      </w:pPr>
      <w:rPr>
        <w:rFonts w:ascii="Calibri" w:eastAsiaTheme="minorHAnsi" w:hAnsi="Calibri" w:cstheme="minorBid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11"/>
  </w:num>
  <w:num w:numId="6">
    <w:abstractNumId w:val="7"/>
  </w:num>
  <w:num w:numId="7">
    <w:abstractNumId w:val="4"/>
  </w:num>
  <w:num w:numId="8">
    <w:abstractNumId w:val="1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1"/>
  </w:num>
  <w:num w:numId="14">
    <w:abstractNumId w:val="2"/>
  </w:num>
  <w:num w:numId="15">
    <w:abstractNumId w:val="8"/>
  </w:num>
  <w:num w:numId="16">
    <w:abstractNumId w:val="7"/>
  </w:num>
  <w:num w:numId="17">
    <w:abstractNumId w:val="4"/>
  </w:num>
  <w:num w:numId="18">
    <w:abstractNumId w:val="10"/>
  </w:num>
  <w:num w:numId="19">
    <w:abstractNumId w:val="9"/>
  </w:num>
  <w:num w:numId="20">
    <w:abstractNumId w:val="13"/>
  </w:num>
  <w:num w:numId="21">
    <w:abstractNumId w:val="11"/>
  </w:num>
  <w:num w:numId="22">
    <w:abstractNumId w:val="2"/>
  </w:num>
  <w:num w:numId="23">
    <w:abstractNumId w:val="8"/>
  </w:num>
  <w:num w:numId="24">
    <w:abstractNumId w:val="7"/>
  </w:num>
  <w:num w:numId="25">
    <w:abstractNumId w:val="4"/>
  </w:num>
  <w:num w:numId="26">
    <w:abstractNumId w:val="10"/>
  </w:num>
  <w:num w:numId="27">
    <w:abstractNumId w:val="9"/>
  </w:num>
  <w:num w:numId="2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4DAB"/>
    <w:rsid w:val="00005603"/>
    <w:rsid w:val="00015D8E"/>
    <w:rsid w:val="00020AF9"/>
    <w:rsid w:val="000322E3"/>
    <w:rsid w:val="00042D32"/>
    <w:rsid w:val="00050D82"/>
    <w:rsid w:val="00057AF8"/>
    <w:rsid w:val="000643E9"/>
    <w:rsid w:val="00066D3A"/>
    <w:rsid w:val="00072B89"/>
    <w:rsid w:val="00073A1F"/>
    <w:rsid w:val="00075AD5"/>
    <w:rsid w:val="00077AA2"/>
    <w:rsid w:val="0008210A"/>
    <w:rsid w:val="0008507C"/>
    <w:rsid w:val="000877D1"/>
    <w:rsid w:val="00093EB8"/>
    <w:rsid w:val="000A1163"/>
    <w:rsid w:val="000A2FC8"/>
    <w:rsid w:val="000A31BA"/>
    <w:rsid w:val="000A4383"/>
    <w:rsid w:val="000A6BC0"/>
    <w:rsid w:val="000B20AE"/>
    <w:rsid w:val="000B2525"/>
    <w:rsid w:val="000C2C96"/>
    <w:rsid w:val="000C4465"/>
    <w:rsid w:val="000D09AB"/>
    <w:rsid w:val="000D466B"/>
    <w:rsid w:val="000D4FC9"/>
    <w:rsid w:val="000D6114"/>
    <w:rsid w:val="000E42D0"/>
    <w:rsid w:val="000E4714"/>
    <w:rsid w:val="000E5163"/>
    <w:rsid w:val="000E5EF1"/>
    <w:rsid w:val="000E6513"/>
    <w:rsid w:val="000F0EAD"/>
    <w:rsid w:val="000F1CBA"/>
    <w:rsid w:val="000F3807"/>
    <w:rsid w:val="000F6422"/>
    <w:rsid w:val="00101484"/>
    <w:rsid w:val="0010331C"/>
    <w:rsid w:val="00103AE9"/>
    <w:rsid w:val="0010497F"/>
    <w:rsid w:val="001100A5"/>
    <w:rsid w:val="0011263A"/>
    <w:rsid w:val="00112C69"/>
    <w:rsid w:val="0011350E"/>
    <w:rsid w:val="00114AE3"/>
    <w:rsid w:val="0011539D"/>
    <w:rsid w:val="00115AE9"/>
    <w:rsid w:val="00117B7B"/>
    <w:rsid w:val="00117D3C"/>
    <w:rsid w:val="00120EEB"/>
    <w:rsid w:val="001258D6"/>
    <w:rsid w:val="001309F2"/>
    <w:rsid w:val="001339E2"/>
    <w:rsid w:val="0013472A"/>
    <w:rsid w:val="00144777"/>
    <w:rsid w:val="001448E3"/>
    <w:rsid w:val="00147E82"/>
    <w:rsid w:val="0015080E"/>
    <w:rsid w:val="001515F9"/>
    <w:rsid w:val="001518F2"/>
    <w:rsid w:val="00153C65"/>
    <w:rsid w:val="0015499C"/>
    <w:rsid w:val="00156301"/>
    <w:rsid w:val="00163814"/>
    <w:rsid w:val="00170552"/>
    <w:rsid w:val="0017077A"/>
    <w:rsid w:val="0017111C"/>
    <w:rsid w:val="0017466E"/>
    <w:rsid w:val="0017545B"/>
    <w:rsid w:val="00175A29"/>
    <w:rsid w:val="00181FB2"/>
    <w:rsid w:val="00182DEA"/>
    <w:rsid w:val="0019035D"/>
    <w:rsid w:val="00191C6F"/>
    <w:rsid w:val="00191D96"/>
    <w:rsid w:val="00191E93"/>
    <w:rsid w:val="001940FC"/>
    <w:rsid w:val="001A1ABA"/>
    <w:rsid w:val="001B0799"/>
    <w:rsid w:val="001B13FA"/>
    <w:rsid w:val="001D1F25"/>
    <w:rsid w:val="001D36C0"/>
    <w:rsid w:val="001D7796"/>
    <w:rsid w:val="001E3E05"/>
    <w:rsid w:val="001E50F4"/>
    <w:rsid w:val="001E5520"/>
    <w:rsid w:val="001E5797"/>
    <w:rsid w:val="001E60E2"/>
    <w:rsid w:val="001F0127"/>
    <w:rsid w:val="001F0B1A"/>
    <w:rsid w:val="001F4D1B"/>
    <w:rsid w:val="001F4ED2"/>
    <w:rsid w:val="001F6014"/>
    <w:rsid w:val="001F6B07"/>
    <w:rsid w:val="001F7009"/>
    <w:rsid w:val="001F72C4"/>
    <w:rsid w:val="00205CA8"/>
    <w:rsid w:val="0020773D"/>
    <w:rsid w:val="0021375B"/>
    <w:rsid w:val="002176E6"/>
    <w:rsid w:val="002211EF"/>
    <w:rsid w:val="00221EF1"/>
    <w:rsid w:val="0022264A"/>
    <w:rsid w:val="00226B16"/>
    <w:rsid w:val="00237795"/>
    <w:rsid w:val="00237DFE"/>
    <w:rsid w:val="002414B0"/>
    <w:rsid w:val="002427A7"/>
    <w:rsid w:val="00242881"/>
    <w:rsid w:val="0024487B"/>
    <w:rsid w:val="002505A6"/>
    <w:rsid w:val="002567A2"/>
    <w:rsid w:val="002601DD"/>
    <w:rsid w:val="00263530"/>
    <w:rsid w:val="002658A7"/>
    <w:rsid w:val="00265C1F"/>
    <w:rsid w:val="00267D69"/>
    <w:rsid w:val="00271C26"/>
    <w:rsid w:val="00271E28"/>
    <w:rsid w:val="0027210D"/>
    <w:rsid w:val="0027421A"/>
    <w:rsid w:val="00280A31"/>
    <w:rsid w:val="00283D9E"/>
    <w:rsid w:val="002850DB"/>
    <w:rsid w:val="00292421"/>
    <w:rsid w:val="002A13EA"/>
    <w:rsid w:val="002A2626"/>
    <w:rsid w:val="002A6351"/>
    <w:rsid w:val="002A7204"/>
    <w:rsid w:val="002B2812"/>
    <w:rsid w:val="002B2E03"/>
    <w:rsid w:val="002B3410"/>
    <w:rsid w:val="002B49D6"/>
    <w:rsid w:val="002B4E93"/>
    <w:rsid w:val="002B7298"/>
    <w:rsid w:val="002C45F1"/>
    <w:rsid w:val="002C58E6"/>
    <w:rsid w:val="002C64C1"/>
    <w:rsid w:val="002C6737"/>
    <w:rsid w:val="002C6BBE"/>
    <w:rsid w:val="002D3CF8"/>
    <w:rsid w:val="002D4B67"/>
    <w:rsid w:val="002D6C5F"/>
    <w:rsid w:val="002E3E8B"/>
    <w:rsid w:val="002E6BE9"/>
    <w:rsid w:val="002E72FA"/>
    <w:rsid w:val="002E7640"/>
    <w:rsid w:val="002E7778"/>
    <w:rsid w:val="002F01D9"/>
    <w:rsid w:val="00301846"/>
    <w:rsid w:val="0030295A"/>
    <w:rsid w:val="003057C9"/>
    <w:rsid w:val="00311B39"/>
    <w:rsid w:val="003128EA"/>
    <w:rsid w:val="0031565C"/>
    <w:rsid w:val="003226AB"/>
    <w:rsid w:val="0032474D"/>
    <w:rsid w:val="003255A4"/>
    <w:rsid w:val="003300CE"/>
    <w:rsid w:val="00330AC6"/>
    <w:rsid w:val="0033289D"/>
    <w:rsid w:val="003334C8"/>
    <w:rsid w:val="0033489C"/>
    <w:rsid w:val="00336BAB"/>
    <w:rsid w:val="00340279"/>
    <w:rsid w:val="003411F4"/>
    <w:rsid w:val="00341877"/>
    <w:rsid w:val="0034312A"/>
    <w:rsid w:val="003447D2"/>
    <w:rsid w:val="003501C4"/>
    <w:rsid w:val="00350C08"/>
    <w:rsid w:val="0035116E"/>
    <w:rsid w:val="00355BC7"/>
    <w:rsid w:val="003560AE"/>
    <w:rsid w:val="003564DB"/>
    <w:rsid w:val="0036144E"/>
    <w:rsid w:val="00370540"/>
    <w:rsid w:val="0038265A"/>
    <w:rsid w:val="00384066"/>
    <w:rsid w:val="00387857"/>
    <w:rsid w:val="00391021"/>
    <w:rsid w:val="00395375"/>
    <w:rsid w:val="003960BA"/>
    <w:rsid w:val="003A4D61"/>
    <w:rsid w:val="003A520B"/>
    <w:rsid w:val="003B1D05"/>
    <w:rsid w:val="003B38F1"/>
    <w:rsid w:val="003B51F5"/>
    <w:rsid w:val="003B7FE6"/>
    <w:rsid w:val="003C102D"/>
    <w:rsid w:val="003C43C8"/>
    <w:rsid w:val="003C6D25"/>
    <w:rsid w:val="003D4DD3"/>
    <w:rsid w:val="003D7FD2"/>
    <w:rsid w:val="003E2D6D"/>
    <w:rsid w:val="003E31A7"/>
    <w:rsid w:val="003E59CF"/>
    <w:rsid w:val="003E5C76"/>
    <w:rsid w:val="003E632D"/>
    <w:rsid w:val="003E68D4"/>
    <w:rsid w:val="003E77FC"/>
    <w:rsid w:val="003F07EB"/>
    <w:rsid w:val="003F59D9"/>
    <w:rsid w:val="003F617A"/>
    <w:rsid w:val="003F6A30"/>
    <w:rsid w:val="003F788E"/>
    <w:rsid w:val="003F7900"/>
    <w:rsid w:val="00401AB0"/>
    <w:rsid w:val="004057C1"/>
    <w:rsid w:val="00410C94"/>
    <w:rsid w:val="00412976"/>
    <w:rsid w:val="0041494D"/>
    <w:rsid w:val="004234D0"/>
    <w:rsid w:val="004315F2"/>
    <w:rsid w:val="00434B41"/>
    <w:rsid w:val="00437A6B"/>
    <w:rsid w:val="0044344C"/>
    <w:rsid w:val="004473BF"/>
    <w:rsid w:val="00447D2A"/>
    <w:rsid w:val="00453CE2"/>
    <w:rsid w:val="00466204"/>
    <w:rsid w:val="00467143"/>
    <w:rsid w:val="004700D0"/>
    <w:rsid w:val="00472DB8"/>
    <w:rsid w:val="00473B82"/>
    <w:rsid w:val="00473F70"/>
    <w:rsid w:val="00474633"/>
    <w:rsid w:val="00476F8C"/>
    <w:rsid w:val="004855D2"/>
    <w:rsid w:val="0049010D"/>
    <w:rsid w:val="004925DE"/>
    <w:rsid w:val="00497003"/>
    <w:rsid w:val="004A27D2"/>
    <w:rsid w:val="004A7F0D"/>
    <w:rsid w:val="004B299B"/>
    <w:rsid w:val="004B66A6"/>
    <w:rsid w:val="004B7568"/>
    <w:rsid w:val="004C3673"/>
    <w:rsid w:val="004D452A"/>
    <w:rsid w:val="004D66AD"/>
    <w:rsid w:val="004E432F"/>
    <w:rsid w:val="004E4D21"/>
    <w:rsid w:val="004E7B18"/>
    <w:rsid w:val="004F2BB0"/>
    <w:rsid w:val="004F3C00"/>
    <w:rsid w:val="004F77AC"/>
    <w:rsid w:val="00501AF5"/>
    <w:rsid w:val="0050764E"/>
    <w:rsid w:val="005119D8"/>
    <w:rsid w:val="00512556"/>
    <w:rsid w:val="005125B0"/>
    <w:rsid w:val="0052323E"/>
    <w:rsid w:val="00523D02"/>
    <w:rsid w:val="0052695A"/>
    <w:rsid w:val="0053089E"/>
    <w:rsid w:val="005352DB"/>
    <w:rsid w:val="00535A0E"/>
    <w:rsid w:val="00537794"/>
    <w:rsid w:val="0053783B"/>
    <w:rsid w:val="00537AEC"/>
    <w:rsid w:val="00542591"/>
    <w:rsid w:val="005445CE"/>
    <w:rsid w:val="00544943"/>
    <w:rsid w:val="00547A1D"/>
    <w:rsid w:val="00552AE0"/>
    <w:rsid w:val="00553C66"/>
    <w:rsid w:val="0055424A"/>
    <w:rsid w:val="00556926"/>
    <w:rsid w:val="0056071E"/>
    <w:rsid w:val="00561999"/>
    <w:rsid w:val="00562716"/>
    <w:rsid w:val="005659D8"/>
    <w:rsid w:val="00566330"/>
    <w:rsid w:val="00571ED1"/>
    <w:rsid w:val="0057221C"/>
    <w:rsid w:val="00574FD6"/>
    <w:rsid w:val="00576F0C"/>
    <w:rsid w:val="00577720"/>
    <w:rsid w:val="005806C9"/>
    <w:rsid w:val="00593364"/>
    <w:rsid w:val="005A27D0"/>
    <w:rsid w:val="005A34AD"/>
    <w:rsid w:val="005A3BD8"/>
    <w:rsid w:val="005C5633"/>
    <w:rsid w:val="005C5817"/>
    <w:rsid w:val="005C5B63"/>
    <w:rsid w:val="005C61AC"/>
    <w:rsid w:val="005C6301"/>
    <w:rsid w:val="005C7523"/>
    <w:rsid w:val="005C7CA6"/>
    <w:rsid w:val="005D214D"/>
    <w:rsid w:val="005E04F5"/>
    <w:rsid w:val="005E1133"/>
    <w:rsid w:val="005E5B68"/>
    <w:rsid w:val="005F245D"/>
    <w:rsid w:val="005F6DDA"/>
    <w:rsid w:val="005F726F"/>
    <w:rsid w:val="005F77DF"/>
    <w:rsid w:val="0060069D"/>
    <w:rsid w:val="00604180"/>
    <w:rsid w:val="0060493A"/>
    <w:rsid w:val="00605557"/>
    <w:rsid w:val="00605EB5"/>
    <w:rsid w:val="00610025"/>
    <w:rsid w:val="00611CFE"/>
    <w:rsid w:val="00613AA8"/>
    <w:rsid w:val="00616130"/>
    <w:rsid w:val="006170E3"/>
    <w:rsid w:val="006206EE"/>
    <w:rsid w:val="006237BE"/>
    <w:rsid w:val="0062398E"/>
    <w:rsid w:val="006252FE"/>
    <w:rsid w:val="00625968"/>
    <w:rsid w:val="00625FC7"/>
    <w:rsid w:val="0063188F"/>
    <w:rsid w:val="00636431"/>
    <w:rsid w:val="006366B0"/>
    <w:rsid w:val="00637A6E"/>
    <w:rsid w:val="00641321"/>
    <w:rsid w:val="006473B9"/>
    <w:rsid w:val="00652938"/>
    <w:rsid w:val="00653056"/>
    <w:rsid w:val="00675B68"/>
    <w:rsid w:val="00681239"/>
    <w:rsid w:val="006845A4"/>
    <w:rsid w:val="00687E5C"/>
    <w:rsid w:val="0069486D"/>
    <w:rsid w:val="00695F10"/>
    <w:rsid w:val="006A042D"/>
    <w:rsid w:val="006A05E2"/>
    <w:rsid w:val="006A18EF"/>
    <w:rsid w:val="006A29E0"/>
    <w:rsid w:val="006A2D11"/>
    <w:rsid w:val="006A7F83"/>
    <w:rsid w:val="006B67C9"/>
    <w:rsid w:val="006C1917"/>
    <w:rsid w:val="006C2B4A"/>
    <w:rsid w:val="006C3264"/>
    <w:rsid w:val="006C509B"/>
    <w:rsid w:val="006D1C97"/>
    <w:rsid w:val="006D58FD"/>
    <w:rsid w:val="006E137B"/>
    <w:rsid w:val="006E1B90"/>
    <w:rsid w:val="006E358F"/>
    <w:rsid w:val="00702037"/>
    <w:rsid w:val="00705EA4"/>
    <w:rsid w:val="00711742"/>
    <w:rsid w:val="00717969"/>
    <w:rsid w:val="00717F9F"/>
    <w:rsid w:val="0072156C"/>
    <w:rsid w:val="00721671"/>
    <w:rsid w:val="00724108"/>
    <w:rsid w:val="007250A8"/>
    <w:rsid w:val="00725DF5"/>
    <w:rsid w:val="007326C6"/>
    <w:rsid w:val="00736096"/>
    <w:rsid w:val="007364A7"/>
    <w:rsid w:val="007369C2"/>
    <w:rsid w:val="00741E0C"/>
    <w:rsid w:val="0074453A"/>
    <w:rsid w:val="007466B3"/>
    <w:rsid w:val="00750985"/>
    <w:rsid w:val="00751CA6"/>
    <w:rsid w:val="00752183"/>
    <w:rsid w:val="00756840"/>
    <w:rsid w:val="00760CEE"/>
    <w:rsid w:val="007667CD"/>
    <w:rsid w:val="00770368"/>
    <w:rsid w:val="007760F2"/>
    <w:rsid w:val="0077677C"/>
    <w:rsid w:val="007810B5"/>
    <w:rsid w:val="007902C2"/>
    <w:rsid w:val="00797B07"/>
    <w:rsid w:val="00797DA6"/>
    <w:rsid w:val="007A4604"/>
    <w:rsid w:val="007B1D31"/>
    <w:rsid w:val="007C2A77"/>
    <w:rsid w:val="007C3EB1"/>
    <w:rsid w:val="007C54DD"/>
    <w:rsid w:val="007D55D3"/>
    <w:rsid w:val="007E0BF0"/>
    <w:rsid w:val="007E2BF1"/>
    <w:rsid w:val="007E2C10"/>
    <w:rsid w:val="007E53A9"/>
    <w:rsid w:val="007E55C0"/>
    <w:rsid w:val="007E6539"/>
    <w:rsid w:val="0080212F"/>
    <w:rsid w:val="00804184"/>
    <w:rsid w:val="00804D8B"/>
    <w:rsid w:val="00807524"/>
    <w:rsid w:val="0081002E"/>
    <w:rsid w:val="0081078D"/>
    <w:rsid w:val="008107CE"/>
    <w:rsid w:val="00816C9A"/>
    <w:rsid w:val="00823102"/>
    <w:rsid w:val="00823ABF"/>
    <w:rsid w:val="008240C6"/>
    <w:rsid w:val="008341CE"/>
    <w:rsid w:val="008353AD"/>
    <w:rsid w:val="008363B6"/>
    <w:rsid w:val="00841BC5"/>
    <w:rsid w:val="00841FF9"/>
    <w:rsid w:val="00843519"/>
    <w:rsid w:val="00844E5C"/>
    <w:rsid w:val="00851356"/>
    <w:rsid w:val="008540DC"/>
    <w:rsid w:val="00860C72"/>
    <w:rsid w:val="00862A45"/>
    <w:rsid w:val="008663CA"/>
    <w:rsid w:val="008674EE"/>
    <w:rsid w:val="00870E09"/>
    <w:rsid w:val="00873AE3"/>
    <w:rsid w:val="00874628"/>
    <w:rsid w:val="00876917"/>
    <w:rsid w:val="00883982"/>
    <w:rsid w:val="00891CEC"/>
    <w:rsid w:val="008920B6"/>
    <w:rsid w:val="00894E28"/>
    <w:rsid w:val="008958DB"/>
    <w:rsid w:val="008A1BA2"/>
    <w:rsid w:val="008A2D0E"/>
    <w:rsid w:val="008A2D15"/>
    <w:rsid w:val="008A4DC4"/>
    <w:rsid w:val="008A73E0"/>
    <w:rsid w:val="008B3DEC"/>
    <w:rsid w:val="008C07B3"/>
    <w:rsid w:val="008C49F3"/>
    <w:rsid w:val="008C705B"/>
    <w:rsid w:val="008D2E74"/>
    <w:rsid w:val="008D6230"/>
    <w:rsid w:val="008D7E24"/>
    <w:rsid w:val="008E33A2"/>
    <w:rsid w:val="00902163"/>
    <w:rsid w:val="0090467A"/>
    <w:rsid w:val="0092035F"/>
    <w:rsid w:val="009212BF"/>
    <w:rsid w:val="00924F02"/>
    <w:rsid w:val="00931D87"/>
    <w:rsid w:val="009436F2"/>
    <w:rsid w:val="009439A0"/>
    <w:rsid w:val="00944394"/>
    <w:rsid w:val="00944A0E"/>
    <w:rsid w:val="00945819"/>
    <w:rsid w:val="00956B5E"/>
    <w:rsid w:val="009600C8"/>
    <w:rsid w:val="0096240B"/>
    <w:rsid w:val="009677C0"/>
    <w:rsid w:val="00974C3E"/>
    <w:rsid w:val="00982AC4"/>
    <w:rsid w:val="00992748"/>
    <w:rsid w:val="009937F3"/>
    <w:rsid w:val="00996E42"/>
    <w:rsid w:val="00996E4F"/>
    <w:rsid w:val="0099728C"/>
    <w:rsid w:val="009A1CDC"/>
    <w:rsid w:val="009A34A5"/>
    <w:rsid w:val="009A5088"/>
    <w:rsid w:val="009B3C7A"/>
    <w:rsid w:val="009B4F70"/>
    <w:rsid w:val="009B62ED"/>
    <w:rsid w:val="009C1E4E"/>
    <w:rsid w:val="009C6FEB"/>
    <w:rsid w:val="009D198C"/>
    <w:rsid w:val="009D2198"/>
    <w:rsid w:val="009D3916"/>
    <w:rsid w:val="009E36F1"/>
    <w:rsid w:val="009E540C"/>
    <w:rsid w:val="009E6F2A"/>
    <w:rsid w:val="009E7F4B"/>
    <w:rsid w:val="009F1065"/>
    <w:rsid w:val="009F163B"/>
    <w:rsid w:val="00A00B26"/>
    <w:rsid w:val="00A117D7"/>
    <w:rsid w:val="00A21993"/>
    <w:rsid w:val="00A240A7"/>
    <w:rsid w:val="00A25DEC"/>
    <w:rsid w:val="00A2770C"/>
    <w:rsid w:val="00A36875"/>
    <w:rsid w:val="00A40116"/>
    <w:rsid w:val="00A405D3"/>
    <w:rsid w:val="00A41ACB"/>
    <w:rsid w:val="00A45C91"/>
    <w:rsid w:val="00A50048"/>
    <w:rsid w:val="00A553DB"/>
    <w:rsid w:val="00A62B42"/>
    <w:rsid w:val="00A63200"/>
    <w:rsid w:val="00A646FC"/>
    <w:rsid w:val="00A6501B"/>
    <w:rsid w:val="00A65BBE"/>
    <w:rsid w:val="00A65FDF"/>
    <w:rsid w:val="00A669AC"/>
    <w:rsid w:val="00A70B26"/>
    <w:rsid w:val="00A71316"/>
    <w:rsid w:val="00A72BD5"/>
    <w:rsid w:val="00A77A34"/>
    <w:rsid w:val="00A82889"/>
    <w:rsid w:val="00A870BF"/>
    <w:rsid w:val="00A9157E"/>
    <w:rsid w:val="00A9281B"/>
    <w:rsid w:val="00A963CA"/>
    <w:rsid w:val="00AA16E9"/>
    <w:rsid w:val="00AA3408"/>
    <w:rsid w:val="00AA56AC"/>
    <w:rsid w:val="00AB3160"/>
    <w:rsid w:val="00AC03E3"/>
    <w:rsid w:val="00AC150F"/>
    <w:rsid w:val="00AC47A2"/>
    <w:rsid w:val="00AC7A9D"/>
    <w:rsid w:val="00AD0830"/>
    <w:rsid w:val="00AD3D48"/>
    <w:rsid w:val="00AD46E2"/>
    <w:rsid w:val="00AD4D0F"/>
    <w:rsid w:val="00AD5470"/>
    <w:rsid w:val="00AE40CF"/>
    <w:rsid w:val="00AE60FB"/>
    <w:rsid w:val="00AF5DE1"/>
    <w:rsid w:val="00B01DA2"/>
    <w:rsid w:val="00B022F5"/>
    <w:rsid w:val="00B04CBE"/>
    <w:rsid w:val="00B04F94"/>
    <w:rsid w:val="00B07E94"/>
    <w:rsid w:val="00B13B7F"/>
    <w:rsid w:val="00B15D52"/>
    <w:rsid w:val="00B165CB"/>
    <w:rsid w:val="00B16A12"/>
    <w:rsid w:val="00B22F0D"/>
    <w:rsid w:val="00B23027"/>
    <w:rsid w:val="00B268C2"/>
    <w:rsid w:val="00B278B9"/>
    <w:rsid w:val="00B3089A"/>
    <w:rsid w:val="00B32956"/>
    <w:rsid w:val="00B32F87"/>
    <w:rsid w:val="00B37DD5"/>
    <w:rsid w:val="00B40BA7"/>
    <w:rsid w:val="00B41AE8"/>
    <w:rsid w:val="00B42B54"/>
    <w:rsid w:val="00B43896"/>
    <w:rsid w:val="00B44184"/>
    <w:rsid w:val="00B50692"/>
    <w:rsid w:val="00B51957"/>
    <w:rsid w:val="00B55812"/>
    <w:rsid w:val="00B56A74"/>
    <w:rsid w:val="00B62D9B"/>
    <w:rsid w:val="00B62FD1"/>
    <w:rsid w:val="00B66236"/>
    <w:rsid w:val="00B667E4"/>
    <w:rsid w:val="00B671F6"/>
    <w:rsid w:val="00B6750B"/>
    <w:rsid w:val="00B73CE0"/>
    <w:rsid w:val="00B74688"/>
    <w:rsid w:val="00B74C20"/>
    <w:rsid w:val="00B81971"/>
    <w:rsid w:val="00B90B4B"/>
    <w:rsid w:val="00B9309E"/>
    <w:rsid w:val="00BA08A8"/>
    <w:rsid w:val="00BA1ABA"/>
    <w:rsid w:val="00BA46B9"/>
    <w:rsid w:val="00BB07F2"/>
    <w:rsid w:val="00BB23F6"/>
    <w:rsid w:val="00BB2B65"/>
    <w:rsid w:val="00BB3FEA"/>
    <w:rsid w:val="00BB40CD"/>
    <w:rsid w:val="00BB5205"/>
    <w:rsid w:val="00BB76D5"/>
    <w:rsid w:val="00BC0766"/>
    <w:rsid w:val="00BC14DC"/>
    <w:rsid w:val="00BC1762"/>
    <w:rsid w:val="00BC6847"/>
    <w:rsid w:val="00BC6ABE"/>
    <w:rsid w:val="00BE187C"/>
    <w:rsid w:val="00BF248C"/>
    <w:rsid w:val="00BF7E7E"/>
    <w:rsid w:val="00C011DB"/>
    <w:rsid w:val="00C0298B"/>
    <w:rsid w:val="00C05507"/>
    <w:rsid w:val="00C057ED"/>
    <w:rsid w:val="00C10D22"/>
    <w:rsid w:val="00C11141"/>
    <w:rsid w:val="00C20A1A"/>
    <w:rsid w:val="00C263EB"/>
    <w:rsid w:val="00C278EA"/>
    <w:rsid w:val="00C27CC8"/>
    <w:rsid w:val="00C32D7F"/>
    <w:rsid w:val="00C42479"/>
    <w:rsid w:val="00C427C0"/>
    <w:rsid w:val="00C447A9"/>
    <w:rsid w:val="00C45AFC"/>
    <w:rsid w:val="00C47352"/>
    <w:rsid w:val="00C52A22"/>
    <w:rsid w:val="00C539EB"/>
    <w:rsid w:val="00C54CF4"/>
    <w:rsid w:val="00C62750"/>
    <w:rsid w:val="00C633D7"/>
    <w:rsid w:val="00C6415B"/>
    <w:rsid w:val="00C668DD"/>
    <w:rsid w:val="00C67A77"/>
    <w:rsid w:val="00C75DA9"/>
    <w:rsid w:val="00C77C56"/>
    <w:rsid w:val="00C8533A"/>
    <w:rsid w:val="00C86FA9"/>
    <w:rsid w:val="00C90BA5"/>
    <w:rsid w:val="00C943ED"/>
    <w:rsid w:val="00C944AA"/>
    <w:rsid w:val="00C94DE4"/>
    <w:rsid w:val="00CA1797"/>
    <w:rsid w:val="00CA4476"/>
    <w:rsid w:val="00CA4EF8"/>
    <w:rsid w:val="00CA5028"/>
    <w:rsid w:val="00CB28AF"/>
    <w:rsid w:val="00CB52CE"/>
    <w:rsid w:val="00CB6B23"/>
    <w:rsid w:val="00CB70F7"/>
    <w:rsid w:val="00CD1C0F"/>
    <w:rsid w:val="00CD2418"/>
    <w:rsid w:val="00CE7065"/>
    <w:rsid w:val="00CF44D2"/>
    <w:rsid w:val="00CF5704"/>
    <w:rsid w:val="00D0144F"/>
    <w:rsid w:val="00D04BCC"/>
    <w:rsid w:val="00D06885"/>
    <w:rsid w:val="00D12651"/>
    <w:rsid w:val="00D12FFB"/>
    <w:rsid w:val="00D14E83"/>
    <w:rsid w:val="00D210E1"/>
    <w:rsid w:val="00D2162C"/>
    <w:rsid w:val="00D27081"/>
    <w:rsid w:val="00D27A6F"/>
    <w:rsid w:val="00D30ACD"/>
    <w:rsid w:val="00D3583C"/>
    <w:rsid w:val="00D36AA1"/>
    <w:rsid w:val="00D3793F"/>
    <w:rsid w:val="00D428BD"/>
    <w:rsid w:val="00D45F04"/>
    <w:rsid w:val="00D55234"/>
    <w:rsid w:val="00D61635"/>
    <w:rsid w:val="00D64B28"/>
    <w:rsid w:val="00D8162B"/>
    <w:rsid w:val="00D85863"/>
    <w:rsid w:val="00DB1A70"/>
    <w:rsid w:val="00DB1B9A"/>
    <w:rsid w:val="00DB264B"/>
    <w:rsid w:val="00DB3199"/>
    <w:rsid w:val="00DC1D6F"/>
    <w:rsid w:val="00DC1E3E"/>
    <w:rsid w:val="00DC25D3"/>
    <w:rsid w:val="00DC2787"/>
    <w:rsid w:val="00DC2A57"/>
    <w:rsid w:val="00DC60BE"/>
    <w:rsid w:val="00DD3C3F"/>
    <w:rsid w:val="00DD4C14"/>
    <w:rsid w:val="00DF13EB"/>
    <w:rsid w:val="00DF333F"/>
    <w:rsid w:val="00DF49E2"/>
    <w:rsid w:val="00DF4CC1"/>
    <w:rsid w:val="00E02036"/>
    <w:rsid w:val="00E02276"/>
    <w:rsid w:val="00E11760"/>
    <w:rsid w:val="00E14B50"/>
    <w:rsid w:val="00E15BE8"/>
    <w:rsid w:val="00E178D7"/>
    <w:rsid w:val="00E22584"/>
    <w:rsid w:val="00E27BB0"/>
    <w:rsid w:val="00E30903"/>
    <w:rsid w:val="00E33180"/>
    <w:rsid w:val="00E35077"/>
    <w:rsid w:val="00E35715"/>
    <w:rsid w:val="00E35E3F"/>
    <w:rsid w:val="00E40750"/>
    <w:rsid w:val="00E45087"/>
    <w:rsid w:val="00E543C2"/>
    <w:rsid w:val="00E5462A"/>
    <w:rsid w:val="00E5464B"/>
    <w:rsid w:val="00E54C7E"/>
    <w:rsid w:val="00E5534B"/>
    <w:rsid w:val="00E603F8"/>
    <w:rsid w:val="00E61E67"/>
    <w:rsid w:val="00E65B8F"/>
    <w:rsid w:val="00E674BE"/>
    <w:rsid w:val="00E678D9"/>
    <w:rsid w:val="00E7078E"/>
    <w:rsid w:val="00E71A3E"/>
    <w:rsid w:val="00E72535"/>
    <w:rsid w:val="00E84405"/>
    <w:rsid w:val="00E84A33"/>
    <w:rsid w:val="00E8747F"/>
    <w:rsid w:val="00E93F0C"/>
    <w:rsid w:val="00E97BFD"/>
    <w:rsid w:val="00EA1AF5"/>
    <w:rsid w:val="00EA2BE4"/>
    <w:rsid w:val="00EA4A3C"/>
    <w:rsid w:val="00EB106E"/>
    <w:rsid w:val="00EB2676"/>
    <w:rsid w:val="00EB2BC9"/>
    <w:rsid w:val="00EB3399"/>
    <w:rsid w:val="00EB3AAB"/>
    <w:rsid w:val="00EC4DAE"/>
    <w:rsid w:val="00ED2360"/>
    <w:rsid w:val="00ED3344"/>
    <w:rsid w:val="00ED42E5"/>
    <w:rsid w:val="00EE10E1"/>
    <w:rsid w:val="00EE231F"/>
    <w:rsid w:val="00EE3936"/>
    <w:rsid w:val="00EF04A8"/>
    <w:rsid w:val="00EF27B9"/>
    <w:rsid w:val="00EF3D14"/>
    <w:rsid w:val="00EF523B"/>
    <w:rsid w:val="00EF6C25"/>
    <w:rsid w:val="00F018AB"/>
    <w:rsid w:val="00F018CF"/>
    <w:rsid w:val="00F01F75"/>
    <w:rsid w:val="00F02B45"/>
    <w:rsid w:val="00F04D0A"/>
    <w:rsid w:val="00F10214"/>
    <w:rsid w:val="00F10C44"/>
    <w:rsid w:val="00F140E1"/>
    <w:rsid w:val="00F15CE6"/>
    <w:rsid w:val="00F17232"/>
    <w:rsid w:val="00F2208E"/>
    <w:rsid w:val="00F231A6"/>
    <w:rsid w:val="00F267FC"/>
    <w:rsid w:val="00F310FC"/>
    <w:rsid w:val="00F31BF9"/>
    <w:rsid w:val="00F34DFC"/>
    <w:rsid w:val="00F418EA"/>
    <w:rsid w:val="00F436BA"/>
    <w:rsid w:val="00F46181"/>
    <w:rsid w:val="00F565B6"/>
    <w:rsid w:val="00F570C3"/>
    <w:rsid w:val="00F62A45"/>
    <w:rsid w:val="00F65748"/>
    <w:rsid w:val="00F659D8"/>
    <w:rsid w:val="00F70AE3"/>
    <w:rsid w:val="00F71345"/>
    <w:rsid w:val="00F77A5D"/>
    <w:rsid w:val="00F80CAD"/>
    <w:rsid w:val="00F82BD2"/>
    <w:rsid w:val="00F87245"/>
    <w:rsid w:val="00F91CF8"/>
    <w:rsid w:val="00F93F04"/>
    <w:rsid w:val="00F970D0"/>
    <w:rsid w:val="00FA2678"/>
    <w:rsid w:val="00FA39EE"/>
    <w:rsid w:val="00FB3A77"/>
    <w:rsid w:val="00FB58C7"/>
    <w:rsid w:val="00FC1BF5"/>
    <w:rsid w:val="00FC4A32"/>
    <w:rsid w:val="00FD05B6"/>
    <w:rsid w:val="00FD28FB"/>
    <w:rsid w:val="00FD4185"/>
    <w:rsid w:val="00FD6239"/>
    <w:rsid w:val="00FE2290"/>
    <w:rsid w:val="00FE2D43"/>
    <w:rsid w:val="00FF0B33"/>
    <w:rsid w:val="00FF40D6"/>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ector recto de flecha 60"/>
        <o:r id="V:Rule2" type="connector" idref="#Conector recto de flecha 58"/>
      </o:rules>
    </o:shapelayout>
  </w:shapeDefaults>
  <w:decimalSymbol w:val="."/>
  <w:listSeparator w:val=";"/>
  <w15:docId w15:val="{61C8016B-D73F-4473-9C2C-451B41A68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uiPriority w:val="99"/>
    <w:rsid w:val="00F65748"/>
  </w:style>
  <w:style w:type="paragraph" w:styleId="Prrafodelista">
    <w:name w:val="List Paragraph"/>
    <w:basedOn w:val="Normal"/>
    <w:link w:val="PrrafodelistaCar"/>
    <w:uiPriority w:val="34"/>
    <w:qFormat/>
    <w:rsid w:val="005E04F5"/>
    <w:pPr>
      <w:ind w:left="720"/>
      <w:contextualSpacing/>
    </w:pPr>
  </w:style>
  <w:style w:type="character" w:customStyle="1" w:styleId="PrrafodelistaCar">
    <w:name w:val="Párrafo de lista Car"/>
    <w:link w:val="Prrafodelista"/>
    <w:uiPriority w:val="34"/>
    <w:locked/>
    <w:rsid w:val="00547A1D"/>
    <w:rPr>
      <w:rFonts w:ascii="Times New Roman" w:eastAsia="MS Mincho" w:hAnsi="Times New Roman" w:cs="Times New Roman"/>
      <w:sz w:val="24"/>
      <w:szCs w:val="24"/>
      <w:lang w:val="es-ES" w:eastAsia="es-ES"/>
    </w:r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link w:val="SinespaciadoCar"/>
    <w:uiPriority w:val="1"/>
    <w:qFormat/>
    <w:rsid w:val="007B1D31"/>
  </w:style>
  <w:style w:type="character" w:customStyle="1" w:styleId="SinespaciadoCar">
    <w:name w:val="Sin espaciado Car"/>
    <w:basedOn w:val="Fuentedeprrafopredeter"/>
    <w:link w:val="Sinespaciado"/>
    <w:uiPriority w:val="1"/>
    <w:locked/>
    <w:rsid w:val="00547A1D"/>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semiHidden/>
    <w:unhideWhenUsed/>
    <w:rsid w:val="00CB6B23"/>
    <w:rPr>
      <w:sz w:val="20"/>
      <w:szCs w:val="20"/>
    </w:rPr>
  </w:style>
  <w:style w:type="character" w:customStyle="1" w:styleId="TextocomentarioCar">
    <w:name w:val="Texto comentario Car"/>
    <w:basedOn w:val="Fuentedeprrafopredeter"/>
    <w:link w:val="Textocomentario"/>
    <w:uiPriority w:val="99"/>
    <w:semiHidden/>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styleId="Hipervnculovisitado">
    <w:name w:val="FollowedHyperlink"/>
    <w:basedOn w:val="Fuentedeprrafopredeter"/>
    <w:uiPriority w:val="99"/>
    <w:semiHidden/>
    <w:unhideWhenUsed/>
    <w:rsid w:val="00547A1D"/>
    <w:rPr>
      <w:color w:val="800080" w:themeColor="followedHyperlink"/>
      <w:u w:val="single"/>
    </w:rPr>
  </w:style>
  <w:style w:type="paragraph" w:customStyle="1" w:styleId="msonormal0">
    <w:name w:val="msonormal"/>
    <w:basedOn w:val="Normal"/>
    <w:uiPriority w:val="99"/>
    <w:rsid w:val="00547A1D"/>
    <w:pPr>
      <w:spacing w:before="100" w:beforeAutospacing="1" w:after="119"/>
    </w:pPr>
    <w:rPr>
      <w:rFonts w:eastAsia="Calibri"/>
    </w:rPr>
  </w:style>
  <w:style w:type="paragraph" w:styleId="Textonotapie">
    <w:name w:val="footnote text"/>
    <w:basedOn w:val="Normal"/>
    <w:link w:val="TextonotapieCar"/>
    <w:uiPriority w:val="99"/>
    <w:semiHidden/>
    <w:unhideWhenUsed/>
    <w:rsid w:val="00547A1D"/>
    <w:rPr>
      <w:sz w:val="20"/>
      <w:szCs w:val="20"/>
    </w:rPr>
  </w:style>
  <w:style w:type="character" w:customStyle="1" w:styleId="TextonotapieCar">
    <w:name w:val="Texto nota pie Car"/>
    <w:basedOn w:val="Fuentedeprrafopredeter"/>
    <w:link w:val="Textonotapie"/>
    <w:uiPriority w:val="99"/>
    <w:semiHidden/>
    <w:rsid w:val="00547A1D"/>
    <w:rPr>
      <w:rFonts w:ascii="Times New Roman" w:eastAsia="MS Mincho"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547A1D"/>
    <w:rPr>
      <w:rFonts w:ascii="Times New Roman" w:eastAsia="MS Mincho"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547A1D"/>
    <w:rPr>
      <w:sz w:val="20"/>
      <w:szCs w:val="20"/>
    </w:rPr>
  </w:style>
  <w:style w:type="paragraph" w:customStyle="1" w:styleId="Body">
    <w:name w:val="Body"/>
    <w:uiPriority w:val="99"/>
    <w:rsid w:val="00547A1D"/>
    <w:rPr>
      <w:rFonts w:ascii="Helvetica" w:eastAsia="ヒラギノ角ゴ Pro W3" w:hAnsi="Helvetica" w:cs="Times New Roman"/>
      <w:color w:val="000000"/>
      <w:sz w:val="24"/>
      <w:szCs w:val="20"/>
      <w:lang w:val="en-US" w:eastAsia="es-CO"/>
    </w:rPr>
  </w:style>
  <w:style w:type="paragraph" w:customStyle="1" w:styleId="Default">
    <w:name w:val="Default"/>
    <w:rsid w:val="00547A1D"/>
    <w:pPr>
      <w:autoSpaceDE w:val="0"/>
      <w:autoSpaceDN w:val="0"/>
      <w:adjustRightInd w:val="0"/>
    </w:pPr>
    <w:rPr>
      <w:rFonts w:ascii="Arial" w:eastAsia="Calibri" w:hAnsi="Arial" w:cs="Arial"/>
      <w:color w:val="000000"/>
      <w:sz w:val="24"/>
      <w:szCs w:val="24"/>
    </w:rPr>
  </w:style>
  <w:style w:type="character" w:styleId="Refdenotaalpie">
    <w:name w:val="footnote reference"/>
    <w:basedOn w:val="Fuentedeprrafopredeter"/>
    <w:uiPriority w:val="99"/>
    <w:semiHidden/>
    <w:unhideWhenUsed/>
    <w:rsid w:val="00547A1D"/>
    <w:rPr>
      <w:vertAlign w:val="superscript"/>
    </w:rPr>
  </w:style>
  <w:style w:type="character" w:styleId="Refdenotaalfinal">
    <w:name w:val="endnote reference"/>
    <w:basedOn w:val="Fuentedeprrafopredeter"/>
    <w:uiPriority w:val="99"/>
    <w:semiHidden/>
    <w:unhideWhenUsed/>
    <w:rsid w:val="00547A1D"/>
    <w:rPr>
      <w:vertAlign w:val="superscript"/>
    </w:rPr>
  </w:style>
  <w:style w:type="character" w:customStyle="1" w:styleId="letra8pt">
    <w:name w:val="letra8pt"/>
    <w:basedOn w:val="Fuentedeprrafopredeter"/>
    <w:rsid w:val="00547A1D"/>
  </w:style>
  <w:style w:type="table" w:styleId="Listamedia2-nfasis1">
    <w:name w:val="Medium List 2 Accent 1"/>
    <w:basedOn w:val="Tablanormal"/>
    <w:uiPriority w:val="66"/>
    <w:semiHidden/>
    <w:unhideWhenUsed/>
    <w:rsid w:val="00547A1D"/>
    <w:rPr>
      <w:rFonts w:asciiTheme="majorHAnsi" w:eastAsiaTheme="majorEastAsia" w:hAnsiTheme="majorHAnsi" w:cstheme="majorBidi"/>
      <w:color w:val="000000" w:themeColor="text1"/>
      <w:lang w:val="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3">
    <w:name w:val="Light List Accent 3"/>
    <w:basedOn w:val="Tablanormal"/>
    <w:uiPriority w:val="61"/>
    <w:semiHidden/>
    <w:unhideWhenUsed/>
    <w:rsid w:val="00547A1D"/>
    <w:rPr>
      <w:rFonts w:eastAsiaTheme="minorEastAsia"/>
      <w:lang w:val="en-US"/>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anormal4">
    <w:name w:val="Plain Table 4"/>
    <w:basedOn w:val="Tablanormal"/>
    <w:uiPriority w:val="44"/>
    <w:rsid w:val="00547A1D"/>
    <w:rPr>
      <w:rFonts w:ascii="Calibri" w:eastAsia="Calibri" w:hAnsi="Calibri" w:cs="Times New Roman"/>
      <w:lang w:val="es-ES" w:eastAsia="es-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00BodyChar">
    <w:name w:val="00 Body Char"/>
    <w:basedOn w:val="Fuentedeprrafopredeter"/>
    <w:link w:val="00Body"/>
    <w:locked/>
    <w:rsid w:val="005119D8"/>
    <w:rPr>
      <w:rFonts w:ascii="Arial (Body)" w:eastAsia="Times New Roman" w:hAnsi="Arial (Body)" w:cs="Times New Roman"/>
      <w:szCs w:val="20"/>
      <w:lang w:val="en-US"/>
    </w:rPr>
  </w:style>
  <w:style w:type="paragraph" w:customStyle="1" w:styleId="00Body">
    <w:name w:val="00 Body"/>
    <w:basedOn w:val="Normal"/>
    <w:link w:val="00BodyChar"/>
    <w:qFormat/>
    <w:rsid w:val="005119D8"/>
    <w:pPr>
      <w:spacing w:before="180" w:after="180" w:line="264" w:lineRule="auto"/>
    </w:pPr>
    <w:rPr>
      <w:rFonts w:ascii="Arial (Body)" w:eastAsia="Times New Roman" w:hAnsi="Arial (Body)"/>
      <w:sz w:val="22"/>
      <w:szCs w:val="20"/>
      <w:lang w:val="en-US" w:eastAsia="en-US"/>
    </w:rPr>
  </w:style>
  <w:style w:type="paragraph" w:customStyle="1" w:styleId="paragraph">
    <w:name w:val="paragraph"/>
    <w:basedOn w:val="Normal"/>
    <w:uiPriority w:val="99"/>
    <w:rsid w:val="005119D8"/>
    <w:pPr>
      <w:spacing w:before="100" w:beforeAutospacing="1" w:after="100" w:afterAutospacing="1"/>
    </w:pPr>
    <w:rPr>
      <w:rFonts w:eastAsia="Times New Roman"/>
      <w:lang w:val="en-US" w:eastAsia="en-US"/>
    </w:rPr>
  </w:style>
  <w:style w:type="character" w:customStyle="1" w:styleId="TextonotaalfinalCar1">
    <w:name w:val="Texto nota al final Car1"/>
    <w:basedOn w:val="Fuentedeprrafopredeter"/>
    <w:uiPriority w:val="99"/>
    <w:semiHidden/>
    <w:rsid w:val="005119D8"/>
    <w:rPr>
      <w:rFonts w:ascii="Times New Roman" w:eastAsia="MS Mincho" w:hAnsi="Times New Roman" w:cs="Times New Roman" w:hint="default"/>
      <w:sz w:val="20"/>
      <w:szCs w:val="20"/>
      <w:lang w:val="es-ES" w:eastAsia="es-ES"/>
    </w:rPr>
  </w:style>
  <w:style w:type="character" w:customStyle="1" w:styleId="normaltextrun">
    <w:name w:val="normaltextrun"/>
    <w:basedOn w:val="Fuentedeprrafopredeter"/>
    <w:rsid w:val="005119D8"/>
  </w:style>
  <w:style w:type="character" w:customStyle="1" w:styleId="superscript">
    <w:name w:val="superscript"/>
    <w:basedOn w:val="Fuentedeprrafopredeter"/>
    <w:rsid w:val="005119D8"/>
  </w:style>
  <w:style w:type="character" w:customStyle="1" w:styleId="eop">
    <w:name w:val="eop"/>
    <w:basedOn w:val="Fuentedeprrafopredeter"/>
    <w:rsid w:val="005119D8"/>
  </w:style>
  <w:style w:type="table" w:customStyle="1" w:styleId="Listamedia2-nfasis11">
    <w:name w:val="Lista media 2 - Énfasis 11"/>
    <w:basedOn w:val="Tablanormal"/>
    <w:uiPriority w:val="66"/>
    <w:rsid w:val="00556926"/>
    <w:rPr>
      <w:rFonts w:ascii="Georgia" w:eastAsia="Times New Roman" w:hAnsi="Georgia" w:cs="Times New Roman"/>
      <w:color w:val="000000"/>
      <w:lang w:val="en-US"/>
    </w:rPr>
    <w:tblPr>
      <w:tblStyleRowBandSize w:val="1"/>
      <w:tblStyleColBandSize w:val="1"/>
      <w:tblInd w:w="0" w:type="nil"/>
      <w:tblBorders>
        <w:top w:val="single" w:sz="8" w:space="0" w:color="549E39"/>
        <w:left w:val="single" w:sz="8" w:space="0" w:color="549E39"/>
        <w:bottom w:val="single" w:sz="8" w:space="0" w:color="549E39"/>
        <w:right w:val="single" w:sz="8" w:space="0" w:color="549E39"/>
      </w:tblBorders>
    </w:tblPr>
    <w:tblStylePr w:type="firstRow">
      <w:rPr>
        <w:rFonts w:ascii="Georgia" w:hAnsi="Georgia" w:cs="Times New Roman" w:hint="default"/>
        <w:sz w:val="24"/>
        <w:szCs w:val="24"/>
      </w:rPr>
      <w:tblPr/>
      <w:tcPr>
        <w:tcBorders>
          <w:top w:val="nil"/>
          <w:left w:val="nil"/>
          <w:bottom w:val="single" w:sz="24" w:space="0" w:color="549E39"/>
          <w:right w:val="nil"/>
          <w:insideH w:val="nil"/>
          <w:insideV w:val="nil"/>
        </w:tcBorders>
        <w:shd w:val="clear" w:color="auto" w:fill="FFFFFF"/>
      </w:tcPr>
    </w:tblStylePr>
    <w:tblStylePr w:type="lastRow">
      <w:rPr>
        <w:rFonts w:ascii="Georgia" w:hAnsi="Georgia" w:cs="Times New Roman" w:hint="default"/>
      </w:rPr>
      <w:tblPr/>
      <w:tcPr>
        <w:tcBorders>
          <w:top w:val="nil"/>
          <w:left w:val="nil"/>
          <w:bottom w:val="nil"/>
          <w:right w:val="nil"/>
          <w:insideH w:val="nil"/>
          <w:insideV w:val="nil"/>
        </w:tcBorders>
        <w:shd w:val="clear" w:color="auto" w:fill="FFFFFF"/>
      </w:tcPr>
    </w:tblStylePr>
    <w:tblStylePr w:type="firstCol">
      <w:rPr>
        <w:rFonts w:ascii="Georgia" w:hAnsi="Georgia" w:cs="Times New Roman" w:hint="default"/>
      </w:rPr>
      <w:tblPr/>
      <w:tcPr>
        <w:tcBorders>
          <w:top w:val="nil"/>
          <w:left w:val="nil"/>
          <w:bottom w:val="nil"/>
          <w:right w:val="single" w:sz="8" w:space="0" w:color="549E39"/>
          <w:insideH w:val="nil"/>
          <w:insideV w:val="nil"/>
        </w:tcBorders>
        <w:shd w:val="clear" w:color="auto" w:fill="FFFFFF"/>
      </w:tcPr>
    </w:tblStylePr>
    <w:tblStylePr w:type="lastCol">
      <w:rPr>
        <w:rFonts w:ascii="Georgia" w:hAnsi="Georgia" w:cs="Times New Roman" w:hint="default"/>
      </w:rPr>
      <w:tblPr/>
      <w:tcPr>
        <w:tcBorders>
          <w:top w:val="nil"/>
          <w:left w:val="single" w:sz="8" w:space="0" w:color="549E39"/>
          <w:bottom w:val="nil"/>
          <w:right w:val="nil"/>
          <w:insideH w:val="nil"/>
          <w:insideV w:val="nil"/>
        </w:tcBorders>
        <w:shd w:val="clear" w:color="auto" w:fill="FFFFFF"/>
      </w:tcPr>
    </w:tblStylePr>
    <w:tblStylePr w:type="band1Vert">
      <w:rPr>
        <w:rFonts w:ascii="Georgia" w:hAnsi="Georgia" w:cs="Times New Roman" w:hint="default"/>
      </w:rPr>
      <w:tblPr/>
      <w:tcPr>
        <w:tcBorders>
          <w:left w:val="nil"/>
          <w:right w:val="nil"/>
          <w:insideH w:val="nil"/>
          <w:insideV w:val="nil"/>
        </w:tcBorders>
        <w:shd w:val="clear" w:color="auto" w:fill="D2EBC9"/>
      </w:tcPr>
    </w:tblStylePr>
    <w:tblStylePr w:type="band1Horz">
      <w:rPr>
        <w:rFonts w:ascii="Georgia" w:hAnsi="Georgia" w:cs="Times New Roman" w:hint="default"/>
      </w:rPr>
      <w:tblPr/>
      <w:tcPr>
        <w:tcBorders>
          <w:top w:val="nil"/>
          <w:bottom w:val="nil"/>
          <w:insideH w:val="nil"/>
          <w:insideV w:val="nil"/>
        </w:tcBorders>
        <w:shd w:val="clear" w:color="auto" w:fill="D2EBC9"/>
      </w:tcPr>
    </w:tblStylePr>
    <w:tblStylePr w:type="nwCell">
      <w:rPr>
        <w:rFonts w:ascii="Georgia" w:hAnsi="Georgia" w:cs="Times New Roman" w:hint="default"/>
      </w:rPr>
      <w:tblPr/>
      <w:tcPr>
        <w:shd w:val="clear" w:color="auto" w:fill="FFFFFF"/>
      </w:tcPr>
    </w:tblStylePr>
    <w:tblStylePr w:type="swCell">
      <w:rPr>
        <w:rFonts w:ascii="Georgia" w:hAnsi="Georgia" w:cs="Times New Roman" w:hint="default"/>
      </w:rPr>
      <w:tblPr/>
      <w:tcPr>
        <w:tcBorders>
          <w:top w:val="nil"/>
        </w:tcBorders>
      </w:tcPr>
    </w:tblStylePr>
  </w:style>
  <w:style w:type="table" w:customStyle="1" w:styleId="Listamedia2-nfasis111">
    <w:name w:val="Lista media 2 - Énfasis 111"/>
    <w:basedOn w:val="Tablanormal"/>
    <w:uiPriority w:val="66"/>
    <w:rsid w:val="000D4FC9"/>
    <w:rPr>
      <w:rFonts w:ascii="Georgia" w:eastAsia="Times New Roman" w:hAnsi="Georgia" w:cs="Times New Roman"/>
      <w:color w:val="000000"/>
      <w:lang w:val="en-US"/>
    </w:rPr>
    <w:tblPr>
      <w:tblStyleRowBandSize w:val="1"/>
      <w:tblStyleColBandSize w:val="1"/>
      <w:tblInd w:w="0" w:type="nil"/>
      <w:tblBorders>
        <w:top w:val="single" w:sz="8" w:space="0" w:color="549E39"/>
        <w:left w:val="single" w:sz="8" w:space="0" w:color="549E39"/>
        <w:bottom w:val="single" w:sz="8" w:space="0" w:color="549E39"/>
        <w:right w:val="single" w:sz="8" w:space="0" w:color="549E39"/>
      </w:tblBorders>
    </w:tblPr>
    <w:tblStylePr w:type="firstRow">
      <w:rPr>
        <w:rFonts w:ascii="Bahnschrift SemiLight" w:hAnsi="Bahnschrift SemiLight" w:cs="Times New Roman" w:hint="default"/>
        <w:sz w:val="24"/>
        <w:szCs w:val="24"/>
      </w:rPr>
      <w:tblPr/>
      <w:tcPr>
        <w:tcBorders>
          <w:top w:val="nil"/>
          <w:left w:val="nil"/>
          <w:bottom w:val="single" w:sz="24" w:space="0" w:color="549E39"/>
          <w:right w:val="nil"/>
          <w:insideH w:val="nil"/>
          <w:insideV w:val="nil"/>
        </w:tcBorders>
        <w:shd w:val="clear" w:color="auto" w:fill="FFFFFF"/>
      </w:tcPr>
    </w:tblStylePr>
    <w:tblStylePr w:type="lastRow">
      <w:rPr>
        <w:rFonts w:ascii="Bahnschrift SemiLight" w:hAnsi="Bahnschrift SemiLight" w:cs="Times New Roman" w:hint="default"/>
      </w:rPr>
      <w:tblPr/>
      <w:tcPr>
        <w:tcBorders>
          <w:top w:val="nil"/>
          <w:left w:val="nil"/>
          <w:bottom w:val="nil"/>
          <w:right w:val="nil"/>
          <w:insideH w:val="nil"/>
          <w:insideV w:val="nil"/>
        </w:tcBorders>
        <w:shd w:val="clear" w:color="auto" w:fill="FFFFFF"/>
      </w:tcPr>
    </w:tblStylePr>
    <w:tblStylePr w:type="firstCol">
      <w:rPr>
        <w:rFonts w:ascii="Bahnschrift SemiLight" w:hAnsi="Bahnschrift SemiLight" w:cs="Times New Roman" w:hint="default"/>
      </w:rPr>
      <w:tblPr/>
      <w:tcPr>
        <w:tcBorders>
          <w:top w:val="nil"/>
          <w:left w:val="nil"/>
          <w:bottom w:val="nil"/>
          <w:right w:val="single" w:sz="8" w:space="0" w:color="549E39"/>
          <w:insideH w:val="nil"/>
          <w:insideV w:val="nil"/>
        </w:tcBorders>
        <w:shd w:val="clear" w:color="auto" w:fill="FFFFFF"/>
      </w:tcPr>
    </w:tblStylePr>
    <w:tblStylePr w:type="lastCol">
      <w:rPr>
        <w:rFonts w:ascii="Bahnschrift SemiLight" w:hAnsi="Bahnschrift SemiLight" w:cs="Times New Roman" w:hint="default"/>
      </w:rPr>
      <w:tblPr/>
      <w:tcPr>
        <w:tcBorders>
          <w:top w:val="nil"/>
          <w:left w:val="single" w:sz="8" w:space="0" w:color="549E39"/>
          <w:bottom w:val="nil"/>
          <w:right w:val="nil"/>
          <w:insideH w:val="nil"/>
          <w:insideV w:val="nil"/>
        </w:tcBorders>
        <w:shd w:val="clear" w:color="auto" w:fill="FFFFFF"/>
      </w:tcPr>
    </w:tblStylePr>
    <w:tblStylePr w:type="band1Vert">
      <w:rPr>
        <w:rFonts w:ascii="Bahnschrift SemiLight" w:hAnsi="Bahnschrift SemiLight" w:cs="Times New Roman" w:hint="default"/>
      </w:rPr>
      <w:tblPr/>
      <w:tcPr>
        <w:tcBorders>
          <w:left w:val="nil"/>
          <w:right w:val="nil"/>
          <w:insideH w:val="nil"/>
          <w:insideV w:val="nil"/>
        </w:tcBorders>
        <w:shd w:val="clear" w:color="auto" w:fill="D2EBC9"/>
      </w:tcPr>
    </w:tblStylePr>
    <w:tblStylePr w:type="band1Horz">
      <w:rPr>
        <w:rFonts w:ascii="Bahnschrift SemiLight" w:hAnsi="Bahnschrift SemiLight" w:cs="Times New Roman" w:hint="default"/>
      </w:rPr>
      <w:tblPr/>
      <w:tcPr>
        <w:tcBorders>
          <w:top w:val="nil"/>
          <w:bottom w:val="nil"/>
          <w:insideH w:val="nil"/>
          <w:insideV w:val="nil"/>
        </w:tcBorders>
        <w:shd w:val="clear" w:color="auto" w:fill="D2EBC9"/>
      </w:tcPr>
    </w:tblStylePr>
    <w:tblStylePr w:type="nwCell">
      <w:rPr>
        <w:rFonts w:ascii="Bahnschrift SemiLight" w:hAnsi="Bahnschrift SemiLight" w:cs="Times New Roman" w:hint="default"/>
      </w:rPr>
      <w:tblPr/>
      <w:tcPr>
        <w:shd w:val="clear" w:color="auto" w:fill="FFFFFF"/>
      </w:tcPr>
    </w:tblStylePr>
    <w:tblStylePr w:type="swCell">
      <w:rPr>
        <w:rFonts w:ascii="Bahnschrift SemiLight" w:hAnsi="Bahnschrift SemiLight" w:cs="Times New Roman" w:hint="default"/>
      </w:rPr>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6039">
      <w:bodyDiv w:val="1"/>
      <w:marLeft w:val="0"/>
      <w:marRight w:val="0"/>
      <w:marTop w:val="0"/>
      <w:marBottom w:val="0"/>
      <w:divBdr>
        <w:top w:val="none" w:sz="0" w:space="0" w:color="auto"/>
        <w:left w:val="none" w:sz="0" w:space="0" w:color="auto"/>
        <w:bottom w:val="none" w:sz="0" w:space="0" w:color="auto"/>
        <w:right w:val="none" w:sz="0" w:space="0" w:color="auto"/>
      </w:divBdr>
    </w:div>
    <w:div w:id="138620380">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86690320">
      <w:bodyDiv w:val="1"/>
      <w:marLeft w:val="0"/>
      <w:marRight w:val="0"/>
      <w:marTop w:val="0"/>
      <w:marBottom w:val="0"/>
      <w:divBdr>
        <w:top w:val="none" w:sz="0" w:space="0" w:color="auto"/>
        <w:left w:val="none" w:sz="0" w:space="0" w:color="auto"/>
        <w:bottom w:val="none" w:sz="0" w:space="0" w:color="auto"/>
        <w:right w:val="none" w:sz="0" w:space="0" w:color="auto"/>
      </w:divBdr>
    </w:div>
    <w:div w:id="564532589">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704402894">
      <w:bodyDiv w:val="1"/>
      <w:marLeft w:val="0"/>
      <w:marRight w:val="0"/>
      <w:marTop w:val="0"/>
      <w:marBottom w:val="0"/>
      <w:divBdr>
        <w:top w:val="none" w:sz="0" w:space="0" w:color="auto"/>
        <w:left w:val="none" w:sz="0" w:space="0" w:color="auto"/>
        <w:bottom w:val="none" w:sz="0" w:space="0" w:color="auto"/>
        <w:right w:val="none" w:sz="0" w:space="0" w:color="auto"/>
      </w:divBdr>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1158494838">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655184993">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889952439">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tu-vaupes.gov.co/MiMunicipio/Paginas/Informacion-del-Municipio.aspx" TargetMode="External"/><Relationship Id="rId18" Type="http://schemas.openxmlformats.org/officeDocument/2006/relationships/hyperlink" Target="file:///C:/Users/RCASTILL/AppData/Local/Microsoft/Windows/INetCache/Content.Outlook/HX7QXN0H/Escritorio%20Lenovo" TargetMode="External"/><Relationship Id="rId26" Type="http://schemas.openxmlformats.org/officeDocument/2006/relationships/image" Target="media/image10.wmf"/><Relationship Id="rId39" Type="http://schemas.openxmlformats.org/officeDocument/2006/relationships/hyperlink" Target="http://portalgestiondoc.minhacienda.red/PortalEmpleado/%23url-960061" TargetMode="External"/><Relationship Id="rId21" Type="http://schemas.openxmlformats.org/officeDocument/2006/relationships/hyperlink" Target="https://web.microsoftstream.com/video/f1171728-143a-40ed-90a2-e9dfb6d610ad" TargetMode="External"/><Relationship Id="rId34" Type="http://schemas.openxmlformats.org/officeDocument/2006/relationships/image" Target="media/image16.png"/><Relationship Id="rId42" Type="http://schemas.openxmlformats.org/officeDocument/2006/relationships/hyperlink" Target="http://portalgestiondoc.minhacienda.red/PortalEmpleado/" TargetMode="External"/><Relationship Id="rId47" Type="http://schemas.openxmlformats.org/officeDocument/2006/relationships/hyperlink" Target="https://sivilab.ins.gov.co/SIVILAB/ReportesCG/ReportesSIVICAP?menuId=228"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3.emf"/><Relationship Id="rId11" Type="http://schemas.openxmlformats.org/officeDocument/2006/relationships/hyperlink" Target="http://www.mitu-vaupes.gov.co/MiMunicipio/Paginas/Informacion-del-Municipio.aspx" TargetMode="Externa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hyperlink" Target="http://portalgestiondoc.minhacienda.red/PortalEmpleado/" TargetMode="External"/><Relationship Id="rId45" Type="http://schemas.openxmlformats.org/officeDocument/2006/relationships/hyperlink" Target="http://portalgestiondoc.minhacienda.red/PortalEmpleado/"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eb.microsoftstream.com/video/97b20983-641d-4b3e-b246-3bb6d14185ff" TargetMode="External"/><Relationship Id="rId31" Type="http://schemas.openxmlformats.org/officeDocument/2006/relationships/chart" Target="charts/chart1.xml"/><Relationship Id="rId44" Type="http://schemas.openxmlformats.org/officeDocument/2006/relationships/hyperlink" Target="http://portalgestiondoc.minhacienda.red/PortalEmpleado/"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tu-vaupes.gov.co/MiMunicipio/Paginas/Economia.aspx"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yperlink" Target="https://www.chip.gov.co/schip_rt/index.jsf" TargetMode="External"/><Relationship Id="rId35" Type="http://schemas.openxmlformats.org/officeDocument/2006/relationships/image" Target="media/image17.png"/><Relationship Id="rId43" Type="http://schemas.openxmlformats.org/officeDocument/2006/relationships/hyperlink" Target="http://portalgestiondoc.minhacienda.red/PortalEmpleado/%23tasks" TargetMode="External"/><Relationship Id="rId48" Type="http://schemas.openxmlformats.org/officeDocument/2006/relationships/hyperlink" Target="http://portalgestiondoc.minhacienda.red/PortalEmpleado/" TargetMode="External"/><Relationship Id="rId56"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hyperlink" Target="http://portalgestiondoc.minhacienda.red/PortalEmpleado/" TargetMode="External"/><Relationship Id="rId20" Type="http://schemas.openxmlformats.org/officeDocument/2006/relationships/image" Target="media/image5.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hyperlink" Target="http://portalgestiondoc.minhacienda.red/PortalEmplead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wmf"/></Relationships>
</file>

<file path=word/_rels/footer2.xml.rels><?xml version="1.0" encoding="UTF-8" standalone="yes"?>
<Relationships xmlns="http://schemas.openxmlformats.org/package/2006/relationships"><Relationship Id="rId1" Type="http://schemas.openxmlformats.org/officeDocument/2006/relationships/image" Target="media/image23.wmf"/></Relationships>
</file>

<file path=word/_rels/footnotes.xml.rels><?xml version="1.0" encoding="UTF-8" standalone="yes"?>
<Relationships xmlns="http://schemas.openxmlformats.org/package/2006/relationships"><Relationship Id="rId3" Type="http://schemas.openxmlformats.org/officeDocument/2006/relationships/hyperlink" Target="https://web.microsoftstream.com/video/97b20983-641d-4b3e-b246-3bb6d14185ff" TargetMode="External"/><Relationship Id="rId2" Type="http://schemas.openxmlformats.org/officeDocument/2006/relationships/hyperlink" Target="https://web.microsoftstream.com/video/97b20983-641d-4b3e-b246-3bb6d14185ff" TargetMode="External"/><Relationship Id="rId1" Type="http://schemas.openxmlformats.org/officeDocument/2006/relationships/hyperlink" Target="https://web.microsoftstream.com/video/97b20983-641d-4b3e-b246-3bb6d14185ff" TargetMode="External"/><Relationship Id="rId4" Type="http://schemas.openxmlformats.org/officeDocument/2006/relationships/hyperlink" Target="http://www.minvivienda.gov.co/sobre-el-ministerio/finanzas-y-presupuesto/transferencias-sg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FUENTES DE FINANCIACION GASTO INVERSION SECTOR APSB -2020</a:t>
            </a:r>
          </a:p>
        </c:rich>
      </c:tx>
      <c:layout>
        <c:manualLayout>
          <c:xMode val="edge"/>
          <c:yMode val="edge"/>
          <c:x val="0.15675615063765316"/>
          <c:y val="3.20427236315086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7818371660519157"/>
          <c:y val="0.25687481572621296"/>
          <c:w val="0.42147818144102744"/>
          <c:h val="0.65358365308146604"/>
        </c:manualLayout>
      </c:layout>
      <c:doughnutChart>
        <c:varyColors val="1"/>
        <c:ser>
          <c:idx val="0"/>
          <c:order val="0"/>
          <c:spPr>
            <a:scene3d>
              <a:camera prst="orthographicFront"/>
              <a:lightRig rig="threePt" dir="t"/>
            </a:scene3d>
            <a:sp3d>
              <a:bevelT/>
            </a:sp3d>
          </c:spPr>
          <c:explosion val="2"/>
          <c:dPt>
            <c:idx val="0"/>
            <c:bubble3D val="0"/>
            <c:spPr>
              <a:solidFill>
                <a:schemeClr val="accent1"/>
              </a:solidFill>
              <a:ln w="19050">
                <a:solidFill>
                  <a:schemeClr val="lt1"/>
                </a:solidFill>
              </a:ln>
              <a:effectLst/>
              <a:scene3d>
                <a:camera prst="orthographicFront"/>
                <a:lightRig rig="threePt" dir="t"/>
              </a:scene3d>
              <a:sp3d>
                <a:bevelT/>
              </a:sp3d>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207F-4283-876B-54A27B9515CB}"/>
              </c:ext>
            </c:extLst>
          </c:dPt>
          <c:dPt>
            <c:idx val="1"/>
            <c:bubble3D val="0"/>
            <c:spPr>
              <a:solidFill>
                <a:schemeClr val="accent2"/>
              </a:solidFill>
              <a:ln w="19050">
                <a:solidFill>
                  <a:schemeClr val="lt1"/>
                </a:solidFill>
              </a:ln>
              <a:effectLst/>
              <a:scene3d>
                <a:camera prst="orthographicFront"/>
                <a:lightRig rig="threePt" dir="t"/>
              </a:scene3d>
              <a:sp3d>
                <a:bevelT/>
              </a:sp3d>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207F-4283-876B-54A27B9515CB}"/>
              </c:ext>
            </c:extLst>
          </c:dPt>
          <c:dPt>
            <c:idx val="2"/>
            <c:bubble3D val="0"/>
            <c:spPr>
              <a:solidFill>
                <a:schemeClr val="accent3"/>
              </a:solidFill>
              <a:ln w="19050">
                <a:solidFill>
                  <a:schemeClr val="lt1"/>
                </a:solidFill>
              </a:ln>
              <a:effectLst/>
              <a:scene3d>
                <a:camera prst="orthographicFront"/>
                <a:lightRig rig="threePt" dir="t"/>
              </a:scene3d>
              <a:sp3d>
                <a:bevelT/>
              </a:sp3d>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207F-4283-876B-54A27B9515CB}"/>
              </c:ext>
            </c:extLst>
          </c:dPt>
          <c:dPt>
            <c:idx val="3"/>
            <c:bubble3D val="0"/>
            <c:spPr>
              <a:solidFill>
                <a:schemeClr val="accent4"/>
              </a:solidFill>
              <a:ln w="19050">
                <a:solidFill>
                  <a:schemeClr val="lt1"/>
                </a:solidFill>
              </a:ln>
              <a:effectLst/>
              <a:scene3d>
                <a:camera prst="orthographicFront"/>
                <a:lightRig rig="threePt" dir="t"/>
              </a:scene3d>
              <a:sp3d>
                <a:bevelT/>
              </a:sp3d>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7-207F-4283-876B-54A27B9515CB}"/>
              </c:ext>
            </c:extLst>
          </c:dPt>
          <c:dPt>
            <c:idx val="4"/>
            <c:bubble3D val="0"/>
            <c:spPr>
              <a:solidFill>
                <a:schemeClr val="accent5"/>
              </a:solidFill>
              <a:ln w="19050">
                <a:solidFill>
                  <a:schemeClr val="lt1"/>
                </a:solidFill>
              </a:ln>
              <a:effectLst/>
              <a:scene3d>
                <a:camera prst="orthographicFront"/>
                <a:lightRig rig="threePt" dir="t"/>
              </a:scene3d>
              <a:sp3d>
                <a:bevelT/>
              </a:sp3d>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9-207F-4283-876B-54A27B9515CB}"/>
              </c:ext>
            </c:extLst>
          </c:dPt>
          <c:dLbls>
            <c:dLbl>
              <c:idx val="0"/>
              <c:layout>
                <c:manualLayout>
                  <c:x val="-9.3682924507759932E-2"/>
                  <c:y val="-7.098682758113179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layout>
                    <c:manualLayout>
                      <c:w val="7.7213336410444949E-2"/>
                      <c:h val="0.14266833468246376"/>
                    </c:manualLayout>
                  </c15:layout>
                </c:ext>
                <c:ext xmlns:c16="http://schemas.microsoft.com/office/drawing/2014/chart" uri="{C3380CC4-5D6E-409C-BE32-E72D297353CC}">
                  <c16:uniqueId val="{00000001-207F-4283-876B-54A27B9515CB}"/>
                </c:ext>
              </c:extLst>
            </c:dLbl>
            <c:dLbl>
              <c:idx val="1"/>
              <c:layout>
                <c:manualLayout>
                  <c:x val="0.10022001639544351"/>
                  <c:y val="-4.7808676637889576E-2"/>
                </c:manualLayout>
              </c:layout>
              <c:showLegendKey val="0"/>
              <c:showVal val="0"/>
              <c:showCatName val="0"/>
              <c:showSerName val="0"/>
              <c:showPercent val="1"/>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3-207F-4283-876B-54A27B9515CB}"/>
                </c:ext>
              </c:extLst>
            </c:dLbl>
            <c:dLbl>
              <c:idx val="2"/>
              <c:layout>
                <c:manualLayout>
                  <c:x val="0.13924946585817691"/>
                  <c:y val="5.576585019902165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layout>
                    <c:manualLayout>
                      <c:w val="6.9061940091509511E-2"/>
                      <c:h val="0.11145195719475817"/>
                    </c:manualLayout>
                  </c15:layout>
                </c:ext>
                <c:ext xmlns:c16="http://schemas.microsoft.com/office/drawing/2014/chart" uri="{C3380CC4-5D6E-409C-BE32-E72D297353CC}">
                  <c16:uniqueId val="{00000005-207F-4283-876B-54A27B9515CB}"/>
                </c:ext>
              </c:extLst>
            </c:dLbl>
            <c:dLbl>
              <c:idx val="3"/>
              <c:layout>
                <c:manualLayout>
                  <c:x val="8.7450640180195577E-2"/>
                  <c:y val="0.11077162123895561"/>
                </c:manualLayout>
              </c:layout>
              <c:showLegendKey val="0"/>
              <c:showVal val="0"/>
              <c:showCatName val="0"/>
              <c:showSerName val="0"/>
              <c:showPercent val="1"/>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7-207F-4283-876B-54A27B9515CB}"/>
                </c:ext>
              </c:extLst>
            </c:dLbl>
            <c:dLbl>
              <c:idx val="4"/>
              <c:layout>
                <c:manualLayout>
                  <c:x val="3.7496725330809763E-2"/>
                  <c:y val="0.1340193543250642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layout>
                    <c:manualLayout>
                      <c:w val="4.0591228945499158E-2"/>
                      <c:h val="7.772234537114453E-2"/>
                    </c:manualLayout>
                  </c15:layout>
                </c:ext>
                <c:ext xmlns:c16="http://schemas.microsoft.com/office/drawing/2014/chart" uri="{C3380CC4-5D6E-409C-BE32-E72D297353CC}">
                  <c16:uniqueId val="{00000009-207F-4283-876B-54A27B9515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s>
          <c:cat>
            <c:strRef>
              <c:f>Sheet1!$E$6:$E$10</c:f>
              <c:strCache>
                <c:ptCount val="5"/>
                <c:pt idx="0">
                  <c:v>APSB</c:v>
                </c:pt>
                <c:pt idx="2">
                  <c:v>PROP.GENERAL</c:v>
                </c:pt>
                <c:pt idx="3">
                  <c:v>R.PROPIOS</c:v>
                </c:pt>
                <c:pt idx="4">
                  <c:v>R.CAPITAL</c:v>
                </c:pt>
              </c:strCache>
            </c:strRef>
          </c:cat>
          <c:val>
            <c:numRef>
              <c:f>Sheet1!$F$6:$F$10</c:f>
              <c:numCache>
                <c:formatCode>General</c:formatCode>
                <c:ptCount val="5"/>
                <c:pt idx="0" formatCode="0%">
                  <c:v>0.6</c:v>
                </c:pt>
                <c:pt idx="2" formatCode="0%">
                  <c:v>0.1</c:v>
                </c:pt>
                <c:pt idx="3" formatCode="0%">
                  <c:v>0.28999999999999998</c:v>
                </c:pt>
                <c:pt idx="4" formatCode="0%">
                  <c:v>0.01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A-207F-4283-876B-54A27B9515CB}"/>
            </c:ext>
          </c:extLst>
        </c:ser>
        <c:dLbls>
          <c:showLegendKey val="0"/>
          <c:showVal val="0"/>
          <c:showCatName val="0"/>
          <c:showSerName val="0"/>
          <c:showPercent val="1"/>
          <c:showBubbleSize val="0"/>
          <c:showLeaderLines val="1"/>
        </c:dLbls>
        <c:firstSliceAng val="168"/>
        <c:holeSize val="50"/>
      </c:doughnutChart>
      <c:spPr>
        <a:noFill/>
        <a:ln w="25400">
          <a:noFill/>
        </a:ln>
        <a:effectLst/>
      </c:spPr>
    </c:plotArea>
    <c:legend>
      <c:legendPos val="l"/>
      <c:legendEntry>
        <c:idx val="1"/>
        <c:delete val="1"/>
      </c:legendEntry>
      <c:overlay val="0"/>
      <c:spPr>
        <a:noFill/>
        <a:ln>
          <a:noFill/>
        </a:ln>
        <a:effectLst>
          <a:outerShdw blurRad="50800" dist="63500" dir="5400000" algn="ctr" rotWithShape="0">
            <a:srgbClr val="000000">
              <a:alpha val="43137"/>
            </a:srgbClr>
          </a:outerShdw>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1">
          <a:alpha val="81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C01AB4B1-E716-4F47-A71E-1ADDEB1C8BDB}"/>
</file>

<file path=customXml/itemProps3.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4.xml><?xml version="1.0" encoding="utf-8"?>
<ds:datastoreItem xmlns:ds="http://schemas.openxmlformats.org/officeDocument/2006/customXml" ds:itemID="{A554BE27-79C5-4C1D-8E64-F3D7EA4193CC}">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A7C38FD6-4515-4700-B7FF-152128CDAD70}"/>
</file>

<file path=docProps/app.xml><?xml version="1.0" encoding="utf-8"?>
<Properties xmlns="http://schemas.openxmlformats.org/officeDocument/2006/extended-properties" xmlns:vt="http://schemas.openxmlformats.org/officeDocument/2006/docPropsVTypes">
  <Template>Plantilla_Oficio_Comunicación_Oficial_Enviada</Template>
  <TotalTime>2</TotalTime>
  <Pages>61</Pages>
  <Words>18890</Words>
  <Characters>103900</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122545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2015-12-16T15:04:00Z</cp:lastPrinted>
  <dcterms:created xsi:type="dcterms:W3CDTF">2022-06-17T04:23:00Z</dcterms:created>
  <dcterms:modified xsi:type="dcterms:W3CDTF">2022-06-17T04:23:00Z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