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77AEF" w14:textId="77777777" w:rsidR="00273288" w:rsidRPr="00E33DE3" w:rsidRDefault="00273288" w:rsidP="00C65B25">
      <w:pPr>
        <w:pStyle w:val="Sinespaciado"/>
        <w:jc w:val="center"/>
        <w:rPr>
          <w:rFonts w:ascii="Verdana" w:hAnsi="Verdana" w:cs="Arial"/>
          <w:b/>
        </w:rPr>
      </w:pPr>
      <w:r w:rsidRPr="00E33DE3">
        <w:rPr>
          <w:rFonts w:ascii="Verdana" w:hAnsi="Verdana" w:cs="Arial"/>
          <w:b/>
        </w:rPr>
        <w:t>INFORME DE DIAGNÓSTICO INSTITUCIONAL</w:t>
      </w:r>
    </w:p>
    <w:p w14:paraId="67142340" w14:textId="77777777" w:rsidR="00273288" w:rsidRPr="00E33DE3" w:rsidRDefault="00273288" w:rsidP="00C65B25">
      <w:pPr>
        <w:jc w:val="center"/>
        <w:rPr>
          <w:rFonts w:ascii="Verdana" w:hAnsi="Verdana" w:cs="Arial"/>
          <w:b/>
          <w:bCs/>
          <w:sz w:val="22"/>
          <w:szCs w:val="22"/>
          <w:lang w:val="es-CO"/>
        </w:rPr>
      </w:pPr>
    </w:p>
    <w:tbl>
      <w:tblPr>
        <w:tblStyle w:val="Tablaconcuadrcula"/>
        <w:tblW w:w="8828" w:type="dxa"/>
        <w:tblBorders>
          <w:insideH w:val="single" w:sz="6" w:space="0" w:color="auto"/>
          <w:insideV w:val="single" w:sz="6" w:space="0" w:color="auto"/>
        </w:tblBorders>
        <w:shd w:val="clear" w:color="auto" w:fill="B48C41"/>
        <w:tblLook w:val="04A0" w:firstRow="1" w:lastRow="0" w:firstColumn="1" w:lastColumn="0" w:noHBand="0" w:noVBand="1"/>
      </w:tblPr>
      <w:tblGrid>
        <w:gridCol w:w="2940"/>
        <w:gridCol w:w="5888"/>
      </w:tblGrid>
      <w:tr w:rsidR="00273288" w:rsidRPr="00E33DE3" w14:paraId="2E262721" w14:textId="77777777" w:rsidTr="006E1508">
        <w:trPr>
          <w:trHeight w:val="258"/>
        </w:trPr>
        <w:tc>
          <w:tcPr>
            <w:tcW w:w="2940" w:type="dxa"/>
            <w:tcBorders>
              <w:top w:val="single" w:sz="4" w:space="0" w:color="auto"/>
              <w:left w:val="single" w:sz="4" w:space="0" w:color="auto"/>
              <w:bottom w:val="single" w:sz="6" w:space="0" w:color="auto"/>
              <w:right w:val="single" w:sz="6" w:space="0" w:color="auto"/>
            </w:tcBorders>
            <w:shd w:val="clear" w:color="auto" w:fill="FFC000"/>
            <w:hideMark/>
          </w:tcPr>
          <w:p w14:paraId="0A9934FB" w14:textId="77777777" w:rsidR="00273288" w:rsidRPr="00E33DE3" w:rsidRDefault="00273288" w:rsidP="00C65B25">
            <w:pPr>
              <w:pStyle w:val="NormalWeb"/>
              <w:spacing w:before="0" w:beforeAutospacing="0" w:after="0"/>
              <w:rPr>
                <w:rFonts w:ascii="Verdana" w:eastAsia="Verdana" w:hAnsi="Verdana" w:cs="Verdana"/>
                <w:i/>
                <w:iCs/>
                <w:sz w:val="22"/>
                <w:szCs w:val="22"/>
              </w:rPr>
            </w:pPr>
            <w:r w:rsidRPr="00E33DE3">
              <w:rPr>
                <w:rFonts w:ascii="Verdana" w:eastAsia="Verdana" w:hAnsi="Verdana" w:cs="Verdana"/>
                <w:i/>
                <w:iCs/>
                <w:sz w:val="22"/>
                <w:szCs w:val="22"/>
              </w:rPr>
              <w:t>Número de Expediente</w:t>
            </w:r>
          </w:p>
        </w:tc>
        <w:tc>
          <w:tcPr>
            <w:tcW w:w="5888" w:type="dxa"/>
            <w:tcBorders>
              <w:top w:val="single" w:sz="4" w:space="0" w:color="auto"/>
              <w:left w:val="single" w:sz="6" w:space="0" w:color="auto"/>
              <w:bottom w:val="single" w:sz="6" w:space="0" w:color="auto"/>
              <w:right w:val="single" w:sz="4" w:space="0" w:color="auto"/>
            </w:tcBorders>
            <w:shd w:val="clear" w:color="auto" w:fill="FFC000"/>
            <w:hideMark/>
          </w:tcPr>
          <w:p w14:paraId="329235C9" w14:textId="77777777" w:rsidR="00273288" w:rsidRPr="00E33DE3" w:rsidRDefault="00273288" w:rsidP="00C65B25">
            <w:pPr>
              <w:pStyle w:val="NormalWeb"/>
              <w:spacing w:before="0" w:beforeAutospacing="0" w:after="0"/>
              <w:rPr>
                <w:rFonts w:ascii="Verdana" w:eastAsia="Verdana" w:hAnsi="Verdana" w:cs="Verdana"/>
                <w:b/>
                <w:bCs/>
                <w:sz w:val="22"/>
                <w:szCs w:val="22"/>
              </w:rPr>
            </w:pPr>
            <w:r w:rsidRPr="00E33DE3">
              <w:rPr>
                <w:rFonts w:ascii="Verdana" w:eastAsia="Verdana" w:hAnsi="Verdana" w:cs="Verdana"/>
                <w:b/>
                <w:bCs/>
                <w:sz w:val="22"/>
                <w:szCs w:val="22"/>
              </w:rPr>
              <w:t>12/2020/D028-PREDI</w:t>
            </w:r>
          </w:p>
        </w:tc>
      </w:tr>
      <w:tr w:rsidR="00273288" w:rsidRPr="00E33DE3" w14:paraId="61EDEA34" w14:textId="77777777" w:rsidTr="006E1508">
        <w:trPr>
          <w:trHeight w:val="244"/>
        </w:trPr>
        <w:tc>
          <w:tcPr>
            <w:tcW w:w="2940" w:type="dxa"/>
            <w:tcBorders>
              <w:top w:val="single" w:sz="6" w:space="0" w:color="auto"/>
              <w:left w:val="single" w:sz="4" w:space="0" w:color="auto"/>
              <w:bottom w:val="single" w:sz="6" w:space="0" w:color="auto"/>
              <w:right w:val="single" w:sz="6" w:space="0" w:color="auto"/>
            </w:tcBorders>
            <w:shd w:val="clear" w:color="auto" w:fill="FFC000"/>
            <w:hideMark/>
          </w:tcPr>
          <w:p w14:paraId="08B7DEEE" w14:textId="77777777" w:rsidR="00273288" w:rsidRPr="00E33DE3" w:rsidRDefault="00273288" w:rsidP="00C65B25">
            <w:pPr>
              <w:pStyle w:val="NormalWeb"/>
              <w:spacing w:before="0" w:beforeAutospacing="0" w:after="0"/>
              <w:rPr>
                <w:rFonts w:ascii="Verdana" w:eastAsia="Verdana" w:hAnsi="Verdana" w:cs="Verdana"/>
                <w:i/>
                <w:iCs/>
                <w:sz w:val="22"/>
                <w:szCs w:val="22"/>
              </w:rPr>
            </w:pPr>
            <w:r w:rsidRPr="00E33DE3">
              <w:rPr>
                <w:rFonts w:ascii="Verdana" w:eastAsia="Verdana" w:hAnsi="Verdana" w:cs="Verdana"/>
                <w:i/>
                <w:iCs/>
                <w:sz w:val="22"/>
                <w:szCs w:val="22"/>
              </w:rPr>
              <w:t>Sector</w:t>
            </w:r>
          </w:p>
        </w:tc>
        <w:tc>
          <w:tcPr>
            <w:tcW w:w="5888" w:type="dxa"/>
            <w:tcBorders>
              <w:top w:val="single" w:sz="6" w:space="0" w:color="auto"/>
              <w:left w:val="single" w:sz="6" w:space="0" w:color="auto"/>
              <w:bottom w:val="single" w:sz="6" w:space="0" w:color="auto"/>
              <w:right w:val="single" w:sz="4" w:space="0" w:color="auto"/>
            </w:tcBorders>
            <w:shd w:val="clear" w:color="auto" w:fill="FFC000"/>
            <w:hideMark/>
          </w:tcPr>
          <w:p w14:paraId="10EFFDF2" w14:textId="77777777" w:rsidR="00273288" w:rsidRPr="00E33DE3" w:rsidRDefault="00273288" w:rsidP="00C65B25">
            <w:pPr>
              <w:pStyle w:val="NormalWeb"/>
              <w:spacing w:before="0" w:beforeAutospacing="0" w:after="0"/>
              <w:rPr>
                <w:rFonts w:ascii="Verdana" w:eastAsia="Verdana" w:hAnsi="Verdana" w:cs="Verdana"/>
                <w:b/>
                <w:bCs/>
                <w:sz w:val="22"/>
                <w:szCs w:val="22"/>
              </w:rPr>
            </w:pPr>
            <w:r w:rsidRPr="00E33DE3">
              <w:rPr>
                <w:rFonts w:ascii="Verdana" w:eastAsia="Verdana" w:hAnsi="Verdana" w:cs="Verdana"/>
                <w:b/>
                <w:bCs/>
                <w:sz w:val="22"/>
                <w:szCs w:val="22"/>
              </w:rPr>
              <w:t xml:space="preserve">Educación </w:t>
            </w:r>
          </w:p>
        </w:tc>
      </w:tr>
      <w:tr w:rsidR="00273288" w:rsidRPr="00E33DE3" w14:paraId="6999C81D" w14:textId="77777777" w:rsidTr="006E1508">
        <w:trPr>
          <w:trHeight w:val="232"/>
        </w:trPr>
        <w:tc>
          <w:tcPr>
            <w:tcW w:w="2940" w:type="dxa"/>
            <w:tcBorders>
              <w:top w:val="single" w:sz="6" w:space="0" w:color="auto"/>
              <w:left w:val="single" w:sz="4" w:space="0" w:color="auto"/>
              <w:bottom w:val="single" w:sz="6" w:space="0" w:color="auto"/>
              <w:right w:val="single" w:sz="6" w:space="0" w:color="auto"/>
            </w:tcBorders>
            <w:shd w:val="clear" w:color="auto" w:fill="FFC000"/>
            <w:hideMark/>
          </w:tcPr>
          <w:p w14:paraId="7F3EBD0E" w14:textId="77777777" w:rsidR="00273288" w:rsidRPr="00E33DE3" w:rsidRDefault="00273288" w:rsidP="00C65B25">
            <w:pPr>
              <w:pStyle w:val="NormalWeb"/>
              <w:spacing w:before="0" w:beforeAutospacing="0" w:after="0"/>
              <w:rPr>
                <w:rFonts w:ascii="Verdana" w:eastAsia="Verdana" w:hAnsi="Verdana" w:cs="Verdana"/>
                <w:i/>
                <w:iCs/>
                <w:sz w:val="22"/>
                <w:szCs w:val="22"/>
              </w:rPr>
            </w:pPr>
            <w:r w:rsidRPr="00E33DE3">
              <w:rPr>
                <w:rFonts w:ascii="Verdana" w:eastAsia="Verdana" w:hAnsi="Verdana" w:cs="Verdana"/>
                <w:i/>
                <w:iCs/>
                <w:sz w:val="22"/>
                <w:szCs w:val="22"/>
              </w:rPr>
              <w:t>Tipo de Entidad</w:t>
            </w:r>
          </w:p>
        </w:tc>
        <w:tc>
          <w:tcPr>
            <w:tcW w:w="5888" w:type="dxa"/>
            <w:tcBorders>
              <w:top w:val="single" w:sz="6" w:space="0" w:color="auto"/>
              <w:left w:val="single" w:sz="6" w:space="0" w:color="auto"/>
              <w:bottom w:val="single" w:sz="6" w:space="0" w:color="auto"/>
              <w:right w:val="single" w:sz="4" w:space="0" w:color="auto"/>
            </w:tcBorders>
            <w:shd w:val="clear" w:color="auto" w:fill="FFC000"/>
            <w:hideMark/>
          </w:tcPr>
          <w:p w14:paraId="24E7BF11" w14:textId="77777777" w:rsidR="00273288" w:rsidRPr="00E33DE3" w:rsidRDefault="00273288" w:rsidP="00C65B25">
            <w:pPr>
              <w:jc w:val="both"/>
              <w:rPr>
                <w:rFonts w:ascii="Verdana" w:eastAsia="Verdana" w:hAnsi="Verdana" w:cs="Verdana"/>
                <w:b/>
                <w:bCs/>
                <w:sz w:val="22"/>
                <w:szCs w:val="22"/>
              </w:rPr>
            </w:pPr>
            <w:r w:rsidRPr="00E33DE3">
              <w:rPr>
                <w:rFonts w:ascii="Verdana" w:eastAsia="Verdana" w:hAnsi="Verdana" w:cs="Verdana"/>
                <w:b/>
                <w:bCs/>
                <w:sz w:val="22"/>
                <w:szCs w:val="22"/>
              </w:rPr>
              <w:t>Municipio</w:t>
            </w:r>
          </w:p>
        </w:tc>
      </w:tr>
      <w:tr w:rsidR="00273288" w:rsidRPr="00E33DE3" w14:paraId="41F1863F" w14:textId="77777777" w:rsidTr="006E1508">
        <w:trPr>
          <w:trHeight w:val="232"/>
        </w:trPr>
        <w:tc>
          <w:tcPr>
            <w:tcW w:w="2940" w:type="dxa"/>
            <w:tcBorders>
              <w:top w:val="single" w:sz="6" w:space="0" w:color="auto"/>
              <w:left w:val="single" w:sz="4" w:space="0" w:color="auto"/>
              <w:bottom w:val="single" w:sz="4" w:space="0" w:color="auto"/>
              <w:right w:val="single" w:sz="6" w:space="0" w:color="auto"/>
            </w:tcBorders>
            <w:shd w:val="clear" w:color="auto" w:fill="FFC000"/>
            <w:hideMark/>
          </w:tcPr>
          <w:p w14:paraId="4B9EF1AD" w14:textId="77777777" w:rsidR="00273288" w:rsidRPr="00E33DE3" w:rsidRDefault="00273288" w:rsidP="00C65B25">
            <w:pPr>
              <w:pStyle w:val="NormalWeb"/>
              <w:spacing w:before="0" w:beforeAutospacing="0" w:after="0"/>
              <w:rPr>
                <w:rFonts w:ascii="Verdana" w:eastAsia="Verdana" w:hAnsi="Verdana" w:cs="Verdana"/>
                <w:i/>
                <w:iCs/>
                <w:sz w:val="22"/>
                <w:szCs w:val="22"/>
              </w:rPr>
            </w:pPr>
            <w:r w:rsidRPr="00E33DE3">
              <w:rPr>
                <w:rFonts w:ascii="Verdana" w:eastAsia="Verdana" w:hAnsi="Verdana" w:cs="Verdana"/>
                <w:i/>
                <w:iCs/>
                <w:sz w:val="22"/>
                <w:szCs w:val="22"/>
              </w:rPr>
              <w:t>Entidad</w:t>
            </w:r>
          </w:p>
        </w:tc>
        <w:tc>
          <w:tcPr>
            <w:tcW w:w="5888" w:type="dxa"/>
            <w:tcBorders>
              <w:top w:val="single" w:sz="6" w:space="0" w:color="auto"/>
              <w:left w:val="single" w:sz="6" w:space="0" w:color="auto"/>
              <w:bottom w:val="single" w:sz="4" w:space="0" w:color="auto"/>
              <w:right w:val="single" w:sz="4" w:space="0" w:color="auto"/>
            </w:tcBorders>
            <w:shd w:val="clear" w:color="auto" w:fill="FFC000"/>
            <w:hideMark/>
          </w:tcPr>
          <w:p w14:paraId="2BAA5E54" w14:textId="77777777" w:rsidR="00273288" w:rsidRPr="00E33DE3" w:rsidRDefault="00273288" w:rsidP="00C65B25">
            <w:pPr>
              <w:jc w:val="both"/>
              <w:rPr>
                <w:rFonts w:ascii="Verdana" w:eastAsia="Verdana" w:hAnsi="Verdana" w:cs="Verdana"/>
                <w:b/>
                <w:bCs/>
                <w:sz w:val="22"/>
                <w:szCs w:val="22"/>
              </w:rPr>
            </w:pPr>
            <w:r w:rsidRPr="00E33DE3">
              <w:rPr>
                <w:rFonts w:ascii="Verdana" w:eastAsia="Verdana" w:hAnsi="Verdana" w:cs="Verdana"/>
                <w:b/>
                <w:bCs/>
                <w:sz w:val="22"/>
                <w:szCs w:val="22"/>
              </w:rPr>
              <w:t>Pasto</w:t>
            </w:r>
          </w:p>
        </w:tc>
      </w:tr>
    </w:tbl>
    <w:p w14:paraId="69B7EE89" w14:textId="77777777" w:rsidR="00273288" w:rsidRPr="00E33DE3" w:rsidRDefault="00273288" w:rsidP="00C65B25">
      <w:pPr>
        <w:jc w:val="both"/>
        <w:rPr>
          <w:rFonts w:ascii="Verdana" w:hAnsi="Verdana" w:cs="Arial"/>
          <w:b/>
          <w:color w:val="B8000D"/>
          <w:sz w:val="22"/>
          <w:szCs w:val="22"/>
          <w:shd w:val="clear" w:color="auto" w:fill="FFFF00"/>
          <w:lang w:val="es-CO"/>
        </w:rPr>
      </w:pPr>
    </w:p>
    <w:p w14:paraId="5046DAD4" w14:textId="77777777" w:rsidR="00273288" w:rsidRPr="00E33DE3" w:rsidRDefault="00273288" w:rsidP="00C65B25">
      <w:pPr>
        <w:pStyle w:val="Ttulo1"/>
        <w:numPr>
          <w:ilvl w:val="0"/>
          <w:numId w:val="1"/>
        </w:numPr>
        <w:spacing w:before="0"/>
        <w:ind w:left="426" w:hanging="426"/>
        <w:rPr>
          <w:rFonts w:ascii="Verdana" w:hAnsi="Verdana" w:cs="Arial"/>
          <w:szCs w:val="22"/>
        </w:rPr>
      </w:pPr>
      <w:r w:rsidRPr="00E33DE3">
        <w:rPr>
          <w:rFonts w:ascii="Verdana" w:hAnsi="Verdana" w:cs="Arial"/>
          <w:szCs w:val="22"/>
        </w:rPr>
        <w:t xml:space="preserve">ANTECEDENTES </w:t>
      </w:r>
    </w:p>
    <w:p w14:paraId="4945E7C8" w14:textId="77777777" w:rsidR="00273288" w:rsidRPr="00E33DE3" w:rsidRDefault="00273288" w:rsidP="00C65B25">
      <w:pPr>
        <w:rPr>
          <w:rFonts w:ascii="Verdana" w:hAnsi="Verdana"/>
          <w:sz w:val="22"/>
          <w:szCs w:val="22"/>
        </w:rPr>
      </w:pPr>
    </w:p>
    <w:p w14:paraId="19D9CBA9" w14:textId="77777777" w:rsidR="00273288" w:rsidRPr="00E33DE3" w:rsidRDefault="00273288" w:rsidP="00C65B25">
      <w:pPr>
        <w:autoSpaceDE w:val="0"/>
        <w:autoSpaceDN w:val="0"/>
        <w:adjustRightInd w:val="0"/>
        <w:jc w:val="both"/>
        <w:rPr>
          <w:rFonts w:ascii="Verdana" w:eastAsia="Times New Roman" w:hAnsi="Verdana" w:cs="Arial"/>
          <w:sz w:val="22"/>
          <w:szCs w:val="22"/>
        </w:rPr>
      </w:pPr>
      <w:r w:rsidRPr="00E33DE3">
        <w:rPr>
          <w:rFonts w:ascii="Verdana" w:eastAsia="Times New Roman" w:hAnsi="Verdana" w:cs="Arial"/>
          <w:sz w:val="22"/>
          <w:szCs w:val="22"/>
        </w:rPr>
        <w:t xml:space="preserve">El Municipio de Pasto fue priorizado para aplicar las actividades de seguimiento y control al uso de los recursos del Sistema General de participaciones, incluidas en la estrategia a la que se refiere el Decreto 028 de 2008, siguiendo las recomendaciones contenidas en el oficio enviado por el Ministerio de Educación Nacional a esta dirección el 26 de septiembre del 2019 mediante radicado 1-2019-089720. En éste se envía un listado de diez (10) Entidades Territoriales certificadas que excedieron el porcentaje máximo de gasto administrativo reconocido a través del Documento de Distribución 024 de 2018 y de cinco (5) Entidades Territoriales certificadas con inconsistencias en el reporte de información financiera al Formulario Único Territorial — FUT, encontrándose el Municipio de San Juan de Pasto dentro del primer grupo de entidades. </w:t>
      </w:r>
    </w:p>
    <w:p w14:paraId="5366CA5D" w14:textId="77777777" w:rsidR="00273288" w:rsidRPr="00E33DE3" w:rsidRDefault="00273288" w:rsidP="00C65B25">
      <w:pPr>
        <w:autoSpaceDE w:val="0"/>
        <w:autoSpaceDN w:val="0"/>
        <w:adjustRightInd w:val="0"/>
        <w:jc w:val="both"/>
        <w:rPr>
          <w:rFonts w:ascii="Verdana" w:eastAsia="Times New Roman" w:hAnsi="Verdana" w:cs="Arial"/>
          <w:sz w:val="22"/>
          <w:szCs w:val="22"/>
          <w:lang w:val="es-ES_tradnl"/>
        </w:rPr>
      </w:pPr>
    </w:p>
    <w:p w14:paraId="296E45ED" w14:textId="77777777" w:rsidR="00273288" w:rsidRPr="00E33DE3" w:rsidRDefault="00273288" w:rsidP="00C65B25">
      <w:pPr>
        <w:autoSpaceDE w:val="0"/>
        <w:autoSpaceDN w:val="0"/>
        <w:adjustRightInd w:val="0"/>
        <w:jc w:val="both"/>
        <w:rPr>
          <w:rFonts w:ascii="Verdana" w:eastAsia="Times New Roman" w:hAnsi="Verdana" w:cs="Arial"/>
          <w:sz w:val="22"/>
          <w:szCs w:val="22"/>
          <w:lang w:val="es-ES_tradnl"/>
        </w:rPr>
      </w:pPr>
      <w:r w:rsidRPr="00E33DE3">
        <w:rPr>
          <w:rFonts w:ascii="Verdana" w:eastAsia="Times New Roman" w:hAnsi="Verdana" w:cs="Arial"/>
          <w:sz w:val="22"/>
          <w:szCs w:val="22"/>
          <w:lang w:val="es-ES_tradnl"/>
        </w:rPr>
        <w:t>Así, la Dirección General de Apoyo Fiscal del Ministerio de Hacienda y Crédito Público expidió la Resolución No. 4278 del 20 de noviembre de 2019, mediante la cual adoptó de manera cautelar la Medida Correctiva de Suspensión de Giros de los recursos correspondientes a la asignación para Calidad Matrícula Oficial de la Participación de Educación del Sistema General de Participaciones al Municipio de Pasto - Nariño, con la finalidad de superar los eventos de riesgo identificados y procurar por el cumplimiento de las metas de continuidad, cobertura y calidad en la prestación de los servicios a su cargo.</w:t>
      </w:r>
    </w:p>
    <w:p w14:paraId="067D5D68" w14:textId="77777777" w:rsidR="00273288" w:rsidRPr="00E33DE3" w:rsidRDefault="00273288" w:rsidP="00C65B25">
      <w:pPr>
        <w:autoSpaceDE w:val="0"/>
        <w:autoSpaceDN w:val="0"/>
        <w:adjustRightInd w:val="0"/>
        <w:jc w:val="both"/>
        <w:rPr>
          <w:rFonts w:ascii="Verdana" w:eastAsia="Times New Roman" w:hAnsi="Verdana" w:cs="Arial"/>
          <w:sz w:val="22"/>
          <w:szCs w:val="22"/>
          <w:lang w:val="es-ES_tradnl"/>
        </w:rPr>
      </w:pPr>
    </w:p>
    <w:p w14:paraId="12751D20" w14:textId="77777777" w:rsidR="00273288" w:rsidRPr="00E33DE3" w:rsidRDefault="00273288" w:rsidP="00C65B25">
      <w:pPr>
        <w:autoSpaceDE w:val="0"/>
        <w:autoSpaceDN w:val="0"/>
        <w:adjustRightInd w:val="0"/>
        <w:jc w:val="both"/>
        <w:rPr>
          <w:rFonts w:ascii="Verdana" w:eastAsia="Times New Roman" w:hAnsi="Verdana" w:cs="Arial"/>
          <w:i/>
          <w:iCs/>
          <w:sz w:val="22"/>
          <w:szCs w:val="22"/>
        </w:rPr>
      </w:pPr>
      <w:r w:rsidRPr="00E33DE3">
        <w:rPr>
          <w:rFonts w:ascii="Verdana" w:eastAsia="Times New Roman" w:hAnsi="Verdana" w:cs="Arial"/>
          <w:sz w:val="22"/>
          <w:szCs w:val="22"/>
        </w:rPr>
        <w:t xml:space="preserve">Una vez evidenciado el cumplimiento por parte del Municipio de Pasto de las actividades definidas como necesarias para el levantamiento de la medida correctiva adoptada, este despacho expidió la Resolución 0628 del 21 de febrero del 2020, </w:t>
      </w:r>
      <w:r w:rsidRPr="00E33DE3">
        <w:rPr>
          <w:rFonts w:ascii="Verdana" w:eastAsia="Times New Roman" w:hAnsi="Verdana" w:cs="Arial"/>
          <w:i/>
          <w:iCs/>
          <w:sz w:val="22"/>
          <w:szCs w:val="22"/>
        </w:rPr>
        <w:t>“Por la cual se efectúa la terminación de la actuación administrativa y levantamiento de la Medida Correctiva de Suspensión de Giros de los recursos correspondientes a asignación para Calidad Matrícula Oficial de la Participación de Educación del Sistema General Participaciones adoptada al Municipio de Pasto - Nariño mediante Resolución No. 4278 del 20 de noviembre de 2019 de acuerdo con lo previsto en el artículo 2.6:3.4.2.12. del Decreto 1068 de 2015".</w:t>
      </w:r>
    </w:p>
    <w:p w14:paraId="31EB0CE6" w14:textId="77777777" w:rsidR="00273288" w:rsidRPr="00E33DE3" w:rsidRDefault="00273288" w:rsidP="00C65B25">
      <w:pPr>
        <w:autoSpaceDE w:val="0"/>
        <w:autoSpaceDN w:val="0"/>
        <w:adjustRightInd w:val="0"/>
        <w:jc w:val="both"/>
        <w:rPr>
          <w:rFonts w:ascii="Verdana" w:eastAsia="Times New Roman" w:hAnsi="Verdana" w:cs="Arial"/>
          <w:sz w:val="22"/>
          <w:szCs w:val="22"/>
          <w:lang w:val="es-ES_tradnl"/>
        </w:rPr>
      </w:pPr>
    </w:p>
    <w:p w14:paraId="215A96D8" w14:textId="77777777" w:rsidR="00273288" w:rsidRPr="00E33DE3" w:rsidRDefault="00273288" w:rsidP="00C65B25">
      <w:pPr>
        <w:autoSpaceDE w:val="0"/>
        <w:autoSpaceDN w:val="0"/>
        <w:adjustRightInd w:val="0"/>
        <w:jc w:val="both"/>
        <w:rPr>
          <w:rFonts w:ascii="Verdana" w:eastAsia="Times New Roman" w:hAnsi="Verdana" w:cs="Arial"/>
          <w:sz w:val="22"/>
          <w:szCs w:val="22"/>
        </w:rPr>
      </w:pPr>
      <w:r w:rsidRPr="00E33DE3">
        <w:rPr>
          <w:rFonts w:ascii="Verdana" w:eastAsia="Times New Roman" w:hAnsi="Verdana" w:cs="Arial"/>
          <w:sz w:val="22"/>
          <w:szCs w:val="22"/>
        </w:rPr>
        <w:t>No obstante, el 20 de agosto del 2019 el Ministerio de Educación Nacional envió oficio con radicado No. 1-2019-076864, en el cual informó que el Municipio de Pasto presentaba posibles eventos de riesgo (estipulados en el artículo 9 del decreto 028 del 2008) sobre los recursos del SGP Sector – Educación, adicionales al objeto de adopción de la medida correctiva de suspensión de giros descrita.</w:t>
      </w:r>
    </w:p>
    <w:p w14:paraId="2B59944B" w14:textId="77777777" w:rsidR="00273288" w:rsidRPr="00E33DE3" w:rsidRDefault="00273288" w:rsidP="00C65B25">
      <w:pPr>
        <w:autoSpaceDE w:val="0"/>
        <w:autoSpaceDN w:val="0"/>
        <w:adjustRightInd w:val="0"/>
        <w:jc w:val="both"/>
        <w:rPr>
          <w:rFonts w:ascii="Verdana" w:eastAsia="Times New Roman" w:hAnsi="Verdana" w:cs="Arial"/>
          <w:sz w:val="22"/>
          <w:szCs w:val="22"/>
          <w:lang w:val="es-ES_tradnl"/>
        </w:rPr>
      </w:pPr>
    </w:p>
    <w:p w14:paraId="269AC116" w14:textId="77777777" w:rsidR="00273288" w:rsidRPr="00E33DE3" w:rsidRDefault="00273288" w:rsidP="00C65B25">
      <w:pPr>
        <w:autoSpaceDE w:val="0"/>
        <w:autoSpaceDN w:val="0"/>
        <w:adjustRightInd w:val="0"/>
        <w:jc w:val="both"/>
        <w:rPr>
          <w:rFonts w:ascii="Verdana" w:eastAsia="Times New Roman" w:hAnsi="Verdana" w:cs="Arial"/>
          <w:sz w:val="22"/>
          <w:szCs w:val="22"/>
        </w:rPr>
      </w:pPr>
      <w:r w:rsidRPr="00E33DE3">
        <w:rPr>
          <w:rFonts w:ascii="Verdana" w:eastAsia="Times New Roman" w:hAnsi="Verdana" w:cs="Arial"/>
          <w:sz w:val="22"/>
          <w:szCs w:val="22"/>
        </w:rPr>
        <w:t xml:space="preserve">La Dirección General de Apoyo Fiscal, con base en sus criterios de priorización determinó el inicio de las actividades de seguimiento y control a su cargo en dicho Municipio y mediante oficio con radicado 2-2020-016932 del 4 de mayo del 2020 solicitó la información básica para recolección de antecedentes de la Entidad Territorial conducente a preparar la visita de reconocimiento institucional respectiva. Sin embargo, debido a que algunos documentos solicitados no fueron enviados y/o no correspondían a los requeridos, la solicitud de información tuvo que ser reiterada en dos ocasiones: el 12 de junio con el número de radicado 2-2020-025444 y el 4 de agosto del mismo año con el número de radicado 2-2020-036199. Finalmente, la Entidad Territorial allegó la documentación solicitada mediante radicados números 1-2020-046407del 3 de junio del 2020 y 1-2020-076693 del 26 de agosto del 2020. </w:t>
      </w:r>
    </w:p>
    <w:p w14:paraId="19EE398B" w14:textId="77777777" w:rsidR="00273288" w:rsidRPr="00E33DE3" w:rsidRDefault="00273288" w:rsidP="00C65B25">
      <w:pPr>
        <w:autoSpaceDE w:val="0"/>
        <w:autoSpaceDN w:val="0"/>
        <w:adjustRightInd w:val="0"/>
        <w:jc w:val="both"/>
        <w:rPr>
          <w:rFonts w:ascii="Verdana" w:eastAsia="Times New Roman" w:hAnsi="Verdana" w:cs="Arial"/>
          <w:sz w:val="22"/>
          <w:szCs w:val="22"/>
        </w:rPr>
      </w:pPr>
    </w:p>
    <w:p w14:paraId="63224716" w14:textId="77777777" w:rsidR="00273288" w:rsidRPr="00E33DE3" w:rsidRDefault="00273288" w:rsidP="00C65B25">
      <w:pPr>
        <w:autoSpaceDE w:val="0"/>
        <w:autoSpaceDN w:val="0"/>
        <w:adjustRightInd w:val="0"/>
        <w:jc w:val="both"/>
        <w:rPr>
          <w:rFonts w:ascii="Verdana" w:eastAsia="Times New Roman" w:hAnsi="Verdana" w:cs="Arial"/>
          <w:sz w:val="22"/>
          <w:szCs w:val="22"/>
        </w:rPr>
      </w:pPr>
      <w:r w:rsidRPr="00E33DE3">
        <w:rPr>
          <w:rFonts w:ascii="Verdana" w:eastAsia="Times New Roman" w:hAnsi="Verdana" w:cs="Arial"/>
          <w:sz w:val="22"/>
          <w:szCs w:val="22"/>
        </w:rPr>
        <w:t xml:space="preserve">El análisis de la información solicitada permitió detectar debilidades administrativas en los siguientes aspectos: inconsistencias en la información reportada en FUT, SIMAT y DUE; cambio en la destinación de recursos; inadecuado uso de los excedentes del SGP-Educación; falta de ejecución total de los recursos de conectividad y NEE; entrega extemporánea de la dotación; omisión de la distribución de la planta de personal; distribución de la planta sin aplicación de los parámetros técnicos; incumplimiento en la calidad de los reportes de los contratos en el SECOP; riesgo de contrato laboral; procesos contractuales que no cumplen con el calendario académico; debilidades en los procesos de supervisión e interventoría; cláusulas contractuales que vulneran la normatividad; contratación superando el valor de la tipología; ineficiencia en el uso de los recursos públicos y deudas laborales. </w:t>
      </w:r>
    </w:p>
    <w:p w14:paraId="350DFCAC" w14:textId="77777777" w:rsidR="00273288" w:rsidRPr="00E33DE3" w:rsidRDefault="00273288" w:rsidP="00C65B25">
      <w:pPr>
        <w:autoSpaceDE w:val="0"/>
        <w:autoSpaceDN w:val="0"/>
        <w:adjustRightInd w:val="0"/>
        <w:jc w:val="both"/>
        <w:rPr>
          <w:rFonts w:ascii="Verdana" w:eastAsia="Times New Roman" w:hAnsi="Verdana" w:cs="Arial"/>
          <w:sz w:val="22"/>
          <w:szCs w:val="22"/>
        </w:rPr>
      </w:pPr>
    </w:p>
    <w:p w14:paraId="74A3189D" w14:textId="77777777" w:rsidR="00273288" w:rsidRPr="00E33DE3" w:rsidRDefault="00273288" w:rsidP="00C65B25">
      <w:pPr>
        <w:jc w:val="both"/>
        <w:rPr>
          <w:rFonts w:ascii="Verdana" w:eastAsia="Times New Roman" w:hAnsi="Verdana" w:cs="Arial"/>
          <w:sz w:val="22"/>
          <w:szCs w:val="22"/>
        </w:rPr>
      </w:pPr>
      <w:r w:rsidRPr="00E33DE3">
        <w:rPr>
          <w:rFonts w:ascii="Verdana" w:eastAsia="Times New Roman" w:hAnsi="Verdana" w:cs="Arial"/>
          <w:sz w:val="22"/>
          <w:szCs w:val="22"/>
        </w:rPr>
        <w:t>Ahora bien, producto de la declaratoria pandemia por el Coronavirus COVID-19 y en virtud del artículo 6 del Decreto 491 de 2020, la Dirección General de Apoyo Fiscal determinó la necesidad de tomar medidas extraordinarias y urgentes relacionadas con los términos de vigencia de las Medidas Preventivas de Plan de Desempeño adoptadas y vigentes en ese momento, por lo cual entre abril de 2020 y febrero de 2021 se suspendió el término de la vigencia de los planes de desempeño, período durante el cual la Dirección General de Apoyo Fiscal no realizó adopción, evaluación y seguimiento a las medidas.</w:t>
      </w:r>
    </w:p>
    <w:p w14:paraId="2FF43FD7" w14:textId="77777777" w:rsidR="00273288" w:rsidRPr="00E33DE3" w:rsidRDefault="00273288" w:rsidP="00C65B25">
      <w:pPr>
        <w:jc w:val="both"/>
        <w:rPr>
          <w:rFonts w:ascii="Verdana" w:eastAsia="Times New Roman" w:hAnsi="Verdana" w:cs="Arial"/>
          <w:sz w:val="22"/>
          <w:szCs w:val="22"/>
        </w:rPr>
      </w:pPr>
    </w:p>
    <w:p w14:paraId="4841D7DF" w14:textId="77777777" w:rsidR="00273288" w:rsidRPr="00E33DE3" w:rsidRDefault="00273288" w:rsidP="00C65B25">
      <w:pPr>
        <w:autoSpaceDE w:val="0"/>
        <w:autoSpaceDN w:val="0"/>
        <w:adjustRightInd w:val="0"/>
        <w:jc w:val="both"/>
        <w:rPr>
          <w:rFonts w:ascii="Verdana" w:eastAsia="Times New Roman" w:hAnsi="Verdana" w:cs="Arial"/>
          <w:sz w:val="22"/>
          <w:szCs w:val="22"/>
        </w:rPr>
      </w:pPr>
      <w:r w:rsidRPr="00E33DE3">
        <w:rPr>
          <w:rFonts w:ascii="Verdana" w:eastAsia="Times New Roman" w:hAnsi="Verdana" w:cs="Arial"/>
          <w:sz w:val="22"/>
          <w:szCs w:val="22"/>
        </w:rPr>
        <w:t xml:space="preserve">Por lo anterior, el 10 de octubre de la vigencia 2022 esta Dirección solicitó información a la Entidad Territorial mediante radicado No. 2-2022-046148, con el objetivo de evaluar la prestación del servicio educativo en el municipio, verificando la continuidad o no de la problemática previamente descrita. Igualmente, se llevó a cabo una asistencia técnica virtual el día 21 de octubre del mismo año, en la cual se hizo una breve explicación de la estrategia de monitoreo, seguimiento y control al uso de los recursos del SGP y la razón de priorización de la Entidad Territorial en el sector educativo; también se resolvieron las dudas de la administración frente a la información solicitada. </w:t>
      </w:r>
    </w:p>
    <w:p w14:paraId="21036BC4" w14:textId="77777777" w:rsidR="00273288" w:rsidRPr="00E33DE3" w:rsidRDefault="00273288" w:rsidP="00C65B25">
      <w:pPr>
        <w:autoSpaceDE w:val="0"/>
        <w:autoSpaceDN w:val="0"/>
        <w:adjustRightInd w:val="0"/>
        <w:jc w:val="both"/>
        <w:rPr>
          <w:rFonts w:ascii="Verdana" w:eastAsia="Times New Roman" w:hAnsi="Verdana" w:cs="Arial"/>
          <w:sz w:val="22"/>
          <w:szCs w:val="22"/>
          <w:lang w:val="es-ES_tradnl"/>
        </w:rPr>
      </w:pPr>
    </w:p>
    <w:p w14:paraId="1B4A0B4F" w14:textId="77777777" w:rsidR="00273288" w:rsidRPr="00E33DE3" w:rsidRDefault="00273288" w:rsidP="00C65B25">
      <w:pPr>
        <w:autoSpaceDE w:val="0"/>
        <w:autoSpaceDN w:val="0"/>
        <w:adjustRightInd w:val="0"/>
        <w:jc w:val="both"/>
        <w:rPr>
          <w:rFonts w:ascii="Verdana" w:eastAsia="Times New Roman" w:hAnsi="Verdana" w:cs="Arial"/>
          <w:sz w:val="22"/>
          <w:szCs w:val="22"/>
          <w:lang w:val="es-ES_tradnl"/>
        </w:rPr>
      </w:pPr>
      <w:r w:rsidRPr="00E33DE3">
        <w:rPr>
          <w:rFonts w:ascii="Verdana" w:eastAsia="Times New Roman" w:hAnsi="Verdana" w:cs="Arial"/>
          <w:sz w:val="22"/>
          <w:szCs w:val="22"/>
          <w:lang w:val="es-ES_tradnl"/>
        </w:rPr>
        <w:t>Así, el Municipio de Pasto allegó la documentación requerida mediante los oficios con radicado No: 1-2022-093344, 1-2022-093362, 1-2022-093368, 1-2022-093372, 1-2022-093377, 1-2022-093390, 1-2022-093396, 1-2022-093405, 1-2022-093412, 1-2022-093419, 1-2022-093498 y 1-2023-024002, cuyo análisis se presenta a continuación.</w:t>
      </w:r>
    </w:p>
    <w:p w14:paraId="02A085A8" w14:textId="77777777" w:rsidR="006E1508" w:rsidRPr="00E33DE3" w:rsidRDefault="006E1508" w:rsidP="00C65B25">
      <w:pPr>
        <w:autoSpaceDE w:val="0"/>
        <w:autoSpaceDN w:val="0"/>
        <w:adjustRightInd w:val="0"/>
        <w:jc w:val="both"/>
        <w:rPr>
          <w:rFonts w:ascii="Verdana" w:eastAsia="Times New Roman" w:hAnsi="Verdana" w:cs="Arial"/>
          <w:sz w:val="22"/>
          <w:szCs w:val="22"/>
          <w:lang w:val="es-ES_tradnl"/>
        </w:rPr>
      </w:pPr>
    </w:p>
    <w:p w14:paraId="63343B19" w14:textId="77777777" w:rsidR="00273288" w:rsidRPr="00E33DE3" w:rsidRDefault="00273288" w:rsidP="00C65B25">
      <w:pPr>
        <w:pStyle w:val="Ttulo1"/>
        <w:numPr>
          <w:ilvl w:val="0"/>
          <w:numId w:val="1"/>
        </w:numPr>
        <w:spacing w:before="0"/>
        <w:ind w:left="426" w:hanging="426"/>
        <w:rPr>
          <w:rFonts w:ascii="Verdana" w:hAnsi="Verdana" w:cs="Arial"/>
          <w:bCs/>
          <w:szCs w:val="22"/>
        </w:rPr>
      </w:pPr>
      <w:r w:rsidRPr="00E33DE3">
        <w:rPr>
          <w:rFonts w:ascii="Verdana" w:hAnsi="Verdana" w:cs="Arial"/>
          <w:bCs/>
          <w:szCs w:val="22"/>
        </w:rPr>
        <w:t xml:space="preserve">CARACTERIZACIÓN </w:t>
      </w:r>
    </w:p>
    <w:p w14:paraId="65CC0958" w14:textId="77777777" w:rsidR="006E1508" w:rsidRPr="00E33DE3" w:rsidRDefault="006E1508" w:rsidP="00C65B25">
      <w:pPr>
        <w:rPr>
          <w:rFonts w:ascii="Verdana" w:hAnsi="Verdana"/>
        </w:rPr>
      </w:pPr>
    </w:p>
    <w:p w14:paraId="5F8F6EF3" w14:textId="77777777" w:rsidR="00273288" w:rsidRPr="00E33DE3" w:rsidRDefault="00273288" w:rsidP="00C65B25">
      <w:pPr>
        <w:jc w:val="center"/>
        <w:rPr>
          <w:rFonts w:ascii="Verdana" w:hAnsi="Verdana" w:cs="Arial"/>
          <w:b/>
          <w:sz w:val="22"/>
          <w:szCs w:val="22"/>
        </w:rPr>
      </w:pPr>
      <w:r w:rsidRPr="00E33DE3">
        <w:rPr>
          <w:rFonts w:ascii="Verdana" w:hAnsi="Verdana"/>
          <w:noProof/>
          <w:sz w:val="22"/>
          <w:szCs w:val="22"/>
        </w:rPr>
        <w:drawing>
          <wp:inline distT="0" distB="0" distL="0" distR="0" wp14:anchorId="5D508D9B" wp14:editId="7655547D">
            <wp:extent cx="5523946" cy="6153150"/>
            <wp:effectExtent l="0" t="0" r="635" b="0"/>
            <wp:docPr id="56071901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9097" cy="6158888"/>
                    </a:xfrm>
                    <a:prstGeom prst="rect">
                      <a:avLst/>
                    </a:prstGeom>
                    <a:noFill/>
                    <a:ln>
                      <a:noFill/>
                    </a:ln>
                  </pic:spPr>
                </pic:pic>
              </a:graphicData>
            </a:graphic>
          </wp:inline>
        </w:drawing>
      </w:r>
    </w:p>
    <w:p w14:paraId="1CA05565" w14:textId="77777777" w:rsidR="00273288" w:rsidRPr="00E33DE3" w:rsidRDefault="00273288" w:rsidP="00C65B25">
      <w:pPr>
        <w:pStyle w:val="Formatolibre"/>
        <w:rPr>
          <w:rFonts w:ascii="Verdana" w:eastAsia="Times New Roman" w:hAnsi="Verdana" w:cs="Arial"/>
          <w:color w:val="auto"/>
          <w:sz w:val="22"/>
          <w:szCs w:val="22"/>
          <w:vertAlign w:val="subscript"/>
          <w:lang w:val="es-MX" w:bidi="x-none"/>
        </w:rPr>
      </w:pPr>
    </w:p>
    <w:p w14:paraId="4DF8B37F" w14:textId="77777777" w:rsidR="00273288" w:rsidRPr="00E33DE3" w:rsidRDefault="00273288" w:rsidP="00C65B25">
      <w:pPr>
        <w:pStyle w:val="Ttulo1"/>
        <w:numPr>
          <w:ilvl w:val="0"/>
          <w:numId w:val="1"/>
        </w:numPr>
        <w:spacing w:before="0"/>
        <w:ind w:left="426" w:hanging="426"/>
        <w:rPr>
          <w:rFonts w:ascii="Verdana" w:hAnsi="Verdana" w:cs="Arial"/>
          <w:szCs w:val="22"/>
          <w:lang w:val="es-CO"/>
        </w:rPr>
      </w:pPr>
      <w:r w:rsidRPr="00E33DE3">
        <w:rPr>
          <w:rFonts w:ascii="Verdana" w:hAnsi="Verdana" w:cs="Arial"/>
          <w:szCs w:val="22"/>
          <w:lang w:val="es-CO"/>
        </w:rPr>
        <w:t>ANÁLISIS FINANCIERO Y COMPONENTE SECTORIAL.</w:t>
      </w:r>
    </w:p>
    <w:p w14:paraId="590AE4A1" w14:textId="77777777" w:rsidR="00273288" w:rsidRPr="00E33DE3" w:rsidRDefault="00273288" w:rsidP="00C65B25">
      <w:pPr>
        <w:rPr>
          <w:rFonts w:ascii="Verdana" w:hAnsi="Verdana"/>
          <w:sz w:val="22"/>
          <w:szCs w:val="22"/>
          <w:lang w:val="es-CO"/>
        </w:rPr>
      </w:pPr>
    </w:p>
    <w:p w14:paraId="11F1D7FF" w14:textId="77777777" w:rsidR="00273288" w:rsidRPr="00E33DE3" w:rsidRDefault="00273288" w:rsidP="00687D19">
      <w:pPr>
        <w:pStyle w:val="Ttulo2"/>
        <w:rPr>
          <w:rFonts w:ascii="Verdana" w:hAnsi="Verdana"/>
        </w:rPr>
      </w:pPr>
      <w:r w:rsidRPr="00E33DE3">
        <w:rPr>
          <w:rFonts w:ascii="Verdana" w:hAnsi="Verdana"/>
        </w:rPr>
        <w:t>Ingresos</w:t>
      </w:r>
    </w:p>
    <w:p w14:paraId="05F80D82" w14:textId="77777777" w:rsidR="00273288" w:rsidRPr="00E33DE3" w:rsidRDefault="00273288" w:rsidP="00C65B25">
      <w:pPr>
        <w:rPr>
          <w:rFonts w:ascii="Verdana" w:hAnsi="Verdana"/>
          <w:sz w:val="22"/>
          <w:szCs w:val="22"/>
          <w:lang w:val="es-CO"/>
        </w:rPr>
      </w:pPr>
    </w:p>
    <w:p w14:paraId="182AECBA" w14:textId="77777777" w:rsidR="00273288" w:rsidRPr="00E33DE3" w:rsidRDefault="00273288" w:rsidP="00C65B25">
      <w:pPr>
        <w:pStyle w:val="Textoindependiente"/>
        <w:spacing w:after="0"/>
        <w:jc w:val="both"/>
        <w:rPr>
          <w:rFonts w:ascii="Verdana" w:hAnsi="Verdana" w:cs="Arial"/>
          <w:sz w:val="22"/>
          <w:szCs w:val="22"/>
        </w:rPr>
      </w:pPr>
      <w:r w:rsidRPr="00E33DE3">
        <w:rPr>
          <w:rFonts w:ascii="Verdana" w:hAnsi="Verdana" w:cs="Arial"/>
          <w:sz w:val="22"/>
          <w:szCs w:val="22"/>
        </w:rPr>
        <w:t xml:space="preserve">En lo financiero, para la vigencia 2023 se le asignaron $250.221 millones al Municipio de Pasto del SGP-Educación, de los cuales la Entidad Territorial reportó en CUIPO haberlos recaudado en su totalidad. Sin embargo, si bien para la vigencia 2022 se asignó un total de $230.144 millones, la entidad señala haber recaudado $231.031 millones, es decir $887 millones más de lo asignado, los cuales pueden deberse a errores de reporte. Del total de ingresos recaudados en 2023, el 98,6% corresponde a ingresos corrientes y 1,34% a ingresos de capital. </w:t>
      </w:r>
    </w:p>
    <w:p w14:paraId="41C84D66" w14:textId="77777777" w:rsidR="004F0B82" w:rsidRPr="00E33DE3" w:rsidRDefault="004F0B82" w:rsidP="00C65B25">
      <w:pPr>
        <w:pStyle w:val="Textoindependiente"/>
        <w:spacing w:after="0"/>
        <w:jc w:val="both"/>
        <w:rPr>
          <w:rFonts w:ascii="Verdana" w:hAnsi="Verdana" w:cs="Arial"/>
          <w:sz w:val="22"/>
          <w:szCs w:val="22"/>
        </w:rPr>
      </w:pPr>
    </w:p>
    <w:tbl>
      <w:tblPr>
        <w:tblW w:w="0" w:type="auto"/>
        <w:jc w:val="center"/>
        <w:tblLayout w:type="fixed"/>
        <w:tblLook w:val="06A0" w:firstRow="1" w:lastRow="0" w:firstColumn="1" w:lastColumn="0" w:noHBand="1" w:noVBand="1"/>
      </w:tblPr>
      <w:tblGrid>
        <w:gridCol w:w="4301"/>
        <w:gridCol w:w="1425"/>
        <w:gridCol w:w="1635"/>
        <w:gridCol w:w="1280"/>
      </w:tblGrid>
      <w:tr w:rsidR="00273288" w:rsidRPr="00E33DE3" w14:paraId="1A5D5FB4" w14:textId="77777777" w:rsidTr="004F0B82">
        <w:trPr>
          <w:trHeight w:val="20"/>
          <w:jc w:val="center"/>
        </w:trPr>
        <w:tc>
          <w:tcPr>
            <w:tcW w:w="8641" w:type="dxa"/>
            <w:gridSpan w:val="4"/>
            <w:tcBorders>
              <w:top w:val="single" w:sz="8" w:space="0" w:color="auto"/>
              <w:left w:val="single" w:sz="8" w:space="0" w:color="auto"/>
              <w:bottom w:val="single" w:sz="4" w:space="0" w:color="auto"/>
              <w:right w:val="single" w:sz="4" w:space="0" w:color="auto"/>
            </w:tcBorders>
            <w:shd w:val="clear" w:color="auto" w:fill="B48C41"/>
            <w:tcMar>
              <w:top w:w="15" w:type="dxa"/>
              <w:left w:w="15" w:type="dxa"/>
              <w:bottom w:w="0" w:type="dxa"/>
              <w:right w:w="15" w:type="dxa"/>
            </w:tcMar>
            <w:vAlign w:val="center"/>
            <w:hideMark/>
          </w:tcPr>
          <w:p w14:paraId="3C4E13E0" w14:textId="77777777" w:rsidR="00273288" w:rsidRPr="00E33DE3" w:rsidRDefault="00273288" w:rsidP="00C65B25">
            <w:pPr>
              <w:jc w:val="center"/>
              <w:rPr>
                <w:rFonts w:ascii="Verdana" w:eastAsia="Arial" w:hAnsi="Verdana" w:cs="Arial"/>
                <w:b/>
                <w:bCs/>
                <w:color w:val="FFFFFF" w:themeColor="background1"/>
                <w:sz w:val="18"/>
                <w:szCs w:val="18"/>
              </w:rPr>
            </w:pPr>
            <w:r w:rsidRPr="00E33DE3">
              <w:rPr>
                <w:rFonts w:ascii="Verdana" w:eastAsia="Arial" w:hAnsi="Verdana" w:cs="Arial"/>
                <w:b/>
                <w:bCs/>
                <w:color w:val="FFFFFF" w:themeColor="background1"/>
                <w:sz w:val="18"/>
                <w:szCs w:val="18"/>
              </w:rPr>
              <w:t>TABLA 1. INGRESOS A DICIEMBRE DE 2021, 2022 Y 2023</w:t>
            </w:r>
          </w:p>
        </w:tc>
      </w:tr>
      <w:tr w:rsidR="00273288" w:rsidRPr="00E33DE3" w14:paraId="62582960" w14:textId="77777777" w:rsidTr="004F0B82">
        <w:trPr>
          <w:trHeight w:val="20"/>
          <w:jc w:val="center"/>
        </w:trPr>
        <w:tc>
          <w:tcPr>
            <w:tcW w:w="8641" w:type="dxa"/>
            <w:gridSpan w:val="4"/>
            <w:tcBorders>
              <w:top w:val="single" w:sz="4" w:space="0" w:color="auto"/>
              <w:left w:val="single" w:sz="8" w:space="0" w:color="auto"/>
              <w:bottom w:val="single" w:sz="4" w:space="0" w:color="auto"/>
              <w:right w:val="single" w:sz="4" w:space="0" w:color="auto"/>
            </w:tcBorders>
            <w:shd w:val="clear" w:color="auto" w:fill="B48C41"/>
            <w:tcMar>
              <w:top w:w="15" w:type="dxa"/>
              <w:left w:w="15" w:type="dxa"/>
              <w:bottom w:w="0" w:type="dxa"/>
              <w:right w:w="15" w:type="dxa"/>
            </w:tcMar>
            <w:vAlign w:val="center"/>
            <w:hideMark/>
          </w:tcPr>
          <w:p w14:paraId="0B2D4261"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b/>
                <w:bCs/>
                <w:color w:val="FFFFFF" w:themeColor="background1"/>
                <w:sz w:val="18"/>
                <w:szCs w:val="18"/>
              </w:rPr>
              <w:t>(MILLONES DE $)</w:t>
            </w:r>
            <w:r w:rsidRPr="00E33DE3">
              <w:rPr>
                <w:rFonts w:ascii="Verdana" w:eastAsia="Verdana" w:hAnsi="Verdana" w:cs="Verdana"/>
                <w:color w:val="FFFFFF" w:themeColor="background1"/>
                <w:sz w:val="18"/>
                <w:szCs w:val="18"/>
              </w:rPr>
              <w:t xml:space="preserve"> </w:t>
            </w:r>
            <w:r w:rsidRPr="00E33DE3">
              <w:rPr>
                <w:rFonts w:ascii="Verdana" w:eastAsia="Verdana" w:hAnsi="Verdana" w:cs="Verdana"/>
                <w:color w:val="000000" w:themeColor="text1"/>
                <w:sz w:val="18"/>
                <w:szCs w:val="18"/>
              </w:rPr>
              <w:t xml:space="preserve"> </w:t>
            </w:r>
          </w:p>
        </w:tc>
      </w:tr>
      <w:tr w:rsidR="00273288" w:rsidRPr="00E33DE3" w14:paraId="0E6A8129" w14:textId="77777777" w:rsidTr="004F0B82">
        <w:trPr>
          <w:trHeight w:val="20"/>
          <w:jc w:val="center"/>
        </w:trPr>
        <w:tc>
          <w:tcPr>
            <w:tcW w:w="4301" w:type="dxa"/>
            <w:vMerge w:val="restart"/>
            <w:tcBorders>
              <w:top w:val="single" w:sz="4" w:space="0" w:color="auto"/>
              <w:left w:val="single" w:sz="4" w:space="0" w:color="auto"/>
              <w:bottom w:val="single" w:sz="4" w:space="0" w:color="auto"/>
              <w:right w:val="single" w:sz="4" w:space="0" w:color="auto"/>
            </w:tcBorders>
            <w:shd w:val="clear" w:color="auto" w:fill="F1EADA"/>
            <w:tcMar>
              <w:top w:w="15" w:type="dxa"/>
              <w:left w:w="15" w:type="dxa"/>
              <w:bottom w:w="0" w:type="dxa"/>
              <w:right w:w="15" w:type="dxa"/>
            </w:tcMar>
            <w:vAlign w:val="center"/>
            <w:hideMark/>
          </w:tcPr>
          <w:p w14:paraId="6B38332C" w14:textId="77777777" w:rsidR="00273288" w:rsidRPr="00E33DE3" w:rsidRDefault="00273288" w:rsidP="00C65B25">
            <w:pPr>
              <w:jc w:val="center"/>
              <w:rPr>
                <w:rFonts w:ascii="Verdana" w:eastAsia="Verdana" w:hAnsi="Verdana" w:cs="Verdana"/>
                <w:b/>
                <w:bCs/>
                <w:sz w:val="18"/>
                <w:szCs w:val="18"/>
              </w:rPr>
            </w:pPr>
            <w:r w:rsidRPr="00E33DE3">
              <w:rPr>
                <w:rFonts w:ascii="Verdana" w:eastAsia="Verdana" w:hAnsi="Verdana" w:cs="Verdana"/>
                <w:b/>
                <w:bCs/>
                <w:sz w:val="18"/>
                <w:szCs w:val="18"/>
              </w:rPr>
              <w:t>CONCEPTOS</w:t>
            </w:r>
          </w:p>
        </w:tc>
        <w:tc>
          <w:tcPr>
            <w:tcW w:w="4339" w:type="dxa"/>
            <w:gridSpan w:val="3"/>
            <w:tcBorders>
              <w:top w:val="single" w:sz="4" w:space="0" w:color="auto"/>
              <w:left w:val="single" w:sz="4" w:space="0" w:color="auto"/>
              <w:bottom w:val="single" w:sz="4" w:space="0" w:color="auto"/>
              <w:right w:val="single" w:sz="4" w:space="0" w:color="auto"/>
            </w:tcBorders>
            <w:shd w:val="clear" w:color="auto" w:fill="F1EADA"/>
            <w:tcMar>
              <w:top w:w="15" w:type="dxa"/>
              <w:left w:w="15" w:type="dxa"/>
              <w:bottom w:w="0" w:type="dxa"/>
              <w:right w:w="15" w:type="dxa"/>
            </w:tcMar>
            <w:vAlign w:val="center"/>
            <w:hideMark/>
          </w:tcPr>
          <w:p w14:paraId="660FFD04" w14:textId="77777777" w:rsidR="00273288" w:rsidRPr="00E33DE3" w:rsidRDefault="00273288" w:rsidP="00C65B25">
            <w:pPr>
              <w:jc w:val="center"/>
              <w:rPr>
                <w:rFonts w:ascii="Verdana" w:eastAsia="Verdana" w:hAnsi="Verdana" w:cs="Verdana"/>
                <w:b/>
                <w:bCs/>
                <w:sz w:val="18"/>
                <w:szCs w:val="18"/>
              </w:rPr>
            </w:pPr>
            <w:r w:rsidRPr="00E33DE3">
              <w:rPr>
                <w:rFonts w:ascii="Verdana" w:eastAsia="Verdana" w:hAnsi="Verdana" w:cs="Verdana"/>
                <w:b/>
                <w:bCs/>
                <w:sz w:val="18"/>
                <w:szCs w:val="18"/>
              </w:rPr>
              <w:t>VIGENCIAS</w:t>
            </w:r>
          </w:p>
        </w:tc>
      </w:tr>
      <w:tr w:rsidR="00273288" w:rsidRPr="00E33DE3" w14:paraId="3C1D1068" w14:textId="77777777" w:rsidTr="004F0B82">
        <w:trPr>
          <w:trHeight w:val="20"/>
          <w:jc w:val="center"/>
        </w:trPr>
        <w:tc>
          <w:tcPr>
            <w:tcW w:w="8641" w:type="dxa"/>
            <w:vMerge/>
            <w:tcBorders>
              <w:top w:val="single" w:sz="4" w:space="0" w:color="auto"/>
              <w:left w:val="single" w:sz="4" w:space="0" w:color="auto"/>
              <w:bottom w:val="single" w:sz="4" w:space="0" w:color="auto"/>
              <w:right w:val="single" w:sz="4" w:space="0" w:color="auto"/>
            </w:tcBorders>
            <w:vAlign w:val="center"/>
            <w:hideMark/>
          </w:tcPr>
          <w:p w14:paraId="26E9BB4B" w14:textId="77777777" w:rsidR="00273288" w:rsidRPr="00E33DE3" w:rsidRDefault="00273288" w:rsidP="00C65B25">
            <w:pPr>
              <w:rPr>
                <w:rFonts w:ascii="Verdana" w:eastAsia="Verdana" w:hAnsi="Verdana" w:cs="Verdana"/>
                <w:b/>
                <w:bCs/>
                <w:sz w:val="18"/>
                <w:szCs w:val="18"/>
              </w:rPr>
            </w:pPr>
          </w:p>
        </w:tc>
        <w:tc>
          <w:tcPr>
            <w:tcW w:w="1425" w:type="dxa"/>
            <w:tcBorders>
              <w:top w:val="single" w:sz="4" w:space="0" w:color="auto"/>
              <w:left w:val="single" w:sz="4" w:space="0" w:color="auto"/>
              <w:bottom w:val="single" w:sz="4" w:space="0" w:color="auto"/>
              <w:right w:val="single" w:sz="4" w:space="0" w:color="auto"/>
            </w:tcBorders>
            <w:shd w:val="clear" w:color="auto" w:fill="F1EADA"/>
            <w:tcMar>
              <w:top w:w="15" w:type="dxa"/>
              <w:left w:w="15" w:type="dxa"/>
              <w:bottom w:w="0" w:type="dxa"/>
              <w:right w:w="15" w:type="dxa"/>
            </w:tcMar>
            <w:vAlign w:val="center"/>
            <w:hideMark/>
          </w:tcPr>
          <w:p w14:paraId="6FC2E4F7" w14:textId="77777777" w:rsidR="00273288" w:rsidRPr="00E33DE3" w:rsidRDefault="00273288" w:rsidP="00C65B25">
            <w:pPr>
              <w:jc w:val="center"/>
              <w:rPr>
                <w:rFonts w:ascii="Verdana" w:eastAsia="Verdana" w:hAnsi="Verdana" w:cs="Verdana"/>
                <w:b/>
                <w:bCs/>
                <w:sz w:val="18"/>
                <w:szCs w:val="18"/>
              </w:rPr>
            </w:pPr>
            <w:r w:rsidRPr="00E33DE3">
              <w:rPr>
                <w:rFonts w:ascii="Verdana" w:eastAsia="Verdana" w:hAnsi="Verdana" w:cs="Verdana"/>
                <w:b/>
                <w:bCs/>
                <w:sz w:val="18"/>
                <w:szCs w:val="18"/>
              </w:rPr>
              <w:t>2021</w:t>
            </w:r>
          </w:p>
        </w:tc>
        <w:tc>
          <w:tcPr>
            <w:tcW w:w="1635" w:type="dxa"/>
            <w:tcBorders>
              <w:top w:val="single" w:sz="4" w:space="0" w:color="auto"/>
              <w:left w:val="single" w:sz="4" w:space="0" w:color="auto"/>
              <w:bottom w:val="single" w:sz="4" w:space="0" w:color="auto"/>
              <w:right w:val="single" w:sz="4" w:space="0" w:color="auto"/>
            </w:tcBorders>
            <w:shd w:val="clear" w:color="auto" w:fill="F1EADA"/>
            <w:tcMar>
              <w:top w:w="15" w:type="dxa"/>
              <w:left w:w="15" w:type="dxa"/>
              <w:bottom w:w="0" w:type="dxa"/>
              <w:right w:w="15" w:type="dxa"/>
            </w:tcMar>
            <w:vAlign w:val="center"/>
            <w:hideMark/>
          </w:tcPr>
          <w:p w14:paraId="22D6C4D4" w14:textId="77777777" w:rsidR="00273288" w:rsidRPr="00E33DE3" w:rsidRDefault="00273288" w:rsidP="00C65B25">
            <w:pPr>
              <w:jc w:val="center"/>
              <w:rPr>
                <w:rFonts w:ascii="Verdana" w:eastAsia="Verdana" w:hAnsi="Verdana" w:cs="Verdana"/>
                <w:b/>
                <w:bCs/>
                <w:sz w:val="18"/>
                <w:szCs w:val="18"/>
              </w:rPr>
            </w:pPr>
            <w:r w:rsidRPr="00E33DE3">
              <w:rPr>
                <w:rFonts w:ascii="Verdana" w:eastAsia="Verdana" w:hAnsi="Verdana" w:cs="Verdana"/>
                <w:b/>
                <w:bCs/>
                <w:sz w:val="18"/>
                <w:szCs w:val="18"/>
              </w:rPr>
              <w:t xml:space="preserve">2022 </w:t>
            </w:r>
          </w:p>
        </w:tc>
        <w:tc>
          <w:tcPr>
            <w:tcW w:w="1277" w:type="dxa"/>
            <w:tcBorders>
              <w:top w:val="single" w:sz="4" w:space="0" w:color="auto"/>
              <w:left w:val="single" w:sz="4" w:space="0" w:color="auto"/>
              <w:bottom w:val="single" w:sz="4" w:space="0" w:color="auto"/>
              <w:right w:val="single" w:sz="8" w:space="0" w:color="auto"/>
            </w:tcBorders>
            <w:shd w:val="clear" w:color="auto" w:fill="F1EADA"/>
            <w:tcMar>
              <w:top w:w="15" w:type="dxa"/>
              <w:left w:w="15" w:type="dxa"/>
              <w:bottom w:w="0" w:type="dxa"/>
              <w:right w:w="15" w:type="dxa"/>
            </w:tcMar>
            <w:vAlign w:val="center"/>
            <w:hideMark/>
          </w:tcPr>
          <w:p w14:paraId="2449BE7A" w14:textId="77777777" w:rsidR="00273288" w:rsidRPr="00E33DE3" w:rsidRDefault="00273288" w:rsidP="00C65B25">
            <w:pPr>
              <w:jc w:val="center"/>
              <w:rPr>
                <w:rFonts w:ascii="Verdana" w:eastAsia="Verdana" w:hAnsi="Verdana" w:cs="Verdana"/>
                <w:b/>
                <w:bCs/>
                <w:sz w:val="18"/>
                <w:szCs w:val="18"/>
              </w:rPr>
            </w:pPr>
            <w:r w:rsidRPr="00E33DE3">
              <w:rPr>
                <w:rFonts w:ascii="Verdana" w:eastAsia="Verdana" w:hAnsi="Verdana" w:cs="Verdana"/>
                <w:b/>
                <w:bCs/>
                <w:sz w:val="18"/>
                <w:szCs w:val="18"/>
              </w:rPr>
              <w:t>2023</w:t>
            </w:r>
          </w:p>
        </w:tc>
      </w:tr>
      <w:tr w:rsidR="00273288" w:rsidRPr="00E33DE3" w14:paraId="7C15659E" w14:textId="77777777" w:rsidTr="004F0B82">
        <w:trPr>
          <w:trHeight w:val="20"/>
          <w:jc w:val="center"/>
        </w:trPr>
        <w:tc>
          <w:tcPr>
            <w:tcW w:w="4301"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420B4790"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Asignación SGP-educación</w:t>
            </w:r>
          </w:p>
        </w:tc>
        <w:tc>
          <w:tcPr>
            <w:tcW w:w="1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C53ABA"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226.920</w:t>
            </w:r>
          </w:p>
        </w:tc>
        <w:tc>
          <w:tcPr>
            <w:tcW w:w="16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A6ABC20"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230.144</w:t>
            </w:r>
          </w:p>
        </w:tc>
        <w:tc>
          <w:tcPr>
            <w:tcW w:w="12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BBFE733"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250.221</w:t>
            </w:r>
          </w:p>
        </w:tc>
      </w:tr>
      <w:tr w:rsidR="00273288" w:rsidRPr="00E33DE3" w14:paraId="4E803772" w14:textId="77777777" w:rsidTr="004F0B82">
        <w:trPr>
          <w:trHeight w:val="20"/>
          <w:jc w:val="center"/>
        </w:trPr>
        <w:tc>
          <w:tcPr>
            <w:tcW w:w="4301" w:type="dxa"/>
            <w:tcBorders>
              <w:top w:val="single" w:sz="4" w:space="0" w:color="auto"/>
              <w:left w:val="single" w:sz="8" w:space="0" w:color="auto"/>
              <w:bottom w:val="single" w:sz="8" w:space="0" w:color="auto"/>
              <w:right w:val="single" w:sz="4" w:space="0" w:color="auto"/>
            </w:tcBorders>
            <w:tcMar>
              <w:top w:w="15" w:type="dxa"/>
              <w:left w:w="15" w:type="dxa"/>
              <w:bottom w:w="0" w:type="dxa"/>
              <w:right w:w="15" w:type="dxa"/>
            </w:tcMar>
            <w:vAlign w:val="center"/>
            <w:hideMark/>
          </w:tcPr>
          <w:p w14:paraId="5BE85349"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b/>
                <w:bCs/>
                <w:color w:val="000000" w:themeColor="text1"/>
                <w:sz w:val="18"/>
                <w:szCs w:val="18"/>
              </w:rPr>
              <w:t>Giro MEN-ET</w:t>
            </w:r>
            <w:r w:rsidRPr="00E33DE3">
              <w:rPr>
                <w:rFonts w:ascii="Verdana" w:eastAsia="Verdana" w:hAnsi="Verdana" w:cs="Verdana"/>
                <w:color w:val="000000" w:themeColor="text1"/>
                <w:sz w:val="18"/>
                <w:szCs w:val="18"/>
              </w:rPr>
              <w:t xml:space="preserve"> </w:t>
            </w:r>
          </w:p>
        </w:tc>
        <w:tc>
          <w:tcPr>
            <w:tcW w:w="1425"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center"/>
            <w:hideMark/>
          </w:tcPr>
          <w:p w14:paraId="7ACFFF24"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226.920</w:t>
            </w:r>
          </w:p>
        </w:tc>
        <w:tc>
          <w:tcPr>
            <w:tcW w:w="1635"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center"/>
            <w:hideMark/>
          </w:tcPr>
          <w:p w14:paraId="187C104D"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230.144</w:t>
            </w:r>
          </w:p>
        </w:tc>
        <w:tc>
          <w:tcPr>
            <w:tcW w:w="12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A8A1623"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250.221</w:t>
            </w:r>
          </w:p>
        </w:tc>
      </w:tr>
      <w:tr w:rsidR="00273288" w:rsidRPr="00E33DE3" w14:paraId="3DBEAE5E" w14:textId="77777777" w:rsidTr="004F0B82">
        <w:trPr>
          <w:trHeight w:val="20"/>
          <w:jc w:val="center"/>
        </w:trPr>
        <w:tc>
          <w:tcPr>
            <w:tcW w:w="8641" w:type="dxa"/>
            <w:gridSpan w:val="4"/>
            <w:tcBorders>
              <w:top w:val="single" w:sz="8" w:space="0" w:color="auto"/>
              <w:left w:val="single" w:sz="8"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27DBFE7C" w14:textId="77777777" w:rsidR="00273288" w:rsidRPr="00E33DE3" w:rsidRDefault="00273288" w:rsidP="00C65B25">
            <w:pP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 xml:space="preserve">REPORTE FUT Y CUIPO </w:t>
            </w:r>
          </w:p>
        </w:tc>
      </w:tr>
      <w:tr w:rsidR="00273288" w:rsidRPr="00E33DE3" w14:paraId="0E49624D" w14:textId="77777777" w:rsidTr="004F0B82">
        <w:trPr>
          <w:trHeight w:val="20"/>
          <w:jc w:val="center"/>
        </w:trPr>
        <w:tc>
          <w:tcPr>
            <w:tcW w:w="4301" w:type="dxa"/>
            <w:tcBorders>
              <w:top w:val="single" w:sz="4" w:space="0" w:color="auto"/>
              <w:left w:val="single" w:sz="8"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57342563" w14:textId="77777777" w:rsidR="00273288" w:rsidRPr="00E33DE3" w:rsidRDefault="00273288" w:rsidP="00C65B25">
            <w:pPr>
              <w:jc w:val="both"/>
              <w:rPr>
                <w:rFonts w:ascii="Verdana" w:eastAsia="Verdana" w:hAnsi="Verdana" w:cs="Verdana"/>
                <w:color w:val="000000" w:themeColor="text1"/>
                <w:sz w:val="18"/>
                <w:szCs w:val="18"/>
              </w:rPr>
            </w:pPr>
            <w:r w:rsidRPr="00E33DE3">
              <w:rPr>
                <w:rFonts w:ascii="Verdana" w:eastAsia="Verdana" w:hAnsi="Verdana" w:cs="Verdana"/>
                <w:b/>
                <w:bCs/>
                <w:color w:val="000000" w:themeColor="text1"/>
                <w:sz w:val="18"/>
                <w:szCs w:val="18"/>
              </w:rPr>
              <w:t>INGRESOS CORRIENTES</w:t>
            </w:r>
            <w:r w:rsidRPr="00E33DE3">
              <w:rPr>
                <w:rFonts w:ascii="Verdana" w:eastAsia="Verdana" w:hAnsi="Verdana" w:cs="Verdana"/>
                <w:color w:val="000000" w:themeColor="text1"/>
                <w:sz w:val="18"/>
                <w:szCs w:val="18"/>
              </w:rPr>
              <w:t xml:space="preserve"> </w:t>
            </w:r>
          </w:p>
        </w:tc>
        <w:tc>
          <w:tcPr>
            <w:tcW w:w="1425" w:type="dxa"/>
            <w:tcBorders>
              <w:top w:val="single" w:sz="4" w:space="0" w:color="auto"/>
              <w:left w:val="single" w:sz="4" w:space="0" w:color="auto"/>
              <w:bottom w:val="single" w:sz="4" w:space="0" w:color="auto"/>
              <w:right w:val="single" w:sz="4" w:space="0" w:color="auto"/>
            </w:tcBorders>
            <w:shd w:val="clear" w:color="auto" w:fill="D9D9D9"/>
            <w:tcMar>
              <w:top w:w="15" w:type="dxa"/>
              <w:left w:w="270" w:type="dxa"/>
              <w:bottom w:w="0" w:type="dxa"/>
              <w:right w:w="15" w:type="dxa"/>
            </w:tcMar>
            <w:vAlign w:val="center"/>
            <w:hideMark/>
          </w:tcPr>
          <w:p w14:paraId="068B2D9F" w14:textId="77777777" w:rsidR="00273288" w:rsidRPr="00E33DE3" w:rsidRDefault="00273288" w:rsidP="00C65B25">
            <w:pP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226.920</w:t>
            </w:r>
          </w:p>
        </w:tc>
        <w:tc>
          <w:tcPr>
            <w:tcW w:w="1635" w:type="dxa"/>
            <w:tcBorders>
              <w:top w:val="single" w:sz="4" w:space="0" w:color="auto"/>
              <w:left w:val="single" w:sz="4" w:space="0" w:color="auto"/>
              <w:bottom w:val="single" w:sz="4" w:space="0" w:color="auto"/>
              <w:right w:val="single" w:sz="4" w:space="0" w:color="auto"/>
            </w:tcBorders>
            <w:shd w:val="clear" w:color="auto" w:fill="D9D9D9"/>
            <w:tcMar>
              <w:top w:w="15" w:type="dxa"/>
              <w:left w:w="270" w:type="dxa"/>
              <w:bottom w:w="0" w:type="dxa"/>
              <w:right w:w="15" w:type="dxa"/>
            </w:tcMar>
            <w:vAlign w:val="center"/>
            <w:hideMark/>
          </w:tcPr>
          <w:p w14:paraId="2461DA65"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FF0000"/>
                <w:sz w:val="18"/>
                <w:szCs w:val="18"/>
              </w:rPr>
              <w:t>(1)</w:t>
            </w:r>
            <w:r w:rsidR="004F0B82" w:rsidRPr="00E33DE3">
              <w:rPr>
                <w:rFonts w:ascii="Verdana" w:eastAsia="Verdana" w:hAnsi="Verdana" w:cs="Verdana"/>
                <w:b/>
                <w:bCs/>
                <w:color w:val="FF0000"/>
                <w:sz w:val="18"/>
                <w:szCs w:val="18"/>
              </w:rPr>
              <w:t xml:space="preserve"> </w:t>
            </w:r>
            <w:r w:rsidRPr="00E33DE3">
              <w:rPr>
                <w:rFonts w:ascii="Verdana" w:eastAsia="Verdana" w:hAnsi="Verdana" w:cs="Verdana"/>
                <w:b/>
                <w:bCs/>
                <w:color w:val="000000" w:themeColor="text1"/>
                <w:sz w:val="18"/>
                <w:szCs w:val="18"/>
              </w:rPr>
              <w:t>231.031</w:t>
            </w:r>
          </w:p>
        </w:tc>
        <w:tc>
          <w:tcPr>
            <w:tcW w:w="1277"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59041FEB"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250.221</w:t>
            </w:r>
          </w:p>
        </w:tc>
      </w:tr>
      <w:tr w:rsidR="00273288" w:rsidRPr="00E33DE3" w14:paraId="0EE3B569" w14:textId="77777777" w:rsidTr="004F0B82">
        <w:trPr>
          <w:trHeight w:val="20"/>
          <w:jc w:val="center"/>
        </w:trPr>
        <w:tc>
          <w:tcPr>
            <w:tcW w:w="4301"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304CD4FA"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b/>
                <w:bCs/>
                <w:color w:val="000000" w:themeColor="text1"/>
                <w:sz w:val="18"/>
                <w:szCs w:val="18"/>
              </w:rPr>
              <w:t>Sistema General de Participaciones -Educación</w:t>
            </w:r>
            <w:r w:rsidRPr="00E33DE3">
              <w:rPr>
                <w:rFonts w:ascii="Verdana" w:eastAsia="Verdana" w:hAnsi="Verdana" w:cs="Verdana"/>
                <w:color w:val="000000" w:themeColor="text1"/>
                <w:sz w:val="18"/>
                <w:szCs w:val="18"/>
              </w:rPr>
              <w:t xml:space="preserve"> </w:t>
            </w:r>
          </w:p>
        </w:tc>
        <w:tc>
          <w:tcPr>
            <w:tcW w:w="1425"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0E934CB8" w14:textId="77777777" w:rsidR="00273288" w:rsidRPr="00E33DE3" w:rsidRDefault="00273288" w:rsidP="00C65B25">
            <w:pP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226.920</w:t>
            </w:r>
          </w:p>
        </w:tc>
        <w:tc>
          <w:tcPr>
            <w:tcW w:w="1635"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43F2F6C6"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231.031</w:t>
            </w:r>
          </w:p>
        </w:tc>
        <w:tc>
          <w:tcPr>
            <w:tcW w:w="12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F1F227"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250.221</w:t>
            </w:r>
          </w:p>
        </w:tc>
      </w:tr>
      <w:tr w:rsidR="00273288" w:rsidRPr="00E33DE3" w14:paraId="376B744A" w14:textId="77777777" w:rsidTr="004F0B82">
        <w:trPr>
          <w:trHeight w:val="20"/>
          <w:jc w:val="center"/>
        </w:trPr>
        <w:tc>
          <w:tcPr>
            <w:tcW w:w="4301"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50B33E8E"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b/>
                <w:bCs/>
                <w:color w:val="000000" w:themeColor="text1"/>
                <w:sz w:val="18"/>
                <w:szCs w:val="18"/>
              </w:rPr>
              <w:t>Prestación de servicios</w:t>
            </w:r>
            <w:r w:rsidRPr="00E33DE3">
              <w:rPr>
                <w:rFonts w:ascii="Verdana" w:eastAsia="Verdana" w:hAnsi="Verdana" w:cs="Verdana"/>
                <w:color w:val="000000" w:themeColor="text1"/>
                <w:sz w:val="18"/>
                <w:szCs w:val="18"/>
              </w:rPr>
              <w:t xml:space="preserve"> </w:t>
            </w:r>
          </w:p>
        </w:tc>
        <w:tc>
          <w:tcPr>
            <w:tcW w:w="1425"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0773BD62" w14:textId="77777777" w:rsidR="00273288" w:rsidRPr="00E33DE3" w:rsidRDefault="00273288" w:rsidP="00C65B25">
            <w:pP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220.532</w:t>
            </w:r>
          </w:p>
        </w:tc>
        <w:tc>
          <w:tcPr>
            <w:tcW w:w="1635"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7E350C60"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225.282</w:t>
            </w:r>
          </w:p>
        </w:tc>
        <w:tc>
          <w:tcPr>
            <w:tcW w:w="12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28AC6B"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244.272</w:t>
            </w:r>
          </w:p>
        </w:tc>
      </w:tr>
      <w:tr w:rsidR="00273288" w:rsidRPr="00E33DE3" w14:paraId="0E0F908E" w14:textId="77777777" w:rsidTr="004F0B82">
        <w:trPr>
          <w:trHeight w:val="20"/>
          <w:jc w:val="center"/>
        </w:trPr>
        <w:tc>
          <w:tcPr>
            <w:tcW w:w="4301" w:type="dxa"/>
            <w:tcBorders>
              <w:top w:val="single" w:sz="4" w:space="0" w:color="auto"/>
              <w:left w:val="single" w:sz="8" w:space="0" w:color="auto"/>
              <w:bottom w:val="single" w:sz="4" w:space="0" w:color="auto"/>
              <w:right w:val="single" w:sz="4" w:space="0" w:color="auto"/>
            </w:tcBorders>
            <w:tcMar>
              <w:top w:w="15" w:type="dxa"/>
              <w:left w:w="270" w:type="dxa"/>
              <w:bottom w:w="0" w:type="dxa"/>
              <w:right w:w="15" w:type="dxa"/>
            </w:tcMar>
            <w:vAlign w:val="center"/>
            <w:hideMark/>
          </w:tcPr>
          <w:p w14:paraId="3059188B"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 Con Situación de Fondos </w:t>
            </w:r>
          </w:p>
        </w:tc>
        <w:tc>
          <w:tcPr>
            <w:tcW w:w="1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F6848"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182.810</w:t>
            </w:r>
          </w:p>
        </w:tc>
        <w:tc>
          <w:tcPr>
            <w:tcW w:w="16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07F8E"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199.384</w:t>
            </w:r>
          </w:p>
        </w:tc>
        <w:tc>
          <w:tcPr>
            <w:tcW w:w="12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CA258E"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221.437</w:t>
            </w:r>
          </w:p>
        </w:tc>
      </w:tr>
      <w:tr w:rsidR="00273288" w:rsidRPr="00E33DE3" w14:paraId="726AE71F" w14:textId="77777777" w:rsidTr="004F0B82">
        <w:trPr>
          <w:trHeight w:val="20"/>
          <w:jc w:val="center"/>
        </w:trPr>
        <w:tc>
          <w:tcPr>
            <w:tcW w:w="4301" w:type="dxa"/>
            <w:tcBorders>
              <w:top w:val="single" w:sz="4" w:space="0" w:color="auto"/>
              <w:left w:val="single" w:sz="8" w:space="0" w:color="auto"/>
              <w:bottom w:val="single" w:sz="4" w:space="0" w:color="auto"/>
              <w:right w:val="single" w:sz="4" w:space="0" w:color="auto"/>
            </w:tcBorders>
            <w:tcMar>
              <w:top w:w="15" w:type="dxa"/>
              <w:left w:w="270" w:type="dxa"/>
              <w:bottom w:w="0" w:type="dxa"/>
              <w:right w:w="15" w:type="dxa"/>
            </w:tcMar>
            <w:vAlign w:val="center"/>
            <w:hideMark/>
          </w:tcPr>
          <w:p w14:paraId="06295482"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 Sin Situación de Fondos </w:t>
            </w:r>
          </w:p>
        </w:tc>
        <w:tc>
          <w:tcPr>
            <w:tcW w:w="1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9BA630"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37.722</w:t>
            </w:r>
          </w:p>
        </w:tc>
        <w:tc>
          <w:tcPr>
            <w:tcW w:w="16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436AA9"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25.898</w:t>
            </w:r>
          </w:p>
        </w:tc>
        <w:tc>
          <w:tcPr>
            <w:tcW w:w="12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5FAC89"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22.835</w:t>
            </w:r>
          </w:p>
        </w:tc>
      </w:tr>
      <w:tr w:rsidR="00273288" w:rsidRPr="00E33DE3" w14:paraId="7C5ADE7B" w14:textId="77777777" w:rsidTr="004F0B82">
        <w:trPr>
          <w:trHeight w:val="20"/>
          <w:jc w:val="center"/>
        </w:trPr>
        <w:tc>
          <w:tcPr>
            <w:tcW w:w="4301"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0A318B13" w14:textId="77777777" w:rsidR="00273288" w:rsidRPr="00E33DE3" w:rsidRDefault="00273288" w:rsidP="00C65B25">
            <w:pP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Calidad Matrícula</w:t>
            </w:r>
          </w:p>
        </w:tc>
        <w:tc>
          <w:tcPr>
            <w:tcW w:w="1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B1004A"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3.000</w:t>
            </w:r>
          </w:p>
        </w:tc>
        <w:tc>
          <w:tcPr>
            <w:tcW w:w="16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4ED0E"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2.847</w:t>
            </w:r>
          </w:p>
        </w:tc>
        <w:tc>
          <w:tcPr>
            <w:tcW w:w="12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E6E137"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2.984</w:t>
            </w:r>
          </w:p>
        </w:tc>
      </w:tr>
      <w:tr w:rsidR="00273288" w:rsidRPr="00E33DE3" w14:paraId="2952FA4C" w14:textId="77777777" w:rsidTr="004F0B82">
        <w:trPr>
          <w:trHeight w:val="20"/>
          <w:jc w:val="center"/>
        </w:trPr>
        <w:tc>
          <w:tcPr>
            <w:tcW w:w="4301"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45161D47" w14:textId="77777777" w:rsidR="00273288" w:rsidRPr="00E33DE3" w:rsidRDefault="00273288" w:rsidP="00C65B25">
            <w:pP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 xml:space="preserve">Calidad Gratuidad </w:t>
            </w:r>
          </w:p>
        </w:tc>
        <w:tc>
          <w:tcPr>
            <w:tcW w:w="1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6E0BB9"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3.388</w:t>
            </w:r>
          </w:p>
        </w:tc>
        <w:tc>
          <w:tcPr>
            <w:tcW w:w="16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C4BDBB"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FF0000"/>
                <w:sz w:val="18"/>
                <w:szCs w:val="18"/>
              </w:rPr>
              <w:t xml:space="preserve">(2) </w:t>
            </w:r>
            <w:r w:rsidRPr="00E33DE3">
              <w:rPr>
                <w:rFonts w:ascii="Verdana" w:eastAsia="Verdana" w:hAnsi="Verdana" w:cs="Verdana"/>
                <w:b/>
                <w:bCs/>
                <w:color w:val="000000" w:themeColor="text1"/>
                <w:sz w:val="18"/>
                <w:szCs w:val="18"/>
              </w:rPr>
              <w:t>2.901</w:t>
            </w:r>
          </w:p>
        </w:tc>
        <w:tc>
          <w:tcPr>
            <w:tcW w:w="12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F7CC9"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2.964</w:t>
            </w:r>
          </w:p>
        </w:tc>
      </w:tr>
      <w:tr w:rsidR="00273288" w:rsidRPr="00E33DE3" w14:paraId="5FFE2ADE" w14:textId="77777777" w:rsidTr="004F0B82">
        <w:trPr>
          <w:trHeight w:val="20"/>
          <w:jc w:val="center"/>
        </w:trPr>
        <w:tc>
          <w:tcPr>
            <w:tcW w:w="4301" w:type="dxa"/>
            <w:tcBorders>
              <w:top w:val="single" w:sz="4" w:space="0" w:color="auto"/>
              <w:left w:val="single" w:sz="8"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6F58EFD3" w14:textId="77777777" w:rsidR="00273288" w:rsidRPr="00E33DE3" w:rsidRDefault="00273288" w:rsidP="00C65B25">
            <w:pPr>
              <w:jc w:val="both"/>
              <w:rPr>
                <w:rFonts w:ascii="Verdana" w:eastAsia="Verdana" w:hAnsi="Verdana" w:cs="Verdana"/>
                <w:color w:val="000000" w:themeColor="text1"/>
                <w:sz w:val="18"/>
                <w:szCs w:val="18"/>
              </w:rPr>
            </w:pPr>
            <w:r w:rsidRPr="00E33DE3">
              <w:rPr>
                <w:rFonts w:ascii="Verdana" w:eastAsia="Verdana" w:hAnsi="Verdana" w:cs="Verdana"/>
                <w:b/>
                <w:bCs/>
                <w:color w:val="000000" w:themeColor="text1"/>
                <w:sz w:val="18"/>
                <w:szCs w:val="18"/>
              </w:rPr>
              <w:t>INGRESOS DE CAPITAL</w:t>
            </w:r>
            <w:r w:rsidRPr="00E33DE3">
              <w:rPr>
                <w:rFonts w:ascii="Verdana" w:eastAsia="Verdana" w:hAnsi="Verdana" w:cs="Verdana"/>
                <w:color w:val="000000" w:themeColor="text1"/>
                <w:sz w:val="18"/>
                <w:szCs w:val="18"/>
              </w:rPr>
              <w:t xml:space="preserve"> </w:t>
            </w:r>
          </w:p>
        </w:tc>
        <w:tc>
          <w:tcPr>
            <w:tcW w:w="1425"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41F57706"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7.681</w:t>
            </w:r>
          </w:p>
        </w:tc>
        <w:tc>
          <w:tcPr>
            <w:tcW w:w="1635"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00E40750"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3.182</w:t>
            </w:r>
          </w:p>
        </w:tc>
        <w:tc>
          <w:tcPr>
            <w:tcW w:w="1277"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46F92B47"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3.403</w:t>
            </w:r>
          </w:p>
        </w:tc>
      </w:tr>
      <w:tr w:rsidR="00273288" w:rsidRPr="00E33DE3" w14:paraId="22C5CEAA" w14:textId="77777777" w:rsidTr="004F0B82">
        <w:trPr>
          <w:trHeight w:val="20"/>
          <w:jc w:val="center"/>
        </w:trPr>
        <w:tc>
          <w:tcPr>
            <w:tcW w:w="4301"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34BF776B" w14:textId="77777777" w:rsidR="00273288" w:rsidRPr="00E33DE3" w:rsidRDefault="00273288" w:rsidP="00C65B25">
            <w:pPr>
              <w:jc w:val="both"/>
              <w:rPr>
                <w:rFonts w:ascii="Verdana" w:eastAsia="Verdana" w:hAnsi="Verdana" w:cs="Verdana"/>
                <w:color w:val="000000" w:themeColor="text1"/>
                <w:sz w:val="18"/>
                <w:szCs w:val="18"/>
              </w:rPr>
            </w:pPr>
            <w:r w:rsidRPr="00E33DE3">
              <w:rPr>
                <w:rFonts w:ascii="Verdana" w:eastAsia="Verdana" w:hAnsi="Verdana" w:cs="Verdana"/>
                <w:b/>
                <w:bCs/>
                <w:color w:val="000000" w:themeColor="text1"/>
                <w:sz w:val="18"/>
                <w:szCs w:val="18"/>
              </w:rPr>
              <w:t>Rendimientos Financieros</w:t>
            </w:r>
            <w:r w:rsidRPr="00E33DE3">
              <w:rPr>
                <w:rFonts w:ascii="Verdana" w:eastAsia="Verdana" w:hAnsi="Verdana" w:cs="Verdana"/>
                <w:color w:val="000000" w:themeColor="text1"/>
                <w:sz w:val="18"/>
                <w:szCs w:val="18"/>
              </w:rPr>
              <w:t xml:space="preserve"> </w:t>
            </w:r>
          </w:p>
        </w:tc>
        <w:tc>
          <w:tcPr>
            <w:tcW w:w="1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550582"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190</w:t>
            </w:r>
          </w:p>
        </w:tc>
        <w:tc>
          <w:tcPr>
            <w:tcW w:w="16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C12A90"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200</w:t>
            </w:r>
          </w:p>
        </w:tc>
        <w:tc>
          <w:tcPr>
            <w:tcW w:w="12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AA417"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699</w:t>
            </w:r>
          </w:p>
        </w:tc>
      </w:tr>
      <w:tr w:rsidR="00273288" w:rsidRPr="00E33DE3" w14:paraId="45B41330" w14:textId="77777777" w:rsidTr="004F0B82">
        <w:trPr>
          <w:trHeight w:val="20"/>
          <w:jc w:val="center"/>
        </w:trPr>
        <w:tc>
          <w:tcPr>
            <w:tcW w:w="4301" w:type="dxa"/>
            <w:tcBorders>
              <w:top w:val="single" w:sz="4" w:space="0" w:color="auto"/>
              <w:left w:val="single" w:sz="8" w:space="0" w:color="auto"/>
              <w:bottom w:val="single" w:sz="4" w:space="0" w:color="auto"/>
              <w:right w:val="single" w:sz="4" w:space="0" w:color="auto"/>
            </w:tcBorders>
            <w:tcMar>
              <w:top w:w="15" w:type="dxa"/>
              <w:left w:w="270" w:type="dxa"/>
              <w:bottom w:w="0" w:type="dxa"/>
              <w:right w:w="15" w:type="dxa"/>
            </w:tcMar>
            <w:vAlign w:val="center"/>
            <w:hideMark/>
          </w:tcPr>
          <w:p w14:paraId="19960E1A"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 Rendimiento Prestación </w:t>
            </w:r>
          </w:p>
        </w:tc>
        <w:tc>
          <w:tcPr>
            <w:tcW w:w="1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A7B3B8"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160</w:t>
            </w:r>
          </w:p>
        </w:tc>
        <w:tc>
          <w:tcPr>
            <w:tcW w:w="16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A65D21"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175</w:t>
            </w:r>
          </w:p>
        </w:tc>
        <w:tc>
          <w:tcPr>
            <w:tcW w:w="12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4F992C"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687</w:t>
            </w:r>
          </w:p>
        </w:tc>
      </w:tr>
      <w:tr w:rsidR="00273288" w:rsidRPr="00E33DE3" w14:paraId="7A5C59E7" w14:textId="77777777" w:rsidTr="004F0B82">
        <w:trPr>
          <w:trHeight w:val="20"/>
          <w:jc w:val="center"/>
        </w:trPr>
        <w:tc>
          <w:tcPr>
            <w:tcW w:w="4301" w:type="dxa"/>
            <w:tcBorders>
              <w:top w:val="single" w:sz="4" w:space="0" w:color="auto"/>
              <w:left w:val="single" w:sz="8" w:space="0" w:color="auto"/>
              <w:bottom w:val="single" w:sz="4" w:space="0" w:color="auto"/>
              <w:right w:val="single" w:sz="4" w:space="0" w:color="auto"/>
            </w:tcBorders>
            <w:tcMar>
              <w:top w:w="15" w:type="dxa"/>
              <w:left w:w="270" w:type="dxa"/>
              <w:bottom w:w="0" w:type="dxa"/>
              <w:right w:w="15" w:type="dxa"/>
            </w:tcMar>
            <w:vAlign w:val="center"/>
            <w:hideMark/>
          </w:tcPr>
          <w:p w14:paraId="2850E8FD"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 Rendimiento Calidad</w:t>
            </w:r>
          </w:p>
        </w:tc>
        <w:tc>
          <w:tcPr>
            <w:tcW w:w="1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06EF80"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29</w:t>
            </w:r>
          </w:p>
        </w:tc>
        <w:tc>
          <w:tcPr>
            <w:tcW w:w="16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EE72D"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25</w:t>
            </w:r>
          </w:p>
        </w:tc>
        <w:tc>
          <w:tcPr>
            <w:tcW w:w="12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9795D8"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12</w:t>
            </w:r>
          </w:p>
        </w:tc>
      </w:tr>
      <w:tr w:rsidR="00273288" w:rsidRPr="00E33DE3" w14:paraId="02ED5ECD" w14:textId="77777777" w:rsidTr="004F0B82">
        <w:trPr>
          <w:trHeight w:val="20"/>
          <w:jc w:val="center"/>
        </w:trPr>
        <w:tc>
          <w:tcPr>
            <w:tcW w:w="4301"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43F1FC56" w14:textId="77777777" w:rsidR="00273288" w:rsidRPr="00E33DE3" w:rsidRDefault="00273288" w:rsidP="00C65B25">
            <w:pPr>
              <w:jc w:val="both"/>
              <w:rPr>
                <w:rFonts w:ascii="Verdana" w:eastAsia="Verdana" w:hAnsi="Verdana" w:cs="Verdana"/>
                <w:color w:val="000000" w:themeColor="text1"/>
                <w:sz w:val="18"/>
                <w:szCs w:val="18"/>
              </w:rPr>
            </w:pPr>
            <w:r w:rsidRPr="00E33DE3">
              <w:rPr>
                <w:rFonts w:ascii="Verdana" w:eastAsia="Verdana" w:hAnsi="Verdana" w:cs="Verdana"/>
                <w:b/>
                <w:bCs/>
                <w:color w:val="000000" w:themeColor="text1"/>
                <w:sz w:val="18"/>
                <w:szCs w:val="18"/>
              </w:rPr>
              <w:t xml:space="preserve">Recursos del Balance </w:t>
            </w:r>
            <w:r w:rsidRPr="00E33DE3">
              <w:rPr>
                <w:rFonts w:ascii="Verdana" w:eastAsia="Verdana" w:hAnsi="Verdana" w:cs="Verdana"/>
                <w:color w:val="000000" w:themeColor="text1"/>
                <w:sz w:val="18"/>
                <w:szCs w:val="18"/>
              </w:rPr>
              <w:t xml:space="preserve"> </w:t>
            </w:r>
          </w:p>
        </w:tc>
        <w:tc>
          <w:tcPr>
            <w:tcW w:w="1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6A4E2D"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6.714</w:t>
            </w:r>
          </w:p>
        </w:tc>
        <w:tc>
          <w:tcPr>
            <w:tcW w:w="16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45F382"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2.983</w:t>
            </w:r>
          </w:p>
        </w:tc>
        <w:tc>
          <w:tcPr>
            <w:tcW w:w="12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9B8FED"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2.704</w:t>
            </w:r>
          </w:p>
        </w:tc>
      </w:tr>
      <w:tr w:rsidR="00273288" w:rsidRPr="00E33DE3" w14:paraId="5DF77951" w14:textId="77777777" w:rsidTr="004F0B82">
        <w:trPr>
          <w:trHeight w:val="20"/>
          <w:jc w:val="center"/>
        </w:trPr>
        <w:tc>
          <w:tcPr>
            <w:tcW w:w="4301" w:type="dxa"/>
            <w:tcBorders>
              <w:top w:val="single" w:sz="4" w:space="0" w:color="auto"/>
              <w:left w:val="single" w:sz="8" w:space="0" w:color="auto"/>
              <w:bottom w:val="single" w:sz="4" w:space="0" w:color="auto"/>
              <w:right w:val="single" w:sz="4" w:space="0" w:color="auto"/>
            </w:tcBorders>
            <w:tcMar>
              <w:top w:w="15" w:type="dxa"/>
              <w:left w:w="270" w:type="dxa"/>
              <w:bottom w:w="0" w:type="dxa"/>
              <w:right w:w="15" w:type="dxa"/>
            </w:tcMar>
            <w:vAlign w:val="center"/>
            <w:hideMark/>
          </w:tcPr>
          <w:p w14:paraId="675AA0EF"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 Superávit fiscal Prestación </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1ADCCF17" w14:textId="77777777" w:rsidR="00273288" w:rsidRPr="00E33DE3" w:rsidRDefault="00273288" w:rsidP="00C65B25">
            <w:pPr>
              <w:jc w:val="center"/>
              <w:rPr>
                <w:rFonts w:ascii="Verdana" w:eastAsia="Calibri" w:hAnsi="Verdana" w:cs="Calibri"/>
                <w:color w:val="000000" w:themeColor="text1"/>
                <w:sz w:val="18"/>
                <w:szCs w:val="18"/>
              </w:rPr>
            </w:pPr>
            <w:r w:rsidRPr="00E33DE3">
              <w:rPr>
                <w:rFonts w:ascii="Verdana" w:eastAsia="Calibri" w:hAnsi="Verdana" w:cs="Calibri"/>
                <w:color w:val="000000" w:themeColor="text1"/>
                <w:sz w:val="18"/>
                <w:szCs w:val="18"/>
              </w:rPr>
              <w:t>3.009</w:t>
            </w:r>
          </w:p>
        </w:tc>
        <w:tc>
          <w:tcPr>
            <w:tcW w:w="16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015CCE"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124</w:t>
            </w:r>
          </w:p>
        </w:tc>
        <w:tc>
          <w:tcPr>
            <w:tcW w:w="12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20E32"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1.188</w:t>
            </w:r>
          </w:p>
        </w:tc>
      </w:tr>
      <w:tr w:rsidR="00273288" w:rsidRPr="00E33DE3" w14:paraId="4A37DEAC" w14:textId="77777777" w:rsidTr="004F0B82">
        <w:trPr>
          <w:trHeight w:val="20"/>
          <w:jc w:val="center"/>
        </w:trPr>
        <w:tc>
          <w:tcPr>
            <w:tcW w:w="4301" w:type="dxa"/>
            <w:tcBorders>
              <w:top w:val="single" w:sz="4" w:space="0" w:color="auto"/>
              <w:left w:val="single" w:sz="8" w:space="0" w:color="auto"/>
              <w:bottom w:val="single" w:sz="4" w:space="0" w:color="auto"/>
              <w:right w:val="single" w:sz="4" w:space="0" w:color="auto"/>
            </w:tcBorders>
            <w:tcMar>
              <w:top w:w="15" w:type="dxa"/>
              <w:left w:w="270" w:type="dxa"/>
              <w:bottom w:w="0" w:type="dxa"/>
              <w:right w:w="15" w:type="dxa"/>
            </w:tcMar>
            <w:vAlign w:val="center"/>
            <w:hideMark/>
          </w:tcPr>
          <w:p w14:paraId="79F5FA81"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 Superávit fiscal Calidad</w:t>
            </w:r>
          </w:p>
        </w:tc>
        <w:tc>
          <w:tcPr>
            <w:tcW w:w="1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981E26"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3.705</w:t>
            </w:r>
          </w:p>
        </w:tc>
        <w:tc>
          <w:tcPr>
            <w:tcW w:w="16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C9783D"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2.858</w:t>
            </w:r>
          </w:p>
        </w:tc>
        <w:tc>
          <w:tcPr>
            <w:tcW w:w="12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168D4F"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1.516</w:t>
            </w:r>
          </w:p>
        </w:tc>
      </w:tr>
      <w:tr w:rsidR="00273288" w:rsidRPr="00E33DE3" w14:paraId="66809C54" w14:textId="77777777" w:rsidTr="004F0B82">
        <w:trPr>
          <w:trHeight w:val="20"/>
          <w:jc w:val="center"/>
        </w:trPr>
        <w:tc>
          <w:tcPr>
            <w:tcW w:w="4301"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5C66578E" w14:textId="77777777" w:rsidR="00273288" w:rsidRPr="00E33DE3" w:rsidRDefault="00273288" w:rsidP="00C65B25">
            <w:pPr>
              <w:jc w:val="both"/>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Reintegros</w:t>
            </w:r>
          </w:p>
        </w:tc>
        <w:tc>
          <w:tcPr>
            <w:tcW w:w="1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39D214"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778</w:t>
            </w:r>
          </w:p>
        </w:tc>
        <w:tc>
          <w:tcPr>
            <w:tcW w:w="16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3D2DE6"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w:t>
            </w:r>
          </w:p>
        </w:tc>
        <w:tc>
          <w:tcPr>
            <w:tcW w:w="12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1681DB"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w:t>
            </w:r>
          </w:p>
        </w:tc>
      </w:tr>
      <w:tr w:rsidR="00273288" w:rsidRPr="00E33DE3" w14:paraId="6A611270" w14:textId="77777777" w:rsidTr="004F0B82">
        <w:trPr>
          <w:trHeight w:val="20"/>
          <w:jc w:val="center"/>
        </w:trPr>
        <w:tc>
          <w:tcPr>
            <w:tcW w:w="4301" w:type="dxa"/>
            <w:tcBorders>
              <w:top w:val="single" w:sz="4" w:space="0" w:color="auto"/>
              <w:left w:val="single" w:sz="8" w:space="0" w:color="auto"/>
              <w:bottom w:val="single" w:sz="4" w:space="0" w:color="auto"/>
              <w:right w:val="single" w:sz="4" w:space="0" w:color="auto"/>
            </w:tcBorders>
            <w:tcMar>
              <w:top w:w="15" w:type="dxa"/>
              <w:left w:w="270" w:type="dxa"/>
              <w:bottom w:w="0" w:type="dxa"/>
              <w:right w:w="15" w:type="dxa"/>
            </w:tcMar>
            <w:vAlign w:val="center"/>
            <w:hideMark/>
          </w:tcPr>
          <w:p w14:paraId="6EFA2053"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Reintegros Prestación</w:t>
            </w:r>
          </w:p>
        </w:tc>
        <w:tc>
          <w:tcPr>
            <w:tcW w:w="1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B6F9E1"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778</w:t>
            </w:r>
          </w:p>
        </w:tc>
        <w:tc>
          <w:tcPr>
            <w:tcW w:w="16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9CEB9A"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w:t>
            </w:r>
          </w:p>
        </w:tc>
        <w:tc>
          <w:tcPr>
            <w:tcW w:w="12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075BFF"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w:t>
            </w:r>
          </w:p>
        </w:tc>
      </w:tr>
      <w:tr w:rsidR="004F0B82" w:rsidRPr="00E33DE3" w14:paraId="55D3F6F8" w14:textId="77777777" w:rsidTr="004F0B82">
        <w:trPr>
          <w:trHeight w:val="20"/>
          <w:jc w:val="center"/>
        </w:trPr>
        <w:tc>
          <w:tcPr>
            <w:tcW w:w="4301" w:type="dxa"/>
            <w:tcBorders>
              <w:top w:val="single" w:sz="4" w:space="0" w:color="auto"/>
              <w:left w:val="single" w:sz="8" w:space="0" w:color="auto"/>
              <w:bottom w:val="single" w:sz="8" w:space="0" w:color="auto"/>
              <w:right w:val="single" w:sz="4" w:space="0" w:color="auto"/>
            </w:tcBorders>
            <w:shd w:val="clear" w:color="auto" w:fill="BF8F00"/>
            <w:tcMar>
              <w:top w:w="15" w:type="dxa"/>
              <w:left w:w="15" w:type="dxa"/>
              <w:bottom w:w="0" w:type="dxa"/>
              <w:right w:w="15" w:type="dxa"/>
            </w:tcMar>
            <w:vAlign w:val="center"/>
            <w:hideMark/>
          </w:tcPr>
          <w:p w14:paraId="290D337F" w14:textId="77777777" w:rsidR="00273288" w:rsidRPr="00E33DE3" w:rsidRDefault="00273288" w:rsidP="00C65B25">
            <w:pPr>
              <w:jc w:val="both"/>
              <w:rPr>
                <w:rFonts w:ascii="Verdana" w:eastAsia="Verdana" w:hAnsi="Verdana" w:cs="Verdana"/>
                <w:color w:val="FFFFFF" w:themeColor="background1"/>
                <w:sz w:val="18"/>
                <w:szCs w:val="18"/>
              </w:rPr>
            </w:pPr>
            <w:r w:rsidRPr="00E33DE3">
              <w:rPr>
                <w:rFonts w:ascii="Verdana" w:eastAsia="Verdana" w:hAnsi="Verdana" w:cs="Verdana"/>
                <w:b/>
                <w:bCs/>
                <w:color w:val="FFFFFF" w:themeColor="background1"/>
                <w:sz w:val="18"/>
                <w:szCs w:val="18"/>
              </w:rPr>
              <w:t>INGRESOS TOTALES</w:t>
            </w:r>
            <w:r w:rsidRPr="00E33DE3">
              <w:rPr>
                <w:rFonts w:ascii="Verdana" w:eastAsia="Verdana" w:hAnsi="Verdana" w:cs="Verdana"/>
                <w:color w:val="FFFFFF" w:themeColor="background1"/>
                <w:sz w:val="18"/>
                <w:szCs w:val="18"/>
              </w:rPr>
              <w:t xml:space="preserve"> </w:t>
            </w:r>
          </w:p>
        </w:tc>
        <w:tc>
          <w:tcPr>
            <w:tcW w:w="1425" w:type="dxa"/>
            <w:tcBorders>
              <w:top w:val="single" w:sz="4" w:space="0" w:color="auto"/>
              <w:left w:val="single" w:sz="4" w:space="0" w:color="auto"/>
              <w:bottom w:val="single" w:sz="8" w:space="0" w:color="auto"/>
              <w:right w:val="single" w:sz="4" w:space="0" w:color="auto"/>
            </w:tcBorders>
            <w:shd w:val="clear" w:color="auto" w:fill="BF8F00"/>
            <w:tcMar>
              <w:top w:w="15" w:type="dxa"/>
              <w:left w:w="15" w:type="dxa"/>
              <w:bottom w:w="0" w:type="dxa"/>
              <w:right w:w="15" w:type="dxa"/>
            </w:tcMar>
            <w:vAlign w:val="center"/>
            <w:hideMark/>
          </w:tcPr>
          <w:p w14:paraId="7A7D5CAF" w14:textId="77777777" w:rsidR="00273288" w:rsidRPr="00E33DE3" w:rsidRDefault="00273288" w:rsidP="00C65B25">
            <w:pPr>
              <w:jc w:val="center"/>
              <w:rPr>
                <w:rFonts w:ascii="Verdana" w:eastAsia="Verdana" w:hAnsi="Verdana" w:cs="Verdana"/>
                <w:b/>
                <w:bCs/>
                <w:color w:val="FFFFFF" w:themeColor="background1"/>
                <w:sz w:val="18"/>
                <w:szCs w:val="18"/>
              </w:rPr>
            </w:pPr>
            <w:r w:rsidRPr="00E33DE3">
              <w:rPr>
                <w:rFonts w:ascii="Verdana" w:eastAsia="Verdana" w:hAnsi="Verdana" w:cs="Verdana"/>
                <w:b/>
                <w:bCs/>
                <w:color w:val="FFFFFF" w:themeColor="background1"/>
                <w:sz w:val="18"/>
                <w:szCs w:val="18"/>
              </w:rPr>
              <w:t>234.601</w:t>
            </w:r>
          </w:p>
        </w:tc>
        <w:tc>
          <w:tcPr>
            <w:tcW w:w="1635" w:type="dxa"/>
            <w:tcBorders>
              <w:top w:val="single" w:sz="4" w:space="0" w:color="auto"/>
              <w:left w:val="single" w:sz="4" w:space="0" w:color="auto"/>
              <w:bottom w:val="single" w:sz="8" w:space="0" w:color="auto"/>
              <w:right w:val="single" w:sz="4" w:space="0" w:color="auto"/>
            </w:tcBorders>
            <w:shd w:val="clear" w:color="auto" w:fill="BF8F00"/>
            <w:tcMar>
              <w:top w:w="15" w:type="dxa"/>
              <w:left w:w="15" w:type="dxa"/>
              <w:bottom w:w="0" w:type="dxa"/>
              <w:right w:w="15" w:type="dxa"/>
            </w:tcMar>
            <w:vAlign w:val="center"/>
            <w:hideMark/>
          </w:tcPr>
          <w:p w14:paraId="3659A5B4" w14:textId="77777777" w:rsidR="00273288" w:rsidRPr="00E33DE3" w:rsidRDefault="00273288" w:rsidP="00C65B25">
            <w:pPr>
              <w:jc w:val="center"/>
              <w:rPr>
                <w:rFonts w:ascii="Verdana" w:eastAsia="Verdana" w:hAnsi="Verdana" w:cs="Verdana"/>
                <w:b/>
                <w:bCs/>
                <w:color w:val="FFFFFF" w:themeColor="background1"/>
                <w:sz w:val="18"/>
                <w:szCs w:val="18"/>
              </w:rPr>
            </w:pPr>
            <w:r w:rsidRPr="00E33DE3">
              <w:rPr>
                <w:rFonts w:ascii="Verdana" w:eastAsia="Verdana" w:hAnsi="Verdana" w:cs="Verdana"/>
                <w:b/>
                <w:bCs/>
                <w:color w:val="FFFFFF" w:themeColor="background1"/>
                <w:sz w:val="18"/>
                <w:szCs w:val="18"/>
              </w:rPr>
              <w:t>234.213</w:t>
            </w:r>
          </w:p>
        </w:tc>
        <w:tc>
          <w:tcPr>
            <w:tcW w:w="1277" w:type="dxa"/>
            <w:tcBorders>
              <w:top w:val="single" w:sz="4" w:space="0" w:color="auto"/>
              <w:left w:val="single" w:sz="4" w:space="0" w:color="auto"/>
              <w:bottom w:val="single" w:sz="4" w:space="0" w:color="auto"/>
              <w:right w:val="single" w:sz="4" w:space="0" w:color="auto"/>
            </w:tcBorders>
            <w:shd w:val="clear" w:color="auto" w:fill="BF8F00"/>
            <w:tcMar>
              <w:top w:w="15" w:type="dxa"/>
              <w:left w:w="15" w:type="dxa"/>
              <w:bottom w:w="0" w:type="dxa"/>
              <w:right w:w="15" w:type="dxa"/>
            </w:tcMar>
            <w:vAlign w:val="center"/>
            <w:hideMark/>
          </w:tcPr>
          <w:p w14:paraId="2836B53F" w14:textId="77777777" w:rsidR="00273288" w:rsidRPr="00E33DE3" w:rsidRDefault="00273288" w:rsidP="00C65B25">
            <w:pPr>
              <w:jc w:val="center"/>
              <w:rPr>
                <w:rFonts w:ascii="Verdana" w:eastAsia="Verdana" w:hAnsi="Verdana" w:cs="Verdana"/>
                <w:b/>
                <w:bCs/>
                <w:color w:val="FFFFFF" w:themeColor="background1"/>
                <w:sz w:val="18"/>
                <w:szCs w:val="18"/>
              </w:rPr>
            </w:pPr>
            <w:r w:rsidRPr="00E33DE3">
              <w:rPr>
                <w:rFonts w:ascii="Verdana" w:eastAsia="Verdana" w:hAnsi="Verdana" w:cs="Verdana"/>
                <w:b/>
                <w:bCs/>
                <w:color w:val="FFFFFF" w:themeColor="background1"/>
                <w:sz w:val="18"/>
                <w:szCs w:val="18"/>
              </w:rPr>
              <w:t>253.624</w:t>
            </w:r>
          </w:p>
        </w:tc>
      </w:tr>
    </w:tbl>
    <w:p w14:paraId="3FB67411" w14:textId="77777777" w:rsidR="00273288" w:rsidRPr="00E33DE3" w:rsidRDefault="00273288" w:rsidP="00C65B25">
      <w:pPr>
        <w:jc w:val="center"/>
        <w:rPr>
          <w:rFonts w:ascii="Verdana" w:hAnsi="Verdana" w:cs="Arial"/>
          <w:sz w:val="18"/>
          <w:szCs w:val="18"/>
          <w:lang w:val="es-CO"/>
        </w:rPr>
      </w:pPr>
      <w:r w:rsidRPr="00E33DE3">
        <w:rPr>
          <w:rFonts w:ascii="Verdana" w:hAnsi="Verdana" w:cs="Arial"/>
          <w:sz w:val="18"/>
          <w:szCs w:val="18"/>
          <w:lang w:val="es-CO"/>
        </w:rPr>
        <w:t>Fuente: Reporte realizado por la Entidad Territorial en FUT y CUIPO a diciembre de 2021, 2022 y 2023.</w:t>
      </w:r>
    </w:p>
    <w:p w14:paraId="558F8033" w14:textId="77777777" w:rsidR="00273288" w:rsidRPr="00E33DE3" w:rsidRDefault="00273288" w:rsidP="00C65B25">
      <w:pPr>
        <w:jc w:val="both"/>
        <w:rPr>
          <w:rFonts w:ascii="Verdana" w:hAnsi="Verdana" w:cs="Arial"/>
          <w:sz w:val="22"/>
          <w:szCs w:val="22"/>
        </w:rPr>
      </w:pPr>
    </w:p>
    <w:p w14:paraId="7D35FE10"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xml:space="preserve">Llama la atención el alto valor reportado por la entidad en superávit de calidad, el cual para la vigencia 2022 es incluso superior a lo asignado por este concepto en el mismo periodo. </w:t>
      </w:r>
    </w:p>
    <w:p w14:paraId="1B60AE57" w14:textId="77777777" w:rsidR="00273288" w:rsidRPr="00E33DE3" w:rsidRDefault="00273288" w:rsidP="00C65B25">
      <w:pPr>
        <w:jc w:val="both"/>
        <w:rPr>
          <w:rFonts w:ascii="Verdana" w:hAnsi="Verdana" w:cs="Arial"/>
          <w:sz w:val="22"/>
          <w:szCs w:val="22"/>
        </w:rPr>
      </w:pPr>
    </w:p>
    <w:p w14:paraId="670D0343" w14:textId="77777777" w:rsidR="00273288" w:rsidRPr="00E33DE3" w:rsidRDefault="00273288" w:rsidP="00C65B25">
      <w:pPr>
        <w:pStyle w:val="Prrafodelista"/>
        <w:numPr>
          <w:ilvl w:val="0"/>
          <w:numId w:val="2"/>
        </w:numPr>
        <w:ind w:left="426" w:hanging="426"/>
        <w:jc w:val="both"/>
        <w:rPr>
          <w:rFonts w:ascii="Verdana" w:hAnsi="Verdana" w:cs="Arial"/>
          <w:sz w:val="22"/>
          <w:szCs w:val="22"/>
        </w:rPr>
      </w:pPr>
      <w:r w:rsidRPr="00E33DE3">
        <w:rPr>
          <w:rFonts w:ascii="Verdana" w:hAnsi="Verdana" w:cs="Arial"/>
          <w:sz w:val="22"/>
          <w:szCs w:val="22"/>
        </w:rPr>
        <w:lastRenderedPageBreak/>
        <w:t xml:space="preserve">El recaudo de ingresos corrientes supera la asignación determinada para la vigencia 2022 en </w:t>
      </w:r>
      <w:r w:rsidR="00FB3CC3" w:rsidRPr="00E33DE3">
        <w:rPr>
          <w:rFonts w:ascii="Verdana" w:hAnsi="Verdana" w:cs="Arial"/>
          <w:sz w:val="22"/>
          <w:szCs w:val="22"/>
        </w:rPr>
        <w:t>$</w:t>
      </w:r>
      <w:r w:rsidRPr="00E33DE3">
        <w:rPr>
          <w:rFonts w:ascii="Verdana" w:hAnsi="Verdana" w:cs="Arial"/>
          <w:sz w:val="22"/>
          <w:szCs w:val="22"/>
        </w:rPr>
        <w:t xml:space="preserve">887 millones. </w:t>
      </w:r>
    </w:p>
    <w:p w14:paraId="7943225D" w14:textId="77777777" w:rsidR="00273288" w:rsidRPr="00E33DE3" w:rsidRDefault="00273288" w:rsidP="00C65B25">
      <w:pPr>
        <w:pStyle w:val="Prrafodelista"/>
        <w:numPr>
          <w:ilvl w:val="0"/>
          <w:numId w:val="2"/>
        </w:numPr>
        <w:ind w:left="426" w:hanging="426"/>
        <w:jc w:val="both"/>
        <w:rPr>
          <w:rFonts w:ascii="Verdana" w:hAnsi="Verdana" w:cs="Arial"/>
          <w:sz w:val="22"/>
          <w:szCs w:val="22"/>
        </w:rPr>
      </w:pPr>
      <w:r w:rsidRPr="00E33DE3">
        <w:rPr>
          <w:rFonts w:ascii="Verdana" w:hAnsi="Verdana" w:cs="Arial"/>
          <w:sz w:val="22"/>
          <w:szCs w:val="22"/>
        </w:rPr>
        <w:t>Fue reportado en CUIPO con fuente “</w:t>
      </w:r>
      <w:r w:rsidRPr="00E33DE3">
        <w:rPr>
          <w:rFonts w:ascii="Verdana" w:hAnsi="Verdana" w:cs="Arial"/>
          <w:i/>
          <w:sz w:val="22"/>
          <w:szCs w:val="22"/>
        </w:rPr>
        <w:t>SGP-EDUCACION-PRESTACION DE SERVICIOS”</w:t>
      </w:r>
      <w:r w:rsidRPr="00E33DE3">
        <w:rPr>
          <w:rFonts w:ascii="Verdana" w:hAnsi="Verdana" w:cs="Arial"/>
          <w:sz w:val="22"/>
          <w:szCs w:val="22"/>
        </w:rPr>
        <w:t>, en lugar de emplear “</w:t>
      </w:r>
      <w:r w:rsidRPr="00E33DE3">
        <w:rPr>
          <w:rFonts w:ascii="Verdana" w:hAnsi="Verdana" w:cs="Arial"/>
          <w:i/>
          <w:sz w:val="22"/>
          <w:szCs w:val="22"/>
        </w:rPr>
        <w:t>SGP-EDUCACION-CALIDAD POR GRATUIDAD”.</w:t>
      </w:r>
    </w:p>
    <w:p w14:paraId="1F8A41BF" w14:textId="77777777" w:rsidR="00273288" w:rsidRPr="00E33DE3" w:rsidRDefault="00273288" w:rsidP="00C65B25">
      <w:pPr>
        <w:rPr>
          <w:rFonts w:ascii="Verdana" w:hAnsi="Verdana"/>
          <w:sz w:val="22"/>
          <w:szCs w:val="22"/>
        </w:rPr>
      </w:pPr>
    </w:p>
    <w:p w14:paraId="16090EE3" w14:textId="77777777" w:rsidR="00273288" w:rsidRPr="00E33DE3" w:rsidRDefault="00273288" w:rsidP="00687D19">
      <w:pPr>
        <w:pStyle w:val="Ttulo2"/>
        <w:rPr>
          <w:rFonts w:ascii="Verdana" w:hAnsi="Verdana"/>
        </w:rPr>
      </w:pPr>
      <w:r w:rsidRPr="00E33DE3">
        <w:rPr>
          <w:rFonts w:ascii="Verdana" w:hAnsi="Verdana"/>
        </w:rPr>
        <w:t>Gastos</w:t>
      </w:r>
    </w:p>
    <w:p w14:paraId="748CCD6A" w14:textId="77777777" w:rsidR="00273288" w:rsidRPr="00E33DE3" w:rsidRDefault="00273288" w:rsidP="00C65B25">
      <w:pPr>
        <w:rPr>
          <w:rFonts w:ascii="Verdana" w:hAnsi="Verdana"/>
          <w:sz w:val="22"/>
          <w:szCs w:val="22"/>
          <w:lang w:val="es-CO"/>
        </w:rPr>
      </w:pPr>
    </w:p>
    <w:p w14:paraId="58B14920"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Para la vigencia 2023, el Municipio de Pasto comprometió $256.656 millones con cargo a los recursos del SGP asignados al sector, de los cuales se obligaron $255.658 millones y se pagaron $251.075 millones. Los gastos financiados con recursos del SGP de la vigencia y las anteriores se comprometieron de la siguiente manera: 93% en cobertura, 1,6% en calidad, 1,2% millones en gratuidad y 3,6% en conectividad y aplicación de Proyectos Educativos Transversales y 1,4% en Necesidades Educativas Especiales y Sistema de Responsabilidad Penal Adolescente.</w:t>
      </w:r>
    </w:p>
    <w:p w14:paraId="244F46F0" w14:textId="77777777" w:rsidR="00273288" w:rsidRPr="00E33DE3" w:rsidRDefault="00273288" w:rsidP="00C65B25">
      <w:pPr>
        <w:jc w:val="both"/>
        <w:rPr>
          <w:rFonts w:ascii="Verdana" w:hAnsi="Verdana" w:cs="Arial"/>
          <w:sz w:val="22"/>
          <w:szCs w:val="22"/>
        </w:rPr>
      </w:pPr>
    </w:p>
    <w:tbl>
      <w:tblPr>
        <w:tblW w:w="9225" w:type="dxa"/>
        <w:jc w:val="center"/>
        <w:tblLayout w:type="fixed"/>
        <w:tblLook w:val="06A0" w:firstRow="1" w:lastRow="0" w:firstColumn="1" w:lastColumn="0" w:noHBand="1" w:noVBand="1"/>
      </w:tblPr>
      <w:tblGrid>
        <w:gridCol w:w="4668"/>
        <w:gridCol w:w="1450"/>
        <w:gridCol w:w="1467"/>
        <w:gridCol w:w="1640"/>
      </w:tblGrid>
      <w:tr w:rsidR="00273288" w:rsidRPr="00E33DE3" w14:paraId="7CA4EDC2" w14:textId="77777777" w:rsidTr="00C65B25">
        <w:trPr>
          <w:trHeight w:val="20"/>
          <w:tblHeader/>
          <w:jc w:val="center"/>
        </w:trPr>
        <w:tc>
          <w:tcPr>
            <w:tcW w:w="9225" w:type="dxa"/>
            <w:gridSpan w:val="4"/>
            <w:tcBorders>
              <w:top w:val="single" w:sz="8" w:space="0" w:color="auto"/>
              <w:left w:val="single" w:sz="8" w:space="0" w:color="auto"/>
              <w:bottom w:val="single" w:sz="4" w:space="0" w:color="auto"/>
              <w:right w:val="single" w:sz="4" w:space="0" w:color="auto"/>
            </w:tcBorders>
            <w:shd w:val="clear" w:color="auto" w:fill="B48C41"/>
            <w:tcMar>
              <w:top w:w="15" w:type="dxa"/>
              <w:left w:w="15" w:type="dxa"/>
              <w:bottom w:w="0" w:type="dxa"/>
              <w:right w:w="15" w:type="dxa"/>
            </w:tcMar>
            <w:vAlign w:val="center"/>
            <w:hideMark/>
          </w:tcPr>
          <w:p w14:paraId="106137C3" w14:textId="77777777" w:rsidR="00273288" w:rsidRPr="00E33DE3" w:rsidRDefault="00273288" w:rsidP="00C65B25">
            <w:pPr>
              <w:jc w:val="center"/>
              <w:rPr>
                <w:rFonts w:ascii="Verdana" w:eastAsia="Arial" w:hAnsi="Verdana" w:cs="Arial"/>
                <w:color w:val="FFFFFF" w:themeColor="background1"/>
                <w:sz w:val="18"/>
                <w:szCs w:val="18"/>
              </w:rPr>
            </w:pPr>
            <w:r w:rsidRPr="00E33DE3">
              <w:rPr>
                <w:rFonts w:ascii="Verdana" w:eastAsia="Arial" w:hAnsi="Verdana" w:cs="Arial"/>
                <w:b/>
                <w:bCs/>
                <w:color w:val="FFFFFF" w:themeColor="background1"/>
                <w:sz w:val="18"/>
                <w:szCs w:val="18"/>
              </w:rPr>
              <w:t>TABLA 2. GASTOS A DICIEMBRE DE 2021, 2022 Y 2023 (MILLONES DE $)</w:t>
            </w:r>
            <w:r w:rsidRPr="00E33DE3">
              <w:rPr>
                <w:rFonts w:ascii="Verdana" w:eastAsia="Arial" w:hAnsi="Verdana" w:cs="Arial"/>
                <w:color w:val="FFFFFF" w:themeColor="background1"/>
                <w:sz w:val="18"/>
                <w:szCs w:val="18"/>
              </w:rPr>
              <w:t xml:space="preserve"> </w:t>
            </w:r>
          </w:p>
        </w:tc>
      </w:tr>
      <w:tr w:rsidR="00273288" w:rsidRPr="00E33DE3" w14:paraId="784E10F2" w14:textId="77777777" w:rsidTr="00C65B25">
        <w:trPr>
          <w:trHeight w:val="20"/>
          <w:tblHeader/>
          <w:jc w:val="center"/>
        </w:trPr>
        <w:tc>
          <w:tcPr>
            <w:tcW w:w="4668" w:type="dxa"/>
            <w:tcBorders>
              <w:top w:val="single" w:sz="4" w:space="0" w:color="auto"/>
              <w:left w:val="single" w:sz="8" w:space="0" w:color="auto"/>
              <w:bottom w:val="single" w:sz="4" w:space="0" w:color="auto"/>
              <w:right w:val="single" w:sz="4" w:space="0" w:color="auto"/>
            </w:tcBorders>
            <w:shd w:val="clear" w:color="auto" w:fill="F1EADA"/>
            <w:tcMar>
              <w:top w:w="15" w:type="dxa"/>
              <w:left w:w="15" w:type="dxa"/>
              <w:bottom w:w="0" w:type="dxa"/>
              <w:right w:w="15" w:type="dxa"/>
            </w:tcMar>
            <w:vAlign w:val="center"/>
            <w:hideMark/>
          </w:tcPr>
          <w:p w14:paraId="5E4214F9"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b/>
                <w:bCs/>
                <w:color w:val="000000" w:themeColor="text1"/>
                <w:sz w:val="18"/>
                <w:szCs w:val="18"/>
              </w:rPr>
              <w:t>RUBRO</w:t>
            </w:r>
          </w:p>
        </w:tc>
        <w:tc>
          <w:tcPr>
            <w:tcW w:w="1450" w:type="dxa"/>
            <w:tcBorders>
              <w:top w:val="single" w:sz="4" w:space="0" w:color="auto"/>
              <w:left w:val="single" w:sz="4" w:space="0" w:color="auto"/>
              <w:bottom w:val="single" w:sz="4" w:space="0" w:color="auto"/>
              <w:right w:val="single" w:sz="4" w:space="0" w:color="auto"/>
            </w:tcBorders>
            <w:shd w:val="clear" w:color="auto" w:fill="F1EADA"/>
            <w:tcMar>
              <w:top w:w="15" w:type="dxa"/>
              <w:left w:w="15" w:type="dxa"/>
              <w:bottom w:w="0" w:type="dxa"/>
              <w:right w:w="15" w:type="dxa"/>
            </w:tcMar>
            <w:vAlign w:val="center"/>
            <w:hideMark/>
          </w:tcPr>
          <w:p w14:paraId="282B8B12"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2021</w:t>
            </w:r>
          </w:p>
        </w:tc>
        <w:tc>
          <w:tcPr>
            <w:tcW w:w="1467" w:type="dxa"/>
            <w:tcBorders>
              <w:top w:val="single" w:sz="4" w:space="0" w:color="auto"/>
              <w:left w:val="single" w:sz="4" w:space="0" w:color="auto"/>
              <w:bottom w:val="single" w:sz="4" w:space="0" w:color="auto"/>
              <w:right w:val="single" w:sz="4" w:space="0" w:color="auto"/>
            </w:tcBorders>
            <w:shd w:val="clear" w:color="auto" w:fill="F1EADA"/>
            <w:tcMar>
              <w:top w:w="15" w:type="dxa"/>
              <w:left w:w="15" w:type="dxa"/>
              <w:bottom w:w="0" w:type="dxa"/>
              <w:right w:w="15" w:type="dxa"/>
            </w:tcMar>
            <w:vAlign w:val="center"/>
            <w:hideMark/>
          </w:tcPr>
          <w:p w14:paraId="2982F99F"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2022</w:t>
            </w:r>
          </w:p>
        </w:tc>
        <w:tc>
          <w:tcPr>
            <w:tcW w:w="1640" w:type="dxa"/>
            <w:tcBorders>
              <w:top w:val="single" w:sz="4" w:space="0" w:color="auto"/>
              <w:left w:val="single" w:sz="4" w:space="0" w:color="auto"/>
              <w:bottom w:val="single" w:sz="4" w:space="0" w:color="auto"/>
              <w:right w:val="single" w:sz="8" w:space="0" w:color="auto"/>
            </w:tcBorders>
            <w:shd w:val="clear" w:color="auto" w:fill="F1EADA"/>
            <w:tcMar>
              <w:top w:w="15" w:type="dxa"/>
              <w:left w:w="15" w:type="dxa"/>
              <w:bottom w:w="0" w:type="dxa"/>
              <w:right w:w="15" w:type="dxa"/>
            </w:tcMar>
            <w:vAlign w:val="center"/>
            <w:hideMark/>
          </w:tcPr>
          <w:p w14:paraId="20AF1890"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2023</w:t>
            </w:r>
          </w:p>
        </w:tc>
      </w:tr>
      <w:tr w:rsidR="00E33DE3" w:rsidRPr="00E33DE3" w14:paraId="717C44CA" w14:textId="77777777" w:rsidTr="00C65B25">
        <w:trPr>
          <w:trHeight w:val="20"/>
          <w:jc w:val="center"/>
        </w:trPr>
        <w:tc>
          <w:tcPr>
            <w:tcW w:w="4668" w:type="dxa"/>
            <w:tcBorders>
              <w:top w:val="single" w:sz="4" w:space="0" w:color="auto"/>
              <w:left w:val="single" w:sz="8"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65ECFC70"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b/>
                <w:bCs/>
                <w:color w:val="000000" w:themeColor="text1"/>
                <w:sz w:val="18"/>
                <w:szCs w:val="18"/>
              </w:rPr>
              <w:t>COBERTURA</w:t>
            </w:r>
            <w:r w:rsidRPr="00E33DE3">
              <w:rPr>
                <w:rFonts w:ascii="Verdana" w:eastAsia="Verdana" w:hAnsi="Verdana" w:cs="Verdana"/>
                <w:color w:val="000000" w:themeColor="text1"/>
                <w:sz w:val="18"/>
                <w:szCs w:val="18"/>
              </w:rPr>
              <w:t xml:space="preserve"> </w:t>
            </w:r>
          </w:p>
        </w:tc>
        <w:tc>
          <w:tcPr>
            <w:tcW w:w="145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4F9D3D83"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221.226</w:t>
            </w:r>
          </w:p>
        </w:tc>
        <w:tc>
          <w:tcPr>
            <w:tcW w:w="1467"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5E4DA8D9"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218.618</w:t>
            </w:r>
          </w:p>
        </w:tc>
        <w:tc>
          <w:tcPr>
            <w:tcW w:w="16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64537A00"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238.752</w:t>
            </w:r>
          </w:p>
        </w:tc>
      </w:tr>
      <w:tr w:rsidR="00273288" w:rsidRPr="00E33DE3" w14:paraId="30FB86D6" w14:textId="77777777" w:rsidTr="00C65B25">
        <w:trPr>
          <w:trHeight w:val="20"/>
          <w:jc w:val="center"/>
        </w:trPr>
        <w:tc>
          <w:tcPr>
            <w:tcW w:w="4668"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4767DDB6"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b/>
                <w:bCs/>
                <w:color w:val="000000" w:themeColor="text1"/>
                <w:sz w:val="18"/>
                <w:szCs w:val="18"/>
              </w:rPr>
              <w:t xml:space="preserve">Gastos de Personal </w:t>
            </w:r>
            <w:r w:rsidRPr="00E33DE3">
              <w:rPr>
                <w:rFonts w:ascii="Verdana" w:eastAsia="Verdana" w:hAnsi="Verdana" w:cs="Verdana"/>
                <w:color w:val="000000" w:themeColor="text1"/>
                <w:sz w:val="18"/>
                <w:szCs w:val="18"/>
              </w:rPr>
              <w:t xml:space="preserve"> </w:t>
            </w:r>
          </w:p>
        </w:tc>
        <w:tc>
          <w:tcPr>
            <w:tcW w:w="1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B17158"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157.543</w:t>
            </w:r>
          </w:p>
        </w:tc>
        <w:tc>
          <w:tcPr>
            <w:tcW w:w="1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64232"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180.664</w:t>
            </w:r>
          </w:p>
        </w:tc>
        <w:tc>
          <w:tcPr>
            <w:tcW w:w="16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62A24"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231.370</w:t>
            </w:r>
          </w:p>
        </w:tc>
      </w:tr>
      <w:tr w:rsidR="00273288" w:rsidRPr="00E33DE3" w14:paraId="0B27882D" w14:textId="77777777" w:rsidTr="00C65B25">
        <w:trPr>
          <w:trHeight w:val="20"/>
          <w:jc w:val="center"/>
        </w:trPr>
        <w:tc>
          <w:tcPr>
            <w:tcW w:w="4668" w:type="dxa"/>
            <w:tcBorders>
              <w:top w:val="single" w:sz="4" w:space="0" w:color="auto"/>
              <w:left w:val="single" w:sz="8" w:space="0" w:color="auto"/>
              <w:bottom w:val="single" w:sz="4" w:space="0" w:color="auto"/>
              <w:right w:val="single" w:sz="4" w:space="0" w:color="auto"/>
            </w:tcBorders>
            <w:tcMar>
              <w:top w:w="15" w:type="dxa"/>
              <w:left w:w="270" w:type="dxa"/>
              <w:bottom w:w="0" w:type="dxa"/>
              <w:right w:w="15" w:type="dxa"/>
            </w:tcMar>
            <w:vAlign w:val="center"/>
            <w:hideMark/>
          </w:tcPr>
          <w:p w14:paraId="3C709ED4"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 Personal Docente  </w:t>
            </w:r>
          </w:p>
        </w:tc>
        <w:tc>
          <w:tcPr>
            <w:tcW w:w="145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4789F1BF"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126.893</w:t>
            </w:r>
          </w:p>
        </w:tc>
        <w:tc>
          <w:tcPr>
            <w:tcW w:w="146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120C1836"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145.736</w:t>
            </w:r>
          </w:p>
        </w:tc>
        <w:tc>
          <w:tcPr>
            <w:tcW w:w="164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750991B3"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166.993</w:t>
            </w:r>
          </w:p>
        </w:tc>
      </w:tr>
      <w:tr w:rsidR="00273288" w:rsidRPr="00E33DE3" w14:paraId="572B8B14" w14:textId="77777777" w:rsidTr="00C65B25">
        <w:trPr>
          <w:trHeight w:val="20"/>
          <w:jc w:val="center"/>
        </w:trPr>
        <w:tc>
          <w:tcPr>
            <w:tcW w:w="4668" w:type="dxa"/>
            <w:tcBorders>
              <w:top w:val="single" w:sz="4" w:space="0" w:color="auto"/>
              <w:left w:val="single" w:sz="8" w:space="0" w:color="auto"/>
              <w:bottom w:val="single" w:sz="4" w:space="0" w:color="auto"/>
              <w:right w:val="single" w:sz="4" w:space="0" w:color="auto"/>
            </w:tcBorders>
            <w:tcMar>
              <w:top w:w="15" w:type="dxa"/>
              <w:left w:w="270" w:type="dxa"/>
              <w:bottom w:w="0" w:type="dxa"/>
              <w:right w:w="15" w:type="dxa"/>
            </w:tcMar>
            <w:vAlign w:val="center"/>
            <w:hideMark/>
          </w:tcPr>
          <w:p w14:paraId="069FDB7A"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 Personal Directivo - Docente  </w:t>
            </w:r>
          </w:p>
        </w:tc>
        <w:tc>
          <w:tcPr>
            <w:tcW w:w="145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3DB3827B"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14.199</w:t>
            </w:r>
          </w:p>
        </w:tc>
        <w:tc>
          <w:tcPr>
            <w:tcW w:w="146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2AA17423"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16.689</w:t>
            </w:r>
          </w:p>
        </w:tc>
        <w:tc>
          <w:tcPr>
            <w:tcW w:w="164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0EF1392F"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24.842</w:t>
            </w:r>
          </w:p>
        </w:tc>
      </w:tr>
      <w:tr w:rsidR="00273288" w:rsidRPr="00E33DE3" w14:paraId="1DB58B2A" w14:textId="77777777" w:rsidTr="00C65B25">
        <w:trPr>
          <w:trHeight w:val="20"/>
          <w:jc w:val="center"/>
        </w:trPr>
        <w:tc>
          <w:tcPr>
            <w:tcW w:w="4668" w:type="dxa"/>
            <w:tcBorders>
              <w:top w:val="single" w:sz="4" w:space="0" w:color="auto"/>
              <w:left w:val="single" w:sz="8" w:space="0" w:color="auto"/>
              <w:bottom w:val="single" w:sz="4" w:space="0" w:color="auto"/>
              <w:right w:val="single" w:sz="4" w:space="0" w:color="auto"/>
            </w:tcBorders>
            <w:tcMar>
              <w:top w:w="15" w:type="dxa"/>
              <w:left w:w="270" w:type="dxa"/>
              <w:bottom w:w="0" w:type="dxa"/>
              <w:right w:w="15" w:type="dxa"/>
            </w:tcMar>
            <w:vAlign w:val="center"/>
            <w:hideMark/>
          </w:tcPr>
          <w:p w14:paraId="3C835149"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 Personal Administrativo</w:t>
            </w:r>
          </w:p>
        </w:tc>
        <w:tc>
          <w:tcPr>
            <w:tcW w:w="145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14D24141"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16.452</w:t>
            </w:r>
          </w:p>
        </w:tc>
        <w:tc>
          <w:tcPr>
            <w:tcW w:w="146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611E0505"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b/>
                <w:bCs/>
                <w:color w:val="FF0000"/>
                <w:sz w:val="18"/>
                <w:szCs w:val="18"/>
              </w:rPr>
              <w:t>(1)</w:t>
            </w:r>
            <w:r w:rsidR="004F0B82" w:rsidRPr="00E33DE3">
              <w:rPr>
                <w:rFonts w:ascii="Verdana" w:eastAsia="Verdana" w:hAnsi="Verdana" w:cs="Verdana"/>
                <w:b/>
                <w:bCs/>
                <w:color w:val="FF0000"/>
                <w:sz w:val="18"/>
                <w:szCs w:val="18"/>
              </w:rPr>
              <w:t xml:space="preserve"> </w:t>
            </w:r>
            <w:r w:rsidRPr="00E33DE3">
              <w:rPr>
                <w:rFonts w:ascii="Verdana" w:eastAsia="Verdana" w:hAnsi="Verdana" w:cs="Verdana"/>
                <w:color w:val="000000" w:themeColor="text1"/>
                <w:sz w:val="18"/>
                <w:szCs w:val="18"/>
              </w:rPr>
              <w:t>17.837</w:t>
            </w:r>
          </w:p>
        </w:tc>
        <w:tc>
          <w:tcPr>
            <w:tcW w:w="164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57B389AD"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b/>
                <w:bCs/>
                <w:color w:val="FF0000"/>
                <w:sz w:val="18"/>
                <w:szCs w:val="18"/>
              </w:rPr>
              <w:t>(1)</w:t>
            </w:r>
            <w:r w:rsidRPr="00E33DE3">
              <w:rPr>
                <w:rFonts w:ascii="Verdana" w:eastAsia="Verdana" w:hAnsi="Verdana" w:cs="Verdana"/>
                <w:color w:val="FF0000"/>
                <w:sz w:val="18"/>
                <w:szCs w:val="18"/>
              </w:rPr>
              <w:t xml:space="preserve"> </w:t>
            </w:r>
            <w:r w:rsidRPr="00E33DE3">
              <w:rPr>
                <w:rFonts w:ascii="Verdana" w:eastAsia="Verdana" w:hAnsi="Verdana" w:cs="Verdana"/>
                <w:color w:val="000000" w:themeColor="text1"/>
                <w:sz w:val="18"/>
                <w:szCs w:val="18"/>
              </w:rPr>
              <w:t>24.663</w:t>
            </w:r>
          </w:p>
        </w:tc>
      </w:tr>
      <w:tr w:rsidR="00273288" w:rsidRPr="00E33DE3" w14:paraId="57D7B299" w14:textId="77777777" w:rsidTr="00C65B25">
        <w:trPr>
          <w:trHeight w:val="20"/>
          <w:jc w:val="center"/>
        </w:trPr>
        <w:tc>
          <w:tcPr>
            <w:tcW w:w="4668" w:type="dxa"/>
            <w:tcBorders>
              <w:top w:val="single" w:sz="4" w:space="0" w:color="auto"/>
              <w:left w:val="single" w:sz="8" w:space="0" w:color="auto"/>
              <w:bottom w:val="single" w:sz="4" w:space="0" w:color="auto"/>
              <w:right w:val="single" w:sz="4" w:space="0" w:color="auto"/>
            </w:tcBorders>
            <w:tcMar>
              <w:top w:w="15" w:type="dxa"/>
              <w:left w:w="270" w:type="dxa"/>
              <w:bottom w:w="0" w:type="dxa"/>
              <w:right w:w="15" w:type="dxa"/>
            </w:tcMar>
            <w:vAlign w:val="center"/>
            <w:hideMark/>
          </w:tcPr>
          <w:p w14:paraId="58A89183"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 Viáticos y Gastos de Viaje </w:t>
            </w:r>
          </w:p>
        </w:tc>
        <w:tc>
          <w:tcPr>
            <w:tcW w:w="145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55E344D3"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w:t>
            </w:r>
          </w:p>
        </w:tc>
        <w:tc>
          <w:tcPr>
            <w:tcW w:w="146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0AD4449F"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402</w:t>
            </w:r>
          </w:p>
        </w:tc>
        <w:tc>
          <w:tcPr>
            <w:tcW w:w="164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0C5945CE"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98</w:t>
            </w:r>
          </w:p>
        </w:tc>
      </w:tr>
      <w:tr w:rsidR="00E33DE3" w:rsidRPr="00E33DE3" w14:paraId="0DCA36FC" w14:textId="77777777" w:rsidTr="00C65B25">
        <w:trPr>
          <w:trHeight w:val="20"/>
          <w:jc w:val="center"/>
        </w:trPr>
        <w:tc>
          <w:tcPr>
            <w:tcW w:w="4668"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08EB6B5B"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b/>
                <w:bCs/>
                <w:color w:val="000000" w:themeColor="text1"/>
                <w:sz w:val="18"/>
                <w:szCs w:val="18"/>
              </w:rPr>
              <w:t xml:space="preserve">Aportes Patronales </w:t>
            </w:r>
            <w:r w:rsidRPr="00E33DE3">
              <w:rPr>
                <w:rFonts w:ascii="Verdana" w:eastAsia="Verdana" w:hAnsi="Verdana" w:cs="Verdana"/>
                <w:color w:val="000000" w:themeColor="text1"/>
                <w:sz w:val="18"/>
                <w:szCs w:val="18"/>
              </w:rPr>
              <w:t xml:space="preserve"> </w:t>
            </w:r>
          </w:p>
        </w:tc>
        <w:tc>
          <w:tcPr>
            <w:tcW w:w="145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4A823862"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55.594</w:t>
            </w:r>
          </w:p>
        </w:tc>
        <w:tc>
          <w:tcPr>
            <w:tcW w:w="146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00B9D588"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37.954</w:t>
            </w:r>
          </w:p>
        </w:tc>
        <w:tc>
          <w:tcPr>
            <w:tcW w:w="164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74417248"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FF0000"/>
                <w:sz w:val="18"/>
                <w:szCs w:val="18"/>
              </w:rPr>
              <w:t>(5)</w:t>
            </w:r>
            <w:r w:rsidR="004F0B82" w:rsidRPr="00E33DE3">
              <w:rPr>
                <w:rFonts w:ascii="Verdana" w:eastAsia="Verdana" w:hAnsi="Verdana" w:cs="Verdana"/>
                <w:b/>
                <w:bCs/>
                <w:color w:val="FF0000"/>
                <w:sz w:val="18"/>
                <w:szCs w:val="18"/>
              </w:rPr>
              <w:t xml:space="preserve"> </w:t>
            </w:r>
            <w:r w:rsidRPr="00E33DE3">
              <w:rPr>
                <w:rFonts w:ascii="Verdana" w:eastAsia="Verdana" w:hAnsi="Verdana" w:cs="Verdana"/>
                <w:b/>
                <w:bCs/>
                <w:color w:val="000000" w:themeColor="text1"/>
                <w:sz w:val="18"/>
                <w:szCs w:val="18"/>
              </w:rPr>
              <w:t>14.774 -</w:t>
            </w:r>
          </w:p>
        </w:tc>
      </w:tr>
      <w:tr w:rsidR="00273288" w:rsidRPr="00E33DE3" w14:paraId="7546B2B9" w14:textId="77777777" w:rsidTr="00C65B25">
        <w:trPr>
          <w:trHeight w:val="20"/>
          <w:jc w:val="center"/>
        </w:trPr>
        <w:tc>
          <w:tcPr>
            <w:tcW w:w="4668" w:type="dxa"/>
            <w:tcBorders>
              <w:top w:val="single" w:sz="4" w:space="0" w:color="auto"/>
              <w:left w:val="single" w:sz="8" w:space="0" w:color="auto"/>
              <w:bottom w:val="single" w:sz="4" w:space="0" w:color="auto"/>
              <w:right w:val="single" w:sz="4" w:space="0" w:color="auto"/>
            </w:tcBorders>
            <w:tcMar>
              <w:top w:w="15" w:type="dxa"/>
              <w:left w:w="270" w:type="dxa"/>
              <w:bottom w:w="0" w:type="dxa"/>
              <w:right w:w="15" w:type="dxa"/>
            </w:tcMar>
            <w:vAlign w:val="center"/>
            <w:hideMark/>
          </w:tcPr>
          <w:p w14:paraId="21AC261C"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 Sin Situación de Fondos (Docentes y Directivos Docentes) </w:t>
            </w:r>
          </w:p>
        </w:tc>
        <w:tc>
          <w:tcPr>
            <w:tcW w:w="145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643EBB5D"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24.043</w:t>
            </w:r>
          </w:p>
        </w:tc>
        <w:tc>
          <w:tcPr>
            <w:tcW w:w="146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55A6CBA8"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b/>
                <w:bCs/>
                <w:color w:val="FF0000"/>
                <w:sz w:val="18"/>
                <w:szCs w:val="18"/>
              </w:rPr>
              <w:t>(2)</w:t>
            </w:r>
            <w:r w:rsidRPr="00E33DE3">
              <w:rPr>
                <w:rFonts w:ascii="Verdana" w:eastAsia="Verdana" w:hAnsi="Verdana" w:cs="Verdana"/>
                <w:color w:val="000000" w:themeColor="text1"/>
                <w:sz w:val="18"/>
                <w:szCs w:val="18"/>
              </w:rPr>
              <w:t xml:space="preserve"> -</w:t>
            </w:r>
          </w:p>
        </w:tc>
        <w:tc>
          <w:tcPr>
            <w:tcW w:w="164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7ADFC2F2"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b/>
                <w:bCs/>
                <w:color w:val="FF0000"/>
                <w:sz w:val="18"/>
                <w:szCs w:val="18"/>
              </w:rPr>
              <w:t>(4)</w:t>
            </w:r>
            <w:r w:rsidR="004F0B82" w:rsidRPr="00E33DE3">
              <w:rPr>
                <w:rFonts w:ascii="Verdana" w:eastAsia="Verdana" w:hAnsi="Verdana" w:cs="Verdana"/>
                <w:b/>
                <w:bCs/>
                <w:color w:val="FF0000"/>
                <w:sz w:val="18"/>
                <w:szCs w:val="18"/>
              </w:rPr>
              <w:t xml:space="preserve"> </w:t>
            </w:r>
            <w:r w:rsidRPr="00E33DE3">
              <w:rPr>
                <w:rFonts w:ascii="Verdana" w:eastAsia="Verdana" w:hAnsi="Verdana" w:cs="Verdana"/>
                <w:color w:val="000000" w:themeColor="text1"/>
                <w:sz w:val="18"/>
                <w:szCs w:val="18"/>
              </w:rPr>
              <w:t>14.774</w:t>
            </w:r>
          </w:p>
        </w:tc>
      </w:tr>
      <w:tr w:rsidR="00273288" w:rsidRPr="00E33DE3" w14:paraId="47116CA5" w14:textId="77777777" w:rsidTr="00C65B25">
        <w:trPr>
          <w:trHeight w:val="20"/>
          <w:jc w:val="center"/>
        </w:trPr>
        <w:tc>
          <w:tcPr>
            <w:tcW w:w="4668" w:type="dxa"/>
            <w:tcBorders>
              <w:top w:val="single" w:sz="4" w:space="0" w:color="auto"/>
              <w:left w:val="single" w:sz="8" w:space="0" w:color="auto"/>
              <w:bottom w:val="single" w:sz="4" w:space="0" w:color="auto"/>
              <w:right w:val="single" w:sz="4" w:space="0" w:color="auto"/>
            </w:tcBorders>
            <w:tcMar>
              <w:top w:w="15" w:type="dxa"/>
              <w:left w:w="270" w:type="dxa"/>
              <w:bottom w:w="0" w:type="dxa"/>
              <w:right w:w="15" w:type="dxa"/>
            </w:tcMar>
            <w:vAlign w:val="center"/>
            <w:hideMark/>
          </w:tcPr>
          <w:p w14:paraId="34436A4E"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 Con situación de fondos (Docentes y Directivos Docentes) </w:t>
            </w:r>
          </w:p>
        </w:tc>
        <w:tc>
          <w:tcPr>
            <w:tcW w:w="145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1951F8FF"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26.083</w:t>
            </w:r>
          </w:p>
        </w:tc>
        <w:tc>
          <w:tcPr>
            <w:tcW w:w="146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78CA0D20"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29.096</w:t>
            </w:r>
          </w:p>
        </w:tc>
        <w:tc>
          <w:tcPr>
            <w:tcW w:w="164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7A667131"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w:t>
            </w:r>
          </w:p>
        </w:tc>
      </w:tr>
      <w:tr w:rsidR="00273288" w:rsidRPr="00E33DE3" w14:paraId="39232B0E" w14:textId="77777777" w:rsidTr="00C65B25">
        <w:trPr>
          <w:trHeight w:val="20"/>
          <w:jc w:val="center"/>
        </w:trPr>
        <w:tc>
          <w:tcPr>
            <w:tcW w:w="4668" w:type="dxa"/>
            <w:tcBorders>
              <w:top w:val="single" w:sz="4" w:space="0" w:color="auto"/>
              <w:left w:val="single" w:sz="8" w:space="0" w:color="auto"/>
              <w:bottom w:val="single" w:sz="4" w:space="0" w:color="auto"/>
              <w:right w:val="single" w:sz="4" w:space="0" w:color="auto"/>
            </w:tcBorders>
            <w:tcMar>
              <w:top w:w="15" w:type="dxa"/>
              <w:left w:w="270" w:type="dxa"/>
              <w:bottom w:w="0" w:type="dxa"/>
              <w:right w:w="15" w:type="dxa"/>
            </w:tcMar>
            <w:vAlign w:val="center"/>
            <w:hideMark/>
          </w:tcPr>
          <w:p w14:paraId="0281DBEC"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 Personal Administrativo de Instituciones Educativas (A.P)</w:t>
            </w:r>
          </w:p>
        </w:tc>
        <w:tc>
          <w:tcPr>
            <w:tcW w:w="145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4ADEA861"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4.757</w:t>
            </w:r>
          </w:p>
        </w:tc>
        <w:tc>
          <w:tcPr>
            <w:tcW w:w="146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5AEE5B32"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8.857</w:t>
            </w:r>
          </w:p>
        </w:tc>
        <w:tc>
          <w:tcPr>
            <w:tcW w:w="164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052D625D"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w:t>
            </w:r>
          </w:p>
        </w:tc>
      </w:tr>
      <w:tr w:rsidR="00273288" w:rsidRPr="00E33DE3" w14:paraId="11715DC5" w14:textId="77777777" w:rsidTr="00C65B25">
        <w:trPr>
          <w:trHeight w:val="20"/>
          <w:jc w:val="center"/>
        </w:trPr>
        <w:tc>
          <w:tcPr>
            <w:tcW w:w="4668" w:type="dxa"/>
            <w:tcBorders>
              <w:top w:val="single" w:sz="4" w:space="0" w:color="auto"/>
              <w:left w:val="single" w:sz="8" w:space="0" w:color="auto"/>
              <w:bottom w:val="single" w:sz="4" w:space="0" w:color="auto"/>
              <w:right w:val="single" w:sz="4" w:space="0" w:color="auto"/>
            </w:tcBorders>
            <w:tcMar>
              <w:top w:w="15" w:type="dxa"/>
              <w:left w:w="270" w:type="dxa"/>
              <w:bottom w:w="0" w:type="dxa"/>
              <w:right w:w="15" w:type="dxa"/>
            </w:tcMar>
            <w:vAlign w:val="center"/>
            <w:hideMark/>
          </w:tcPr>
          <w:p w14:paraId="15378471"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 Personal Administrativo Secretaría de Educación (A.P)</w:t>
            </w:r>
          </w:p>
        </w:tc>
        <w:tc>
          <w:tcPr>
            <w:tcW w:w="145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0DE09A0D"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712</w:t>
            </w:r>
          </w:p>
        </w:tc>
        <w:tc>
          <w:tcPr>
            <w:tcW w:w="146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7C82A4A2"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b/>
                <w:bCs/>
                <w:color w:val="FF0000"/>
                <w:sz w:val="18"/>
                <w:szCs w:val="18"/>
              </w:rPr>
              <w:t>(1)</w:t>
            </w:r>
            <w:r w:rsidRPr="00E33DE3">
              <w:rPr>
                <w:rFonts w:ascii="Verdana" w:eastAsia="Verdana" w:hAnsi="Verdana" w:cs="Verdana"/>
                <w:color w:val="000000" w:themeColor="text1"/>
                <w:sz w:val="18"/>
                <w:szCs w:val="18"/>
              </w:rPr>
              <w:t xml:space="preserve"> -</w:t>
            </w:r>
          </w:p>
        </w:tc>
        <w:tc>
          <w:tcPr>
            <w:tcW w:w="164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3AF2D8BB"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b/>
                <w:bCs/>
                <w:color w:val="FF0000"/>
                <w:sz w:val="18"/>
                <w:szCs w:val="18"/>
              </w:rPr>
              <w:t>(1)</w:t>
            </w:r>
            <w:r w:rsidRPr="00E33DE3">
              <w:rPr>
                <w:rFonts w:ascii="Verdana" w:eastAsia="Verdana" w:hAnsi="Verdana" w:cs="Verdana"/>
                <w:color w:val="FF0000"/>
                <w:sz w:val="18"/>
                <w:szCs w:val="18"/>
              </w:rPr>
              <w:t xml:space="preserve"> </w:t>
            </w:r>
            <w:r w:rsidRPr="00E33DE3">
              <w:rPr>
                <w:rFonts w:ascii="Verdana" w:eastAsia="Verdana" w:hAnsi="Verdana" w:cs="Verdana"/>
                <w:color w:val="000000" w:themeColor="text1"/>
                <w:sz w:val="18"/>
                <w:szCs w:val="18"/>
              </w:rPr>
              <w:t>-</w:t>
            </w:r>
          </w:p>
        </w:tc>
      </w:tr>
      <w:tr w:rsidR="00E33DE3" w:rsidRPr="00E33DE3" w14:paraId="4E4887D3" w14:textId="77777777" w:rsidTr="00C65B25">
        <w:trPr>
          <w:trHeight w:val="20"/>
          <w:jc w:val="center"/>
        </w:trPr>
        <w:tc>
          <w:tcPr>
            <w:tcW w:w="4668"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45270E41"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b/>
                <w:bCs/>
                <w:color w:val="000000" w:themeColor="text1"/>
                <w:sz w:val="18"/>
                <w:szCs w:val="18"/>
              </w:rPr>
              <w:t>Gastos Generales</w:t>
            </w:r>
            <w:r w:rsidRPr="00E33DE3">
              <w:rPr>
                <w:rFonts w:ascii="Verdana" w:eastAsia="Verdana" w:hAnsi="Verdana" w:cs="Verdana"/>
                <w:color w:val="000000" w:themeColor="text1"/>
                <w:sz w:val="18"/>
                <w:szCs w:val="18"/>
              </w:rPr>
              <w:t xml:space="preserve"> </w:t>
            </w:r>
          </w:p>
        </w:tc>
        <w:tc>
          <w:tcPr>
            <w:tcW w:w="145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065ABC97"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w:t>
            </w:r>
          </w:p>
        </w:tc>
        <w:tc>
          <w:tcPr>
            <w:tcW w:w="146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6201B2B0"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b/>
                <w:bCs/>
                <w:color w:val="FF0000"/>
                <w:sz w:val="18"/>
                <w:szCs w:val="18"/>
              </w:rPr>
              <w:t>(3)</w:t>
            </w:r>
            <w:r w:rsidRPr="00E33DE3">
              <w:rPr>
                <w:rFonts w:ascii="Verdana" w:eastAsia="Verdana" w:hAnsi="Verdana" w:cs="Verdana"/>
                <w:color w:val="FF0000"/>
                <w:sz w:val="18"/>
                <w:szCs w:val="18"/>
              </w:rPr>
              <w:t xml:space="preserve"> </w:t>
            </w:r>
            <w:r w:rsidRPr="00E33DE3">
              <w:rPr>
                <w:rFonts w:ascii="Verdana" w:eastAsia="Verdana" w:hAnsi="Verdana" w:cs="Verdana"/>
                <w:color w:val="000000" w:themeColor="text1"/>
                <w:sz w:val="18"/>
                <w:szCs w:val="18"/>
              </w:rPr>
              <w:t>-</w:t>
            </w:r>
          </w:p>
        </w:tc>
        <w:tc>
          <w:tcPr>
            <w:tcW w:w="164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7630EEDD"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w:t>
            </w:r>
          </w:p>
        </w:tc>
      </w:tr>
      <w:tr w:rsidR="00E33DE3" w:rsidRPr="00E33DE3" w14:paraId="0F4EBC48" w14:textId="77777777" w:rsidTr="00C65B25">
        <w:trPr>
          <w:trHeight w:val="20"/>
          <w:jc w:val="center"/>
        </w:trPr>
        <w:tc>
          <w:tcPr>
            <w:tcW w:w="4668"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4F8F8716"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b/>
                <w:bCs/>
                <w:color w:val="000000" w:themeColor="text1"/>
                <w:sz w:val="18"/>
                <w:szCs w:val="18"/>
              </w:rPr>
              <w:t>Contratos para la Prestación del Servicio Educativo</w:t>
            </w:r>
            <w:r w:rsidRPr="00E33DE3">
              <w:rPr>
                <w:rFonts w:ascii="Verdana" w:eastAsia="Verdana" w:hAnsi="Verdana" w:cs="Verdana"/>
                <w:color w:val="000000" w:themeColor="text1"/>
                <w:sz w:val="18"/>
                <w:szCs w:val="18"/>
              </w:rPr>
              <w:t xml:space="preserve"> </w:t>
            </w:r>
          </w:p>
        </w:tc>
        <w:tc>
          <w:tcPr>
            <w:tcW w:w="145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503E443D"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7.202</w:t>
            </w:r>
          </w:p>
        </w:tc>
        <w:tc>
          <w:tcPr>
            <w:tcW w:w="146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7FCCAB8D"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w:t>
            </w:r>
          </w:p>
        </w:tc>
        <w:tc>
          <w:tcPr>
            <w:tcW w:w="164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69DE46CB"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7.383</w:t>
            </w:r>
          </w:p>
        </w:tc>
      </w:tr>
      <w:tr w:rsidR="00E33DE3" w:rsidRPr="00E33DE3" w14:paraId="4964B005" w14:textId="77777777" w:rsidTr="00C65B25">
        <w:trPr>
          <w:trHeight w:val="20"/>
          <w:jc w:val="center"/>
        </w:trPr>
        <w:tc>
          <w:tcPr>
            <w:tcW w:w="4668"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5A99C429" w14:textId="77777777" w:rsidR="00273288" w:rsidRPr="00E33DE3" w:rsidRDefault="00273288" w:rsidP="00C65B25">
            <w:pP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Contratos de Aseo y Vigilancia</w:t>
            </w:r>
          </w:p>
        </w:tc>
        <w:tc>
          <w:tcPr>
            <w:tcW w:w="145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580746F7"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887</w:t>
            </w:r>
          </w:p>
        </w:tc>
        <w:tc>
          <w:tcPr>
            <w:tcW w:w="146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2A3A450D"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w:t>
            </w:r>
          </w:p>
        </w:tc>
        <w:tc>
          <w:tcPr>
            <w:tcW w:w="164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1877DCF7"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w:t>
            </w:r>
          </w:p>
        </w:tc>
      </w:tr>
      <w:tr w:rsidR="00E33DE3" w:rsidRPr="00E33DE3" w14:paraId="76B6AA12" w14:textId="77777777" w:rsidTr="00C65B25">
        <w:trPr>
          <w:trHeight w:val="20"/>
          <w:jc w:val="center"/>
        </w:trPr>
        <w:tc>
          <w:tcPr>
            <w:tcW w:w="4668" w:type="dxa"/>
            <w:tcBorders>
              <w:top w:val="single" w:sz="4" w:space="0" w:color="auto"/>
              <w:left w:val="single" w:sz="8"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36C183D0"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b/>
                <w:bCs/>
                <w:color w:val="000000" w:themeColor="text1"/>
                <w:sz w:val="18"/>
                <w:szCs w:val="18"/>
              </w:rPr>
              <w:t>CALIDAD</w:t>
            </w:r>
            <w:r w:rsidRPr="00E33DE3">
              <w:rPr>
                <w:rFonts w:ascii="Verdana" w:eastAsia="Verdana" w:hAnsi="Verdana" w:cs="Verdana"/>
                <w:color w:val="000000" w:themeColor="text1"/>
                <w:sz w:val="18"/>
                <w:szCs w:val="18"/>
              </w:rPr>
              <w:t xml:space="preserve"> </w:t>
            </w:r>
          </w:p>
        </w:tc>
        <w:tc>
          <w:tcPr>
            <w:tcW w:w="145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38EA8DCB"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1.938</w:t>
            </w:r>
          </w:p>
        </w:tc>
        <w:tc>
          <w:tcPr>
            <w:tcW w:w="1467"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194E6650"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16.241</w:t>
            </w:r>
          </w:p>
        </w:tc>
        <w:tc>
          <w:tcPr>
            <w:tcW w:w="16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6FB7BC10"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4.079</w:t>
            </w:r>
          </w:p>
        </w:tc>
      </w:tr>
      <w:tr w:rsidR="00273288" w:rsidRPr="00E33DE3" w14:paraId="01872633" w14:textId="77777777" w:rsidTr="00C65B25">
        <w:trPr>
          <w:trHeight w:val="20"/>
          <w:jc w:val="center"/>
        </w:trPr>
        <w:tc>
          <w:tcPr>
            <w:tcW w:w="4668" w:type="dxa"/>
            <w:tcBorders>
              <w:top w:val="single" w:sz="4" w:space="0" w:color="auto"/>
              <w:left w:val="single" w:sz="8" w:space="0" w:color="auto"/>
              <w:bottom w:val="single" w:sz="4" w:space="0" w:color="auto"/>
              <w:right w:val="single" w:sz="4" w:space="0" w:color="auto"/>
            </w:tcBorders>
            <w:tcMar>
              <w:top w:w="15" w:type="dxa"/>
              <w:left w:w="270" w:type="dxa"/>
              <w:bottom w:w="0" w:type="dxa"/>
              <w:right w:w="15" w:type="dxa"/>
            </w:tcMar>
            <w:vAlign w:val="center"/>
            <w:hideMark/>
          </w:tcPr>
          <w:p w14:paraId="58A762E8"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Dotación Institucional de Infraestructura Educativa</w:t>
            </w:r>
          </w:p>
        </w:tc>
        <w:tc>
          <w:tcPr>
            <w:tcW w:w="145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288A4D8D"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17</w:t>
            </w:r>
          </w:p>
        </w:tc>
        <w:tc>
          <w:tcPr>
            <w:tcW w:w="146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5CCDE9F2"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w:t>
            </w:r>
          </w:p>
        </w:tc>
        <w:tc>
          <w:tcPr>
            <w:tcW w:w="164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6294CCF1"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w:t>
            </w:r>
          </w:p>
        </w:tc>
      </w:tr>
      <w:tr w:rsidR="00273288" w:rsidRPr="00E33DE3" w14:paraId="6FF73B5E" w14:textId="77777777" w:rsidTr="00C65B25">
        <w:trPr>
          <w:trHeight w:val="20"/>
          <w:jc w:val="center"/>
        </w:trPr>
        <w:tc>
          <w:tcPr>
            <w:tcW w:w="4668" w:type="dxa"/>
            <w:tcBorders>
              <w:top w:val="single" w:sz="4" w:space="0" w:color="auto"/>
              <w:left w:val="single" w:sz="8" w:space="0" w:color="auto"/>
              <w:bottom w:val="single" w:sz="4" w:space="0" w:color="auto"/>
              <w:right w:val="single" w:sz="4" w:space="0" w:color="auto"/>
            </w:tcBorders>
            <w:tcMar>
              <w:top w:w="15" w:type="dxa"/>
              <w:left w:w="270" w:type="dxa"/>
              <w:bottom w:w="0" w:type="dxa"/>
              <w:right w:w="15" w:type="dxa"/>
            </w:tcMar>
            <w:vAlign w:val="center"/>
            <w:hideMark/>
          </w:tcPr>
          <w:p w14:paraId="38D1348A"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Dotación Institucional de Material y Medio pedagógicos para el Aprendizaje</w:t>
            </w:r>
          </w:p>
        </w:tc>
        <w:tc>
          <w:tcPr>
            <w:tcW w:w="145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4CD96CF2"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w:t>
            </w:r>
          </w:p>
        </w:tc>
        <w:tc>
          <w:tcPr>
            <w:tcW w:w="146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4C356AE9"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79</w:t>
            </w:r>
          </w:p>
        </w:tc>
        <w:tc>
          <w:tcPr>
            <w:tcW w:w="164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3853552C"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w:t>
            </w:r>
          </w:p>
        </w:tc>
      </w:tr>
      <w:tr w:rsidR="00273288" w:rsidRPr="00E33DE3" w14:paraId="711E6297" w14:textId="77777777" w:rsidTr="00C65B25">
        <w:trPr>
          <w:trHeight w:val="20"/>
          <w:jc w:val="center"/>
        </w:trPr>
        <w:tc>
          <w:tcPr>
            <w:tcW w:w="4668" w:type="dxa"/>
            <w:tcBorders>
              <w:top w:val="single" w:sz="4" w:space="0" w:color="auto"/>
              <w:left w:val="single" w:sz="8" w:space="0" w:color="auto"/>
              <w:bottom w:val="single" w:sz="4" w:space="0" w:color="auto"/>
              <w:right w:val="single" w:sz="4" w:space="0" w:color="auto"/>
            </w:tcBorders>
            <w:tcMar>
              <w:top w:w="15" w:type="dxa"/>
              <w:left w:w="270" w:type="dxa"/>
              <w:bottom w:w="0" w:type="dxa"/>
              <w:right w:w="15" w:type="dxa"/>
            </w:tcMar>
            <w:vAlign w:val="center"/>
            <w:hideMark/>
          </w:tcPr>
          <w:p w14:paraId="7AAD82CD"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Pago Servicios Públicos de las Instituciones Educativas</w:t>
            </w:r>
          </w:p>
        </w:tc>
        <w:tc>
          <w:tcPr>
            <w:tcW w:w="145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6D7FE3D6"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1.921</w:t>
            </w:r>
          </w:p>
        </w:tc>
        <w:tc>
          <w:tcPr>
            <w:tcW w:w="146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5E548233"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1.525</w:t>
            </w:r>
          </w:p>
        </w:tc>
        <w:tc>
          <w:tcPr>
            <w:tcW w:w="164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6B13C94C"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476</w:t>
            </w:r>
          </w:p>
        </w:tc>
      </w:tr>
      <w:tr w:rsidR="00273288" w:rsidRPr="00E33DE3" w14:paraId="03005C8A" w14:textId="77777777" w:rsidTr="00C65B25">
        <w:trPr>
          <w:trHeight w:val="20"/>
          <w:jc w:val="center"/>
        </w:trPr>
        <w:tc>
          <w:tcPr>
            <w:tcW w:w="4668" w:type="dxa"/>
            <w:tcBorders>
              <w:top w:val="single" w:sz="4" w:space="0" w:color="auto"/>
              <w:left w:val="single" w:sz="8" w:space="0" w:color="auto"/>
              <w:bottom w:val="single" w:sz="4" w:space="0" w:color="auto"/>
              <w:right w:val="single" w:sz="4" w:space="0" w:color="auto"/>
            </w:tcBorders>
            <w:tcMar>
              <w:top w:w="15" w:type="dxa"/>
              <w:left w:w="270" w:type="dxa"/>
              <w:bottom w:w="0" w:type="dxa"/>
              <w:right w:w="15" w:type="dxa"/>
            </w:tcMar>
            <w:vAlign w:val="center"/>
            <w:hideMark/>
          </w:tcPr>
          <w:p w14:paraId="35B92FF8"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Funcionamiento básico de los establecimientos educativos </w:t>
            </w:r>
          </w:p>
        </w:tc>
        <w:tc>
          <w:tcPr>
            <w:tcW w:w="145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1C721357"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w:t>
            </w:r>
          </w:p>
        </w:tc>
        <w:tc>
          <w:tcPr>
            <w:tcW w:w="146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5F5CA6B4"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73</w:t>
            </w:r>
          </w:p>
        </w:tc>
        <w:tc>
          <w:tcPr>
            <w:tcW w:w="164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007426C7"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w:t>
            </w:r>
          </w:p>
        </w:tc>
      </w:tr>
      <w:tr w:rsidR="00273288" w:rsidRPr="00E33DE3" w14:paraId="20C51227" w14:textId="77777777" w:rsidTr="00C65B25">
        <w:trPr>
          <w:trHeight w:val="20"/>
          <w:jc w:val="center"/>
        </w:trPr>
        <w:tc>
          <w:tcPr>
            <w:tcW w:w="4668" w:type="dxa"/>
            <w:tcBorders>
              <w:top w:val="single" w:sz="4" w:space="0" w:color="auto"/>
              <w:left w:val="single" w:sz="8" w:space="0" w:color="auto"/>
              <w:bottom w:val="single" w:sz="4" w:space="0" w:color="auto"/>
              <w:right w:val="single" w:sz="4" w:space="0" w:color="auto"/>
            </w:tcBorders>
            <w:tcMar>
              <w:top w:w="15" w:type="dxa"/>
              <w:left w:w="270" w:type="dxa"/>
              <w:bottom w:w="0" w:type="dxa"/>
              <w:right w:w="15" w:type="dxa"/>
            </w:tcMar>
            <w:vAlign w:val="center"/>
            <w:hideMark/>
          </w:tcPr>
          <w:p w14:paraId="3FEACF1C"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Alimentación Escolar  </w:t>
            </w:r>
          </w:p>
        </w:tc>
        <w:tc>
          <w:tcPr>
            <w:tcW w:w="145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2E183442"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w:t>
            </w:r>
          </w:p>
        </w:tc>
        <w:tc>
          <w:tcPr>
            <w:tcW w:w="146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7199935A"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586</w:t>
            </w:r>
          </w:p>
        </w:tc>
        <w:tc>
          <w:tcPr>
            <w:tcW w:w="164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2BB6D98F"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43</w:t>
            </w:r>
          </w:p>
        </w:tc>
      </w:tr>
      <w:tr w:rsidR="00273288" w:rsidRPr="00E33DE3" w14:paraId="278ED74D" w14:textId="77777777" w:rsidTr="00C65B25">
        <w:trPr>
          <w:trHeight w:val="20"/>
          <w:jc w:val="center"/>
        </w:trPr>
        <w:tc>
          <w:tcPr>
            <w:tcW w:w="4668" w:type="dxa"/>
            <w:tcBorders>
              <w:top w:val="single" w:sz="4" w:space="0" w:color="auto"/>
              <w:left w:val="single" w:sz="8" w:space="0" w:color="auto"/>
              <w:bottom w:val="single" w:sz="4" w:space="0" w:color="auto"/>
              <w:right w:val="single" w:sz="4" w:space="0" w:color="auto"/>
            </w:tcBorders>
            <w:tcMar>
              <w:top w:w="15" w:type="dxa"/>
              <w:left w:w="270" w:type="dxa"/>
              <w:bottom w:w="0" w:type="dxa"/>
              <w:right w:w="15" w:type="dxa"/>
            </w:tcMar>
            <w:vAlign w:val="center"/>
            <w:hideMark/>
          </w:tcPr>
          <w:p w14:paraId="4356156B"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Capacitación a Docentes y Directivos Docentes  </w:t>
            </w:r>
          </w:p>
        </w:tc>
        <w:tc>
          <w:tcPr>
            <w:tcW w:w="145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58808D00"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w:t>
            </w:r>
          </w:p>
        </w:tc>
        <w:tc>
          <w:tcPr>
            <w:tcW w:w="146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56AE1EC0"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214</w:t>
            </w:r>
          </w:p>
        </w:tc>
        <w:tc>
          <w:tcPr>
            <w:tcW w:w="164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70DE9F36"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w:t>
            </w:r>
          </w:p>
        </w:tc>
      </w:tr>
      <w:tr w:rsidR="00273288" w:rsidRPr="00E33DE3" w14:paraId="274758B0" w14:textId="77777777" w:rsidTr="00C65B25">
        <w:trPr>
          <w:trHeight w:val="20"/>
          <w:jc w:val="center"/>
        </w:trPr>
        <w:tc>
          <w:tcPr>
            <w:tcW w:w="4668" w:type="dxa"/>
            <w:tcBorders>
              <w:top w:val="single" w:sz="4" w:space="0" w:color="auto"/>
              <w:left w:val="single" w:sz="8" w:space="0" w:color="auto"/>
              <w:bottom w:val="single" w:sz="4" w:space="0" w:color="auto"/>
              <w:right w:val="single" w:sz="4" w:space="0" w:color="auto"/>
            </w:tcBorders>
            <w:tcMar>
              <w:top w:w="15" w:type="dxa"/>
              <w:left w:w="270" w:type="dxa"/>
              <w:bottom w:w="0" w:type="dxa"/>
              <w:right w:w="15" w:type="dxa"/>
            </w:tcMar>
            <w:vAlign w:val="center"/>
            <w:hideMark/>
          </w:tcPr>
          <w:p w14:paraId="2DE6620A"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lastRenderedPageBreak/>
              <w:t xml:space="preserve">Otros servicios diversos n c p  </w:t>
            </w:r>
          </w:p>
        </w:tc>
        <w:tc>
          <w:tcPr>
            <w:tcW w:w="145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7A4BF4E4"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w:t>
            </w:r>
          </w:p>
        </w:tc>
        <w:tc>
          <w:tcPr>
            <w:tcW w:w="146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4EFED82C"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12.176</w:t>
            </w:r>
          </w:p>
        </w:tc>
        <w:tc>
          <w:tcPr>
            <w:tcW w:w="164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21B7E7E1"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w:t>
            </w:r>
          </w:p>
        </w:tc>
      </w:tr>
      <w:tr w:rsidR="00273288" w:rsidRPr="00E33DE3" w14:paraId="5FD77D7C" w14:textId="77777777" w:rsidTr="00C65B25">
        <w:trPr>
          <w:trHeight w:val="20"/>
          <w:jc w:val="center"/>
        </w:trPr>
        <w:tc>
          <w:tcPr>
            <w:tcW w:w="4668" w:type="dxa"/>
            <w:tcBorders>
              <w:top w:val="single" w:sz="4" w:space="0" w:color="auto"/>
              <w:left w:val="single" w:sz="8" w:space="0" w:color="auto"/>
              <w:bottom w:val="single" w:sz="4" w:space="0" w:color="auto"/>
              <w:right w:val="single" w:sz="4" w:space="0" w:color="auto"/>
            </w:tcBorders>
            <w:tcMar>
              <w:top w:w="15" w:type="dxa"/>
              <w:left w:w="270" w:type="dxa"/>
              <w:bottom w:w="0" w:type="dxa"/>
              <w:right w:w="15" w:type="dxa"/>
            </w:tcMar>
            <w:vAlign w:val="center"/>
            <w:hideMark/>
          </w:tcPr>
          <w:p w14:paraId="77222962"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Otros servicios profesionales técnicos y empresariales n.c.p  </w:t>
            </w:r>
          </w:p>
        </w:tc>
        <w:tc>
          <w:tcPr>
            <w:tcW w:w="145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749A7F72"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w:t>
            </w:r>
          </w:p>
        </w:tc>
        <w:tc>
          <w:tcPr>
            <w:tcW w:w="146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66183983"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1.514</w:t>
            </w:r>
          </w:p>
        </w:tc>
        <w:tc>
          <w:tcPr>
            <w:tcW w:w="164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4A635598"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w:t>
            </w:r>
          </w:p>
        </w:tc>
      </w:tr>
      <w:tr w:rsidR="00273288" w:rsidRPr="00E33DE3" w14:paraId="50366F99" w14:textId="77777777" w:rsidTr="00C65B25">
        <w:trPr>
          <w:trHeight w:val="20"/>
          <w:jc w:val="center"/>
        </w:trPr>
        <w:tc>
          <w:tcPr>
            <w:tcW w:w="4668" w:type="dxa"/>
            <w:tcBorders>
              <w:top w:val="single" w:sz="4" w:space="0" w:color="auto"/>
              <w:left w:val="single" w:sz="8" w:space="0" w:color="auto"/>
              <w:bottom w:val="single" w:sz="4" w:space="0" w:color="auto"/>
              <w:right w:val="single" w:sz="4" w:space="0" w:color="auto"/>
            </w:tcBorders>
            <w:tcMar>
              <w:top w:w="15" w:type="dxa"/>
              <w:left w:w="270" w:type="dxa"/>
              <w:bottom w:w="0" w:type="dxa"/>
              <w:right w:w="15" w:type="dxa"/>
            </w:tcMar>
            <w:vAlign w:val="center"/>
            <w:hideMark/>
          </w:tcPr>
          <w:p w14:paraId="68F5F302"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Transporte escolar</w:t>
            </w:r>
          </w:p>
        </w:tc>
        <w:tc>
          <w:tcPr>
            <w:tcW w:w="145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3E788252"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w:t>
            </w:r>
          </w:p>
        </w:tc>
        <w:tc>
          <w:tcPr>
            <w:tcW w:w="146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302C6187"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w:t>
            </w:r>
          </w:p>
        </w:tc>
        <w:tc>
          <w:tcPr>
            <w:tcW w:w="164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31A63470"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3.561</w:t>
            </w:r>
          </w:p>
        </w:tc>
      </w:tr>
      <w:tr w:rsidR="00273288" w:rsidRPr="00E33DE3" w14:paraId="5727AA9D" w14:textId="77777777" w:rsidTr="00C65B25">
        <w:trPr>
          <w:trHeight w:val="20"/>
          <w:jc w:val="center"/>
        </w:trPr>
        <w:tc>
          <w:tcPr>
            <w:tcW w:w="4668" w:type="dxa"/>
            <w:tcBorders>
              <w:top w:val="single" w:sz="4" w:space="0" w:color="auto"/>
              <w:left w:val="single" w:sz="8" w:space="0" w:color="auto"/>
              <w:bottom w:val="single" w:sz="4" w:space="0" w:color="auto"/>
              <w:right w:val="single" w:sz="4" w:space="0" w:color="auto"/>
            </w:tcBorders>
            <w:tcMar>
              <w:top w:w="15" w:type="dxa"/>
              <w:left w:w="270" w:type="dxa"/>
              <w:bottom w:w="0" w:type="dxa"/>
              <w:right w:w="15" w:type="dxa"/>
            </w:tcMar>
            <w:vAlign w:val="center"/>
            <w:hideMark/>
          </w:tcPr>
          <w:p w14:paraId="5364224A"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Transferencias de Capital a Entidades del Gobierno General </w:t>
            </w:r>
          </w:p>
        </w:tc>
        <w:tc>
          <w:tcPr>
            <w:tcW w:w="145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43844554"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w:t>
            </w:r>
          </w:p>
        </w:tc>
        <w:tc>
          <w:tcPr>
            <w:tcW w:w="146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44647631"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75</w:t>
            </w:r>
          </w:p>
        </w:tc>
        <w:tc>
          <w:tcPr>
            <w:tcW w:w="1640"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14:paraId="5D170500"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w:t>
            </w:r>
          </w:p>
        </w:tc>
      </w:tr>
      <w:tr w:rsidR="00273288" w:rsidRPr="00E33DE3" w14:paraId="0A7D1934" w14:textId="77777777" w:rsidTr="00C65B25">
        <w:trPr>
          <w:trHeight w:val="20"/>
          <w:jc w:val="center"/>
        </w:trPr>
        <w:tc>
          <w:tcPr>
            <w:tcW w:w="4668" w:type="dxa"/>
            <w:tcBorders>
              <w:top w:val="single" w:sz="4" w:space="0" w:color="auto"/>
              <w:left w:val="single" w:sz="8"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27C92C2B" w14:textId="77777777" w:rsidR="00273288" w:rsidRPr="00E33DE3" w:rsidRDefault="00273288" w:rsidP="00C65B25">
            <w:pPr>
              <w:jc w:val="both"/>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GASTOS GRATUIDAD</w:t>
            </w:r>
          </w:p>
        </w:tc>
        <w:tc>
          <w:tcPr>
            <w:tcW w:w="145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6BB02D02"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3.388</w:t>
            </w:r>
          </w:p>
        </w:tc>
        <w:tc>
          <w:tcPr>
            <w:tcW w:w="1467"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60BB9930"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2.901</w:t>
            </w:r>
          </w:p>
        </w:tc>
        <w:tc>
          <w:tcPr>
            <w:tcW w:w="1640" w:type="dxa"/>
            <w:tcBorders>
              <w:top w:val="single" w:sz="4" w:space="0" w:color="auto"/>
              <w:left w:val="single" w:sz="4" w:space="0" w:color="auto"/>
              <w:bottom w:val="single" w:sz="4" w:space="0" w:color="auto"/>
              <w:right w:val="single" w:sz="4" w:space="0" w:color="auto"/>
            </w:tcBorders>
            <w:shd w:val="clear" w:color="auto" w:fill="D9D9D9"/>
            <w:tcMar>
              <w:top w:w="15" w:type="dxa"/>
              <w:left w:w="270" w:type="dxa"/>
              <w:bottom w:w="0" w:type="dxa"/>
              <w:right w:w="15" w:type="dxa"/>
            </w:tcMar>
            <w:vAlign w:val="center"/>
            <w:hideMark/>
          </w:tcPr>
          <w:p w14:paraId="17F0C332"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FF0000"/>
                <w:sz w:val="18"/>
                <w:szCs w:val="18"/>
              </w:rPr>
              <w:t>(4)</w:t>
            </w:r>
            <w:r w:rsidRPr="00E33DE3">
              <w:rPr>
                <w:rFonts w:ascii="Verdana" w:eastAsia="Verdana" w:hAnsi="Verdana" w:cs="Verdana"/>
                <w:b/>
                <w:bCs/>
                <w:color w:val="000000" w:themeColor="text1"/>
                <w:sz w:val="18"/>
                <w:szCs w:val="18"/>
              </w:rPr>
              <w:t xml:space="preserve"> 2.964</w:t>
            </w:r>
          </w:p>
        </w:tc>
      </w:tr>
      <w:tr w:rsidR="00273288" w:rsidRPr="00E33DE3" w14:paraId="45C1FAF0" w14:textId="77777777" w:rsidTr="00C65B25">
        <w:trPr>
          <w:trHeight w:val="20"/>
          <w:jc w:val="center"/>
        </w:trPr>
        <w:tc>
          <w:tcPr>
            <w:tcW w:w="4668" w:type="dxa"/>
            <w:tcBorders>
              <w:top w:val="single" w:sz="4" w:space="0" w:color="auto"/>
              <w:left w:val="single" w:sz="8"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7C3C90AA" w14:textId="77777777" w:rsidR="00273288" w:rsidRPr="00E33DE3" w:rsidRDefault="00273288" w:rsidP="00C65B25">
            <w:pPr>
              <w:jc w:val="both"/>
              <w:rPr>
                <w:rFonts w:ascii="Verdana" w:eastAsia="Verdana" w:hAnsi="Verdana" w:cs="Verdana"/>
                <w:color w:val="000000" w:themeColor="text1"/>
                <w:sz w:val="18"/>
                <w:szCs w:val="18"/>
              </w:rPr>
            </w:pPr>
            <w:r w:rsidRPr="00E33DE3">
              <w:rPr>
                <w:rFonts w:ascii="Verdana" w:eastAsia="Verdana" w:hAnsi="Verdana" w:cs="Verdana"/>
                <w:b/>
                <w:bCs/>
                <w:color w:val="000000" w:themeColor="text1"/>
                <w:sz w:val="18"/>
                <w:szCs w:val="18"/>
              </w:rPr>
              <w:t>CONECTIVIDAD</w:t>
            </w:r>
            <w:r w:rsidRPr="00E33DE3">
              <w:rPr>
                <w:rFonts w:ascii="Verdana" w:eastAsia="Verdana" w:hAnsi="Verdana" w:cs="Verdana"/>
                <w:color w:val="000000" w:themeColor="text1"/>
                <w:sz w:val="18"/>
                <w:szCs w:val="18"/>
              </w:rPr>
              <w:t xml:space="preserve"> </w:t>
            </w:r>
          </w:p>
        </w:tc>
        <w:tc>
          <w:tcPr>
            <w:tcW w:w="145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3A86D37A"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717</w:t>
            </w:r>
          </w:p>
        </w:tc>
        <w:tc>
          <w:tcPr>
            <w:tcW w:w="1467"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616BC3C3"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461</w:t>
            </w:r>
          </w:p>
        </w:tc>
        <w:tc>
          <w:tcPr>
            <w:tcW w:w="1640" w:type="dxa"/>
            <w:tcBorders>
              <w:top w:val="single" w:sz="4" w:space="0" w:color="auto"/>
              <w:left w:val="single" w:sz="4" w:space="0" w:color="auto"/>
              <w:bottom w:val="single" w:sz="4" w:space="0" w:color="auto"/>
              <w:right w:val="single" w:sz="4" w:space="0" w:color="auto"/>
            </w:tcBorders>
            <w:shd w:val="clear" w:color="auto" w:fill="D9D9D9"/>
            <w:tcMar>
              <w:top w:w="15" w:type="dxa"/>
              <w:left w:w="270" w:type="dxa"/>
              <w:bottom w:w="0" w:type="dxa"/>
              <w:right w:w="15" w:type="dxa"/>
            </w:tcMar>
            <w:vAlign w:val="center"/>
            <w:hideMark/>
          </w:tcPr>
          <w:p w14:paraId="7E4204E0"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3.603</w:t>
            </w:r>
          </w:p>
        </w:tc>
      </w:tr>
      <w:tr w:rsidR="00273288" w:rsidRPr="00E33DE3" w14:paraId="2A9389AD" w14:textId="77777777" w:rsidTr="00C65B25">
        <w:trPr>
          <w:trHeight w:val="20"/>
          <w:jc w:val="center"/>
        </w:trPr>
        <w:tc>
          <w:tcPr>
            <w:tcW w:w="4668" w:type="dxa"/>
            <w:tcBorders>
              <w:top w:val="single" w:sz="4" w:space="0" w:color="auto"/>
              <w:left w:val="single" w:sz="8" w:space="0" w:color="auto"/>
              <w:bottom w:val="nil"/>
              <w:right w:val="single" w:sz="4" w:space="0" w:color="auto"/>
            </w:tcBorders>
            <w:shd w:val="clear" w:color="auto" w:fill="D9D9D9"/>
            <w:tcMar>
              <w:top w:w="15" w:type="dxa"/>
              <w:left w:w="15" w:type="dxa"/>
              <w:bottom w:w="0" w:type="dxa"/>
              <w:right w:w="15" w:type="dxa"/>
            </w:tcMar>
            <w:vAlign w:val="center"/>
            <w:hideMark/>
          </w:tcPr>
          <w:p w14:paraId="3DC4A2E1" w14:textId="77777777" w:rsidR="00273288" w:rsidRPr="00E33DE3" w:rsidRDefault="00273288" w:rsidP="00C65B25">
            <w:pP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NECESIDADES EDUCATIVAS ESPECIALES - NEE</w:t>
            </w:r>
          </w:p>
        </w:tc>
        <w:tc>
          <w:tcPr>
            <w:tcW w:w="1450" w:type="dxa"/>
            <w:tcBorders>
              <w:top w:val="single" w:sz="4" w:space="0" w:color="auto"/>
              <w:left w:val="single" w:sz="4" w:space="0" w:color="auto"/>
              <w:bottom w:val="nil"/>
              <w:right w:val="single" w:sz="4" w:space="0" w:color="auto"/>
            </w:tcBorders>
            <w:shd w:val="clear" w:color="auto" w:fill="D9D9D9"/>
            <w:tcMar>
              <w:top w:w="15" w:type="dxa"/>
              <w:left w:w="15" w:type="dxa"/>
              <w:bottom w:w="0" w:type="dxa"/>
              <w:right w:w="15" w:type="dxa"/>
            </w:tcMar>
            <w:vAlign w:val="center"/>
            <w:hideMark/>
          </w:tcPr>
          <w:p w14:paraId="3BA95579"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1.360</w:t>
            </w:r>
          </w:p>
        </w:tc>
        <w:tc>
          <w:tcPr>
            <w:tcW w:w="1467" w:type="dxa"/>
            <w:tcBorders>
              <w:top w:val="single" w:sz="4" w:space="0" w:color="auto"/>
              <w:left w:val="single" w:sz="4" w:space="0" w:color="auto"/>
              <w:bottom w:val="nil"/>
              <w:right w:val="single" w:sz="4" w:space="0" w:color="auto"/>
            </w:tcBorders>
            <w:shd w:val="clear" w:color="auto" w:fill="D9D9D9"/>
            <w:tcMar>
              <w:top w:w="15" w:type="dxa"/>
              <w:left w:w="15" w:type="dxa"/>
              <w:bottom w:w="0" w:type="dxa"/>
              <w:right w:w="15" w:type="dxa"/>
            </w:tcMar>
            <w:vAlign w:val="center"/>
            <w:hideMark/>
          </w:tcPr>
          <w:p w14:paraId="6A40E496"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w:t>
            </w:r>
          </w:p>
        </w:tc>
        <w:tc>
          <w:tcPr>
            <w:tcW w:w="1640" w:type="dxa"/>
            <w:tcBorders>
              <w:top w:val="single" w:sz="4" w:space="0" w:color="auto"/>
              <w:left w:val="single" w:sz="4" w:space="0" w:color="auto"/>
              <w:bottom w:val="nil"/>
              <w:right w:val="single" w:sz="4" w:space="0" w:color="auto"/>
            </w:tcBorders>
            <w:shd w:val="clear" w:color="auto" w:fill="D9D9D9"/>
            <w:tcMar>
              <w:top w:w="15" w:type="dxa"/>
              <w:left w:w="270" w:type="dxa"/>
              <w:bottom w:w="0" w:type="dxa"/>
              <w:right w:w="15" w:type="dxa"/>
            </w:tcMar>
            <w:vAlign w:val="center"/>
            <w:hideMark/>
          </w:tcPr>
          <w:p w14:paraId="568E4255"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1.505</w:t>
            </w:r>
          </w:p>
        </w:tc>
      </w:tr>
      <w:tr w:rsidR="00273288" w:rsidRPr="00E33DE3" w14:paraId="1409E809" w14:textId="77777777" w:rsidTr="00C65B25">
        <w:trPr>
          <w:trHeight w:val="20"/>
          <w:jc w:val="center"/>
        </w:trPr>
        <w:tc>
          <w:tcPr>
            <w:tcW w:w="4668" w:type="dxa"/>
            <w:tcBorders>
              <w:top w:val="single" w:sz="4" w:space="0" w:color="000000" w:themeColor="text1"/>
              <w:left w:val="single" w:sz="4" w:space="0" w:color="000000" w:themeColor="text1"/>
              <w:bottom w:val="single" w:sz="4" w:space="0" w:color="000000" w:themeColor="text1"/>
              <w:right w:val="nil"/>
            </w:tcBorders>
            <w:shd w:val="clear" w:color="auto" w:fill="D9D9D9"/>
            <w:tcMar>
              <w:top w:w="15" w:type="dxa"/>
              <w:left w:w="15" w:type="dxa"/>
              <w:bottom w:w="0" w:type="dxa"/>
              <w:right w:w="15" w:type="dxa"/>
            </w:tcMar>
            <w:vAlign w:val="bottom"/>
            <w:hideMark/>
          </w:tcPr>
          <w:p w14:paraId="791580AB" w14:textId="77777777" w:rsidR="00273288" w:rsidRPr="00E33DE3" w:rsidRDefault="00273288" w:rsidP="00C65B25">
            <w:pP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SISTEMA DE RESPONSABILIDAD PENAL ADOLESCENTE - SRPA</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15" w:type="dxa"/>
              <w:left w:w="15" w:type="dxa"/>
              <w:bottom w:w="0" w:type="dxa"/>
              <w:right w:w="15" w:type="dxa"/>
            </w:tcMar>
            <w:vAlign w:val="center"/>
            <w:hideMark/>
          </w:tcPr>
          <w:p w14:paraId="48F6239F"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15" w:type="dxa"/>
              <w:left w:w="15" w:type="dxa"/>
              <w:bottom w:w="0" w:type="dxa"/>
              <w:right w:w="15" w:type="dxa"/>
            </w:tcMar>
            <w:vAlign w:val="center"/>
            <w:hideMark/>
          </w:tcPr>
          <w:p w14:paraId="25C15C36"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w:t>
            </w:r>
          </w:p>
        </w:tc>
        <w:tc>
          <w:tcPr>
            <w:tcW w:w="1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15" w:type="dxa"/>
              <w:left w:w="15" w:type="dxa"/>
              <w:bottom w:w="0" w:type="dxa"/>
              <w:right w:w="15" w:type="dxa"/>
            </w:tcMar>
            <w:vAlign w:val="center"/>
            <w:hideMark/>
          </w:tcPr>
          <w:p w14:paraId="05FB481B"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77</w:t>
            </w:r>
          </w:p>
        </w:tc>
      </w:tr>
      <w:tr w:rsidR="00273288" w:rsidRPr="00E33DE3" w14:paraId="40FD4CA7" w14:textId="77777777" w:rsidTr="00C65B25">
        <w:trPr>
          <w:trHeight w:val="20"/>
          <w:jc w:val="center"/>
        </w:trPr>
        <w:tc>
          <w:tcPr>
            <w:tcW w:w="4668" w:type="dxa"/>
            <w:tcBorders>
              <w:top w:val="single" w:sz="4" w:space="0" w:color="000000" w:themeColor="text1"/>
              <w:left w:val="single" w:sz="8" w:space="0" w:color="auto"/>
              <w:bottom w:val="single" w:sz="4" w:space="0" w:color="auto"/>
              <w:right w:val="nil"/>
            </w:tcBorders>
            <w:shd w:val="clear" w:color="auto" w:fill="D9D9D9"/>
            <w:tcMar>
              <w:top w:w="15" w:type="dxa"/>
              <w:left w:w="15" w:type="dxa"/>
              <w:bottom w:w="0" w:type="dxa"/>
              <w:right w:w="15" w:type="dxa"/>
            </w:tcMar>
            <w:vAlign w:val="center"/>
            <w:hideMark/>
          </w:tcPr>
          <w:p w14:paraId="5B176BE6" w14:textId="77777777" w:rsidR="00273288" w:rsidRPr="00E33DE3" w:rsidRDefault="00273288" w:rsidP="00C65B25">
            <w:pP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APLICACIÓN DE PROYECTOS EDUCATIVOS TRANSVERSALES</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15" w:type="dxa"/>
              <w:left w:w="15" w:type="dxa"/>
              <w:bottom w:w="0" w:type="dxa"/>
              <w:right w:w="15" w:type="dxa"/>
            </w:tcMar>
            <w:vAlign w:val="center"/>
            <w:hideMark/>
          </w:tcPr>
          <w:p w14:paraId="2C932D19"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2.210</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15" w:type="dxa"/>
              <w:left w:w="15" w:type="dxa"/>
              <w:bottom w:w="0" w:type="dxa"/>
              <w:right w:w="15" w:type="dxa"/>
            </w:tcMar>
            <w:vAlign w:val="center"/>
            <w:hideMark/>
          </w:tcPr>
          <w:p w14:paraId="2535EA0E"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11</w:t>
            </w:r>
          </w:p>
        </w:tc>
        <w:tc>
          <w:tcPr>
            <w:tcW w:w="1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15" w:type="dxa"/>
              <w:left w:w="270" w:type="dxa"/>
              <w:bottom w:w="0" w:type="dxa"/>
              <w:right w:w="15" w:type="dxa"/>
            </w:tcMar>
            <w:vAlign w:val="center"/>
            <w:hideMark/>
          </w:tcPr>
          <w:p w14:paraId="2060E9FD"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5.675</w:t>
            </w:r>
          </w:p>
        </w:tc>
      </w:tr>
      <w:tr w:rsidR="00273288" w:rsidRPr="00E33DE3" w14:paraId="0596ECD8" w14:textId="77777777" w:rsidTr="00C65B25">
        <w:trPr>
          <w:trHeight w:val="20"/>
          <w:jc w:val="center"/>
        </w:trPr>
        <w:tc>
          <w:tcPr>
            <w:tcW w:w="4668" w:type="dxa"/>
            <w:tcBorders>
              <w:top w:val="single" w:sz="4" w:space="0" w:color="auto"/>
              <w:left w:val="single" w:sz="8" w:space="0" w:color="auto"/>
              <w:bottom w:val="single" w:sz="8" w:space="0" w:color="auto"/>
              <w:right w:val="single" w:sz="4" w:space="0" w:color="auto"/>
            </w:tcBorders>
            <w:shd w:val="clear" w:color="auto" w:fill="B48C41"/>
            <w:tcMar>
              <w:top w:w="15" w:type="dxa"/>
              <w:left w:w="15" w:type="dxa"/>
              <w:bottom w:w="0" w:type="dxa"/>
              <w:right w:w="15" w:type="dxa"/>
            </w:tcMar>
            <w:vAlign w:val="center"/>
            <w:hideMark/>
          </w:tcPr>
          <w:p w14:paraId="50726FEB" w14:textId="77777777" w:rsidR="00273288" w:rsidRPr="00E33DE3" w:rsidRDefault="00273288" w:rsidP="00C65B25">
            <w:pPr>
              <w:rPr>
                <w:rFonts w:ascii="Verdana" w:eastAsia="Verdana" w:hAnsi="Verdana" w:cs="Verdana"/>
                <w:color w:val="FFFFFF" w:themeColor="background1"/>
                <w:sz w:val="18"/>
                <w:szCs w:val="18"/>
              </w:rPr>
            </w:pPr>
            <w:r w:rsidRPr="00E33DE3">
              <w:rPr>
                <w:rFonts w:ascii="Verdana" w:eastAsia="Verdana" w:hAnsi="Verdana" w:cs="Verdana"/>
                <w:b/>
                <w:bCs/>
                <w:color w:val="FFFFFF" w:themeColor="background1"/>
                <w:sz w:val="18"/>
                <w:szCs w:val="18"/>
              </w:rPr>
              <w:t>TOTAL COMPROMISOS CUIPO SGP – Educación</w:t>
            </w:r>
            <w:r w:rsidRPr="00E33DE3">
              <w:rPr>
                <w:rFonts w:ascii="Verdana" w:eastAsia="Verdana" w:hAnsi="Verdana" w:cs="Verdana"/>
                <w:color w:val="FFFFFF" w:themeColor="background1"/>
                <w:sz w:val="18"/>
                <w:szCs w:val="18"/>
              </w:rPr>
              <w:t xml:space="preserve"> </w:t>
            </w:r>
          </w:p>
        </w:tc>
        <w:tc>
          <w:tcPr>
            <w:tcW w:w="1450" w:type="dxa"/>
            <w:tcBorders>
              <w:top w:val="single" w:sz="4" w:space="0" w:color="000000" w:themeColor="text1"/>
              <w:left w:val="single" w:sz="4" w:space="0" w:color="auto"/>
              <w:bottom w:val="single" w:sz="8" w:space="0" w:color="auto"/>
              <w:right w:val="single" w:sz="4" w:space="0" w:color="auto"/>
            </w:tcBorders>
            <w:shd w:val="clear" w:color="auto" w:fill="B48C41"/>
            <w:tcMar>
              <w:top w:w="15" w:type="dxa"/>
              <w:left w:w="15" w:type="dxa"/>
              <w:bottom w:w="0" w:type="dxa"/>
              <w:right w:w="15" w:type="dxa"/>
            </w:tcMar>
            <w:vAlign w:val="center"/>
            <w:hideMark/>
          </w:tcPr>
          <w:p w14:paraId="513C6EA0" w14:textId="77777777" w:rsidR="00273288" w:rsidRPr="00E33DE3" w:rsidRDefault="00273288" w:rsidP="00C65B25">
            <w:pPr>
              <w:jc w:val="center"/>
              <w:rPr>
                <w:rFonts w:ascii="Verdana" w:eastAsia="Verdana" w:hAnsi="Verdana" w:cs="Verdana"/>
                <w:b/>
                <w:bCs/>
                <w:color w:val="FFFFFF" w:themeColor="background1"/>
                <w:sz w:val="18"/>
                <w:szCs w:val="18"/>
              </w:rPr>
            </w:pPr>
            <w:r w:rsidRPr="00E33DE3">
              <w:rPr>
                <w:rFonts w:ascii="Verdana" w:eastAsia="Verdana" w:hAnsi="Verdana" w:cs="Verdana"/>
                <w:b/>
                <w:bCs/>
                <w:color w:val="FFFFFF" w:themeColor="background1"/>
                <w:sz w:val="18"/>
                <w:szCs w:val="18"/>
              </w:rPr>
              <w:t>230.840</w:t>
            </w:r>
          </w:p>
        </w:tc>
        <w:tc>
          <w:tcPr>
            <w:tcW w:w="1467" w:type="dxa"/>
            <w:tcBorders>
              <w:top w:val="single" w:sz="4" w:space="0" w:color="000000" w:themeColor="text1"/>
              <w:left w:val="single" w:sz="4" w:space="0" w:color="auto"/>
              <w:bottom w:val="single" w:sz="8" w:space="0" w:color="auto"/>
              <w:right w:val="single" w:sz="4" w:space="0" w:color="auto"/>
            </w:tcBorders>
            <w:shd w:val="clear" w:color="auto" w:fill="B48C41"/>
            <w:tcMar>
              <w:top w:w="15" w:type="dxa"/>
              <w:left w:w="15" w:type="dxa"/>
              <w:bottom w:w="0" w:type="dxa"/>
              <w:right w:w="15" w:type="dxa"/>
            </w:tcMar>
            <w:vAlign w:val="center"/>
            <w:hideMark/>
          </w:tcPr>
          <w:p w14:paraId="166CCB51" w14:textId="77777777" w:rsidR="00273288" w:rsidRPr="00E33DE3" w:rsidRDefault="00273288" w:rsidP="00C65B25">
            <w:pPr>
              <w:jc w:val="center"/>
              <w:rPr>
                <w:rFonts w:ascii="Verdana" w:eastAsia="Verdana" w:hAnsi="Verdana" w:cs="Verdana"/>
                <w:b/>
                <w:bCs/>
                <w:color w:val="FFFFFF" w:themeColor="background1"/>
                <w:sz w:val="18"/>
                <w:szCs w:val="18"/>
              </w:rPr>
            </w:pPr>
            <w:r w:rsidRPr="00E33DE3">
              <w:rPr>
                <w:rFonts w:ascii="Verdana" w:eastAsia="Verdana" w:hAnsi="Verdana" w:cs="Verdana"/>
                <w:b/>
                <w:bCs/>
                <w:color w:val="FFFFFF" w:themeColor="background1"/>
                <w:sz w:val="18"/>
                <w:szCs w:val="18"/>
              </w:rPr>
              <w:t>238.231</w:t>
            </w:r>
          </w:p>
        </w:tc>
        <w:tc>
          <w:tcPr>
            <w:tcW w:w="1640" w:type="dxa"/>
            <w:tcBorders>
              <w:top w:val="single" w:sz="4" w:space="0" w:color="000000" w:themeColor="text1"/>
              <w:left w:val="single" w:sz="4" w:space="0" w:color="auto"/>
              <w:bottom w:val="single" w:sz="8" w:space="0" w:color="auto"/>
              <w:right w:val="single" w:sz="4" w:space="0" w:color="auto"/>
            </w:tcBorders>
            <w:shd w:val="clear" w:color="auto" w:fill="B48C41"/>
            <w:tcMar>
              <w:top w:w="15" w:type="dxa"/>
              <w:left w:w="15" w:type="dxa"/>
              <w:bottom w:w="0" w:type="dxa"/>
              <w:right w:w="15" w:type="dxa"/>
            </w:tcMar>
            <w:vAlign w:val="center"/>
            <w:hideMark/>
          </w:tcPr>
          <w:p w14:paraId="66C09813" w14:textId="77777777" w:rsidR="00273288" w:rsidRPr="00E33DE3" w:rsidRDefault="00273288" w:rsidP="00C65B25">
            <w:pPr>
              <w:jc w:val="center"/>
              <w:rPr>
                <w:rFonts w:ascii="Verdana" w:eastAsia="Verdana" w:hAnsi="Verdana" w:cs="Verdana"/>
                <w:b/>
                <w:bCs/>
                <w:color w:val="FFFFFF" w:themeColor="background1"/>
                <w:sz w:val="18"/>
                <w:szCs w:val="18"/>
              </w:rPr>
            </w:pPr>
            <w:r w:rsidRPr="00E33DE3">
              <w:rPr>
                <w:rFonts w:ascii="Verdana" w:eastAsia="Verdana" w:hAnsi="Verdana" w:cs="Verdana"/>
                <w:b/>
                <w:bCs/>
                <w:color w:val="FFFFFF" w:themeColor="background1"/>
                <w:sz w:val="18"/>
                <w:szCs w:val="18"/>
              </w:rPr>
              <w:t>256.656</w:t>
            </w:r>
          </w:p>
        </w:tc>
      </w:tr>
    </w:tbl>
    <w:p w14:paraId="0A08C914" w14:textId="77777777" w:rsidR="00273288" w:rsidRPr="00E33DE3" w:rsidRDefault="00273288" w:rsidP="00C65B25">
      <w:pPr>
        <w:jc w:val="center"/>
        <w:rPr>
          <w:rFonts w:ascii="Verdana" w:hAnsi="Verdana" w:cs="Arial"/>
          <w:sz w:val="22"/>
          <w:szCs w:val="22"/>
          <w:lang w:val="es-CO"/>
        </w:rPr>
      </w:pPr>
      <w:r w:rsidRPr="00E33DE3">
        <w:rPr>
          <w:rFonts w:ascii="Verdana" w:hAnsi="Verdana" w:cs="Arial"/>
          <w:sz w:val="22"/>
          <w:szCs w:val="22"/>
          <w:lang w:val="es-CO"/>
        </w:rPr>
        <w:t>Fuente: Reporte realizado por la Entidad Territorial en FUT y CUIPO a diciembre de 2021, 2022 y 2023.</w:t>
      </w:r>
    </w:p>
    <w:p w14:paraId="0E16B6FF" w14:textId="77777777" w:rsidR="00273288" w:rsidRPr="00E33DE3" w:rsidRDefault="00273288" w:rsidP="00C65B25">
      <w:pPr>
        <w:jc w:val="both"/>
        <w:rPr>
          <w:rFonts w:ascii="Verdana" w:hAnsi="Verdana" w:cs="Arial"/>
          <w:sz w:val="22"/>
          <w:szCs w:val="22"/>
        </w:rPr>
      </w:pPr>
    </w:p>
    <w:p w14:paraId="187706FE" w14:textId="77777777" w:rsidR="00273288" w:rsidRPr="00E33DE3" w:rsidRDefault="00273288" w:rsidP="00C65B25">
      <w:pPr>
        <w:pStyle w:val="Prrafodelista"/>
        <w:numPr>
          <w:ilvl w:val="0"/>
          <w:numId w:val="3"/>
        </w:numPr>
        <w:ind w:left="426" w:hanging="426"/>
        <w:jc w:val="both"/>
        <w:rPr>
          <w:rFonts w:ascii="Verdana" w:hAnsi="Verdana" w:cs="Arial"/>
          <w:sz w:val="22"/>
          <w:szCs w:val="22"/>
        </w:rPr>
      </w:pPr>
      <w:r w:rsidRPr="00E33DE3">
        <w:rPr>
          <w:rFonts w:ascii="Verdana" w:hAnsi="Verdana" w:cs="Arial"/>
          <w:sz w:val="22"/>
          <w:szCs w:val="22"/>
        </w:rPr>
        <w:t>No fue posible identificar los compromisos asociados al personal de la secretaría de educación, pues no se observan gastos de funcionamiento reportados en CUIPO.</w:t>
      </w:r>
    </w:p>
    <w:p w14:paraId="2953F426" w14:textId="77777777" w:rsidR="00273288" w:rsidRPr="00E33DE3" w:rsidRDefault="00273288" w:rsidP="00C65B25">
      <w:pPr>
        <w:pStyle w:val="Prrafodelista"/>
        <w:numPr>
          <w:ilvl w:val="0"/>
          <w:numId w:val="3"/>
        </w:numPr>
        <w:ind w:left="426" w:hanging="426"/>
        <w:jc w:val="both"/>
        <w:rPr>
          <w:rFonts w:ascii="Verdana" w:hAnsi="Verdana" w:cs="Arial"/>
          <w:sz w:val="22"/>
          <w:szCs w:val="22"/>
        </w:rPr>
      </w:pPr>
      <w:r w:rsidRPr="00E33DE3">
        <w:rPr>
          <w:rFonts w:ascii="Verdana" w:hAnsi="Verdana" w:cs="Arial"/>
          <w:sz w:val="22"/>
          <w:szCs w:val="22"/>
        </w:rPr>
        <w:t>No se reportaron compromisos con fuente sin situación de fondos.</w:t>
      </w:r>
    </w:p>
    <w:p w14:paraId="14CA2049" w14:textId="77777777" w:rsidR="00273288" w:rsidRPr="00E33DE3" w:rsidRDefault="00273288" w:rsidP="00C65B25">
      <w:pPr>
        <w:pStyle w:val="Prrafodelista"/>
        <w:numPr>
          <w:ilvl w:val="0"/>
          <w:numId w:val="3"/>
        </w:numPr>
        <w:ind w:left="426" w:hanging="426"/>
        <w:jc w:val="both"/>
        <w:rPr>
          <w:rFonts w:ascii="Verdana" w:hAnsi="Verdana" w:cs="Arial"/>
          <w:sz w:val="22"/>
          <w:szCs w:val="22"/>
        </w:rPr>
      </w:pPr>
      <w:r w:rsidRPr="00E33DE3">
        <w:rPr>
          <w:rFonts w:ascii="Verdana" w:hAnsi="Verdana" w:cs="Arial"/>
          <w:sz w:val="22"/>
          <w:szCs w:val="22"/>
        </w:rPr>
        <w:t>No se reportaron compromisos por concepto de gastos generales.</w:t>
      </w:r>
    </w:p>
    <w:p w14:paraId="29455920" w14:textId="77777777" w:rsidR="00273288" w:rsidRPr="00E33DE3" w:rsidRDefault="00273288" w:rsidP="00C65B25">
      <w:pPr>
        <w:pStyle w:val="Prrafodelista"/>
        <w:numPr>
          <w:ilvl w:val="0"/>
          <w:numId w:val="3"/>
        </w:numPr>
        <w:ind w:left="426" w:hanging="426"/>
        <w:jc w:val="both"/>
        <w:rPr>
          <w:rFonts w:ascii="Verdana" w:hAnsi="Verdana" w:cs="Arial"/>
          <w:sz w:val="22"/>
          <w:szCs w:val="22"/>
        </w:rPr>
      </w:pPr>
      <w:r w:rsidRPr="00E33DE3">
        <w:rPr>
          <w:rFonts w:ascii="Verdana" w:hAnsi="Verdana" w:cs="Arial"/>
          <w:sz w:val="22"/>
          <w:szCs w:val="22"/>
        </w:rPr>
        <w:t>Para la vigencia 2023, la entidad reportó en CUIPO todos los recursos con situación de fondos, inclusive los relacionados con transferencias destinadas a calidad por gratuidad y los aportes a salud, pensión y cesantías del personal docente y directivo docente.</w:t>
      </w:r>
    </w:p>
    <w:p w14:paraId="6478FAD6" w14:textId="77777777" w:rsidR="00273288" w:rsidRPr="00E33DE3" w:rsidRDefault="00273288" w:rsidP="00C65B25">
      <w:pPr>
        <w:pStyle w:val="Prrafodelista"/>
        <w:numPr>
          <w:ilvl w:val="0"/>
          <w:numId w:val="3"/>
        </w:numPr>
        <w:ind w:left="426" w:hanging="426"/>
        <w:jc w:val="both"/>
        <w:rPr>
          <w:rFonts w:ascii="Verdana" w:hAnsi="Verdana" w:cs="Arial"/>
          <w:sz w:val="22"/>
          <w:szCs w:val="22"/>
        </w:rPr>
      </w:pPr>
      <w:r w:rsidRPr="00E33DE3">
        <w:rPr>
          <w:rFonts w:ascii="Verdana" w:hAnsi="Verdana" w:cs="Arial"/>
          <w:sz w:val="22"/>
          <w:szCs w:val="22"/>
        </w:rPr>
        <w:t xml:space="preserve">Para la vigencia 2023, no fue posible identificar los aportes a salud para los docentes y directivos docentes por problemas en la calidad del reporte de la información financiera. De acuerdo con el PAC del Ministerio de Educación nacional, dichos gastos ascienden a </w:t>
      </w:r>
      <w:r w:rsidR="00FB3CC3" w:rsidRPr="00E33DE3">
        <w:rPr>
          <w:rFonts w:ascii="Verdana" w:hAnsi="Verdana" w:cs="Arial"/>
          <w:sz w:val="22"/>
          <w:szCs w:val="22"/>
        </w:rPr>
        <w:t>$</w:t>
      </w:r>
      <w:r w:rsidRPr="00E33DE3">
        <w:rPr>
          <w:rFonts w:ascii="Verdana" w:hAnsi="Verdana" w:cs="Arial"/>
          <w:sz w:val="22"/>
          <w:szCs w:val="22"/>
        </w:rPr>
        <w:t>8.060 millones de pesos, los cuales no fue posible diferenciar.</w:t>
      </w:r>
    </w:p>
    <w:p w14:paraId="103BD842" w14:textId="77777777" w:rsidR="00273288" w:rsidRPr="00E33DE3" w:rsidRDefault="00273288" w:rsidP="00C65B25">
      <w:pPr>
        <w:jc w:val="both"/>
        <w:rPr>
          <w:rFonts w:ascii="Verdana" w:hAnsi="Verdana" w:cs="Arial"/>
          <w:sz w:val="22"/>
          <w:szCs w:val="22"/>
        </w:rPr>
      </w:pPr>
    </w:p>
    <w:p w14:paraId="62E420C2"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xml:space="preserve">Adicionalmente, se encontraron las siguientes inconsistencias en el reporte </w:t>
      </w:r>
      <w:r w:rsidR="004F0B82" w:rsidRPr="00E33DE3">
        <w:rPr>
          <w:rFonts w:ascii="Verdana" w:hAnsi="Verdana" w:cs="Arial"/>
          <w:sz w:val="22"/>
          <w:szCs w:val="22"/>
        </w:rPr>
        <w:t xml:space="preserve">realizado por la Entidad Territorial para </w:t>
      </w:r>
      <w:r w:rsidRPr="00E33DE3">
        <w:rPr>
          <w:rFonts w:ascii="Verdana" w:hAnsi="Verdana" w:cs="Arial"/>
          <w:sz w:val="22"/>
          <w:szCs w:val="22"/>
        </w:rPr>
        <w:t xml:space="preserve">la vigencia 2022: </w:t>
      </w:r>
    </w:p>
    <w:p w14:paraId="64C9A8F0" w14:textId="77777777" w:rsidR="00273288" w:rsidRPr="00E33DE3" w:rsidRDefault="00273288" w:rsidP="00C65B25">
      <w:pPr>
        <w:jc w:val="both"/>
        <w:rPr>
          <w:rFonts w:ascii="Verdana" w:hAnsi="Verdana" w:cs="Arial"/>
          <w:sz w:val="22"/>
          <w:szCs w:val="22"/>
        </w:rPr>
      </w:pPr>
    </w:p>
    <w:p w14:paraId="2762DFB2" w14:textId="77777777" w:rsidR="00273288" w:rsidRPr="00E33DE3" w:rsidRDefault="00273288" w:rsidP="00C65B25">
      <w:pPr>
        <w:pStyle w:val="Prrafodelista"/>
        <w:numPr>
          <w:ilvl w:val="0"/>
          <w:numId w:val="28"/>
        </w:numPr>
        <w:ind w:left="284" w:hanging="284"/>
        <w:jc w:val="both"/>
        <w:rPr>
          <w:rFonts w:ascii="Verdana" w:hAnsi="Verdana" w:cs="Arial"/>
          <w:sz w:val="22"/>
          <w:szCs w:val="22"/>
        </w:rPr>
      </w:pPr>
      <w:r w:rsidRPr="00E33DE3">
        <w:rPr>
          <w:rFonts w:ascii="Verdana" w:hAnsi="Verdana" w:cs="Arial"/>
          <w:sz w:val="22"/>
          <w:szCs w:val="22"/>
        </w:rPr>
        <w:t>Objetos de gasto cuyo detalle sectorial y producto MGA fue diligenciado con N/A.</w:t>
      </w:r>
    </w:p>
    <w:p w14:paraId="172C87B5" w14:textId="77777777" w:rsidR="00273288" w:rsidRPr="00E33DE3" w:rsidRDefault="00273288" w:rsidP="00C65B25">
      <w:pPr>
        <w:pStyle w:val="Prrafodelista"/>
        <w:numPr>
          <w:ilvl w:val="0"/>
          <w:numId w:val="28"/>
        </w:numPr>
        <w:ind w:left="284" w:hanging="284"/>
        <w:jc w:val="both"/>
        <w:rPr>
          <w:rFonts w:ascii="Verdana" w:hAnsi="Verdana" w:cs="Arial"/>
          <w:sz w:val="22"/>
          <w:szCs w:val="22"/>
        </w:rPr>
      </w:pPr>
      <w:r w:rsidRPr="00E33DE3">
        <w:rPr>
          <w:rFonts w:ascii="Verdana" w:hAnsi="Verdana" w:cs="Arial"/>
          <w:sz w:val="22"/>
          <w:szCs w:val="22"/>
        </w:rPr>
        <w:t>Gastos de personal que no tenían diligenciada la columna de detalle sectorial, por lo cual no es posible determinar con certeza a qué tipo de personal se relaciona el objeto de gasto</w:t>
      </w:r>
      <w:r w:rsidR="00FB3CC3" w:rsidRPr="00E33DE3">
        <w:rPr>
          <w:rFonts w:ascii="Verdana" w:hAnsi="Verdana" w:cs="Arial"/>
          <w:sz w:val="22"/>
          <w:szCs w:val="22"/>
        </w:rPr>
        <w:t>. E</w:t>
      </w:r>
      <w:r w:rsidRPr="00E33DE3">
        <w:rPr>
          <w:rFonts w:ascii="Verdana" w:hAnsi="Verdana" w:cs="Arial"/>
          <w:sz w:val="22"/>
          <w:szCs w:val="22"/>
        </w:rPr>
        <w:t xml:space="preserve">s decir, si correspondió a docentes, directivos docentes, personal administrativo de las instituciones educativas y/o personal de la secretaría de educación. </w:t>
      </w:r>
    </w:p>
    <w:p w14:paraId="225EEEA4" w14:textId="77777777" w:rsidR="00273288" w:rsidRPr="00E33DE3" w:rsidRDefault="00273288" w:rsidP="00C65B25">
      <w:pPr>
        <w:pStyle w:val="Prrafodelista"/>
        <w:numPr>
          <w:ilvl w:val="0"/>
          <w:numId w:val="28"/>
        </w:numPr>
        <w:ind w:left="284" w:hanging="284"/>
        <w:jc w:val="both"/>
        <w:rPr>
          <w:rFonts w:ascii="Verdana" w:hAnsi="Verdana" w:cs="Arial"/>
          <w:sz w:val="22"/>
          <w:szCs w:val="22"/>
        </w:rPr>
      </w:pPr>
      <w:r w:rsidRPr="00E33DE3">
        <w:rPr>
          <w:rFonts w:ascii="Verdana" w:hAnsi="Verdana" w:cs="Arial"/>
          <w:sz w:val="22"/>
          <w:szCs w:val="22"/>
        </w:rPr>
        <w:lastRenderedPageBreak/>
        <w:t xml:space="preserve">Se observó una transferencia de Capital a Entidades del Gobierno General sin detalle sectorial, por lo cual no fue posible establecer el fin de </w:t>
      </w:r>
      <w:r w:rsidR="00FB3CC3" w:rsidRPr="00E33DE3">
        <w:rPr>
          <w:rFonts w:ascii="Verdana" w:hAnsi="Verdana" w:cs="Arial"/>
          <w:sz w:val="22"/>
          <w:szCs w:val="22"/>
        </w:rPr>
        <w:t>é</w:t>
      </w:r>
      <w:r w:rsidRPr="00E33DE3">
        <w:rPr>
          <w:rFonts w:ascii="Verdana" w:hAnsi="Verdana" w:cs="Arial"/>
          <w:sz w:val="22"/>
          <w:szCs w:val="22"/>
        </w:rPr>
        <w:t>sta.</w:t>
      </w:r>
    </w:p>
    <w:p w14:paraId="2EF5D2C9" w14:textId="77777777" w:rsidR="00273288" w:rsidRPr="00E33DE3" w:rsidRDefault="00273288" w:rsidP="00C65B25">
      <w:pPr>
        <w:pStyle w:val="Prrafodelista"/>
        <w:numPr>
          <w:ilvl w:val="0"/>
          <w:numId w:val="28"/>
        </w:numPr>
        <w:ind w:left="284" w:hanging="284"/>
        <w:jc w:val="both"/>
        <w:rPr>
          <w:rFonts w:ascii="Verdana" w:hAnsi="Verdana" w:cs="Arial"/>
          <w:sz w:val="22"/>
          <w:szCs w:val="22"/>
        </w:rPr>
      </w:pPr>
      <w:r w:rsidRPr="00E33DE3">
        <w:rPr>
          <w:rFonts w:ascii="Verdana" w:hAnsi="Verdana" w:cs="Arial"/>
          <w:sz w:val="22"/>
          <w:szCs w:val="22"/>
        </w:rPr>
        <w:t>El Municipio report</w:t>
      </w:r>
      <w:r w:rsidR="00FB3CC3" w:rsidRPr="00E33DE3">
        <w:rPr>
          <w:rFonts w:ascii="Verdana" w:hAnsi="Verdana" w:cs="Arial"/>
          <w:sz w:val="22"/>
          <w:szCs w:val="22"/>
        </w:rPr>
        <w:t>ó</w:t>
      </w:r>
      <w:r w:rsidRPr="00E33DE3">
        <w:rPr>
          <w:rFonts w:ascii="Verdana" w:hAnsi="Verdana" w:cs="Arial"/>
          <w:sz w:val="22"/>
          <w:szCs w:val="22"/>
        </w:rPr>
        <w:t xml:space="preserve"> objetos de gastos con detalle en la columna de CPC como: “Otros servicios profesionales técnicos y empresariales n c p” y “Otros servicios diversos n c p“. Adicionalmente, el detalle sectorial se determinó como “OTROS GASTOS EN EDUCACION-CONTROL, INSPECCION Y VIGILANCIA”. </w:t>
      </w:r>
    </w:p>
    <w:p w14:paraId="27A42E41" w14:textId="77777777" w:rsidR="00273288" w:rsidRPr="00E33DE3" w:rsidRDefault="00273288" w:rsidP="00C65B25">
      <w:pPr>
        <w:pStyle w:val="Prrafodelista"/>
        <w:numPr>
          <w:ilvl w:val="0"/>
          <w:numId w:val="28"/>
        </w:numPr>
        <w:ind w:left="284" w:hanging="284"/>
        <w:jc w:val="both"/>
        <w:rPr>
          <w:rFonts w:ascii="Verdana" w:hAnsi="Verdana" w:cs="Arial"/>
          <w:sz w:val="22"/>
          <w:szCs w:val="22"/>
        </w:rPr>
      </w:pPr>
      <w:r w:rsidRPr="00E33DE3">
        <w:rPr>
          <w:rFonts w:ascii="Verdana" w:hAnsi="Verdana" w:cs="Arial"/>
          <w:sz w:val="22"/>
          <w:szCs w:val="22"/>
        </w:rPr>
        <w:t>Se comprometieron $929 millones por concepto de prima técnica salarial al personal administrativo de las instituciones educativas.</w:t>
      </w:r>
    </w:p>
    <w:p w14:paraId="608F4728" w14:textId="77777777" w:rsidR="00273288" w:rsidRPr="00E33DE3" w:rsidRDefault="00273288" w:rsidP="00C65B25">
      <w:pPr>
        <w:jc w:val="both"/>
        <w:rPr>
          <w:rFonts w:ascii="Verdana" w:hAnsi="Verdana" w:cs="Arial"/>
          <w:sz w:val="22"/>
          <w:szCs w:val="22"/>
        </w:rPr>
      </w:pPr>
    </w:p>
    <w:p w14:paraId="73A9B7AC"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Por su parte, para la vigencia 2023 se encontró que:</w:t>
      </w:r>
    </w:p>
    <w:p w14:paraId="50F84223" w14:textId="77777777" w:rsidR="00273288" w:rsidRPr="00E33DE3" w:rsidRDefault="00273288" w:rsidP="00C65B25">
      <w:pPr>
        <w:jc w:val="both"/>
        <w:rPr>
          <w:rFonts w:ascii="Verdana" w:hAnsi="Verdana" w:cs="Arial"/>
          <w:sz w:val="22"/>
          <w:szCs w:val="22"/>
        </w:rPr>
      </w:pPr>
    </w:p>
    <w:p w14:paraId="5F0E0DE8" w14:textId="77777777" w:rsidR="00273288" w:rsidRPr="00E33DE3" w:rsidRDefault="00273288" w:rsidP="00C65B25">
      <w:pPr>
        <w:pStyle w:val="Prrafodelista"/>
        <w:numPr>
          <w:ilvl w:val="0"/>
          <w:numId w:val="28"/>
        </w:numPr>
        <w:ind w:left="284" w:hanging="284"/>
        <w:jc w:val="both"/>
        <w:rPr>
          <w:rFonts w:ascii="Verdana" w:hAnsi="Verdana" w:cs="Arial"/>
          <w:sz w:val="22"/>
          <w:szCs w:val="22"/>
        </w:rPr>
      </w:pPr>
      <w:r w:rsidRPr="00E33DE3">
        <w:rPr>
          <w:rFonts w:ascii="Verdana" w:hAnsi="Verdana" w:cs="Arial"/>
          <w:sz w:val="22"/>
          <w:szCs w:val="22"/>
        </w:rPr>
        <w:t xml:space="preserve">Se reportaron un total de compromisos por $1.159 millones cuya fuente de financiación fue “R.B. SGP-EDUCACION-CALIDAD POR MATRICULA OFICIAL”, para lo cual era indispensable que la Entidad Territorial contara con la autorización vía complemento y/u oficio del Ministerio de Educación Nacional para tal fin. </w:t>
      </w:r>
    </w:p>
    <w:p w14:paraId="39386B47" w14:textId="77777777" w:rsidR="00273288" w:rsidRPr="00E33DE3" w:rsidRDefault="00273288" w:rsidP="00C65B25">
      <w:pPr>
        <w:pStyle w:val="Prrafodelista"/>
        <w:numPr>
          <w:ilvl w:val="0"/>
          <w:numId w:val="28"/>
        </w:numPr>
        <w:ind w:left="284" w:hanging="284"/>
        <w:jc w:val="both"/>
        <w:rPr>
          <w:rFonts w:ascii="Verdana" w:hAnsi="Verdana" w:cs="Arial"/>
          <w:sz w:val="22"/>
          <w:szCs w:val="22"/>
        </w:rPr>
      </w:pPr>
      <w:r w:rsidRPr="00E33DE3">
        <w:rPr>
          <w:rFonts w:ascii="Verdana" w:hAnsi="Verdana" w:cs="Arial"/>
          <w:sz w:val="22"/>
          <w:szCs w:val="22"/>
        </w:rPr>
        <w:t>Se comprometieron $898 millones por concepto de prima técnica salarial al personal administrativo de las instituciones educativas.</w:t>
      </w:r>
    </w:p>
    <w:p w14:paraId="44784F25" w14:textId="77777777" w:rsidR="00273288" w:rsidRPr="00E33DE3" w:rsidRDefault="00273288" w:rsidP="00C65B25">
      <w:pPr>
        <w:ind w:left="360"/>
        <w:jc w:val="both"/>
        <w:rPr>
          <w:rFonts w:ascii="Verdana" w:hAnsi="Verdana" w:cs="Arial"/>
          <w:sz w:val="22"/>
          <w:szCs w:val="22"/>
        </w:rPr>
      </w:pPr>
    </w:p>
    <w:p w14:paraId="56811BCD" w14:textId="77777777" w:rsidR="00273288" w:rsidRPr="00E33DE3" w:rsidRDefault="00273288" w:rsidP="00687D19">
      <w:pPr>
        <w:pStyle w:val="Ttulo2"/>
        <w:rPr>
          <w:rFonts w:ascii="Verdana" w:hAnsi="Verdana"/>
        </w:rPr>
      </w:pPr>
      <w:r w:rsidRPr="00E33DE3">
        <w:rPr>
          <w:rFonts w:ascii="Verdana" w:hAnsi="Verdana"/>
        </w:rPr>
        <w:t xml:space="preserve">Cierre de Tesorería </w:t>
      </w:r>
    </w:p>
    <w:p w14:paraId="32146DC0" w14:textId="77777777" w:rsidR="00273288" w:rsidRPr="00E33DE3" w:rsidRDefault="00273288" w:rsidP="00C65B25">
      <w:pPr>
        <w:pStyle w:val="Sinespaciado"/>
        <w:jc w:val="both"/>
        <w:rPr>
          <w:rFonts w:ascii="Verdana" w:hAnsi="Verdana" w:cs="Arial"/>
        </w:rPr>
      </w:pPr>
    </w:p>
    <w:p w14:paraId="54C33644"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xml:space="preserve">Sobre el cierre del 2023, la información reportada en CUIPO de </w:t>
      </w:r>
      <w:r w:rsidR="00FB3CC3" w:rsidRPr="00E33DE3">
        <w:rPr>
          <w:rFonts w:ascii="Verdana" w:hAnsi="Verdana" w:cs="Arial"/>
          <w:sz w:val="22"/>
          <w:szCs w:val="22"/>
        </w:rPr>
        <w:t xml:space="preserve">ejecución de </w:t>
      </w:r>
      <w:r w:rsidRPr="00E33DE3">
        <w:rPr>
          <w:rFonts w:ascii="Verdana" w:hAnsi="Verdana" w:cs="Arial"/>
          <w:sz w:val="22"/>
          <w:szCs w:val="22"/>
        </w:rPr>
        <w:t xml:space="preserve">ingresos y gastos arrojó un resultado presupuestal deficitario para el sector educativo de $3.033 millones, evidenciando que la Entidad debió constituir reservas por $998 millones, cuentas por pagar por un total de $4.583 millones y debió tener como mínimo disponible en caja y bancos $2.548 millones. </w:t>
      </w:r>
    </w:p>
    <w:p w14:paraId="6005AE89" w14:textId="77777777" w:rsidR="00273288" w:rsidRPr="00E33DE3" w:rsidRDefault="00273288" w:rsidP="00C65B25">
      <w:pPr>
        <w:jc w:val="both"/>
        <w:rPr>
          <w:rFonts w:ascii="Verdana" w:hAnsi="Verdana" w:cs="Arial"/>
          <w:sz w:val="22"/>
          <w:szCs w:val="22"/>
        </w:rPr>
      </w:pPr>
    </w:p>
    <w:p w14:paraId="5505A3D2"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lang w:val="es-ES_tradnl"/>
        </w:rPr>
        <w:t>Sin embargo, al comparar la información de</w:t>
      </w:r>
      <w:r w:rsidRPr="00E33DE3">
        <w:rPr>
          <w:rFonts w:ascii="Verdana" w:hAnsi="Verdana" w:cs="Arial"/>
          <w:sz w:val="22"/>
          <w:szCs w:val="22"/>
        </w:rPr>
        <w:t xml:space="preserve"> CUIPO vs la reportada en el FUT</w:t>
      </w:r>
      <w:r w:rsidRPr="00E33DE3">
        <w:rPr>
          <w:rFonts w:ascii="Verdana" w:hAnsi="Verdana" w:cs="Arial"/>
          <w:sz w:val="22"/>
          <w:szCs w:val="22"/>
          <w:lang w:val="es-ES_tradnl"/>
        </w:rPr>
        <w:t xml:space="preserve">, </w:t>
      </w:r>
      <w:r w:rsidRPr="00E33DE3">
        <w:rPr>
          <w:rFonts w:ascii="Verdana" w:hAnsi="Verdana" w:cs="Arial"/>
          <w:sz w:val="22"/>
          <w:szCs w:val="22"/>
        </w:rPr>
        <w:t xml:space="preserve">se encontró que ésta es inconsistente </w:t>
      </w:r>
      <w:r w:rsidRPr="00E33DE3">
        <w:rPr>
          <w:rFonts w:ascii="Verdana" w:hAnsi="Verdana" w:cs="Arial"/>
          <w:sz w:val="22"/>
          <w:szCs w:val="22"/>
          <w:lang w:val="es-ES_tradnl"/>
        </w:rPr>
        <w:t>entre sí.</w:t>
      </w:r>
      <w:r w:rsidRPr="00E33DE3">
        <w:rPr>
          <w:rFonts w:ascii="Verdana" w:hAnsi="Verdana" w:cs="Arial"/>
          <w:sz w:val="22"/>
          <w:szCs w:val="22"/>
        </w:rPr>
        <w:t xml:space="preserve"> Los valores del déficit, reservas y cuentas por pagar no concuerdan entre sí como se muestra en el siguiente cuadro:</w:t>
      </w:r>
    </w:p>
    <w:p w14:paraId="546A9843" w14:textId="77777777" w:rsidR="00273288" w:rsidRPr="00E33DE3" w:rsidRDefault="00273288" w:rsidP="00C65B25">
      <w:pPr>
        <w:jc w:val="both"/>
        <w:rPr>
          <w:rFonts w:ascii="Verdana" w:hAnsi="Verdana" w:cs="Arial"/>
          <w:sz w:val="22"/>
          <w:szCs w:val="22"/>
        </w:rPr>
      </w:pPr>
    </w:p>
    <w:tbl>
      <w:tblPr>
        <w:tblW w:w="5000" w:type="pct"/>
        <w:tblLook w:val="06A0" w:firstRow="1" w:lastRow="0" w:firstColumn="1" w:lastColumn="0" w:noHBand="1" w:noVBand="1"/>
      </w:tblPr>
      <w:tblGrid>
        <w:gridCol w:w="3664"/>
        <w:gridCol w:w="1976"/>
        <w:gridCol w:w="1271"/>
        <w:gridCol w:w="1917"/>
      </w:tblGrid>
      <w:tr w:rsidR="00FB3CC3" w:rsidRPr="00E33DE3" w14:paraId="3CE622B3" w14:textId="77777777" w:rsidTr="00FB3CC3">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B48C41"/>
            <w:tcMar>
              <w:top w:w="15" w:type="dxa"/>
              <w:left w:w="15" w:type="dxa"/>
              <w:bottom w:w="0" w:type="dxa"/>
              <w:right w:w="15" w:type="dxa"/>
            </w:tcMar>
            <w:vAlign w:val="center"/>
            <w:hideMark/>
          </w:tcPr>
          <w:p w14:paraId="18602E8A" w14:textId="77777777" w:rsidR="00FB3CC3" w:rsidRPr="00E33DE3" w:rsidRDefault="00FB3CC3" w:rsidP="00C65B25">
            <w:pPr>
              <w:jc w:val="center"/>
              <w:rPr>
                <w:rFonts w:ascii="Verdana" w:eastAsia="Verdana" w:hAnsi="Verdana" w:cs="Verdana"/>
                <w:b/>
                <w:bCs/>
                <w:color w:val="FFFFFF" w:themeColor="background1"/>
                <w:sz w:val="18"/>
                <w:szCs w:val="18"/>
              </w:rPr>
            </w:pPr>
            <w:r w:rsidRPr="00E33DE3">
              <w:rPr>
                <w:rFonts w:ascii="Verdana" w:eastAsia="Verdana" w:hAnsi="Verdana" w:cs="Verdana"/>
                <w:b/>
                <w:bCs/>
                <w:color w:val="FFFFFF" w:themeColor="background1"/>
                <w:sz w:val="18"/>
                <w:szCs w:val="18"/>
              </w:rPr>
              <w:t>TABLA 3. INFORMACIÓN DE CIERRE DE VIGENCIA 2023.</w:t>
            </w:r>
          </w:p>
        </w:tc>
      </w:tr>
      <w:tr w:rsidR="00FB3CC3" w:rsidRPr="00E33DE3" w14:paraId="70047A2C" w14:textId="77777777" w:rsidTr="00FB3CC3">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B48C41"/>
            <w:tcMar>
              <w:top w:w="15" w:type="dxa"/>
              <w:left w:w="15" w:type="dxa"/>
              <w:bottom w:w="0" w:type="dxa"/>
              <w:right w:w="15" w:type="dxa"/>
            </w:tcMar>
            <w:vAlign w:val="center"/>
            <w:hideMark/>
          </w:tcPr>
          <w:p w14:paraId="63CDFA34" w14:textId="77777777" w:rsidR="00FB3CC3" w:rsidRPr="00E33DE3" w:rsidRDefault="00FB3CC3" w:rsidP="00C65B25">
            <w:pPr>
              <w:jc w:val="center"/>
              <w:rPr>
                <w:rFonts w:ascii="Verdana" w:eastAsia="Verdana" w:hAnsi="Verdana" w:cs="Verdana"/>
                <w:b/>
                <w:bCs/>
                <w:color w:val="FFFFFF" w:themeColor="background1"/>
                <w:sz w:val="18"/>
                <w:szCs w:val="18"/>
              </w:rPr>
            </w:pPr>
            <w:r w:rsidRPr="00E33DE3">
              <w:rPr>
                <w:rFonts w:ascii="Verdana" w:eastAsia="Verdana" w:hAnsi="Verdana" w:cs="Verdana"/>
                <w:b/>
                <w:bCs/>
                <w:color w:val="FFFFFF" w:themeColor="background1"/>
                <w:sz w:val="18"/>
                <w:szCs w:val="18"/>
              </w:rPr>
              <w:t>(MILLONES DE $)</w:t>
            </w:r>
          </w:p>
        </w:tc>
      </w:tr>
      <w:tr w:rsidR="00FB3CC3" w:rsidRPr="00E33DE3" w14:paraId="776FA3B6" w14:textId="77777777" w:rsidTr="00FB3CC3">
        <w:trPr>
          <w:trHeight w:val="276"/>
        </w:trPr>
        <w:tc>
          <w:tcPr>
            <w:tcW w:w="2075" w:type="pct"/>
            <w:tcBorders>
              <w:top w:val="single" w:sz="4" w:space="0" w:color="auto"/>
              <w:left w:val="single" w:sz="4" w:space="0" w:color="auto"/>
              <w:bottom w:val="single" w:sz="4" w:space="0" w:color="auto"/>
              <w:right w:val="single" w:sz="4" w:space="0" w:color="auto"/>
            </w:tcBorders>
            <w:shd w:val="clear" w:color="auto" w:fill="F1EADA"/>
            <w:tcMar>
              <w:top w:w="15" w:type="dxa"/>
              <w:left w:w="15" w:type="dxa"/>
              <w:bottom w:w="0" w:type="dxa"/>
              <w:right w:w="15" w:type="dxa"/>
            </w:tcMar>
            <w:vAlign w:val="center"/>
            <w:hideMark/>
          </w:tcPr>
          <w:p w14:paraId="76CFEFA7" w14:textId="77777777" w:rsidR="00FB3CC3" w:rsidRPr="00E33DE3" w:rsidRDefault="00FB3CC3"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CONCEPTO</w:t>
            </w:r>
          </w:p>
        </w:tc>
        <w:tc>
          <w:tcPr>
            <w:tcW w:w="1119" w:type="pct"/>
            <w:tcBorders>
              <w:top w:val="single" w:sz="4" w:space="0" w:color="auto"/>
              <w:left w:val="single" w:sz="4" w:space="0" w:color="auto"/>
              <w:bottom w:val="single" w:sz="4" w:space="0" w:color="auto"/>
              <w:right w:val="single" w:sz="4" w:space="0" w:color="auto"/>
            </w:tcBorders>
            <w:shd w:val="clear" w:color="auto" w:fill="F1EADA"/>
            <w:tcMar>
              <w:top w:w="15" w:type="dxa"/>
              <w:left w:w="15" w:type="dxa"/>
              <w:bottom w:w="0" w:type="dxa"/>
              <w:right w:w="15" w:type="dxa"/>
            </w:tcMar>
            <w:vAlign w:val="center"/>
            <w:hideMark/>
          </w:tcPr>
          <w:p w14:paraId="2229DBAC" w14:textId="77777777" w:rsidR="00FB3CC3" w:rsidRPr="00E33DE3" w:rsidRDefault="00FB3CC3"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SEGÚN CUIPO (1)</w:t>
            </w:r>
          </w:p>
        </w:tc>
        <w:tc>
          <w:tcPr>
            <w:tcW w:w="720" w:type="pct"/>
            <w:tcBorders>
              <w:top w:val="single" w:sz="4" w:space="0" w:color="auto"/>
              <w:left w:val="single" w:sz="4" w:space="0" w:color="auto"/>
              <w:bottom w:val="single" w:sz="4" w:space="0" w:color="auto"/>
              <w:right w:val="single" w:sz="4" w:space="0" w:color="auto"/>
            </w:tcBorders>
            <w:shd w:val="clear" w:color="auto" w:fill="F1EADA"/>
            <w:tcMar>
              <w:top w:w="15" w:type="dxa"/>
              <w:left w:w="15" w:type="dxa"/>
              <w:bottom w:w="0" w:type="dxa"/>
              <w:right w:w="15" w:type="dxa"/>
            </w:tcMar>
            <w:vAlign w:val="center"/>
            <w:hideMark/>
          </w:tcPr>
          <w:p w14:paraId="3ADD0EA8" w14:textId="77777777" w:rsidR="00FB3CC3" w:rsidRPr="00E33DE3" w:rsidRDefault="00FB3CC3"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FUT (2)</w:t>
            </w:r>
          </w:p>
        </w:tc>
        <w:tc>
          <w:tcPr>
            <w:tcW w:w="1086" w:type="pct"/>
            <w:tcBorders>
              <w:top w:val="single" w:sz="4" w:space="0" w:color="auto"/>
              <w:left w:val="single" w:sz="4" w:space="0" w:color="auto"/>
              <w:bottom w:val="single" w:sz="4" w:space="0" w:color="auto"/>
              <w:right w:val="single" w:sz="4" w:space="0" w:color="auto"/>
            </w:tcBorders>
            <w:shd w:val="clear" w:color="auto" w:fill="F1EADA"/>
            <w:tcMar>
              <w:top w:w="15" w:type="dxa"/>
              <w:left w:w="15" w:type="dxa"/>
              <w:bottom w:w="0" w:type="dxa"/>
              <w:right w:w="15" w:type="dxa"/>
            </w:tcMar>
            <w:vAlign w:val="center"/>
            <w:hideMark/>
          </w:tcPr>
          <w:p w14:paraId="4D880D36" w14:textId="77777777" w:rsidR="00FB3CC3" w:rsidRPr="00E33DE3" w:rsidRDefault="00FB3CC3"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DIFERENCIA (1-2)</w:t>
            </w:r>
          </w:p>
        </w:tc>
      </w:tr>
      <w:tr w:rsidR="00FB3CC3" w:rsidRPr="00E33DE3" w14:paraId="0D7D29BF" w14:textId="77777777" w:rsidTr="00FB3CC3">
        <w:trPr>
          <w:trHeight w:val="20"/>
        </w:trPr>
        <w:tc>
          <w:tcPr>
            <w:tcW w:w="20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E867D1" w14:textId="77777777" w:rsidR="00FB3CC3" w:rsidRPr="00E33DE3" w:rsidRDefault="00FB3CC3" w:rsidP="00C65B25">
            <w:pPr>
              <w:jc w:val="both"/>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1. Ingresos (Recaudados)</w:t>
            </w:r>
          </w:p>
        </w:tc>
        <w:tc>
          <w:tcPr>
            <w:tcW w:w="11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EE38994" w14:textId="77777777" w:rsidR="00FB3CC3" w:rsidRPr="00E33DE3" w:rsidRDefault="00FB3CC3"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253.624</w:t>
            </w:r>
          </w:p>
        </w:tc>
        <w:tc>
          <w:tcPr>
            <w:tcW w:w="720"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14:paraId="3A21C5A3" w14:textId="77777777" w:rsidR="00FB3CC3" w:rsidRPr="00E33DE3" w:rsidRDefault="00FB3CC3" w:rsidP="00C65B25">
            <w:pPr>
              <w:jc w:val="center"/>
              <w:rPr>
                <w:rFonts w:ascii="Verdana" w:hAnsi="Verdana"/>
                <w:sz w:val="18"/>
                <w:szCs w:val="18"/>
              </w:rPr>
            </w:pPr>
            <w:r w:rsidRPr="00E33DE3">
              <w:rPr>
                <w:rFonts w:ascii="Verdana" w:hAnsi="Verdana"/>
                <w:sz w:val="18"/>
                <w:szCs w:val="18"/>
              </w:rPr>
              <w:t>0</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14:paraId="3CA7D402" w14:textId="77777777" w:rsidR="00FB3CC3" w:rsidRPr="00E33DE3" w:rsidRDefault="00FB3CC3"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253.624</w:t>
            </w:r>
          </w:p>
        </w:tc>
      </w:tr>
      <w:tr w:rsidR="00FB3CC3" w:rsidRPr="00E33DE3" w14:paraId="68A7F945" w14:textId="77777777" w:rsidTr="00FB3CC3">
        <w:trPr>
          <w:trHeight w:val="20"/>
        </w:trPr>
        <w:tc>
          <w:tcPr>
            <w:tcW w:w="20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B72FC6" w14:textId="77777777" w:rsidR="00FB3CC3" w:rsidRPr="00E33DE3" w:rsidRDefault="00FB3CC3" w:rsidP="00C65B25">
            <w:pPr>
              <w:jc w:val="both"/>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2. Gastos (Comprometidos) </w:t>
            </w:r>
          </w:p>
        </w:tc>
        <w:tc>
          <w:tcPr>
            <w:tcW w:w="11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FB078ED" w14:textId="77777777" w:rsidR="00FB3CC3" w:rsidRPr="00E33DE3" w:rsidRDefault="00FB3CC3"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256.656</w:t>
            </w:r>
          </w:p>
        </w:tc>
        <w:tc>
          <w:tcPr>
            <w:tcW w:w="720"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14:paraId="201BE634" w14:textId="77777777" w:rsidR="00FB3CC3" w:rsidRPr="00E33DE3" w:rsidRDefault="00FB3CC3" w:rsidP="00C65B25">
            <w:pPr>
              <w:jc w:val="center"/>
              <w:rPr>
                <w:rFonts w:ascii="Verdana" w:hAnsi="Verdana"/>
                <w:sz w:val="18"/>
                <w:szCs w:val="18"/>
              </w:rPr>
            </w:pPr>
            <w:r w:rsidRPr="00E33DE3">
              <w:rPr>
                <w:rFonts w:ascii="Verdana" w:hAnsi="Verdana"/>
                <w:sz w:val="18"/>
                <w:szCs w:val="18"/>
              </w:rPr>
              <w:t>0</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14:paraId="695B2504" w14:textId="77777777" w:rsidR="00FB3CC3" w:rsidRPr="00E33DE3" w:rsidRDefault="00FB3CC3"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256.656</w:t>
            </w:r>
          </w:p>
        </w:tc>
      </w:tr>
      <w:tr w:rsidR="00FB3CC3" w:rsidRPr="00E33DE3" w14:paraId="7244903D" w14:textId="77777777" w:rsidTr="00FB3CC3">
        <w:trPr>
          <w:trHeight w:val="20"/>
        </w:trPr>
        <w:tc>
          <w:tcPr>
            <w:tcW w:w="20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12BEB6" w14:textId="77777777" w:rsidR="00FB3CC3" w:rsidRPr="00E33DE3" w:rsidRDefault="00FB3CC3" w:rsidP="00C65B25">
            <w:pPr>
              <w:jc w:val="both"/>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3. Gastos (Obligados) </w:t>
            </w:r>
          </w:p>
        </w:tc>
        <w:tc>
          <w:tcPr>
            <w:tcW w:w="11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D2AFC25" w14:textId="77777777" w:rsidR="00FB3CC3" w:rsidRPr="00E33DE3" w:rsidRDefault="00FB3CC3"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255.658</w:t>
            </w:r>
          </w:p>
        </w:tc>
        <w:tc>
          <w:tcPr>
            <w:tcW w:w="720"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14:paraId="551801D7" w14:textId="77777777" w:rsidR="00FB3CC3" w:rsidRPr="00E33DE3" w:rsidRDefault="00FB3CC3" w:rsidP="00C65B25">
            <w:pPr>
              <w:jc w:val="center"/>
              <w:rPr>
                <w:rFonts w:ascii="Verdana" w:hAnsi="Verdana"/>
                <w:sz w:val="18"/>
                <w:szCs w:val="18"/>
              </w:rPr>
            </w:pPr>
            <w:r w:rsidRPr="00E33DE3">
              <w:rPr>
                <w:rFonts w:ascii="Verdana" w:hAnsi="Verdana"/>
                <w:sz w:val="18"/>
                <w:szCs w:val="18"/>
              </w:rPr>
              <w:t>0</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14:paraId="150B6C40" w14:textId="77777777" w:rsidR="00FB3CC3" w:rsidRPr="00E33DE3" w:rsidRDefault="00FB3CC3"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255.658</w:t>
            </w:r>
          </w:p>
        </w:tc>
      </w:tr>
      <w:tr w:rsidR="00FB3CC3" w:rsidRPr="00E33DE3" w14:paraId="3430D405" w14:textId="77777777" w:rsidTr="00FB3CC3">
        <w:trPr>
          <w:trHeight w:val="20"/>
        </w:trPr>
        <w:tc>
          <w:tcPr>
            <w:tcW w:w="20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E6ED1" w14:textId="77777777" w:rsidR="00FB3CC3" w:rsidRPr="00E33DE3" w:rsidRDefault="00FB3CC3" w:rsidP="00C65B25">
            <w:pPr>
              <w:jc w:val="both"/>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4. Pagos </w:t>
            </w:r>
          </w:p>
        </w:tc>
        <w:tc>
          <w:tcPr>
            <w:tcW w:w="11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0CE2F1B" w14:textId="77777777" w:rsidR="00FB3CC3" w:rsidRPr="00E33DE3" w:rsidRDefault="00FB3CC3"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251.076</w:t>
            </w:r>
          </w:p>
        </w:tc>
        <w:tc>
          <w:tcPr>
            <w:tcW w:w="720"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14:paraId="00F1D6DC" w14:textId="77777777" w:rsidR="00FB3CC3" w:rsidRPr="00E33DE3" w:rsidRDefault="00FB3CC3" w:rsidP="00C65B25">
            <w:pPr>
              <w:jc w:val="center"/>
              <w:rPr>
                <w:rFonts w:ascii="Verdana" w:hAnsi="Verdana"/>
                <w:sz w:val="18"/>
                <w:szCs w:val="18"/>
              </w:rPr>
            </w:pPr>
            <w:r w:rsidRPr="00E33DE3">
              <w:rPr>
                <w:rFonts w:ascii="Verdana" w:hAnsi="Verdana"/>
                <w:sz w:val="18"/>
                <w:szCs w:val="18"/>
              </w:rPr>
              <w:t>0</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14:paraId="58CC644D" w14:textId="77777777" w:rsidR="00FB3CC3" w:rsidRPr="00E33DE3" w:rsidRDefault="00FB3CC3"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251.076</w:t>
            </w:r>
          </w:p>
        </w:tc>
      </w:tr>
      <w:tr w:rsidR="00FB3CC3" w:rsidRPr="00E33DE3" w14:paraId="3FA66C3F" w14:textId="77777777" w:rsidTr="00FB3CC3">
        <w:trPr>
          <w:trHeight w:val="20"/>
        </w:trPr>
        <w:tc>
          <w:tcPr>
            <w:tcW w:w="20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42A094" w14:textId="77777777" w:rsidR="00FB3CC3" w:rsidRPr="00E33DE3" w:rsidRDefault="00FB3CC3" w:rsidP="00C65B25">
            <w:pPr>
              <w:jc w:val="both"/>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 Déficit o superávit (1)-(2)</w:t>
            </w:r>
          </w:p>
        </w:tc>
        <w:tc>
          <w:tcPr>
            <w:tcW w:w="11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71722A9" w14:textId="77777777" w:rsidR="00FB3CC3" w:rsidRPr="00E33DE3" w:rsidRDefault="00FB3CC3"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-3.033</w:t>
            </w:r>
          </w:p>
        </w:tc>
        <w:tc>
          <w:tcPr>
            <w:tcW w:w="72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D997F84" w14:textId="77777777" w:rsidR="00FB3CC3" w:rsidRPr="00E33DE3" w:rsidRDefault="00FB3CC3"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-233</w:t>
            </w:r>
          </w:p>
        </w:tc>
        <w:tc>
          <w:tcPr>
            <w:tcW w:w="108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4BDC7CA" w14:textId="77777777" w:rsidR="00FB3CC3" w:rsidRPr="00E33DE3" w:rsidRDefault="00FB3CC3"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2.800</w:t>
            </w:r>
          </w:p>
        </w:tc>
      </w:tr>
      <w:tr w:rsidR="00FB3CC3" w:rsidRPr="00E33DE3" w14:paraId="4EF5363F" w14:textId="77777777" w:rsidTr="00FB3CC3">
        <w:trPr>
          <w:trHeight w:val="20"/>
        </w:trPr>
        <w:tc>
          <w:tcPr>
            <w:tcW w:w="20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937AE2" w14:textId="77777777" w:rsidR="00FB3CC3" w:rsidRPr="00E33DE3" w:rsidRDefault="00FB3CC3" w:rsidP="00C65B25">
            <w:pPr>
              <w:jc w:val="both"/>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 Reservas (2)-(3) </w:t>
            </w:r>
          </w:p>
        </w:tc>
        <w:tc>
          <w:tcPr>
            <w:tcW w:w="11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ADE33AD" w14:textId="77777777" w:rsidR="00FB3CC3" w:rsidRPr="00E33DE3" w:rsidRDefault="00FB3CC3"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998</w:t>
            </w:r>
          </w:p>
        </w:tc>
        <w:tc>
          <w:tcPr>
            <w:tcW w:w="72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9714C31" w14:textId="77777777" w:rsidR="00FB3CC3" w:rsidRPr="00E33DE3" w:rsidRDefault="00FB3CC3"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791</w:t>
            </w:r>
          </w:p>
        </w:tc>
        <w:tc>
          <w:tcPr>
            <w:tcW w:w="108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A84AD31" w14:textId="77777777" w:rsidR="00FB3CC3" w:rsidRPr="00E33DE3" w:rsidRDefault="00FB3CC3"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-207</w:t>
            </w:r>
          </w:p>
        </w:tc>
      </w:tr>
      <w:tr w:rsidR="00FB3CC3" w:rsidRPr="00E33DE3" w14:paraId="689C31C0" w14:textId="77777777" w:rsidTr="00FB3CC3">
        <w:trPr>
          <w:trHeight w:val="20"/>
        </w:trPr>
        <w:tc>
          <w:tcPr>
            <w:tcW w:w="20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2EFC0F" w14:textId="77777777" w:rsidR="00FB3CC3" w:rsidRPr="00E33DE3" w:rsidRDefault="00FB3CC3" w:rsidP="00C65B25">
            <w:pPr>
              <w:jc w:val="both"/>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 Cuentas por pagar (3)–(4)</w:t>
            </w:r>
          </w:p>
        </w:tc>
        <w:tc>
          <w:tcPr>
            <w:tcW w:w="11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58897E1" w14:textId="77777777" w:rsidR="00FB3CC3" w:rsidRPr="00E33DE3" w:rsidRDefault="00FB3CC3"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4.583</w:t>
            </w:r>
          </w:p>
        </w:tc>
        <w:tc>
          <w:tcPr>
            <w:tcW w:w="72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43750B4" w14:textId="77777777" w:rsidR="00FB3CC3" w:rsidRPr="00E33DE3" w:rsidRDefault="00FB3CC3"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3.889</w:t>
            </w:r>
          </w:p>
        </w:tc>
        <w:tc>
          <w:tcPr>
            <w:tcW w:w="108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91FEB8C" w14:textId="77777777" w:rsidR="00FB3CC3" w:rsidRPr="00E33DE3" w:rsidRDefault="00FB3CC3"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-694</w:t>
            </w:r>
          </w:p>
        </w:tc>
      </w:tr>
      <w:tr w:rsidR="00FB3CC3" w:rsidRPr="00E33DE3" w14:paraId="28367A27" w14:textId="77777777" w:rsidTr="00FB3CC3">
        <w:trPr>
          <w:trHeight w:val="20"/>
        </w:trPr>
        <w:tc>
          <w:tcPr>
            <w:tcW w:w="20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D6F10" w14:textId="77777777" w:rsidR="00FB3CC3" w:rsidRPr="00E33DE3" w:rsidRDefault="00FB3CC3" w:rsidP="00C65B25">
            <w:pPr>
              <w:jc w:val="both"/>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 Recurso de terceros</w:t>
            </w:r>
          </w:p>
        </w:tc>
        <w:tc>
          <w:tcPr>
            <w:tcW w:w="111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14:paraId="290A8A43" w14:textId="77777777" w:rsidR="00FB3CC3" w:rsidRPr="00E33DE3" w:rsidRDefault="00FB3CC3"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0</w:t>
            </w:r>
          </w:p>
        </w:tc>
        <w:tc>
          <w:tcPr>
            <w:tcW w:w="720"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14:paraId="1466F0D4" w14:textId="77777777" w:rsidR="00FB3CC3" w:rsidRPr="00E33DE3" w:rsidRDefault="00FB3CC3"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23</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14:paraId="4C31A93D" w14:textId="77777777" w:rsidR="00FB3CC3" w:rsidRPr="00E33DE3" w:rsidRDefault="00FB3CC3"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23</w:t>
            </w:r>
          </w:p>
        </w:tc>
      </w:tr>
      <w:tr w:rsidR="00FB3CC3" w:rsidRPr="00E33DE3" w14:paraId="35D85E19" w14:textId="77777777" w:rsidTr="00FB3CC3">
        <w:trPr>
          <w:trHeight w:val="20"/>
        </w:trPr>
        <w:tc>
          <w:tcPr>
            <w:tcW w:w="20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900B6" w14:textId="77777777" w:rsidR="00FB3CC3" w:rsidRPr="00E33DE3" w:rsidRDefault="00FB3CC3" w:rsidP="00C65B25">
            <w:pPr>
              <w:jc w:val="both"/>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Saldo en Caja y Bancos (1)-(4) </w:t>
            </w:r>
          </w:p>
        </w:tc>
        <w:tc>
          <w:tcPr>
            <w:tcW w:w="11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79D1818" w14:textId="77777777" w:rsidR="00FB3CC3" w:rsidRPr="00E33DE3" w:rsidRDefault="00FB3CC3"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2.548</w:t>
            </w:r>
          </w:p>
        </w:tc>
        <w:tc>
          <w:tcPr>
            <w:tcW w:w="72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0B1F942" w14:textId="77777777" w:rsidR="00FB3CC3" w:rsidRPr="00E33DE3" w:rsidRDefault="00FB3CC3"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7.837</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14:paraId="36B416B8" w14:textId="77777777" w:rsidR="00FB3CC3" w:rsidRPr="00E33DE3" w:rsidRDefault="00FB3CC3"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-5.290</w:t>
            </w:r>
          </w:p>
        </w:tc>
      </w:tr>
    </w:tbl>
    <w:p w14:paraId="489EA2F9" w14:textId="77777777" w:rsidR="00273288" w:rsidRPr="00E33DE3" w:rsidRDefault="00273288" w:rsidP="00C65B25">
      <w:pPr>
        <w:jc w:val="center"/>
        <w:rPr>
          <w:rFonts w:ascii="Verdana" w:hAnsi="Verdana" w:cs="Arial"/>
          <w:sz w:val="18"/>
          <w:szCs w:val="18"/>
        </w:rPr>
      </w:pPr>
      <w:r w:rsidRPr="00E33DE3">
        <w:rPr>
          <w:rFonts w:ascii="Verdana" w:hAnsi="Verdana" w:cs="Arial"/>
          <w:sz w:val="18"/>
          <w:szCs w:val="18"/>
        </w:rPr>
        <w:lastRenderedPageBreak/>
        <w:t>Fuente: Información reportada por la Entidad Territorial en reporte CUIPO y FUT a diciembre de 2023.</w:t>
      </w:r>
    </w:p>
    <w:p w14:paraId="08DF05A6" w14:textId="77777777" w:rsidR="00273288" w:rsidRPr="00E33DE3" w:rsidRDefault="00273288" w:rsidP="00C65B25">
      <w:pPr>
        <w:ind w:left="360"/>
        <w:jc w:val="both"/>
        <w:rPr>
          <w:rFonts w:ascii="Verdana" w:hAnsi="Verdana" w:cs="Arial"/>
          <w:sz w:val="22"/>
          <w:szCs w:val="22"/>
        </w:rPr>
      </w:pPr>
    </w:p>
    <w:p w14:paraId="6EE866F3"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xml:space="preserve">El déficit presentado se puede detallar con el análisis de las fuentes de financiación del sector, como se muestra a continuación: </w:t>
      </w:r>
    </w:p>
    <w:p w14:paraId="64C27A93" w14:textId="77777777" w:rsidR="00273288" w:rsidRPr="00E33DE3" w:rsidRDefault="00273288" w:rsidP="00C65B25">
      <w:pPr>
        <w:jc w:val="both"/>
        <w:rPr>
          <w:rFonts w:ascii="Verdana" w:hAnsi="Verdana" w:cs="Arial"/>
          <w:sz w:val="22"/>
          <w:szCs w:val="22"/>
        </w:rPr>
      </w:pPr>
    </w:p>
    <w:tbl>
      <w:tblPr>
        <w:tblW w:w="0" w:type="auto"/>
        <w:tblLayout w:type="fixed"/>
        <w:tblLook w:val="06A0" w:firstRow="1" w:lastRow="0" w:firstColumn="1" w:lastColumn="0" w:noHBand="1" w:noVBand="1"/>
      </w:tblPr>
      <w:tblGrid>
        <w:gridCol w:w="4800"/>
        <w:gridCol w:w="1140"/>
        <w:gridCol w:w="1621"/>
        <w:gridCol w:w="1380"/>
      </w:tblGrid>
      <w:tr w:rsidR="00273288" w:rsidRPr="00E33DE3" w14:paraId="1819DD93" w14:textId="77777777" w:rsidTr="00FB3CC3">
        <w:trPr>
          <w:trHeight w:val="20"/>
        </w:trPr>
        <w:tc>
          <w:tcPr>
            <w:tcW w:w="89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8C41"/>
            <w:tcMar>
              <w:top w:w="15" w:type="dxa"/>
              <w:left w:w="15" w:type="dxa"/>
              <w:bottom w:w="0" w:type="dxa"/>
              <w:right w:w="15" w:type="dxa"/>
            </w:tcMar>
            <w:vAlign w:val="center"/>
            <w:hideMark/>
          </w:tcPr>
          <w:p w14:paraId="13E554D0" w14:textId="77777777" w:rsidR="00273288" w:rsidRPr="00E33DE3" w:rsidRDefault="00273288" w:rsidP="00C65B25">
            <w:pPr>
              <w:jc w:val="center"/>
              <w:rPr>
                <w:rFonts w:ascii="Verdana" w:eastAsia="Verdana" w:hAnsi="Verdana" w:cs="Verdana"/>
                <w:b/>
                <w:bCs/>
                <w:color w:val="FFFFFF" w:themeColor="background1"/>
                <w:sz w:val="18"/>
                <w:szCs w:val="18"/>
              </w:rPr>
            </w:pPr>
            <w:r w:rsidRPr="00E33DE3">
              <w:rPr>
                <w:rFonts w:ascii="Verdana" w:eastAsia="Verdana" w:hAnsi="Verdana" w:cs="Verdana"/>
                <w:b/>
                <w:bCs/>
                <w:color w:val="FFFFFF" w:themeColor="background1"/>
                <w:sz w:val="18"/>
                <w:szCs w:val="18"/>
              </w:rPr>
              <w:t xml:space="preserve">TABLA 4. ANÁLISIS DE FUENTES DE FINANCIACIÓN PARA LA VIGENCIA 2023 </w:t>
            </w:r>
          </w:p>
          <w:p w14:paraId="5FF36941" w14:textId="77777777" w:rsidR="00273288" w:rsidRPr="00E33DE3" w:rsidRDefault="00273288" w:rsidP="00C65B25">
            <w:pPr>
              <w:jc w:val="center"/>
              <w:rPr>
                <w:rFonts w:ascii="Verdana" w:eastAsia="Verdana" w:hAnsi="Verdana" w:cs="Verdana"/>
                <w:b/>
                <w:bCs/>
                <w:color w:val="FFFFFF" w:themeColor="background1"/>
                <w:sz w:val="18"/>
                <w:szCs w:val="18"/>
              </w:rPr>
            </w:pPr>
            <w:r w:rsidRPr="00E33DE3">
              <w:rPr>
                <w:rFonts w:ascii="Verdana" w:eastAsia="Verdana" w:hAnsi="Verdana" w:cs="Verdana"/>
                <w:b/>
                <w:bCs/>
                <w:color w:val="FFFFFF" w:themeColor="background1"/>
                <w:sz w:val="18"/>
                <w:szCs w:val="18"/>
              </w:rPr>
              <w:t>(MILLONES DE $)</w:t>
            </w:r>
          </w:p>
        </w:tc>
      </w:tr>
      <w:tr w:rsidR="00273288" w:rsidRPr="00E33DE3" w14:paraId="1EFC210B" w14:textId="77777777" w:rsidTr="00FB3CC3">
        <w:trPr>
          <w:trHeight w:val="20"/>
        </w:trPr>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EADA"/>
            <w:tcMar>
              <w:top w:w="15" w:type="dxa"/>
              <w:left w:w="15" w:type="dxa"/>
              <w:bottom w:w="0" w:type="dxa"/>
              <w:right w:w="15" w:type="dxa"/>
            </w:tcMar>
            <w:vAlign w:val="center"/>
            <w:hideMark/>
          </w:tcPr>
          <w:p w14:paraId="335606A7"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FUENTE</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EADA"/>
            <w:tcMar>
              <w:top w:w="15" w:type="dxa"/>
              <w:left w:w="15" w:type="dxa"/>
              <w:bottom w:w="0" w:type="dxa"/>
              <w:right w:w="15" w:type="dxa"/>
            </w:tcMar>
            <w:vAlign w:val="center"/>
            <w:hideMark/>
          </w:tcPr>
          <w:p w14:paraId="0649FBA1"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RECAUDO</w:t>
            </w:r>
          </w:p>
        </w:tc>
        <w:tc>
          <w:tcPr>
            <w:tcW w:w="1621" w:type="dxa"/>
            <w:tcBorders>
              <w:top w:val="single" w:sz="4" w:space="0" w:color="000000" w:themeColor="text1"/>
              <w:left w:val="single" w:sz="4" w:space="0" w:color="000000" w:themeColor="text1"/>
              <w:bottom w:val="single" w:sz="4" w:space="0" w:color="000000" w:themeColor="text1"/>
              <w:right w:val="nil"/>
            </w:tcBorders>
            <w:shd w:val="clear" w:color="auto" w:fill="F1EADA"/>
            <w:tcMar>
              <w:top w:w="15" w:type="dxa"/>
              <w:left w:w="15" w:type="dxa"/>
              <w:bottom w:w="0" w:type="dxa"/>
              <w:right w:w="15" w:type="dxa"/>
            </w:tcMar>
            <w:vAlign w:val="center"/>
            <w:hideMark/>
          </w:tcPr>
          <w:p w14:paraId="5F47037D"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COMPROMISOS</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EADA"/>
            <w:tcMar>
              <w:top w:w="15" w:type="dxa"/>
              <w:left w:w="15" w:type="dxa"/>
              <w:bottom w:w="0" w:type="dxa"/>
              <w:right w:w="15" w:type="dxa"/>
            </w:tcMar>
            <w:vAlign w:val="center"/>
            <w:hideMark/>
          </w:tcPr>
          <w:p w14:paraId="425DAE7F"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DIFERENCIA</w:t>
            </w:r>
          </w:p>
        </w:tc>
      </w:tr>
      <w:tr w:rsidR="00273288" w:rsidRPr="00E33DE3" w14:paraId="2C9B5F21" w14:textId="77777777" w:rsidTr="00FB3CC3">
        <w:trPr>
          <w:trHeight w:val="20"/>
        </w:trPr>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498C73D8"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R.B. SGP-EDUCACION- PRESTACIÓN DEL SERVICIOS</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2C44FEEF"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1.188</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DF4EC04"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1.188</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80F4372"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w:t>
            </w:r>
          </w:p>
        </w:tc>
      </w:tr>
      <w:tr w:rsidR="00273288" w:rsidRPr="00E33DE3" w14:paraId="5680801E" w14:textId="77777777" w:rsidTr="00FB3CC3">
        <w:trPr>
          <w:trHeight w:val="20"/>
        </w:trPr>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5F9D5259"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R.B. SGP-EDUCACION-CALIDAD POR MATRICULA OFICIAL </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16D069C"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1.516</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EA36630"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1.159</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D941F46"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357</w:t>
            </w:r>
          </w:p>
        </w:tc>
      </w:tr>
      <w:tr w:rsidR="00273288" w:rsidRPr="00E33DE3" w14:paraId="10323C8A" w14:textId="77777777" w:rsidTr="00FB3CC3">
        <w:trPr>
          <w:trHeight w:val="20"/>
        </w:trPr>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1ABFE7E0"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R.F. SGP - EDUCACION-PRESTACIÓN DE SERVICIOS</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F2F4235"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687</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30BD02E"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296</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573E6840"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391</w:t>
            </w:r>
          </w:p>
        </w:tc>
      </w:tr>
      <w:tr w:rsidR="00273288" w:rsidRPr="00E33DE3" w14:paraId="531302C1" w14:textId="77777777" w:rsidTr="00FB3CC3">
        <w:trPr>
          <w:trHeight w:val="20"/>
        </w:trPr>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72493313"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R.F. SGP - EDUCACION-CALIDAD POR MATRICULA OFICIAL </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D3961E6"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12</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D6DBA74"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6</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596BE66"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6</w:t>
            </w:r>
          </w:p>
        </w:tc>
      </w:tr>
      <w:tr w:rsidR="00273288" w:rsidRPr="00E33DE3" w14:paraId="5576D580" w14:textId="77777777" w:rsidTr="00FB3CC3">
        <w:trPr>
          <w:trHeight w:val="20"/>
        </w:trPr>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1B5D8CB1"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SGP-EDUCACION-CALIDAD POR GRATUIDAD </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EEB2F53"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2.964</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F8378DD"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2.964</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01C09DEA"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w:t>
            </w:r>
          </w:p>
        </w:tc>
      </w:tr>
      <w:tr w:rsidR="00273288" w:rsidRPr="00E33DE3" w14:paraId="18CF25C9" w14:textId="77777777" w:rsidTr="00FB3CC3">
        <w:trPr>
          <w:trHeight w:val="20"/>
        </w:trPr>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4AE971E2"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SGP-EDUCACION-CALIDAD POR MATRICULA OFICIAL </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8C2C889"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2.984</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3941D03"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3.489</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429F600"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b/>
                <w:bCs/>
                <w:color w:val="FF0000"/>
                <w:sz w:val="18"/>
                <w:szCs w:val="18"/>
              </w:rPr>
              <w:t>(1)</w:t>
            </w:r>
            <w:r w:rsidR="00FB3CC3" w:rsidRPr="00E33DE3">
              <w:rPr>
                <w:rFonts w:ascii="Verdana" w:eastAsia="Verdana" w:hAnsi="Verdana" w:cs="Verdana"/>
                <w:b/>
                <w:bCs/>
                <w:color w:val="FF0000"/>
                <w:sz w:val="18"/>
                <w:szCs w:val="18"/>
              </w:rPr>
              <w:t xml:space="preserve"> </w:t>
            </w:r>
            <w:r w:rsidRPr="00E33DE3">
              <w:rPr>
                <w:rFonts w:ascii="Verdana" w:eastAsia="Verdana" w:hAnsi="Verdana" w:cs="Verdana"/>
                <w:color w:val="000000" w:themeColor="text1"/>
                <w:sz w:val="18"/>
                <w:szCs w:val="18"/>
              </w:rPr>
              <w:t>-505</w:t>
            </w:r>
          </w:p>
        </w:tc>
      </w:tr>
      <w:tr w:rsidR="00273288" w:rsidRPr="00E33DE3" w14:paraId="65118E98" w14:textId="77777777" w:rsidTr="00FB3CC3">
        <w:trPr>
          <w:trHeight w:val="20"/>
        </w:trPr>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5DE943F1"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SGP-EDUCACION-PRESTACION DE SERVICIOS </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58E07008"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244.272</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536C9EF"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247.554</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1EDA64D"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b/>
                <w:bCs/>
                <w:color w:val="FF0000"/>
                <w:sz w:val="18"/>
                <w:szCs w:val="18"/>
              </w:rPr>
              <w:t>(2)</w:t>
            </w:r>
            <w:r w:rsidR="00FB3CC3" w:rsidRPr="00E33DE3">
              <w:rPr>
                <w:rFonts w:ascii="Verdana" w:eastAsia="Verdana" w:hAnsi="Verdana" w:cs="Verdana"/>
                <w:b/>
                <w:bCs/>
                <w:color w:val="FF0000"/>
                <w:sz w:val="18"/>
                <w:szCs w:val="18"/>
              </w:rPr>
              <w:t xml:space="preserve"> </w:t>
            </w:r>
            <w:r w:rsidRPr="00E33DE3">
              <w:rPr>
                <w:rFonts w:ascii="Verdana" w:eastAsia="Verdana" w:hAnsi="Verdana" w:cs="Verdana"/>
                <w:color w:val="000000" w:themeColor="text1"/>
                <w:sz w:val="18"/>
                <w:szCs w:val="18"/>
              </w:rPr>
              <w:t>-3.282</w:t>
            </w:r>
          </w:p>
        </w:tc>
      </w:tr>
      <w:tr w:rsidR="00273288" w:rsidRPr="00E33DE3" w14:paraId="1B39E66F" w14:textId="77777777" w:rsidTr="00FB3CC3">
        <w:trPr>
          <w:trHeight w:val="20"/>
        </w:trPr>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8C41"/>
            <w:tcMar>
              <w:top w:w="15" w:type="dxa"/>
              <w:left w:w="15" w:type="dxa"/>
              <w:bottom w:w="0" w:type="dxa"/>
              <w:right w:w="15" w:type="dxa"/>
            </w:tcMar>
            <w:vAlign w:val="center"/>
            <w:hideMark/>
          </w:tcPr>
          <w:p w14:paraId="6D984704" w14:textId="77777777" w:rsidR="00273288" w:rsidRPr="00E33DE3" w:rsidRDefault="00273288" w:rsidP="00C65B25">
            <w:pPr>
              <w:rPr>
                <w:rFonts w:ascii="Verdana" w:eastAsia="Verdana" w:hAnsi="Verdana" w:cs="Verdana"/>
                <w:b/>
                <w:bCs/>
                <w:color w:val="FFFFFF" w:themeColor="background1"/>
                <w:sz w:val="18"/>
                <w:szCs w:val="18"/>
              </w:rPr>
            </w:pPr>
            <w:r w:rsidRPr="00E33DE3">
              <w:rPr>
                <w:rFonts w:ascii="Verdana" w:eastAsia="Verdana" w:hAnsi="Verdana" w:cs="Verdana"/>
                <w:b/>
                <w:bCs/>
                <w:color w:val="FFFFFF" w:themeColor="background1"/>
                <w:sz w:val="18"/>
                <w:szCs w:val="18"/>
              </w:rPr>
              <w:t>TOTAL</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8C41"/>
            <w:tcMar>
              <w:top w:w="15" w:type="dxa"/>
              <w:left w:w="15" w:type="dxa"/>
              <w:bottom w:w="0" w:type="dxa"/>
              <w:right w:w="15" w:type="dxa"/>
            </w:tcMar>
            <w:vAlign w:val="center"/>
            <w:hideMark/>
          </w:tcPr>
          <w:p w14:paraId="05E95094" w14:textId="77777777" w:rsidR="00273288" w:rsidRPr="00E33DE3" w:rsidRDefault="00273288" w:rsidP="00C65B25">
            <w:pPr>
              <w:jc w:val="center"/>
              <w:rPr>
                <w:rFonts w:ascii="Verdana" w:eastAsia="Verdana" w:hAnsi="Verdana" w:cs="Verdana"/>
                <w:b/>
                <w:bCs/>
                <w:color w:val="FFFFFF" w:themeColor="background1"/>
                <w:sz w:val="18"/>
                <w:szCs w:val="18"/>
              </w:rPr>
            </w:pPr>
            <w:r w:rsidRPr="00E33DE3">
              <w:rPr>
                <w:rFonts w:ascii="Verdana" w:eastAsia="Verdana" w:hAnsi="Verdana" w:cs="Verdana"/>
                <w:b/>
                <w:bCs/>
                <w:color w:val="FFFFFF" w:themeColor="background1"/>
                <w:sz w:val="18"/>
                <w:szCs w:val="18"/>
              </w:rPr>
              <w:t>253.624</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8C41"/>
            <w:tcMar>
              <w:top w:w="15" w:type="dxa"/>
              <w:left w:w="15" w:type="dxa"/>
              <w:bottom w:w="0" w:type="dxa"/>
              <w:right w:w="15" w:type="dxa"/>
            </w:tcMar>
            <w:vAlign w:val="center"/>
            <w:hideMark/>
          </w:tcPr>
          <w:p w14:paraId="62C4F570" w14:textId="77777777" w:rsidR="00273288" w:rsidRPr="00E33DE3" w:rsidRDefault="00273288" w:rsidP="00C65B25">
            <w:pPr>
              <w:jc w:val="center"/>
              <w:rPr>
                <w:rFonts w:ascii="Verdana" w:eastAsia="Verdana" w:hAnsi="Verdana" w:cs="Verdana"/>
                <w:b/>
                <w:bCs/>
                <w:color w:val="FFFFFF" w:themeColor="background1"/>
                <w:sz w:val="18"/>
                <w:szCs w:val="18"/>
              </w:rPr>
            </w:pPr>
            <w:r w:rsidRPr="00E33DE3">
              <w:rPr>
                <w:rFonts w:ascii="Verdana" w:eastAsia="Verdana" w:hAnsi="Verdana" w:cs="Verdana"/>
                <w:b/>
                <w:bCs/>
                <w:color w:val="FFFFFF" w:themeColor="background1"/>
                <w:sz w:val="18"/>
                <w:szCs w:val="18"/>
              </w:rPr>
              <w:t>256.656</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8C41"/>
            <w:tcMar>
              <w:top w:w="15" w:type="dxa"/>
              <w:left w:w="15" w:type="dxa"/>
              <w:bottom w:w="0" w:type="dxa"/>
              <w:right w:w="15" w:type="dxa"/>
            </w:tcMar>
            <w:vAlign w:val="center"/>
            <w:hideMark/>
          </w:tcPr>
          <w:p w14:paraId="3908A1F4" w14:textId="77777777" w:rsidR="00273288" w:rsidRPr="00E33DE3" w:rsidRDefault="00273288" w:rsidP="00C65B25">
            <w:pPr>
              <w:jc w:val="center"/>
              <w:rPr>
                <w:rFonts w:ascii="Verdana" w:eastAsia="Verdana" w:hAnsi="Verdana" w:cs="Verdana"/>
                <w:b/>
                <w:bCs/>
                <w:color w:val="FFFFFF" w:themeColor="background1"/>
                <w:sz w:val="18"/>
                <w:szCs w:val="18"/>
              </w:rPr>
            </w:pPr>
            <w:r w:rsidRPr="00E33DE3">
              <w:rPr>
                <w:rFonts w:ascii="Verdana" w:eastAsia="Verdana" w:hAnsi="Verdana" w:cs="Verdana"/>
                <w:b/>
                <w:bCs/>
                <w:color w:val="FFFFFF" w:themeColor="background1"/>
                <w:sz w:val="18"/>
                <w:szCs w:val="18"/>
              </w:rPr>
              <w:t>-3.033</w:t>
            </w:r>
          </w:p>
        </w:tc>
      </w:tr>
    </w:tbl>
    <w:p w14:paraId="1749ED2B" w14:textId="77777777" w:rsidR="00273288" w:rsidRPr="00E33DE3" w:rsidRDefault="00273288" w:rsidP="00C65B25">
      <w:pPr>
        <w:jc w:val="center"/>
        <w:rPr>
          <w:rFonts w:ascii="Verdana" w:hAnsi="Verdana" w:cs="Arial"/>
          <w:sz w:val="22"/>
          <w:szCs w:val="22"/>
        </w:rPr>
      </w:pPr>
      <w:r w:rsidRPr="00E33DE3">
        <w:rPr>
          <w:rFonts w:ascii="Verdana" w:hAnsi="Verdana" w:cs="Arial"/>
          <w:sz w:val="22"/>
          <w:szCs w:val="22"/>
        </w:rPr>
        <w:t xml:space="preserve"> </w:t>
      </w:r>
      <w:r w:rsidRPr="00E33DE3">
        <w:rPr>
          <w:rFonts w:ascii="Verdana" w:hAnsi="Verdana" w:cs="Arial"/>
          <w:sz w:val="18"/>
          <w:szCs w:val="18"/>
        </w:rPr>
        <w:t>Fuente: Información reportada por la Entidad Territorial en reporte CUIPO a diciembre de 2023.</w:t>
      </w:r>
    </w:p>
    <w:p w14:paraId="0A1C50FB" w14:textId="77777777" w:rsidR="00273288" w:rsidRPr="00E33DE3" w:rsidRDefault="00273288" w:rsidP="00C65B25">
      <w:pPr>
        <w:jc w:val="both"/>
        <w:rPr>
          <w:rFonts w:ascii="Verdana" w:hAnsi="Verdana" w:cs="Arial"/>
          <w:sz w:val="22"/>
          <w:szCs w:val="22"/>
        </w:rPr>
      </w:pPr>
    </w:p>
    <w:p w14:paraId="7B5B7629"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Así, son mayores los compromisos reportados para las fuentes: (1)</w:t>
      </w:r>
      <w:r w:rsidR="00FB3CC3" w:rsidRPr="00E33DE3">
        <w:rPr>
          <w:rFonts w:ascii="Verdana" w:hAnsi="Verdana" w:cs="Arial"/>
          <w:sz w:val="22"/>
          <w:szCs w:val="22"/>
        </w:rPr>
        <w:t xml:space="preserve"> </w:t>
      </w:r>
      <w:r w:rsidRPr="00E33DE3">
        <w:rPr>
          <w:rFonts w:ascii="Verdana" w:hAnsi="Verdana" w:cs="Arial"/>
          <w:sz w:val="22"/>
          <w:szCs w:val="22"/>
        </w:rPr>
        <w:t xml:space="preserve">SGP-EDUCACIÓN-PRESTACIÓN DE SERVICIOS y (2) SGP-EDUCACIÓN-MATRÍCULA OFICIAL frente a los ingresos recaudados, presentando inconsistencias entre los reportes. </w:t>
      </w:r>
    </w:p>
    <w:p w14:paraId="7ED0FFF2" w14:textId="77777777" w:rsidR="00273288" w:rsidRPr="00E33DE3" w:rsidRDefault="00273288" w:rsidP="00C65B25">
      <w:pPr>
        <w:jc w:val="both"/>
        <w:rPr>
          <w:rFonts w:ascii="Verdana" w:hAnsi="Verdana" w:cs="Arial"/>
          <w:sz w:val="22"/>
          <w:szCs w:val="22"/>
        </w:rPr>
      </w:pPr>
    </w:p>
    <w:p w14:paraId="32F7ED43"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xml:space="preserve">Respecto a los gastos administrativos, se </w:t>
      </w:r>
      <w:r w:rsidR="00FB3CC3" w:rsidRPr="00E33DE3">
        <w:rPr>
          <w:rFonts w:ascii="Verdana" w:hAnsi="Verdana" w:cs="Arial"/>
          <w:sz w:val="22"/>
          <w:szCs w:val="22"/>
        </w:rPr>
        <w:t xml:space="preserve">encontró </w:t>
      </w:r>
      <w:r w:rsidRPr="00E33DE3">
        <w:rPr>
          <w:rFonts w:ascii="Verdana" w:hAnsi="Verdana" w:cs="Arial"/>
          <w:sz w:val="22"/>
          <w:szCs w:val="22"/>
        </w:rPr>
        <w:t xml:space="preserve">que, si bien para las vigencias 2021 y 2023 no fueron superados, para la vigencia 2022 </w:t>
      </w:r>
      <w:r w:rsidR="00FB3CC3" w:rsidRPr="00E33DE3">
        <w:rPr>
          <w:rFonts w:ascii="Verdana" w:hAnsi="Verdana" w:cs="Arial"/>
          <w:sz w:val="22"/>
          <w:szCs w:val="22"/>
        </w:rPr>
        <w:t xml:space="preserve">éstos excedieron </w:t>
      </w:r>
      <w:r w:rsidRPr="00E33DE3">
        <w:rPr>
          <w:rFonts w:ascii="Verdana" w:hAnsi="Verdana" w:cs="Arial"/>
          <w:sz w:val="22"/>
          <w:szCs w:val="22"/>
        </w:rPr>
        <w:t>en $2.208 millones a los permitidos por medio del documento de distribución DD-SGP-71-2022 anexo 4, como se detalla a continuación:</w:t>
      </w:r>
    </w:p>
    <w:p w14:paraId="6C55F10A" w14:textId="77777777" w:rsidR="00273288" w:rsidRPr="00E33DE3" w:rsidRDefault="00273288" w:rsidP="00C65B25">
      <w:pPr>
        <w:jc w:val="both"/>
        <w:rPr>
          <w:rFonts w:ascii="Verdana" w:hAnsi="Verdana" w:cs="Arial"/>
          <w:sz w:val="22"/>
          <w:szCs w:val="22"/>
        </w:rPr>
      </w:pPr>
    </w:p>
    <w:tbl>
      <w:tblPr>
        <w:tblW w:w="6795" w:type="dxa"/>
        <w:jc w:val="center"/>
        <w:tblLayout w:type="fixed"/>
        <w:tblLook w:val="06A0" w:firstRow="1" w:lastRow="0" w:firstColumn="1" w:lastColumn="0" w:noHBand="1" w:noVBand="1"/>
      </w:tblPr>
      <w:tblGrid>
        <w:gridCol w:w="2688"/>
        <w:gridCol w:w="1274"/>
        <w:gridCol w:w="1529"/>
        <w:gridCol w:w="1304"/>
      </w:tblGrid>
      <w:tr w:rsidR="00273288" w:rsidRPr="00E33DE3" w14:paraId="640649B4" w14:textId="77777777" w:rsidTr="00273288">
        <w:trPr>
          <w:trHeight w:val="170"/>
          <w:jc w:val="center"/>
        </w:trPr>
        <w:tc>
          <w:tcPr>
            <w:tcW w:w="6799" w:type="dxa"/>
            <w:gridSpan w:val="4"/>
            <w:tcBorders>
              <w:top w:val="single" w:sz="4" w:space="0" w:color="auto"/>
              <w:left w:val="single" w:sz="4" w:space="0" w:color="auto"/>
              <w:bottom w:val="single" w:sz="4" w:space="0" w:color="auto"/>
              <w:right w:val="single" w:sz="4" w:space="0" w:color="auto"/>
            </w:tcBorders>
            <w:shd w:val="clear" w:color="auto" w:fill="B48C41"/>
            <w:tcMar>
              <w:top w:w="15" w:type="dxa"/>
              <w:left w:w="15" w:type="dxa"/>
              <w:bottom w:w="0" w:type="dxa"/>
              <w:right w:w="15" w:type="dxa"/>
            </w:tcMar>
            <w:vAlign w:val="bottom"/>
            <w:hideMark/>
          </w:tcPr>
          <w:p w14:paraId="380CF456" w14:textId="77777777" w:rsidR="00273288" w:rsidRPr="00E33DE3" w:rsidRDefault="00273288" w:rsidP="00C65B25">
            <w:pPr>
              <w:jc w:val="center"/>
              <w:rPr>
                <w:rFonts w:ascii="Verdana" w:eastAsia="Verdana" w:hAnsi="Verdana" w:cs="Verdana"/>
                <w:b/>
                <w:bCs/>
                <w:color w:val="FFFFFF" w:themeColor="background1"/>
                <w:sz w:val="18"/>
                <w:szCs w:val="18"/>
              </w:rPr>
            </w:pPr>
            <w:r w:rsidRPr="00E33DE3">
              <w:rPr>
                <w:rFonts w:ascii="Verdana" w:eastAsia="Verdana" w:hAnsi="Verdana" w:cs="Verdana"/>
                <w:b/>
                <w:bCs/>
                <w:color w:val="FFFFFF" w:themeColor="background1"/>
                <w:sz w:val="18"/>
                <w:szCs w:val="18"/>
              </w:rPr>
              <w:t>TABLA 5. RELACIÓN DE GASTOS ADMINISTRATIVOS</w:t>
            </w:r>
          </w:p>
        </w:tc>
      </w:tr>
      <w:tr w:rsidR="00273288" w:rsidRPr="00E33DE3" w14:paraId="065D397B" w14:textId="77777777" w:rsidTr="00273288">
        <w:trPr>
          <w:trHeight w:val="170"/>
          <w:jc w:val="center"/>
        </w:trPr>
        <w:tc>
          <w:tcPr>
            <w:tcW w:w="6799" w:type="dxa"/>
            <w:gridSpan w:val="4"/>
            <w:tcBorders>
              <w:top w:val="single" w:sz="4" w:space="0" w:color="auto"/>
              <w:left w:val="single" w:sz="4" w:space="0" w:color="auto"/>
              <w:bottom w:val="single" w:sz="4" w:space="0" w:color="auto"/>
              <w:right w:val="single" w:sz="4" w:space="0" w:color="auto"/>
            </w:tcBorders>
            <w:shd w:val="clear" w:color="auto" w:fill="B48C41"/>
            <w:tcMar>
              <w:top w:w="15" w:type="dxa"/>
              <w:left w:w="15" w:type="dxa"/>
              <w:bottom w:w="0" w:type="dxa"/>
              <w:right w:w="15" w:type="dxa"/>
            </w:tcMar>
            <w:vAlign w:val="bottom"/>
            <w:hideMark/>
          </w:tcPr>
          <w:p w14:paraId="60465CA6" w14:textId="77777777" w:rsidR="00273288" w:rsidRPr="00E33DE3" w:rsidRDefault="00273288" w:rsidP="00C65B25">
            <w:pPr>
              <w:jc w:val="center"/>
              <w:rPr>
                <w:rFonts w:ascii="Verdana" w:eastAsia="Verdana" w:hAnsi="Verdana" w:cs="Verdana"/>
                <w:b/>
                <w:bCs/>
                <w:color w:val="FFFFFF" w:themeColor="background1"/>
                <w:sz w:val="18"/>
                <w:szCs w:val="18"/>
              </w:rPr>
            </w:pPr>
            <w:r w:rsidRPr="00E33DE3">
              <w:rPr>
                <w:rFonts w:ascii="Verdana" w:eastAsia="Verdana" w:hAnsi="Verdana" w:cs="Verdana"/>
                <w:b/>
                <w:bCs/>
                <w:color w:val="FFFFFF" w:themeColor="background1"/>
                <w:sz w:val="18"/>
                <w:szCs w:val="18"/>
              </w:rPr>
              <w:t>(MILLONES DE $)</w:t>
            </w:r>
          </w:p>
        </w:tc>
      </w:tr>
      <w:tr w:rsidR="00273288" w:rsidRPr="00E33DE3" w14:paraId="3B33B6A3" w14:textId="77777777" w:rsidTr="00273288">
        <w:trPr>
          <w:trHeight w:val="341"/>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auto" w:fill="F1EADA"/>
            <w:tcMar>
              <w:top w:w="15" w:type="dxa"/>
              <w:left w:w="15" w:type="dxa"/>
              <w:bottom w:w="0" w:type="dxa"/>
              <w:right w:w="15" w:type="dxa"/>
            </w:tcMar>
            <w:vAlign w:val="center"/>
            <w:hideMark/>
          </w:tcPr>
          <w:p w14:paraId="4172C9BF"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CONCEPTO</w:t>
            </w:r>
          </w:p>
        </w:tc>
        <w:tc>
          <w:tcPr>
            <w:tcW w:w="4110" w:type="dxa"/>
            <w:gridSpan w:val="3"/>
            <w:tcBorders>
              <w:top w:val="single" w:sz="4" w:space="0" w:color="auto"/>
              <w:left w:val="single" w:sz="4" w:space="0" w:color="auto"/>
              <w:bottom w:val="single" w:sz="4" w:space="0" w:color="auto"/>
              <w:right w:val="single" w:sz="4" w:space="0" w:color="auto"/>
            </w:tcBorders>
            <w:shd w:val="clear" w:color="auto" w:fill="F1EADA"/>
            <w:tcMar>
              <w:top w:w="15" w:type="dxa"/>
              <w:left w:w="15" w:type="dxa"/>
              <w:bottom w:w="0" w:type="dxa"/>
              <w:right w:w="15" w:type="dxa"/>
            </w:tcMar>
            <w:vAlign w:val="center"/>
            <w:hideMark/>
          </w:tcPr>
          <w:p w14:paraId="6BB288B7"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VIGENCIA</w:t>
            </w:r>
          </w:p>
        </w:tc>
      </w:tr>
      <w:tr w:rsidR="00273288" w:rsidRPr="00E33DE3" w14:paraId="5F902024" w14:textId="77777777" w:rsidTr="00FB3CC3">
        <w:trPr>
          <w:trHeight w:val="170"/>
          <w:jc w:val="center"/>
        </w:trPr>
        <w:tc>
          <w:tcPr>
            <w:tcW w:w="6799" w:type="dxa"/>
            <w:vMerge/>
            <w:tcBorders>
              <w:top w:val="single" w:sz="4" w:space="0" w:color="auto"/>
              <w:left w:val="single" w:sz="4" w:space="0" w:color="auto"/>
              <w:bottom w:val="single" w:sz="4" w:space="0" w:color="auto"/>
              <w:right w:val="single" w:sz="4" w:space="0" w:color="auto"/>
            </w:tcBorders>
            <w:vAlign w:val="center"/>
            <w:hideMark/>
          </w:tcPr>
          <w:p w14:paraId="49F26341" w14:textId="77777777" w:rsidR="00273288" w:rsidRPr="00E33DE3" w:rsidRDefault="00273288" w:rsidP="00C65B25">
            <w:pPr>
              <w:rPr>
                <w:rFonts w:ascii="Verdana" w:eastAsia="Verdana" w:hAnsi="Verdana" w:cs="Verdana"/>
                <w:b/>
                <w:bCs/>
                <w:color w:val="000000" w:themeColor="text1"/>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1EADA"/>
            <w:tcMar>
              <w:top w:w="15" w:type="dxa"/>
              <w:left w:w="15" w:type="dxa"/>
              <w:bottom w:w="0" w:type="dxa"/>
              <w:right w:w="15" w:type="dxa"/>
            </w:tcMar>
            <w:vAlign w:val="center"/>
            <w:hideMark/>
          </w:tcPr>
          <w:p w14:paraId="72D69EDC"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2021</w:t>
            </w:r>
          </w:p>
        </w:tc>
        <w:tc>
          <w:tcPr>
            <w:tcW w:w="1530" w:type="dxa"/>
            <w:tcBorders>
              <w:top w:val="single" w:sz="4" w:space="0" w:color="auto"/>
              <w:left w:val="single" w:sz="4" w:space="0" w:color="auto"/>
              <w:bottom w:val="single" w:sz="4" w:space="0" w:color="auto"/>
              <w:right w:val="single" w:sz="4" w:space="0" w:color="auto"/>
            </w:tcBorders>
            <w:shd w:val="clear" w:color="auto" w:fill="F1EADA"/>
            <w:tcMar>
              <w:top w:w="15" w:type="dxa"/>
              <w:left w:w="15" w:type="dxa"/>
              <w:bottom w:w="0" w:type="dxa"/>
              <w:right w:w="15" w:type="dxa"/>
            </w:tcMar>
            <w:vAlign w:val="center"/>
            <w:hideMark/>
          </w:tcPr>
          <w:p w14:paraId="2E994D7E"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2022</w:t>
            </w:r>
          </w:p>
        </w:tc>
        <w:tc>
          <w:tcPr>
            <w:tcW w:w="1305" w:type="dxa"/>
            <w:tcBorders>
              <w:top w:val="single" w:sz="4" w:space="0" w:color="auto"/>
              <w:left w:val="single" w:sz="4" w:space="0" w:color="auto"/>
              <w:bottom w:val="single" w:sz="4" w:space="0" w:color="auto"/>
              <w:right w:val="single" w:sz="4" w:space="0" w:color="auto"/>
            </w:tcBorders>
            <w:shd w:val="clear" w:color="auto" w:fill="F1EADA"/>
            <w:tcMar>
              <w:top w:w="15" w:type="dxa"/>
              <w:left w:w="15" w:type="dxa"/>
              <w:bottom w:w="0" w:type="dxa"/>
              <w:right w:w="15" w:type="dxa"/>
            </w:tcMar>
            <w:vAlign w:val="center"/>
            <w:hideMark/>
          </w:tcPr>
          <w:p w14:paraId="4A3EA015" w14:textId="77777777" w:rsidR="00273288" w:rsidRPr="00E33DE3" w:rsidRDefault="00273288" w:rsidP="00C65B25">
            <w:pPr>
              <w:jc w:val="cente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2023</w:t>
            </w:r>
          </w:p>
        </w:tc>
      </w:tr>
      <w:tr w:rsidR="00273288" w:rsidRPr="00E33DE3" w14:paraId="14107134" w14:textId="77777777" w:rsidTr="00FB3CC3">
        <w:trPr>
          <w:trHeight w:val="170"/>
          <w:jc w:val="center"/>
        </w:trPr>
        <w:tc>
          <w:tcPr>
            <w:tcW w:w="26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72DEF1A" w14:textId="77777777" w:rsidR="00273288" w:rsidRPr="00E33DE3" w:rsidRDefault="00273288" w:rsidP="00C65B25">
            <w:pP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Autorizado</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3A931B"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22.829</w:t>
            </w:r>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2A6AC4"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24.487</w:t>
            </w:r>
          </w:p>
        </w:tc>
        <w:tc>
          <w:tcPr>
            <w:tcW w:w="13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4EDA10"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28.054</w:t>
            </w:r>
          </w:p>
        </w:tc>
      </w:tr>
      <w:tr w:rsidR="00273288" w:rsidRPr="00E33DE3" w14:paraId="78283F2B" w14:textId="77777777" w:rsidTr="00FB3CC3">
        <w:trPr>
          <w:trHeight w:val="170"/>
          <w:jc w:val="center"/>
        </w:trPr>
        <w:tc>
          <w:tcPr>
            <w:tcW w:w="26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5D3A61D" w14:textId="77777777" w:rsidR="00273288" w:rsidRPr="00E33DE3" w:rsidRDefault="00273288" w:rsidP="00C65B25">
            <w:pPr>
              <w:rPr>
                <w:rFonts w:ascii="Verdana" w:eastAsia="Verdana" w:hAnsi="Verdana" w:cs="Verdana"/>
                <w:b/>
                <w:bCs/>
                <w:color w:val="000000" w:themeColor="text1"/>
                <w:sz w:val="18"/>
                <w:szCs w:val="18"/>
              </w:rPr>
            </w:pPr>
            <w:r w:rsidRPr="00E33DE3">
              <w:rPr>
                <w:rFonts w:ascii="Verdana" w:eastAsia="Verdana" w:hAnsi="Verdana" w:cs="Verdana"/>
                <w:b/>
                <w:bCs/>
                <w:color w:val="000000" w:themeColor="text1"/>
                <w:sz w:val="18"/>
                <w:szCs w:val="18"/>
              </w:rPr>
              <w:t>Ejecutado</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9898A7"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22.808</w:t>
            </w:r>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250AA6"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26.695</w:t>
            </w:r>
          </w:p>
        </w:tc>
        <w:tc>
          <w:tcPr>
            <w:tcW w:w="13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163CD3"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24.663</w:t>
            </w:r>
          </w:p>
        </w:tc>
      </w:tr>
      <w:tr w:rsidR="00273288" w:rsidRPr="00E33DE3" w14:paraId="20252E59" w14:textId="77777777" w:rsidTr="00FB3CC3">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B48C41"/>
            <w:tcMar>
              <w:top w:w="15" w:type="dxa"/>
              <w:left w:w="15" w:type="dxa"/>
              <w:bottom w:w="0" w:type="dxa"/>
              <w:right w:w="15" w:type="dxa"/>
            </w:tcMar>
            <w:vAlign w:val="center"/>
            <w:hideMark/>
          </w:tcPr>
          <w:p w14:paraId="3B0C5F04" w14:textId="77777777" w:rsidR="00273288" w:rsidRPr="00E33DE3" w:rsidRDefault="00273288" w:rsidP="00C65B25">
            <w:pPr>
              <w:rPr>
                <w:rFonts w:ascii="Verdana" w:eastAsia="Verdana" w:hAnsi="Verdana" w:cs="Verdana"/>
                <w:b/>
                <w:bCs/>
                <w:color w:val="FFFFFF" w:themeColor="background1"/>
                <w:sz w:val="18"/>
                <w:szCs w:val="18"/>
              </w:rPr>
            </w:pPr>
            <w:r w:rsidRPr="00E33DE3">
              <w:rPr>
                <w:rFonts w:ascii="Verdana" w:eastAsia="Verdana" w:hAnsi="Verdana" w:cs="Verdana"/>
                <w:b/>
                <w:bCs/>
                <w:color w:val="FFFFFF" w:themeColor="background1"/>
                <w:sz w:val="18"/>
                <w:szCs w:val="18"/>
              </w:rPr>
              <w:t>Diferencia</w:t>
            </w:r>
          </w:p>
        </w:tc>
        <w:tc>
          <w:tcPr>
            <w:tcW w:w="1275" w:type="dxa"/>
            <w:tcBorders>
              <w:top w:val="single" w:sz="4" w:space="0" w:color="auto"/>
              <w:left w:val="single" w:sz="4" w:space="0" w:color="auto"/>
              <w:bottom w:val="single" w:sz="4" w:space="0" w:color="auto"/>
              <w:right w:val="single" w:sz="4" w:space="0" w:color="auto"/>
            </w:tcBorders>
            <w:shd w:val="clear" w:color="auto" w:fill="B48C41"/>
            <w:tcMar>
              <w:top w:w="15" w:type="dxa"/>
              <w:left w:w="15" w:type="dxa"/>
              <w:bottom w:w="0" w:type="dxa"/>
              <w:right w:w="15" w:type="dxa"/>
            </w:tcMar>
            <w:vAlign w:val="center"/>
            <w:hideMark/>
          </w:tcPr>
          <w:p w14:paraId="64A5E2CF" w14:textId="77777777" w:rsidR="00273288" w:rsidRPr="00E33DE3" w:rsidRDefault="00273288" w:rsidP="00C65B25">
            <w:pPr>
              <w:jc w:val="center"/>
              <w:rPr>
                <w:rFonts w:ascii="Verdana" w:eastAsia="Verdana" w:hAnsi="Verdana" w:cs="Verdana"/>
                <w:b/>
                <w:bCs/>
                <w:color w:val="FFFFFF" w:themeColor="background1"/>
                <w:sz w:val="18"/>
                <w:szCs w:val="18"/>
              </w:rPr>
            </w:pPr>
            <w:r w:rsidRPr="00E33DE3">
              <w:rPr>
                <w:rFonts w:ascii="Verdana" w:eastAsia="Verdana" w:hAnsi="Verdana" w:cs="Verdana"/>
                <w:b/>
                <w:bCs/>
                <w:color w:val="FFFFFF" w:themeColor="background1"/>
                <w:sz w:val="18"/>
                <w:szCs w:val="18"/>
              </w:rPr>
              <w:t>21</w:t>
            </w:r>
          </w:p>
        </w:tc>
        <w:tc>
          <w:tcPr>
            <w:tcW w:w="1530" w:type="dxa"/>
            <w:tcBorders>
              <w:top w:val="single" w:sz="4" w:space="0" w:color="auto"/>
              <w:left w:val="single" w:sz="4" w:space="0" w:color="auto"/>
              <w:bottom w:val="single" w:sz="4" w:space="0" w:color="auto"/>
              <w:right w:val="single" w:sz="4" w:space="0" w:color="auto"/>
            </w:tcBorders>
            <w:shd w:val="clear" w:color="auto" w:fill="B48C41"/>
            <w:tcMar>
              <w:top w:w="15" w:type="dxa"/>
              <w:left w:w="15" w:type="dxa"/>
              <w:bottom w:w="0" w:type="dxa"/>
              <w:right w:w="15" w:type="dxa"/>
            </w:tcMar>
            <w:vAlign w:val="center"/>
            <w:hideMark/>
          </w:tcPr>
          <w:p w14:paraId="4AFB0E8B" w14:textId="77777777" w:rsidR="00273288" w:rsidRPr="00E33DE3" w:rsidRDefault="00273288" w:rsidP="00C65B25">
            <w:pPr>
              <w:pStyle w:val="Prrafodelista"/>
              <w:numPr>
                <w:ilvl w:val="0"/>
                <w:numId w:val="30"/>
              </w:numPr>
              <w:jc w:val="center"/>
              <w:rPr>
                <w:rFonts w:ascii="Verdana" w:eastAsia="Verdana" w:hAnsi="Verdana" w:cs="Verdana"/>
                <w:b/>
                <w:bCs/>
                <w:color w:val="FFFFFF" w:themeColor="background1"/>
                <w:sz w:val="18"/>
                <w:szCs w:val="18"/>
              </w:rPr>
            </w:pPr>
            <w:r w:rsidRPr="00E33DE3">
              <w:rPr>
                <w:rFonts w:ascii="Verdana" w:eastAsia="Verdana" w:hAnsi="Verdana" w:cs="Verdana"/>
                <w:b/>
                <w:bCs/>
                <w:color w:val="FFFFFF" w:themeColor="background1"/>
                <w:sz w:val="18"/>
                <w:szCs w:val="18"/>
              </w:rPr>
              <w:t>-2.208</w:t>
            </w:r>
          </w:p>
        </w:tc>
        <w:tc>
          <w:tcPr>
            <w:tcW w:w="1305" w:type="dxa"/>
            <w:tcBorders>
              <w:top w:val="single" w:sz="4" w:space="0" w:color="auto"/>
              <w:left w:val="single" w:sz="4" w:space="0" w:color="auto"/>
              <w:bottom w:val="single" w:sz="4" w:space="0" w:color="auto"/>
              <w:right w:val="single" w:sz="4" w:space="0" w:color="auto"/>
            </w:tcBorders>
            <w:shd w:val="clear" w:color="auto" w:fill="B48C41"/>
            <w:tcMar>
              <w:top w:w="15" w:type="dxa"/>
              <w:left w:w="15" w:type="dxa"/>
              <w:bottom w:w="0" w:type="dxa"/>
              <w:right w:w="15" w:type="dxa"/>
            </w:tcMar>
            <w:vAlign w:val="center"/>
            <w:hideMark/>
          </w:tcPr>
          <w:p w14:paraId="1C69C131" w14:textId="77777777" w:rsidR="00273288" w:rsidRPr="00E33DE3" w:rsidRDefault="00273288" w:rsidP="00C65B25">
            <w:pPr>
              <w:jc w:val="center"/>
              <w:rPr>
                <w:rFonts w:ascii="Verdana" w:eastAsia="Verdana" w:hAnsi="Verdana" w:cs="Verdana"/>
                <w:b/>
                <w:bCs/>
                <w:color w:val="FFFFFF" w:themeColor="background1"/>
                <w:sz w:val="18"/>
                <w:szCs w:val="18"/>
              </w:rPr>
            </w:pPr>
            <w:r w:rsidRPr="00E33DE3">
              <w:rPr>
                <w:rFonts w:ascii="Verdana" w:eastAsia="Verdana" w:hAnsi="Verdana" w:cs="Verdana"/>
                <w:b/>
                <w:bCs/>
                <w:color w:val="FFFFFF" w:themeColor="background1"/>
                <w:sz w:val="18"/>
                <w:szCs w:val="18"/>
              </w:rPr>
              <w:t>3.391</w:t>
            </w:r>
          </w:p>
        </w:tc>
      </w:tr>
    </w:tbl>
    <w:p w14:paraId="4D6FD2FD" w14:textId="77777777" w:rsidR="00273288" w:rsidRPr="00E33DE3" w:rsidRDefault="00273288" w:rsidP="00C65B25">
      <w:pPr>
        <w:jc w:val="center"/>
        <w:rPr>
          <w:rFonts w:ascii="Verdana" w:hAnsi="Verdana" w:cs="Arial"/>
          <w:sz w:val="18"/>
          <w:szCs w:val="18"/>
        </w:rPr>
      </w:pPr>
      <w:r w:rsidRPr="00E33DE3">
        <w:rPr>
          <w:rFonts w:ascii="Verdana" w:hAnsi="Verdana" w:cs="Arial"/>
          <w:sz w:val="18"/>
          <w:szCs w:val="18"/>
        </w:rPr>
        <w:t>Fuente: Reporte FUT para la vigencia 2021 y reporte CUIPO para las vigencias 2022 y 2023 y los documentos DD SGP-60-2021, DD SGP-71-2022, DD SGP-81-2023.</w:t>
      </w:r>
    </w:p>
    <w:p w14:paraId="55FE18C3" w14:textId="77777777" w:rsidR="00273288" w:rsidRPr="00E33DE3" w:rsidRDefault="00273288" w:rsidP="00C65B25">
      <w:pPr>
        <w:jc w:val="both"/>
        <w:rPr>
          <w:rFonts w:ascii="Verdana" w:hAnsi="Verdana" w:cs="Arial"/>
          <w:sz w:val="18"/>
          <w:szCs w:val="18"/>
        </w:rPr>
      </w:pPr>
    </w:p>
    <w:p w14:paraId="1008DD6A" w14:textId="77777777" w:rsidR="00273288" w:rsidRPr="00E33DE3" w:rsidRDefault="00273288" w:rsidP="00C65B25">
      <w:pPr>
        <w:pStyle w:val="Prrafodelista"/>
        <w:numPr>
          <w:ilvl w:val="0"/>
          <w:numId w:val="32"/>
        </w:numPr>
        <w:ind w:left="426" w:hanging="426"/>
        <w:jc w:val="both"/>
        <w:rPr>
          <w:rFonts w:ascii="Verdana" w:hAnsi="Verdana" w:cs="Arial"/>
          <w:sz w:val="22"/>
          <w:szCs w:val="22"/>
        </w:rPr>
      </w:pPr>
      <w:r w:rsidRPr="00E33DE3">
        <w:rPr>
          <w:rFonts w:ascii="Verdana" w:hAnsi="Verdana" w:cs="Arial"/>
          <w:sz w:val="22"/>
          <w:szCs w:val="22"/>
        </w:rPr>
        <w:t>Se encontró que la Entidad Territorial report</w:t>
      </w:r>
      <w:r w:rsidR="00FB3CC3" w:rsidRPr="00E33DE3">
        <w:rPr>
          <w:rFonts w:ascii="Verdana" w:hAnsi="Verdana" w:cs="Arial"/>
          <w:sz w:val="22"/>
          <w:szCs w:val="22"/>
        </w:rPr>
        <w:t>ó</w:t>
      </w:r>
      <w:r w:rsidRPr="00E33DE3">
        <w:rPr>
          <w:rFonts w:ascii="Verdana" w:hAnsi="Verdana" w:cs="Arial"/>
          <w:sz w:val="22"/>
          <w:szCs w:val="22"/>
        </w:rPr>
        <w:t xml:space="preserve"> aportes patronales y contratación de prendas de vestir con recursos del SGP-Educación por un valor de $2.531 millones que no fueron relacionados a ningún detalle sectorial, producto MGA o CPC. Si bien la entidad reportó </w:t>
      </w:r>
      <w:r w:rsidR="00FB3CC3" w:rsidRPr="00E33DE3">
        <w:rPr>
          <w:rFonts w:ascii="Verdana" w:hAnsi="Verdana" w:cs="Arial"/>
          <w:sz w:val="22"/>
          <w:szCs w:val="22"/>
        </w:rPr>
        <w:t>en e</w:t>
      </w:r>
      <w:r w:rsidRPr="00E33DE3">
        <w:rPr>
          <w:rFonts w:ascii="Verdana" w:hAnsi="Verdana" w:cs="Arial"/>
          <w:sz w:val="22"/>
          <w:szCs w:val="22"/>
        </w:rPr>
        <w:t xml:space="preserve">l cierre </w:t>
      </w:r>
      <w:r w:rsidRPr="00E33DE3">
        <w:rPr>
          <w:rFonts w:ascii="Verdana" w:hAnsi="Verdana" w:cs="Arial"/>
          <w:sz w:val="22"/>
          <w:szCs w:val="22"/>
        </w:rPr>
        <w:lastRenderedPageBreak/>
        <w:t xml:space="preserve">financiero </w:t>
      </w:r>
      <w:r w:rsidR="00FB3CC3" w:rsidRPr="00E33DE3">
        <w:rPr>
          <w:rFonts w:ascii="Verdana" w:hAnsi="Verdana" w:cs="Arial"/>
          <w:sz w:val="22"/>
          <w:szCs w:val="22"/>
        </w:rPr>
        <w:t xml:space="preserve">realizado con el acompañamiento </w:t>
      </w:r>
      <w:r w:rsidRPr="00E33DE3">
        <w:rPr>
          <w:rFonts w:ascii="Verdana" w:hAnsi="Verdana" w:cs="Arial"/>
          <w:sz w:val="22"/>
          <w:szCs w:val="22"/>
        </w:rPr>
        <w:t>del M</w:t>
      </w:r>
      <w:r w:rsidR="00FB3CC3" w:rsidRPr="00E33DE3">
        <w:rPr>
          <w:rFonts w:ascii="Verdana" w:hAnsi="Verdana" w:cs="Arial"/>
          <w:sz w:val="22"/>
          <w:szCs w:val="22"/>
        </w:rPr>
        <w:t xml:space="preserve">inisterio de </w:t>
      </w:r>
      <w:r w:rsidRPr="00E33DE3">
        <w:rPr>
          <w:rFonts w:ascii="Verdana" w:hAnsi="Verdana" w:cs="Arial"/>
          <w:sz w:val="22"/>
          <w:szCs w:val="22"/>
        </w:rPr>
        <w:t>E</w:t>
      </w:r>
      <w:r w:rsidR="00FB3CC3" w:rsidRPr="00E33DE3">
        <w:rPr>
          <w:rFonts w:ascii="Verdana" w:hAnsi="Verdana" w:cs="Arial"/>
          <w:sz w:val="22"/>
          <w:szCs w:val="22"/>
        </w:rPr>
        <w:t xml:space="preserve">ducación </w:t>
      </w:r>
      <w:r w:rsidRPr="00E33DE3">
        <w:rPr>
          <w:rFonts w:ascii="Verdana" w:hAnsi="Verdana" w:cs="Arial"/>
          <w:sz w:val="22"/>
          <w:szCs w:val="22"/>
        </w:rPr>
        <w:t>N</w:t>
      </w:r>
      <w:r w:rsidR="00FB3CC3" w:rsidRPr="00E33DE3">
        <w:rPr>
          <w:rFonts w:ascii="Verdana" w:hAnsi="Verdana" w:cs="Arial"/>
          <w:sz w:val="22"/>
          <w:szCs w:val="22"/>
        </w:rPr>
        <w:t>acional</w:t>
      </w:r>
      <w:r w:rsidRPr="00E33DE3">
        <w:rPr>
          <w:rFonts w:ascii="Verdana" w:hAnsi="Verdana" w:cs="Arial"/>
          <w:sz w:val="22"/>
          <w:szCs w:val="22"/>
        </w:rPr>
        <w:t xml:space="preserve"> </w:t>
      </w:r>
      <w:r w:rsidR="00FB3CC3" w:rsidRPr="00E33DE3">
        <w:rPr>
          <w:rFonts w:ascii="Verdana" w:hAnsi="Verdana" w:cs="Arial"/>
          <w:sz w:val="22"/>
          <w:szCs w:val="22"/>
        </w:rPr>
        <w:t xml:space="preserve">para </w:t>
      </w:r>
      <w:r w:rsidRPr="00E33DE3">
        <w:rPr>
          <w:rFonts w:ascii="Verdana" w:hAnsi="Verdana" w:cs="Arial"/>
          <w:sz w:val="22"/>
          <w:szCs w:val="22"/>
        </w:rPr>
        <w:t>2022 un total de $24.335 millones en gastos administrativos, no fue posible verificar dicha información.</w:t>
      </w:r>
    </w:p>
    <w:p w14:paraId="3F22E68D" w14:textId="77777777" w:rsidR="00273288" w:rsidRPr="00E33DE3" w:rsidRDefault="00273288" w:rsidP="00C65B25">
      <w:pPr>
        <w:jc w:val="both"/>
        <w:rPr>
          <w:rFonts w:ascii="Verdana" w:hAnsi="Verdana" w:cs="Arial"/>
          <w:sz w:val="22"/>
          <w:szCs w:val="22"/>
        </w:rPr>
      </w:pPr>
    </w:p>
    <w:p w14:paraId="38F38E28" w14:textId="77777777" w:rsidR="00273288" w:rsidRPr="00E33DE3" w:rsidRDefault="005543CD" w:rsidP="00687D19">
      <w:pPr>
        <w:pStyle w:val="Ttulo2"/>
        <w:rPr>
          <w:rFonts w:ascii="Verdana" w:hAnsi="Verdana"/>
        </w:rPr>
      </w:pPr>
      <w:r w:rsidRPr="00E33DE3">
        <w:rPr>
          <w:rFonts w:ascii="Verdana" w:hAnsi="Verdana"/>
        </w:rPr>
        <w:t xml:space="preserve">Componente Sectorial </w:t>
      </w:r>
    </w:p>
    <w:p w14:paraId="72A173B0" w14:textId="77777777" w:rsidR="00273288" w:rsidRPr="00E33DE3" w:rsidRDefault="00273288" w:rsidP="00C65B25">
      <w:pPr>
        <w:rPr>
          <w:rFonts w:ascii="Verdana" w:hAnsi="Verdana"/>
          <w:sz w:val="22"/>
          <w:szCs w:val="22"/>
          <w:lang w:val="es-ES_tradnl" w:eastAsia="en-US"/>
        </w:rPr>
      </w:pPr>
    </w:p>
    <w:p w14:paraId="36E01B01" w14:textId="77777777" w:rsidR="00273288" w:rsidRPr="00E33DE3" w:rsidRDefault="00273288" w:rsidP="00C65B25">
      <w:pPr>
        <w:jc w:val="both"/>
        <w:rPr>
          <w:rFonts w:ascii="Verdana" w:hAnsi="Verdana" w:cs="Arial"/>
          <w:sz w:val="22"/>
          <w:szCs w:val="22"/>
          <w:lang w:val="es-CO"/>
        </w:rPr>
      </w:pPr>
      <w:r w:rsidRPr="00E33DE3">
        <w:rPr>
          <w:rFonts w:ascii="Verdana" w:hAnsi="Verdana" w:cs="Arial"/>
          <w:sz w:val="22"/>
          <w:szCs w:val="22"/>
          <w:lang w:val="es-CO"/>
        </w:rPr>
        <w:t xml:space="preserve">El diagnóstico de los principales temas del Sector Educación revisados con la información remitida por el Municipio, según los oficios con radicado </w:t>
      </w:r>
      <w:r w:rsidRPr="00E33DE3">
        <w:rPr>
          <w:rFonts w:ascii="Verdana" w:eastAsia="Times New Roman" w:hAnsi="Verdana" w:cs="Arial"/>
          <w:sz w:val="22"/>
          <w:szCs w:val="22"/>
          <w:lang w:val="es-ES_tradnl"/>
        </w:rPr>
        <w:t>1-2022-093344, 1-2022-093362, 1-2022-093368, 1-2022-093372, 1-2022-093377, 1-2022-093390, 1-2022-093396, 1-2022-093405, 1-2022-093412, 1-2022-093419, 1-2022-093498 y 1-2023-024002</w:t>
      </w:r>
      <w:r w:rsidRPr="00E33DE3">
        <w:rPr>
          <w:rFonts w:ascii="Verdana" w:hAnsi="Verdana" w:cs="Arial"/>
          <w:sz w:val="22"/>
          <w:szCs w:val="22"/>
          <w:lang w:val="es-CO"/>
        </w:rPr>
        <w:t xml:space="preserve"> permitieron configurar los siguientes eventos de riesgo: </w:t>
      </w:r>
    </w:p>
    <w:p w14:paraId="4E78B6C6" w14:textId="77777777" w:rsidR="00273288" w:rsidRPr="00E33DE3" w:rsidRDefault="00273288" w:rsidP="00C65B25">
      <w:pPr>
        <w:jc w:val="both"/>
        <w:rPr>
          <w:rFonts w:ascii="Verdana" w:hAnsi="Verdana" w:cs="Arial"/>
          <w:sz w:val="22"/>
          <w:szCs w:val="22"/>
          <w:lang w:val="es-CO"/>
        </w:rPr>
      </w:pPr>
    </w:p>
    <w:p w14:paraId="0808B9BA" w14:textId="77777777" w:rsidR="00273288" w:rsidRPr="00E33DE3" w:rsidRDefault="00273288" w:rsidP="00C65B25">
      <w:pPr>
        <w:jc w:val="both"/>
        <w:rPr>
          <w:rFonts w:ascii="Verdana" w:hAnsi="Verdana" w:cs="Arial"/>
          <w:sz w:val="22"/>
          <w:szCs w:val="22"/>
          <w:lang w:val="es-CO"/>
        </w:rPr>
      </w:pPr>
      <w:r w:rsidRPr="00E33DE3">
        <w:rPr>
          <w:rFonts w:ascii="Verdana" w:hAnsi="Verdana" w:cs="Arial"/>
          <w:b/>
          <w:sz w:val="22"/>
          <w:szCs w:val="22"/>
          <w:lang w:val="es-CO"/>
        </w:rPr>
        <w:t xml:space="preserve">En materia de recursos humanos del Sector: </w:t>
      </w:r>
      <w:r w:rsidRPr="00E33DE3">
        <w:rPr>
          <w:rFonts w:ascii="Verdana" w:hAnsi="Verdana" w:cs="Arial"/>
          <w:sz w:val="22"/>
          <w:szCs w:val="22"/>
          <w:lang w:val="es-CO"/>
        </w:rPr>
        <w:t>la distribución de la planta no cumple con los parámetros establecidos legalmente, lo anterior responde al hecho de que la entidad no emite el acto administrativo de distribución desde la vigencia 2016; adicionalmente se evidencian falencias en el cumplimiento oportuno de la entrega de la dotación. (Se configur</w:t>
      </w:r>
      <w:r w:rsidR="00CF7C7D" w:rsidRPr="00E33DE3">
        <w:rPr>
          <w:rFonts w:ascii="Verdana" w:hAnsi="Verdana" w:cs="Arial"/>
          <w:sz w:val="22"/>
          <w:szCs w:val="22"/>
          <w:lang w:val="es-CO"/>
        </w:rPr>
        <w:t>ó</w:t>
      </w:r>
      <w:r w:rsidRPr="00E33DE3">
        <w:rPr>
          <w:rFonts w:ascii="Verdana" w:hAnsi="Verdana" w:cs="Arial"/>
          <w:sz w:val="22"/>
          <w:szCs w:val="22"/>
          <w:lang w:val="es-CO"/>
        </w:rPr>
        <w:t xml:space="preserve"> evento de riesgo 9.18).</w:t>
      </w:r>
    </w:p>
    <w:p w14:paraId="51C9C858" w14:textId="77777777" w:rsidR="00273288" w:rsidRPr="00E33DE3" w:rsidRDefault="00273288" w:rsidP="00C65B25">
      <w:pPr>
        <w:jc w:val="both"/>
        <w:rPr>
          <w:rFonts w:ascii="Verdana" w:hAnsi="Verdana" w:cs="Arial"/>
          <w:sz w:val="22"/>
          <w:szCs w:val="22"/>
          <w:lang w:val="es-CO"/>
        </w:rPr>
      </w:pPr>
    </w:p>
    <w:p w14:paraId="4517C584" w14:textId="77777777" w:rsidR="00273288" w:rsidRPr="00E33DE3" w:rsidRDefault="00273288" w:rsidP="00C65B25">
      <w:pPr>
        <w:jc w:val="both"/>
        <w:rPr>
          <w:rFonts w:ascii="Verdana" w:hAnsi="Verdana" w:cs="Arial"/>
          <w:sz w:val="22"/>
          <w:szCs w:val="22"/>
          <w:lang w:val="es-CO"/>
        </w:rPr>
      </w:pPr>
      <w:r w:rsidRPr="00E33DE3">
        <w:rPr>
          <w:rFonts w:ascii="Verdana" w:hAnsi="Verdana" w:cs="Arial"/>
          <w:b/>
          <w:bCs/>
          <w:sz w:val="22"/>
          <w:szCs w:val="22"/>
          <w:lang w:val="es-CO"/>
        </w:rPr>
        <w:t xml:space="preserve">En relación con la información financiera y fiscal: </w:t>
      </w:r>
      <w:r w:rsidRPr="00E33DE3">
        <w:rPr>
          <w:rFonts w:ascii="Verdana" w:hAnsi="Verdana" w:cs="Arial"/>
          <w:sz w:val="22"/>
          <w:szCs w:val="22"/>
          <w:lang w:val="es-CO"/>
        </w:rPr>
        <w:t xml:space="preserve">se encontró que </w:t>
      </w:r>
      <w:r w:rsidR="004A1838">
        <w:rPr>
          <w:rFonts w:ascii="Verdana" w:hAnsi="Verdana" w:cs="Arial"/>
          <w:sz w:val="22"/>
          <w:szCs w:val="22"/>
          <w:lang w:val="es-CO"/>
        </w:rPr>
        <w:t xml:space="preserve">el Municipio </w:t>
      </w:r>
      <w:r w:rsidRPr="00E33DE3">
        <w:rPr>
          <w:rFonts w:ascii="Verdana" w:hAnsi="Verdana" w:cs="Arial"/>
          <w:sz w:val="22"/>
          <w:szCs w:val="22"/>
          <w:lang w:val="es-CO"/>
        </w:rPr>
        <w:t xml:space="preserve">realizó </w:t>
      </w:r>
      <w:r w:rsidRPr="00E33DE3">
        <w:rPr>
          <w:rFonts w:ascii="Verdana" w:eastAsia="Calibri" w:hAnsi="Verdana" w:cs="Arial"/>
          <w:sz w:val="22"/>
          <w:szCs w:val="22"/>
          <w:lang w:val="es-CO" w:eastAsia="en-US"/>
        </w:rPr>
        <w:t xml:space="preserve">pagos de incrementos por antigüedad no financiables con recursos del Sistema General de Participaciones, presentó deficiencias en el reporte de información </w:t>
      </w:r>
      <w:r w:rsidRPr="00E33DE3">
        <w:rPr>
          <w:rFonts w:ascii="Verdana" w:hAnsi="Verdana" w:cs="Arial"/>
          <w:sz w:val="22"/>
          <w:szCs w:val="22"/>
          <w:lang w:val="es-CO"/>
        </w:rPr>
        <w:t>en el FUT, en CUIPO, en el Directorio Único de Establecimientos Educativos y en el registro de matrícula en SIMAT. No empleó adecuadamente los recursos excedentes del SGP, contrat</w:t>
      </w:r>
      <w:r w:rsidR="00CF7C7D" w:rsidRPr="00E33DE3">
        <w:rPr>
          <w:rFonts w:ascii="Verdana" w:hAnsi="Verdana" w:cs="Arial"/>
          <w:sz w:val="22"/>
          <w:szCs w:val="22"/>
          <w:lang w:val="es-CO"/>
        </w:rPr>
        <w:t>ó</w:t>
      </w:r>
      <w:r w:rsidRPr="00E33DE3">
        <w:rPr>
          <w:rFonts w:ascii="Verdana" w:hAnsi="Verdana" w:cs="Arial"/>
          <w:sz w:val="22"/>
          <w:szCs w:val="22"/>
          <w:lang w:val="es-CO"/>
        </w:rPr>
        <w:t xml:space="preserve"> el servicio educativo y el de Necesidades Educativas Especiales (NEE) superando las tipologías; adicionalmente, se evidencia</w:t>
      </w:r>
      <w:r w:rsidR="00CF7C7D" w:rsidRPr="00E33DE3">
        <w:rPr>
          <w:rFonts w:ascii="Verdana" w:hAnsi="Verdana" w:cs="Arial"/>
          <w:sz w:val="22"/>
          <w:szCs w:val="22"/>
          <w:lang w:val="es-CO"/>
        </w:rPr>
        <w:t>ro</w:t>
      </w:r>
      <w:r w:rsidRPr="00E33DE3">
        <w:rPr>
          <w:rFonts w:ascii="Verdana" w:hAnsi="Verdana" w:cs="Arial"/>
          <w:sz w:val="22"/>
          <w:szCs w:val="22"/>
          <w:lang w:val="es-CO"/>
        </w:rPr>
        <w:t>n inadecuados procesos presupuestales y la planeación del uso de los recursos de conectividad y NEE es deficiente en la medida que no se comprometen en su totalidad (se configuraron eventos de riesgo 9.1, 9.4 y 9.18).</w:t>
      </w:r>
    </w:p>
    <w:p w14:paraId="3C0121DC" w14:textId="77777777" w:rsidR="00273288" w:rsidRPr="00E33DE3" w:rsidRDefault="00273288" w:rsidP="00C65B25">
      <w:pPr>
        <w:jc w:val="both"/>
        <w:rPr>
          <w:rFonts w:ascii="Verdana" w:hAnsi="Verdana" w:cs="Arial"/>
          <w:sz w:val="22"/>
          <w:szCs w:val="22"/>
          <w:lang w:val="es-CO"/>
        </w:rPr>
      </w:pPr>
    </w:p>
    <w:p w14:paraId="127CC4A6" w14:textId="77777777" w:rsidR="00273288" w:rsidRPr="00E33DE3" w:rsidRDefault="00273288" w:rsidP="00C65B25">
      <w:pPr>
        <w:jc w:val="both"/>
        <w:rPr>
          <w:rFonts w:ascii="Verdana" w:hAnsi="Verdana" w:cs="Arial"/>
          <w:sz w:val="22"/>
          <w:szCs w:val="22"/>
          <w:lang w:val="es-CO"/>
        </w:rPr>
      </w:pPr>
      <w:r w:rsidRPr="00E33DE3">
        <w:rPr>
          <w:rFonts w:ascii="Verdana" w:hAnsi="Verdana" w:cs="Arial"/>
          <w:b/>
          <w:bCs/>
          <w:sz w:val="22"/>
          <w:szCs w:val="22"/>
          <w:lang w:val="es-CO"/>
        </w:rPr>
        <w:t xml:space="preserve">Frente a los temas de contratación: </w:t>
      </w:r>
      <w:r w:rsidRPr="00E33DE3">
        <w:rPr>
          <w:rFonts w:ascii="Verdana" w:hAnsi="Verdana" w:cs="Arial"/>
          <w:sz w:val="22"/>
          <w:szCs w:val="22"/>
          <w:lang w:val="es-CO"/>
        </w:rPr>
        <w:t xml:space="preserve">La Entidad Territorial </w:t>
      </w:r>
      <w:r w:rsidRPr="00E33DE3">
        <w:rPr>
          <w:rFonts w:ascii="Verdana" w:eastAsia="Calibri" w:hAnsi="Verdana" w:cs="Arial"/>
          <w:sz w:val="22"/>
          <w:szCs w:val="22"/>
          <w:lang w:val="es-CO" w:eastAsia="en-US"/>
        </w:rPr>
        <w:t>no publicó la totalidad de los documentos requeridos para los procesos contractuales adelantados, cuando la ley lo exige (se configur</w:t>
      </w:r>
      <w:r w:rsidR="00CF7C7D" w:rsidRPr="00E33DE3">
        <w:rPr>
          <w:rFonts w:ascii="Verdana" w:eastAsia="Calibri" w:hAnsi="Verdana" w:cs="Arial"/>
          <w:sz w:val="22"/>
          <w:szCs w:val="22"/>
          <w:lang w:val="es-CO" w:eastAsia="en-US"/>
        </w:rPr>
        <w:t>ó</w:t>
      </w:r>
      <w:r w:rsidRPr="00E33DE3">
        <w:rPr>
          <w:rFonts w:ascii="Verdana" w:eastAsia="Calibri" w:hAnsi="Verdana" w:cs="Arial"/>
          <w:sz w:val="22"/>
          <w:szCs w:val="22"/>
          <w:lang w:val="es-CO" w:eastAsia="en-US"/>
        </w:rPr>
        <w:t xml:space="preserve"> evento de riesgo 9.10). La auditoría también detectó contratos cuyo objeto no es financiable con recursos del SGP.  </w:t>
      </w:r>
    </w:p>
    <w:p w14:paraId="5790D1F8" w14:textId="77777777" w:rsidR="00273288" w:rsidRPr="00E33DE3" w:rsidRDefault="00273288" w:rsidP="00C65B25">
      <w:pPr>
        <w:jc w:val="both"/>
        <w:rPr>
          <w:rFonts w:ascii="Verdana" w:eastAsia="Times New Roman" w:hAnsi="Verdana" w:cs="Arial"/>
          <w:color w:val="000000"/>
          <w:sz w:val="22"/>
          <w:szCs w:val="22"/>
          <w:lang w:val="es-CO" w:eastAsia="es-CO"/>
        </w:rPr>
      </w:pPr>
    </w:p>
    <w:p w14:paraId="69D403BD" w14:textId="77777777" w:rsidR="00273288" w:rsidRPr="00E33DE3" w:rsidRDefault="00CF7C7D" w:rsidP="00C65B25">
      <w:pPr>
        <w:jc w:val="both"/>
        <w:rPr>
          <w:rFonts w:ascii="Verdana" w:hAnsi="Verdana" w:cs="Arial"/>
          <w:b/>
          <w:sz w:val="22"/>
          <w:szCs w:val="22"/>
          <w:shd w:val="clear" w:color="auto" w:fill="FFFFFF"/>
        </w:rPr>
      </w:pPr>
      <w:r w:rsidRPr="00E33DE3">
        <w:rPr>
          <w:rFonts w:ascii="Verdana" w:hAnsi="Verdana" w:cs="Arial"/>
          <w:sz w:val="22"/>
          <w:szCs w:val="22"/>
        </w:rPr>
        <w:t>Al respecto</w:t>
      </w:r>
      <w:r w:rsidR="00273288" w:rsidRPr="00E33DE3">
        <w:rPr>
          <w:rFonts w:ascii="Verdana" w:hAnsi="Verdana" w:cs="Arial"/>
          <w:sz w:val="22"/>
          <w:szCs w:val="22"/>
        </w:rPr>
        <w:t xml:space="preserve">, </w:t>
      </w:r>
      <w:r w:rsidRPr="00E33DE3">
        <w:rPr>
          <w:rFonts w:ascii="Verdana" w:hAnsi="Verdana" w:cs="Arial"/>
          <w:sz w:val="22"/>
          <w:szCs w:val="22"/>
        </w:rPr>
        <w:t xml:space="preserve">es importante mencionar que </w:t>
      </w:r>
      <w:r w:rsidR="00273288" w:rsidRPr="00E33DE3">
        <w:rPr>
          <w:rFonts w:ascii="Verdana" w:hAnsi="Verdana" w:cs="Arial"/>
          <w:sz w:val="22"/>
          <w:szCs w:val="22"/>
        </w:rPr>
        <w:t>los recursos del Sistema General de Participaciones asignados a las entidades territoriales solo pueden ser utilizados para financiar las destinaciones establecidas en la normatividad vigente dentro del marco de sus competencias y funciones, las cuales se consagran taxativamente en el artículo 15 de la Ley 715 de 2001. Por lo tanto, no existe autorización en la normatividad vigente que permita a las entidades territoriales certificadas en educación financiar los objetos contractuales que a continuación se mencionan, con recursos del Sistema General de Participaciones – Educación.</w:t>
      </w:r>
    </w:p>
    <w:p w14:paraId="05A0520A" w14:textId="77777777" w:rsidR="00273288" w:rsidRPr="00E33DE3" w:rsidRDefault="00273288" w:rsidP="00C65B25">
      <w:pPr>
        <w:jc w:val="both"/>
        <w:rPr>
          <w:rFonts w:ascii="Verdana" w:hAnsi="Verdana" w:cs="Arial"/>
          <w:bCs/>
          <w:sz w:val="22"/>
          <w:szCs w:val="22"/>
        </w:rPr>
      </w:pPr>
    </w:p>
    <w:p w14:paraId="7277FE14" w14:textId="77777777" w:rsidR="00273288" w:rsidRPr="00E33DE3" w:rsidRDefault="00273288" w:rsidP="00C65B25">
      <w:pPr>
        <w:pStyle w:val="Prrafodelista"/>
        <w:numPr>
          <w:ilvl w:val="0"/>
          <w:numId w:val="33"/>
        </w:numPr>
        <w:ind w:left="284" w:hanging="284"/>
        <w:jc w:val="both"/>
        <w:rPr>
          <w:rFonts w:ascii="Verdana" w:hAnsi="Verdana" w:cs="Arial"/>
          <w:bCs/>
          <w:sz w:val="22"/>
          <w:szCs w:val="22"/>
          <w:u w:val="single"/>
        </w:rPr>
      </w:pPr>
      <w:r w:rsidRPr="00E33DE3">
        <w:rPr>
          <w:rFonts w:ascii="Verdana" w:hAnsi="Verdana" w:cs="Arial"/>
          <w:bCs/>
          <w:sz w:val="22"/>
          <w:szCs w:val="22"/>
          <w:u w:val="single"/>
        </w:rPr>
        <w:t xml:space="preserve">Operador logístico de los eventos de la secretaría de educación </w:t>
      </w:r>
    </w:p>
    <w:p w14:paraId="005B4B2B" w14:textId="77777777" w:rsidR="00273288" w:rsidRPr="00E33DE3" w:rsidRDefault="00273288" w:rsidP="00C65B25">
      <w:pPr>
        <w:pStyle w:val="Prrafodelista"/>
        <w:jc w:val="both"/>
        <w:rPr>
          <w:rFonts w:ascii="Verdana" w:hAnsi="Verdana" w:cs="Arial"/>
          <w:bCs/>
          <w:sz w:val="22"/>
          <w:szCs w:val="22"/>
          <w:u w:val="single"/>
        </w:rPr>
      </w:pPr>
    </w:p>
    <w:p w14:paraId="495F5483"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En la vigencia 2018 la Entidad Territorial suscribió el contrato No.</w:t>
      </w:r>
      <w:r w:rsidRPr="00E33DE3">
        <w:rPr>
          <w:rFonts w:ascii="Verdana" w:hAnsi="Verdana"/>
          <w:sz w:val="22"/>
          <w:szCs w:val="22"/>
        </w:rPr>
        <w:t xml:space="preserve"> </w:t>
      </w:r>
      <w:r w:rsidRPr="00E33DE3">
        <w:rPr>
          <w:rFonts w:ascii="Verdana" w:hAnsi="Verdana" w:cs="Arial"/>
          <w:sz w:val="22"/>
          <w:szCs w:val="22"/>
        </w:rPr>
        <w:t>20182709 del 05 de septiembre del mismo año, por valor de $277 millones financiados con recursos del SGP y del FONPET, el objeto correspondió a “</w:t>
      </w:r>
      <w:r w:rsidRPr="00E33DE3">
        <w:rPr>
          <w:rFonts w:ascii="Verdana" w:hAnsi="Verdana" w:cs="Arial"/>
          <w:i/>
          <w:iCs/>
          <w:sz w:val="22"/>
          <w:szCs w:val="22"/>
        </w:rPr>
        <w:t xml:space="preserve">'el/la contratista se compromete para con el Municipio de Pasto – Secretaría de Educación a prestar el servicio de operador logístico para la realización de eventos, encuentros, actividades, presentaciones artísticas, organización de encuentros deportivos, entre otros, de los estudiantes, funcionarios administrativos, docentes y directivos docentes del sector educativo”. </w:t>
      </w:r>
      <w:r w:rsidRPr="00E33DE3">
        <w:rPr>
          <w:rFonts w:ascii="Verdana" w:hAnsi="Verdana" w:cs="Arial"/>
          <w:sz w:val="22"/>
          <w:szCs w:val="22"/>
        </w:rPr>
        <w:t>El contrato fue</w:t>
      </w:r>
      <w:r w:rsidRPr="00E33DE3">
        <w:rPr>
          <w:rFonts w:ascii="Verdana" w:hAnsi="Verdana" w:cs="Arial"/>
          <w:i/>
          <w:iCs/>
          <w:sz w:val="22"/>
          <w:szCs w:val="22"/>
        </w:rPr>
        <w:t xml:space="preserve"> </w:t>
      </w:r>
      <w:r w:rsidRPr="00E33DE3">
        <w:rPr>
          <w:rFonts w:ascii="Verdana" w:hAnsi="Verdana" w:cs="Arial"/>
          <w:sz w:val="22"/>
          <w:szCs w:val="22"/>
        </w:rPr>
        <w:t xml:space="preserve">celebrado con el señor Edgar Andrés Rodríguez Hernández identificado con la cedula de ciudadanía número 94.413.785 expedida en Cali. </w:t>
      </w:r>
    </w:p>
    <w:p w14:paraId="6939FFA7" w14:textId="77777777" w:rsidR="00273288" w:rsidRPr="00E33DE3" w:rsidRDefault="00273288" w:rsidP="00C65B25">
      <w:pPr>
        <w:shd w:val="clear" w:color="auto" w:fill="FFFFFF"/>
        <w:jc w:val="both"/>
        <w:rPr>
          <w:rFonts w:ascii="Verdana" w:hAnsi="Verdana" w:cs="Arial"/>
          <w:color w:val="222222"/>
          <w:sz w:val="22"/>
          <w:szCs w:val="22"/>
        </w:rPr>
      </w:pPr>
    </w:p>
    <w:p w14:paraId="71119EA1" w14:textId="77777777" w:rsidR="00273288" w:rsidRPr="00E33DE3" w:rsidRDefault="00273288" w:rsidP="00C65B25">
      <w:pPr>
        <w:shd w:val="clear" w:color="auto" w:fill="FFFFFF"/>
        <w:jc w:val="both"/>
        <w:rPr>
          <w:rFonts w:ascii="Verdana" w:hAnsi="Verdana" w:cs="Arial"/>
          <w:color w:val="222222"/>
          <w:sz w:val="22"/>
          <w:szCs w:val="22"/>
        </w:rPr>
      </w:pPr>
      <w:r w:rsidRPr="00E33DE3">
        <w:rPr>
          <w:rFonts w:ascii="Verdana" w:hAnsi="Verdana" w:cs="Arial"/>
          <w:color w:val="222222"/>
          <w:sz w:val="22"/>
          <w:szCs w:val="22"/>
        </w:rPr>
        <w:t xml:space="preserve">De acuerdo con el estudio previo de este contrato, se pactó la realización de 29 eventos, de los cuales se describen algunos como son: </w:t>
      </w:r>
    </w:p>
    <w:p w14:paraId="4BFF7515" w14:textId="77777777" w:rsidR="00273288" w:rsidRPr="00E33DE3" w:rsidRDefault="00273288" w:rsidP="00C65B25">
      <w:pPr>
        <w:shd w:val="clear" w:color="auto" w:fill="FFFFFF"/>
        <w:jc w:val="both"/>
        <w:rPr>
          <w:rFonts w:ascii="Verdana" w:hAnsi="Verdana" w:cs="Arial"/>
          <w:color w:val="222222"/>
          <w:sz w:val="22"/>
          <w:szCs w:val="22"/>
        </w:rPr>
      </w:pPr>
    </w:p>
    <w:p w14:paraId="223B845E" w14:textId="77777777" w:rsidR="00273288" w:rsidRPr="00E33DE3" w:rsidRDefault="00273288" w:rsidP="00C65B25">
      <w:pPr>
        <w:shd w:val="clear" w:color="auto" w:fill="FFFFFF"/>
        <w:ind w:left="567"/>
        <w:jc w:val="both"/>
        <w:rPr>
          <w:rFonts w:ascii="Verdana" w:hAnsi="Verdana" w:cs="Arial"/>
          <w:i/>
          <w:sz w:val="22"/>
          <w:szCs w:val="22"/>
        </w:rPr>
      </w:pPr>
      <w:r w:rsidRPr="00E33DE3">
        <w:rPr>
          <w:rFonts w:ascii="Verdana" w:hAnsi="Verdana" w:cs="Arial"/>
          <w:i/>
          <w:sz w:val="22"/>
          <w:szCs w:val="22"/>
        </w:rPr>
        <w:t xml:space="preserve">“Evento 3 REUNIÓN COMITÉ DE PRESTACIONES SOCIALES Se requiere el lugar que debe constar de un salón con ayudas audiovisuales (video bean, micrófono, pantalla, sonido) para atender 30 personas, a quienes se les ofrecerá desayuno y almuerzo ejecutivo. </w:t>
      </w:r>
    </w:p>
    <w:p w14:paraId="6051C68A" w14:textId="77777777" w:rsidR="00273288" w:rsidRPr="00E33DE3" w:rsidRDefault="00273288" w:rsidP="00C65B25">
      <w:pPr>
        <w:shd w:val="clear" w:color="auto" w:fill="FFFFFF"/>
        <w:ind w:left="567"/>
        <w:jc w:val="both"/>
        <w:rPr>
          <w:rFonts w:ascii="Verdana" w:hAnsi="Verdana" w:cs="Arial"/>
          <w:i/>
          <w:sz w:val="22"/>
          <w:szCs w:val="22"/>
        </w:rPr>
      </w:pPr>
    </w:p>
    <w:p w14:paraId="3C3A8568" w14:textId="77777777" w:rsidR="00273288" w:rsidRPr="00E33DE3" w:rsidRDefault="00273288" w:rsidP="00C65B25">
      <w:pPr>
        <w:shd w:val="clear" w:color="auto" w:fill="FFFFFF"/>
        <w:ind w:left="567"/>
        <w:jc w:val="both"/>
        <w:rPr>
          <w:rFonts w:ascii="Verdana" w:hAnsi="Verdana" w:cs="Arial"/>
          <w:i/>
          <w:sz w:val="22"/>
          <w:szCs w:val="22"/>
        </w:rPr>
      </w:pPr>
      <w:r w:rsidRPr="00E33DE3">
        <w:rPr>
          <w:rFonts w:ascii="Verdana" w:hAnsi="Verdana" w:cs="Arial"/>
          <w:i/>
          <w:sz w:val="22"/>
          <w:szCs w:val="22"/>
        </w:rPr>
        <w:t>Evento 4 DÍA DEL ADMINISTRATIVO Se requiere el lugar que debe constar de un salón amplio con ayudas audiovisuales (video bean, micrófono, pantalla, sonido), maestro de ceremonia, para atender 600 personas, a quienes se les ofrecerá un almuerzo especial 1</w:t>
      </w:r>
    </w:p>
    <w:p w14:paraId="2C1CC87D" w14:textId="77777777" w:rsidR="00273288" w:rsidRPr="00E33DE3" w:rsidRDefault="00273288" w:rsidP="00C65B25">
      <w:pPr>
        <w:shd w:val="clear" w:color="auto" w:fill="FFFFFF"/>
        <w:ind w:left="567"/>
        <w:jc w:val="both"/>
        <w:rPr>
          <w:rFonts w:ascii="Verdana" w:hAnsi="Verdana" w:cs="Arial"/>
          <w:i/>
          <w:sz w:val="22"/>
          <w:szCs w:val="22"/>
        </w:rPr>
      </w:pPr>
    </w:p>
    <w:p w14:paraId="674437DA" w14:textId="77777777" w:rsidR="00273288" w:rsidRPr="00E33DE3" w:rsidRDefault="00273288" w:rsidP="00C65B25">
      <w:pPr>
        <w:shd w:val="clear" w:color="auto" w:fill="FFFFFF"/>
        <w:ind w:left="567"/>
        <w:jc w:val="both"/>
        <w:rPr>
          <w:rFonts w:ascii="Verdana" w:hAnsi="Verdana" w:cs="Arial"/>
          <w:i/>
          <w:sz w:val="22"/>
          <w:szCs w:val="22"/>
        </w:rPr>
      </w:pPr>
      <w:r w:rsidRPr="00E33DE3">
        <w:rPr>
          <w:rFonts w:ascii="Verdana" w:hAnsi="Verdana" w:cs="Arial"/>
          <w:i/>
          <w:sz w:val="22"/>
          <w:szCs w:val="22"/>
        </w:rPr>
        <w:t>Evento 5 DÍA DEL DIRECTIVO DOCENTE Se requiere el lugar que debe constar de un salón amplio con ayudas audiovisuales (video bean, micrófono, pantalla, sonido), maestro de ceremonia, para atender 133 personas, a quienes se les ofrecerá una cena especial 1</w:t>
      </w:r>
    </w:p>
    <w:p w14:paraId="3F1F9B3C" w14:textId="77777777" w:rsidR="00273288" w:rsidRPr="00E33DE3" w:rsidRDefault="00273288" w:rsidP="00C65B25">
      <w:pPr>
        <w:shd w:val="clear" w:color="auto" w:fill="FFFFFF"/>
        <w:ind w:left="567"/>
        <w:jc w:val="both"/>
        <w:rPr>
          <w:rFonts w:ascii="Verdana" w:hAnsi="Verdana" w:cs="Arial"/>
          <w:i/>
          <w:sz w:val="22"/>
          <w:szCs w:val="22"/>
        </w:rPr>
      </w:pPr>
    </w:p>
    <w:p w14:paraId="3A931BFF" w14:textId="77777777" w:rsidR="00273288" w:rsidRPr="00E33DE3" w:rsidRDefault="00273288" w:rsidP="00C65B25">
      <w:pPr>
        <w:shd w:val="clear" w:color="auto" w:fill="FFFFFF"/>
        <w:ind w:left="567"/>
        <w:jc w:val="both"/>
        <w:rPr>
          <w:rFonts w:ascii="Verdana" w:hAnsi="Verdana" w:cs="Arial"/>
          <w:i/>
          <w:sz w:val="22"/>
          <w:szCs w:val="22"/>
        </w:rPr>
      </w:pPr>
      <w:r w:rsidRPr="00E33DE3">
        <w:rPr>
          <w:rFonts w:ascii="Verdana" w:hAnsi="Verdana" w:cs="Arial"/>
          <w:i/>
          <w:sz w:val="22"/>
          <w:szCs w:val="22"/>
        </w:rPr>
        <w:t xml:space="preserve">Evento 6 CAMPEONATOS DE DEPORTES DE CONJUNTO E INDIVIDUALES Se requieren 10 campeonatos deportivos que pueden ser de las siguientes opciones: - Organización torneo tejo incluye: juzgamiento, escenario deportivo, premiación (trofeo y medallas) para equipo campeón - Organización torneo de ajedrez: juzgamiento, escenario deportivo, campeón (trofeo y medallas) para equipo campeón. -Organización torneo tenis de mesa: juzgamiento, escenario deportivo, campeón (trofeo y medallas) para equipo campeón. - Organización torneo Atletismo: juzgamiento, escenario deportivo, campeón (trofeo y medallas) para equipo campeón. - Organización torneos juegos de mesa incluye: transporte y campeón centro recreacional un sol para todos, juzgamiento, escenario deportivo, campeón (trofeo y medallas) para equipo campeón - Organización torneo voleibol, Incluye: juzgamiento, escenario deportivo, </w:t>
      </w:r>
      <w:r w:rsidRPr="00E33DE3">
        <w:rPr>
          <w:rFonts w:ascii="Verdana" w:hAnsi="Verdana" w:cs="Arial"/>
          <w:i/>
          <w:sz w:val="22"/>
          <w:szCs w:val="22"/>
        </w:rPr>
        <w:lastRenderedPageBreak/>
        <w:t xml:space="preserve">campeón (trofeo y medallas) para equipo campeón - Organización torneo baloncesto, Incluye: juzgamiento, escenario Deportivo, campeón (trofeo y medallas) para equipo campeón. - Organización torneo voleibol, Incluye: juzgamiento, escenario deportivo, premiación (trofeo y medallas) para equipo campeón. </w:t>
      </w:r>
    </w:p>
    <w:p w14:paraId="38A5DF40" w14:textId="77777777" w:rsidR="00273288" w:rsidRPr="00E33DE3" w:rsidRDefault="00273288" w:rsidP="00C65B25">
      <w:pPr>
        <w:shd w:val="clear" w:color="auto" w:fill="FFFFFF"/>
        <w:ind w:left="567"/>
        <w:jc w:val="both"/>
        <w:rPr>
          <w:rFonts w:ascii="Verdana" w:hAnsi="Verdana" w:cs="Arial"/>
          <w:i/>
          <w:sz w:val="22"/>
          <w:szCs w:val="22"/>
        </w:rPr>
      </w:pPr>
    </w:p>
    <w:p w14:paraId="4E727D61" w14:textId="77777777" w:rsidR="00273288" w:rsidRPr="00E33DE3" w:rsidRDefault="00273288" w:rsidP="00C65B25">
      <w:pPr>
        <w:shd w:val="clear" w:color="auto" w:fill="FFFFFF"/>
        <w:ind w:left="567"/>
        <w:jc w:val="both"/>
        <w:rPr>
          <w:rFonts w:ascii="Verdana" w:hAnsi="Verdana" w:cs="Arial"/>
          <w:i/>
          <w:sz w:val="22"/>
          <w:szCs w:val="22"/>
        </w:rPr>
      </w:pPr>
      <w:r w:rsidRPr="00E33DE3">
        <w:rPr>
          <w:rFonts w:ascii="Verdana" w:hAnsi="Verdana" w:cs="Arial"/>
          <w:i/>
          <w:sz w:val="22"/>
          <w:szCs w:val="22"/>
        </w:rPr>
        <w:t xml:space="preserve">Evento 7 ENCUENTRO ARTÍSTICO Organización actividad cultural, incluye refrigerios, salón de eventos, maestro de ceremonia, sonido con capacidad de 8 micrófonos, 4 jurados, refrigerios para 60 participantes 1 </w:t>
      </w:r>
    </w:p>
    <w:p w14:paraId="1940D7FE" w14:textId="77777777" w:rsidR="00273288" w:rsidRPr="00E33DE3" w:rsidRDefault="00273288" w:rsidP="00C65B25">
      <w:pPr>
        <w:shd w:val="clear" w:color="auto" w:fill="FFFFFF"/>
        <w:ind w:left="567"/>
        <w:jc w:val="both"/>
        <w:rPr>
          <w:rFonts w:ascii="Verdana" w:hAnsi="Verdana" w:cs="Arial"/>
          <w:i/>
          <w:sz w:val="22"/>
          <w:szCs w:val="22"/>
        </w:rPr>
      </w:pPr>
    </w:p>
    <w:p w14:paraId="67AAF85F" w14:textId="77777777" w:rsidR="00273288" w:rsidRPr="00E33DE3" w:rsidRDefault="00273288" w:rsidP="00C65B25">
      <w:pPr>
        <w:shd w:val="clear" w:color="auto" w:fill="FFFFFF"/>
        <w:ind w:left="567"/>
        <w:jc w:val="both"/>
        <w:rPr>
          <w:rFonts w:ascii="Verdana" w:hAnsi="Verdana" w:cs="Arial"/>
          <w:i/>
          <w:sz w:val="22"/>
          <w:szCs w:val="22"/>
        </w:rPr>
      </w:pPr>
      <w:r w:rsidRPr="00E33DE3">
        <w:rPr>
          <w:rFonts w:ascii="Verdana" w:hAnsi="Verdana" w:cs="Arial"/>
          <w:i/>
          <w:sz w:val="22"/>
          <w:szCs w:val="22"/>
        </w:rPr>
        <w:t xml:space="preserve">Evento 8 PRELIMINARES CARNAVAL DE LA ALEGRÍA Se requiere el lugar que debe constar de un salón amplio con ayudas audiovisuales (video bean, micrófono, pantalla, sonido) para atender 200 personas, a quienes se les ofrecerá dos pasabocas, una copa de champaña para 150 adultos y 50 bebida sin alcohol (jugo o gaseosa) para estudiantes. Se debe entregar un premio para el estudiante ganador que es un computador portátil y 11 premios de consolación que son 11 tabletas 1 </w:t>
      </w:r>
    </w:p>
    <w:p w14:paraId="25075132" w14:textId="77777777" w:rsidR="00273288" w:rsidRPr="00E33DE3" w:rsidRDefault="00273288" w:rsidP="00C65B25">
      <w:pPr>
        <w:shd w:val="clear" w:color="auto" w:fill="FFFFFF"/>
        <w:ind w:left="567"/>
        <w:jc w:val="both"/>
        <w:rPr>
          <w:rFonts w:ascii="Verdana" w:hAnsi="Verdana" w:cs="Arial"/>
          <w:i/>
          <w:sz w:val="22"/>
          <w:szCs w:val="22"/>
        </w:rPr>
      </w:pPr>
    </w:p>
    <w:p w14:paraId="24C2A83C" w14:textId="77777777" w:rsidR="00273288" w:rsidRPr="00E33DE3" w:rsidRDefault="00273288" w:rsidP="00C65B25">
      <w:pPr>
        <w:shd w:val="clear" w:color="auto" w:fill="FFFFFF"/>
        <w:ind w:left="567"/>
        <w:jc w:val="both"/>
        <w:rPr>
          <w:rFonts w:ascii="Verdana" w:hAnsi="Verdana" w:cs="Arial"/>
          <w:i/>
          <w:sz w:val="22"/>
          <w:szCs w:val="22"/>
        </w:rPr>
      </w:pPr>
      <w:r w:rsidRPr="00E33DE3">
        <w:rPr>
          <w:rFonts w:ascii="Verdana" w:hAnsi="Verdana" w:cs="Arial"/>
          <w:i/>
          <w:sz w:val="22"/>
          <w:szCs w:val="22"/>
        </w:rPr>
        <w:t>Evento 9 DESFILE CARNAVAL DE LA ALEGRÍA ESTUDIANTIL Se requiere 300 afiches tamaño 1/4 de pliego de 50*35 full color una cara papel propalcote de 150 grs, pago del impuesto de Sayco, refrigerio especial para 2000 personas, hidratación para 2000 personas, clausura del evento en un salón amplio con ayudas audiovisuales (video bean, micrófono, pantalla, sonido) y atuendos para 45 personas 1</w:t>
      </w:r>
    </w:p>
    <w:p w14:paraId="5ABCBAB2" w14:textId="77777777" w:rsidR="00273288" w:rsidRPr="00E33DE3" w:rsidRDefault="00273288" w:rsidP="00C65B25">
      <w:pPr>
        <w:shd w:val="clear" w:color="auto" w:fill="FFFFFF"/>
        <w:ind w:left="567"/>
        <w:jc w:val="both"/>
        <w:rPr>
          <w:rFonts w:ascii="Verdana" w:hAnsi="Verdana" w:cs="Arial"/>
          <w:i/>
          <w:sz w:val="22"/>
          <w:szCs w:val="22"/>
        </w:rPr>
      </w:pPr>
    </w:p>
    <w:p w14:paraId="155321A6" w14:textId="77777777" w:rsidR="00273288" w:rsidRPr="00E33DE3" w:rsidRDefault="00273288" w:rsidP="00C65B25">
      <w:pPr>
        <w:shd w:val="clear" w:color="auto" w:fill="FFFFFF"/>
        <w:ind w:left="567"/>
        <w:jc w:val="both"/>
        <w:rPr>
          <w:rFonts w:ascii="Verdana" w:hAnsi="Verdana" w:cs="Arial"/>
          <w:i/>
          <w:sz w:val="22"/>
          <w:szCs w:val="22"/>
        </w:rPr>
      </w:pPr>
      <w:r w:rsidRPr="00E33DE3">
        <w:rPr>
          <w:rFonts w:ascii="Verdana" w:hAnsi="Verdana" w:cs="Arial"/>
          <w:i/>
          <w:sz w:val="22"/>
          <w:szCs w:val="22"/>
        </w:rPr>
        <w:t xml:space="preserve">Evento 10 ENCUENTRO MUNICIPAL CON PILOS Se requiere el lugar que debe constar de un salón con ayudas audiovisuales (video bean, micrófono, pantalla, sonido) para atender 50 personas, a quienes se les ofrecerá refrigerio especial 1 </w:t>
      </w:r>
    </w:p>
    <w:p w14:paraId="313E8EC2" w14:textId="77777777" w:rsidR="00273288" w:rsidRPr="00E33DE3" w:rsidRDefault="00273288" w:rsidP="00C65B25">
      <w:pPr>
        <w:shd w:val="clear" w:color="auto" w:fill="FFFFFF"/>
        <w:ind w:left="567"/>
        <w:jc w:val="both"/>
        <w:rPr>
          <w:rFonts w:ascii="Verdana" w:hAnsi="Verdana" w:cs="Arial"/>
          <w:i/>
          <w:sz w:val="22"/>
          <w:szCs w:val="22"/>
        </w:rPr>
      </w:pPr>
    </w:p>
    <w:p w14:paraId="47F77DD2" w14:textId="77777777" w:rsidR="00273288" w:rsidRPr="00E33DE3" w:rsidRDefault="00273288" w:rsidP="00C65B25">
      <w:pPr>
        <w:shd w:val="clear" w:color="auto" w:fill="FFFFFF"/>
        <w:ind w:left="567"/>
        <w:jc w:val="both"/>
        <w:rPr>
          <w:rFonts w:ascii="Verdana" w:hAnsi="Verdana" w:cs="Arial"/>
          <w:i/>
          <w:sz w:val="22"/>
          <w:szCs w:val="22"/>
        </w:rPr>
      </w:pPr>
      <w:r w:rsidRPr="00E33DE3">
        <w:rPr>
          <w:rFonts w:ascii="Verdana" w:hAnsi="Verdana" w:cs="Arial"/>
          <w:i/>
          <w:sz w:val="22"/>
          <w:szCs w:val="22"/>
        </w:rPr>
        <w:t xml:space="preserve">Evento 11 FERIA DEL LIBRO Se requiere desarrollar un evento denominado "Festiencuentro con la infancia" organizado por la Fundación Cultural Rayuela y suministrar refrigerios para 2000 participantes entre estudiantes y docentes 1 </w:t>
      </w:r>
    </w:p>
    <w:p w14:paraId="7CA2B6DB" w14:textId="77777777" w:rsidR="00273288" w:rsidRPr="00E33DE3" w:rsidRDefault="00273288" w:rsidP="00C65B25">
      <w:pPr>
        <w:shd w:val="clear" w:color="auto" w:fill="FFFFFF"/>
        <w:ind w:left="567"/>
        <w:jc w:val="both"/>
        <w:rPr>
          <w:rFonts w:ascii="Verdana" w:hAnsi="Verdana" w:cs="Arial"/>
          <w:i/>
          <w:sz w:val="22"/>
          <w:szCs w:val="22"/>
        </w:rPr>
      </w:pPr>
    </w:p>
    <w:p w14:paraId="094DDA09" w14:textId="77777777" w:rsidR="00273288" w:rsidRPr="00E33DE3" w:rsidRDefault="00273288" w:rsidP="00C65B25">
      <w:pPr>
        <w:shd w:val="clear" w:color="auto" w:fill="FFFFFF"/>
        <w:ind w:left="567"/>
        <w:jc w:val="both"/>
        <w:rPr>
          <w:rFonts w:ascii="Verdana" w:hAnsi="Verdana" w:cs="Arial"/>
          <w:i/>
          <w:sz w:val="22"/>
          <w:szCs w:val="22"/>
        </w:rPr>
      </w:pPr>
      <w:r w:rsidRPr="00E33DE3">
        <w:rPr>
          <w:rFonts w:ascii="Verdana" w:hAnsi="Verdana" w:cs="Arial"/>
          <w:i/>
          <w:sz w:val="22"/>
          <w:szCs w:val="22"/>
        </w:rPr>
        <w:t xml:space="preserve">Evento 12 ENCUENTRO MUNICIPAL CON MEDIADORES ESCOLARES Se requiere sonido aéreo, transporte para 350 personas, hidratación para 540 personas, 15 kit de materiales (cada uno con 1 banderín de 1,50 m x 1,50 m, 36 manillas de cinta, un diploma), 10 notas de estilo para instituciones acompañantes 1 </w:t>
      </w:r>
    </w:p>
    <w:p w14:paraId="0AB24318" w14:textId="77777777" w:rsidR="00273288" w:rsidRPr="00E33DE3" w:rsidRDefault="00273288" w:rsidP="00C65B25">
      <w:pPr>
        <w:shd w:val="clear" w:color="auto" w:fill="FFFFFF"/>
        <w:ind w:left="567"/>
        <w:jc w:val="both"/>
        <w:rPr>
          <w:rFonts w:ascii="Verdana" w:hAnsi="Verdana" w:cs="Arial"/>
          <w:i/>
          <w:sz w:val="22"/>
          <w:szCs w:val="22"/>
        </w:rPr>
      </w:pPr>
    </w:p>
    <w:p w14:paraId="73C4AF8E" w14:textId="77777777" w:rsidR="00273288" w:rsidRPr="00E33DE3" w:rsidRDefault="00273288" w:rsidP="00C65B25">
      <w:pPr>
        <w:shd w:val="clear" w:color="auto" w:fill="FFFFFF"/>
        <w:ind w:left="567"/>
        <w:jc w:val="both"/>
        <w:rPr>
          <w:rFonts w:ascii="Verdana" w:hAnsi="Verdana" w:cs="Arial"/>
          <w:i/>
          <w:sz w:val="22"/>
          <w:szCs w:val="22"/>
        </w:rPr>
      </w:pPr>
      <w:r w:rsidRPr="00E33DE3">
        <w:rPr>
          <w:rFonts w:ascii="Verdana" w:hAnsi="Verdana" w:cs="Arial"/>
          <w:i/>
          <w:sz w:val="22"/>
          <w:szCs w:val="22"/>
        </w:rPr>
        <w:t xml:space="preserve">Evento 13 ENCUENTRO DE LA MESA ESCUELA TERRITORIO Y PAZ Se requiere organizar 6 encuentros para los cuales se requiere el lugar que debe constar de un salón con ayudas audiovisuales (video bean, micrófono, </w:t>
      </w:r>
      <w:r w:rsidRPr="00E33DE3">
        <w:rPr>
          <w:rFonts w:ascii="Verdana" w:hAnsi="Verdana" w:cs="Arial"/>
          <w:i/>
          <w:sz w:val="22"/>
          <w:szCs w:val="22"/>
        </w:rPr>
        <w:lastRenderedPageBreak/>
        <w:t xml:space="preserve">pantalla, sonido) para atender 25 personas, a quienes se les ofrecerá refrigerio 6 </w:t>
      </w:r>
    </w:p>
    <w:p w14:paraId="5B8FD17F" w14:textId="77777777" w:rsidR="00273288" w:rsidRPr="00E33DE3" w:rsidRDefault="00273288" w:rsidP="00C65B25">
      <w:pPr>
        <w:ind w:left="567"/>
        <w:jc w:val="both"/>
        <w:rPr>
          <w:rFonts w:ascii="Verdana" w:hAnsi="Verdana" w:cs="Arial"/>
          <w:i/>
          <w:sz w:val="22"/>
          <w:szCs w:val="22"/>
        </w:rPr>
      </w:pPr>
    </w:p>
    <w:p w14:paraId="3764D92B" w14:textId="77777777" w:rsidR="00273288" w:rsidRPr="00E33DE3" w:rsidRDefault="00273288" w:rsidP="00C65B25">
      <w:pPr>
        <w:ind w:left="567"/>
        <w:jc w:val="both"/>
        <w:rPr>
          <w:rFonts w:ascii="Verdana" w:hAnsi="Verdana" w:cs="Arial"/>
          <w:i/>
          <w:sz w:val="22"/>
          <w:szCs w:val="22"/>
        </w:rPr>
      </w:pPr>
      <w:r w:rsidRPr="00E33DE3">
        <w:rPr>
          <w:rFonts w:ascii="Verdana" w:hAnsi="Verdana" w:cs="Arial"/>
          <w:i/>
          <w:sz w:val="22"/>
          <w:szCs w:val="22"/>
        </w:rPr>
        <w:t xml:space="preserve">Evento 27 FESTIVAL INTERNACIONAL DE ORQUESTAS SINFÓNICAS GUARANDA ECUADOR 2018 Facilitar en el evento: - Alimentación tipo buffet que incluya desayuno, almuerzo y cena según menú. Características: Entrada caliente (sopa), plato fuerte (1 carne roja o blanca), porción de arroz, ensalada, papa, jugo de fruta y postre durante 7 días para 30 personas en Guaranda - Ecuador 1 </w:t>
      </w:r>
    </w:p>
    <w:p w14:paraId="32EC0CE8" w14:textId="77777777" w:rsidR="00273288" w:rsidRPr="00E33DE3" w:rsidRDefault="00273288" w:rsidP="00C65B25">
      <w:pPr>
        <w:ind w:left="567"/>
        <w:jc w:val="both"/>
        <w:rPr>
          <w:rFonts w:ascii="Verdana" w:hAnsi="Verdana" w:cs="Arial"/>
          <w:i/>
          <w:sz w:val="22"/>
          <w:szCs w:val="22"/>
        </w:rPr>
      </w:pPr>
    </w:p>
    <w:p w14:paraId="24B7E24C" w14:textId="77777777" w:rsidR="00273288" w:rsidRPr="00E33DE3" w:rsidRDefault="00273288" w:rsidP="00C65B25">
      <w:pPr>
        <w:ind w:left="567"/>
        <w:jc w:val="both"/>
        <w:rPr>
          <w:rFonts w:ascii="Verdana" w:hAnsi="Verdana" w:cs="Arial"/>
          <w:i/>
          <w:sz w:val="22"/>
          <w:szCs w:val="22"/>
        </w:rPr>
      </w:pPr>
      <w:r w:rsidRPr="00E33DE3">
        <w:rPr>
          <w:rFonts w:ascii="Verdana" w:hAnsi="Verdana" w:cs="Arial"/>
          <w:i/>
          <w:sz w:val="22"/>
          <w:szCs w:val="22"/>
        </w:rPr>
        <w:t xml:space="preserve">Evento 28 FESTIVAL INTERNACIONAL DE MÚSICA REFM Facilitar en el evento: - Alojamiento en hotel 3 estrellas para 30 personas en hotel del sector céntrico de la ciudad de Pasto durante 7 días. 1 </w:t>
      </w:r>
    </w:p>
    <w:p w14:paraId="3D71320F" w14:textId="77777777" w:rsidR="00273288" w:rsidRPr="00E33DE3" w:rsidRDefault="00273288" w:rsidP="00C65B25">
      <w:pPr>
        <w:ind w:left="567"/>
        <w:jc w:val="both"/>
        <w:rPr>
          <w:rFonts w:ascii="Verdana" w:hAnsi="Verdana" w:cs="Arial"/>
          <w:i/>
          <w:sz w:val="22"/>
          <w:szCs w:val="22"/>
        </w:rPr>
      </w:pPr>
    </w:p>
    <w:p w14:paraId="3A9A48FC" w14:textId="77777777" w:rsidR="00273288" w:rsidRPr="00E33DE3" w:rsidRDefault="00273288" w:rsidP="00C65B25">
      <w:pPr>
        <w:ind w:left="567"/>
        <w:jc w:val="both"/>
        <w:rPr>
          <w:rFonts w:ascii="Verdana" w:hAnsi="Verdana" w:cs="Arial"/>
          <w:i/>
          <w:sz w:val="22"/>
          <w:szCs w:val="22"/>
        </w:rPr>
      </w:pPr>
      <w:r w:rsidRPr="00E33DE3">
        <w:rPr>
          <w:rFonts w:ascii="Verdana" w:hAnsi="Verdana" w:cs="Arial"/>
          <w:i/>
          <w:sz w:val="22"/>
          <w:szCs w:val="22"/>
        </w:rPr>
        <w:t>Evento 29 TALLER DE CUERDAS Facilitar en el evento para 5 personas: - Habitación tipo superior en hotel 4 estrellas, incluye T.V Satelital, Full HD,</w:t>
      </w:r>
      <w:r w:rsidR="00CF7C7D" w:rsidRPr="00E33DE3">
        <w:rPr>
          <w:rFonts w:ascii="Verdana" w:hAnsi="Verdana" w:cs="Arial"/>
          <w:i/>
          <w:sz w:val="22"/>
          <w:szCs w:val="22"/>
        </w:rPr>
        <w:t xml:space="preserve"> </w:t>
      </w:r>
      <w:r w:rsidRPr="00E33DE3">
        <w:rPr>
          <w:rFonts w:ascii="Verdana" w:hAnsi="Verdana" w:cs="Arial"/>
          <w:i/>
          <w:sz w:val="22"/>
          <w:szCs w:val="22"/>
        </w:rPr>
        <w:t>WIFI zona húmeda , gimnasio, spa, baño turco, sauna, parqueadero con desayuno americano incluido durante 5 noches y 5 días - Alimentación tipo buffet que incluya almuerzo y cena según menú. Características: Entrada caliente (sopa), plato fuerte (1 carne roja o blanca), porción de arroz, ensalada, papa, jugo de fruta y postre durante 5 días”</w:t>
      </w:r>
      <w:r w:rsidR="00CF7C7D" w:rsidRPr="00E33DE3">
        <w:rPr>
          <w:rFonts w:ascii="Verdana" w:hAnsi="Verdana" w:cs="Arial"/>
          <w:i/>
          <w:sz w:val="22"/>
          <w:szCs w:val="22"/>
        </w:rPr>
        <w:t>.</w:t>
      </w:r>
    </w:p>
    <w:p w14:paraId="4BEEB5BA" w14:textId="77777777" w:rsidR="00273288" w:rsidRPr="00E33DE3" w:rsidRDefault="00273288" w:rsidP="00C65B25">
      <w:pPr>
        <w:jc w:val="both"/>
        <w:rPr>
          <w:rFonts w:ascii="Verdana" w:hAnsi="Verdana" w:cs="Arial"/>
          <w:sz w:val="22"/>
          <w:szCs w:val="22"/>
        </w:rPr>
      </w:pPr>
    </w:p>
    <w:p w14:paraId="1FBE73AB"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Posteriormente, para la vigencia 2019 el Municipio celebró los contratos No</w:t>
      </w:r>
      <w:r w:rsidRPr="00E33DE3">
        <w:rPr>
          <w:rFonts w:ascii="Verdana" w:hAnsi="Verdana" w:cs="Arial"/>
          <w:color w:val="FF0000"/>
          <w:sz w:val="22"/>
          <w:szCs w:val="22"/>
        </w:rPr>
        <w:t xml:space="preserve">. </w:t>
      </w:r>
      <w:r w:rsidRPr="00E33DE3">
        <w:rPr>
          <w:rFonts w:ascii="Verdana" w:hAnsi="Verdana" w:cs="Arial"/>
          <w:sz w:val="22"/>
          <w:szCs w:val="22"/>
        </w:rPr>
        <w:t xml:space="preserve">20191602 y 20193054, ambos con el objeto de: </w:t>
      </w:r>
      <w:r w:rsidRPr="00E33DE3">
        <w:rPr>
          <w:rFonts w:ascii="Verdana" w:hAnsi="Verdana" w:cs="Arial"/>
          <w:i/>
          <w:iCs/>
          <w:sz w:val="22"/>
          <w:szCs w:val="22"/>
        </w:rPr>
        <w:t xml:space="preserve">“El CONTRATISTA se compromete para con el MUNICIPIO a prestar el servicio de operación de recursos, organización, apoyo logístico y asistencial para la realización de eventos, conciertos y actividades, programados por la secretaría de Educación – Red de Escuelas de Formación Musical, en el marco del cumplimiento de los objetivos del plan de desarrollo del municipio, “Pasto Educado Constructor de Paz””; </w:t>
      </w:r>
      <w:r w:rsidRPr="00E33DE3">
        <w:rPr>
          <w:rFonts w:ascii="Verdana" w:hAnsi="Verdana" w:cs="Arial"/>
          <w:sz w:val="22"/>
          <w:szCs w:val="22"/>
        </w:rPr>
        <w:t xml:space="preserve">el primero suscrito con Christian Dalid Muñoz Rivera por un valor de $67 millones y el segundo con Paola Andrea Betancourth Benavides por un valor de $33 millones. </w:t>
      </w:r>
    </w:p>
    <w:p w14:paraId="68682B74" w14:textId="77777777" w:rsidR="00273288" w:rsidRPr="00E33DE3" w:rsidRDefault="00273288" w:rsidP="00C65B25">
      <w:pPr>
        <w:jc w:val="both"/>
        <w:rPr>
          <w:rFonts w:ascii="Verdana" w:hAnsi="Verdana" w:cs="Arial"/>
          <w:sz w:val="22"/>
          <w:szCs w:val="22"/>
        </w:rPr>
      </w:pPr>
    </w:p>
    <w:p w14:paraId="7F57F427"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Adicionalmente, en la misma vigencia se contrató con la minuta No. 20192990 el siguiente objeto: “</w:t>
      </w:r>
      <w:r w:rsidRPr="00E33DE3">
        <w:rPr>
          <w:rFonts w:ascii="Verdana" w:hAnsi="Verdana" w:cs="Arial"/>
          <w:i/>
          <w:iCs/>
          <w:sz w:val="22"/>
          <w:szCs w:val="22"/>
        </w:rPr>
        <w:t>'El CONTRATISTA se compromete para con el MUNICIPIO a prestar el servicio de administración de los recursos, organización, apoyo logístico y asistencial para la realización de los eventos, reconocimiento del día del Directivo Docente y el Encuentro Folclórico y Cultural fase Municipal para la selección de los Docentes artistas para representación en las modalidades de Danza y Música para el Encuentro Nacional Folclórico y Cultural Docente”</w:t>
      </w:r>
      <w:r w:rsidRPr="00E33DE3">
        <w:rPr>
          <w:rFonts w:ascii="Verdana" w:hAnsi="Verdana" w:cs="Arial"/>
          <w:sz w:val="22"/>
          <w:szCs w:val="22"/>
        </w:rPr>
        <w:t xml:space="preserve">. El contrato se celebró con Proyecciones Dalid SAS, por un valor de $13 millones. </w:t>
      </w:r>
    </w:p>
    <w:p w14:paraId="6C3E7566" w14:textId="77777777" w:rsidR="00273288" w:rsidRPr="00E33DE3" w:rsidRDefault="00273288" w:rsidP="00C65B25">
      <w:pPr>
        <w:jc w:val="both"/>
        <w:rPr>
          <w:rFonts w:ascii="Verdana" w:hAnsi="Verdana" w:cs="Arial"/>
          <w:sz w:val="22"/>
          <w:szCs w:val="22"/>
        </w:rPr>
      </w:pPr>
    </w:p>
    <w:p w14:paraId="332AC65D"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Al respecto, La Constitución Política de Colombia en su artículo 355 establece que: “</w:t>
      </w:r>
      <w:r w:rsidRPr="00E33DE3">
        <w:rPr>
          <w:rFonts w:ascii="Verdana" w:hAnsi="Verdana" w:cs="Arial"/>
          <w:i/>
          <w:iCs/>
          <w:sz w:val="22"/>
          <w:szCs w:val="22"/>
        </w:rPr>
        <w:t>Ninguna de las ramas u órganos del poder público podrá decretar auxilios o donaciones en favor de personas naturales o jurídicas de derecho privado”</w:t>
      </w:r>
      <w:r w:rsidRPr="00E33DE3">
        <w:rPr>
          <w:rFonts w:ascii="Verdana" w:hAnsi="Verdana" w:cs="Arial"/>
          <w:sz w:val="22"/>
          <w:szCs w:val="22"/>
        </w:rPr>
        <w:t xml:space="preserve">. </w:t>
      </w:r>
      <w:r w:rsidRPr="00E33DE3">
        <w:rPr>
          <w:rFonts w:ascii="Verdana" w:hAnsi="Verdana" w:cs="Arial"/>
          <w:sz w:val="22"/>
          <w:szCs w:val="22"/>
        </w:rPr>
        <w:lastRenderedPageBreak/>
        <w:t>Frente a lo anterior, la Corte Constitucional se pronunció a través de Sentencia C-324 de 2009, Magistrado Ponente Juan Carlos Henao Pérez, expediente D-7442, en la siguiente forma:</w:t>
      </w:r>
    </w:p>
    <w:p w14:paraId="0B089E74" w14:textId="77777777" w:rsidR="00273288" w:rsidRPr="00E33DE3" w:rsidRDefault="00273288" w:rsidP="00C65B25">
      <w:pPr>
        <w:jc w:val="both"/>
        <w:rPr>
          <w:rFonts w:ascii="Verdana" w:hAnsi="Verdana" w:cs="Arial"/>
          <w:sz w:val="22"/>
          <w:szCs w:val="22"/>
        </w:rPr>
      </w:pPr>
    </w:p>
    <w:p w14:paraId="64B37240" w14:textId="77777777" w:rsidR="00273288" w:rsidRPr="00E33DE3" w:rsidRDefault="00273288" w:rsidP="00C65B25">
      <w:pPr>
        <w:ind w:left="567" w:right="49"/>
        <w:jc w:val="both"/>
        <w:rPr>
          <w:rFonts w:ascii="Verdana" w:hAnsi="Verdana" w:cs="Arial"/>
          <w:i/>
          <w:iCs/>
          <w:sz w:val="22"/>
          <w:szCs w:val="22"/>
        </w:rPr>
      </w:pPr>
      <w:r w:rsidRPr="00E33DE3">
        <w:rPr>
          <w:rFonts w:ascii="Verdana" w:hAnsi="Verdana" w:cs="Arial"/>
          <w:i/>
          <w:iCs/>
          <w:sz w:val="22"/>
          <w:szCs w:val="22"/>
        </w:rPr>
        <w:t>“Pues bien, la prohibición consagrada en el inciso primero del artículo 355 de la Carta se activará cuando la donación, auxilio, subsidio o incentivo, cualquiera que sea su origen, se reconozca por mera liberalidad como una simple transferencia de recursos y, no con criterio redistributivo, de manera que se convierta en un privilegio aislado, empaquetado en medidas paliativas que no contribuyan al bienestar general y, que en cambio, si puedan ser usados como instrumentos de manipulación política”.</w:t>
      </w:r>
    </w:p>
    <w:p w14:paraId="5332DE3C" w14:textId="77777777" w:rsidR="00273288" w:rsidRPr="00E33DE3" w:rsidRDefault="00273288" w:rsidP="00C65B25">
      <w:pPr>
        <w:jc w:val="both"/>
        <w:rPr>
          <w:rFonts w:ascii="Verdana" w:hAnsi="Verdana" w:cs="Arial"/>
          <w:sz w:val="22"/>
          <w:szCs w:val="22"/>
        </w:rPr>
      </w:pPr>
    </w:p>
    <w:p w14:paraId="61848D98"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xml:space="preserve">Asimismo, el artículo 6 del Decreto 2209 de 1998 que modificó el artículo 12 del Decreto 1737 de 1998, menciona la siguiente prohibición: </w:t>
      </w:r>
    </w:p>
    <w:p w14:paraId="3538EC57"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xml:space="preserve"> </w:t>
      </w:r>
    </w:p>
    <w:p w14:paraId="63CFA390" w14:textId="77777777" w:rsidR="00273288" w:rsidRPr="00E33DE3" w:rsidRDefault="00273288" w:rsidP="00C65B25">
      <w:pPr>
        <w:ind w:left="567" w:right="49"/>
        <w:jc w:val="both"/>
        <w:rPr>
          <w:rFonts w:ascii="Verdana" w:hAnsi="Verdana" w:cs="Arial"/>
          <w:i/>
          <w:iCs/>
          <w:sz w:val="22"/>
          <w:szCs w:val="22"/>
        </w:rPr>
      </w:pPr>
      <w:r w:rsidRPr="00E33DE3">
        <w:rPr>
          <w:rFonts w:ascii="Verdana" w:hAnsi="Verdana" w:cs="Arial"/>
          <w:i/>
          <w:iCs/>
          <w:sz w:val="22"/>
          <w:szCs w:val="22"/>
        </w:rPr>
        <w:t xml:space="preserve">“Artículo 7°. </w:t>
      </w:r>
      <w:r w:rsidRPr="00E33DE3">
        <w:rPr>
          <w:rFonts w:ascii="Verdana" w:hAnsi="Verdana" w:cs="Arial"/>
          <w:b/>
          <w:bCs/>
          <w:i/>
          <w:iCs/>
          <w:sz w:val="22"/>
          <w:szCs w:val="22"/>
        </w:rPr>
        <w:t>Prohíbase ordenar, autorizar o efectuar fiestas, agasajos, celebraciones u conmemoraciones u otorgar regalos con cargo al Tesoro Público</w:t>
      </w:r>
      <w:r w:rsidRPr="00E33DE3">
        <w:rPr>
          <w:rFonts w:ascii="Verdana" w:hAnsi="Verdana" w:cs="Arial"/>
          <w:i/>
          <w:iCs/>
          <w:sz w:val="22"/>
          <w:szCs w:val="22"/>
        </w:rPr>
        <w:t xml:space="preserve">, salvo en las actividades de bienestar social relacionadas con la celebración de Navidad de los hijos de los funcionarios”. </w:t>
      </w:r>
      <w:r w:rsidRPr="00E33DE3">
        <w:rPr>
          <w:rFonts w:ascii="Verdana" w:hAnsi="Verdana" w:cs="Arial"/>
          <w:sz w:val="22"/>
          <w:szCs w:val="22"/>
        </w:rPr>
        <w:t>(Énfasis fuera del texto).</w:t>
      </w:r>
    </w:p>
    <w:p w14:paraId="2FC2C2F9" w14:textId="77777777" w:rsidR="00273288" w:rsidRPr="00E33DE3" w:rsidRDefault="00273288" w:rsidP="00C65B25">
      <w:pPr>
        <w:jc w:val="both"/>
        <w:rPr>
          <w:rFonts w:ascii="Verdana" w:hAnsi="Verdana" w:cs="Arial"/>
          <w:sz w:val="22"/>
          <w:szCs w:val="22"/>
        </w:rPr>
      </w:pPr>
    </w:p>
    <w:p w14:paraId="5DBEA75E"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Por lo tanto, a la luz de las normas invocadas y en concordancia con el artículo 355 de la Constitución Política, no se pueden financiar ningún tipo de celebraciones, ni otorgar regalos con cargo a los recursos públicos, así sean aquellos correspondientes al 42% de la Participación de Propósito General o los recursos propios del Municipio.</w:t>
      </w:r>
    </w:p>
    <w:p w14:paraId="7627A3FA" w14:textId="77777777" w:rsidR="00273288" w:rsidRPr="00E33DE3" w:rsidRDefault="00273288" w:rsidP="00C65B25">
      <w:pPr>
        <w:jc w:val="both"/>
        <w:rPr>
          <w:rFonts w:ascii="Verdana" w:hAnsi="Verdana" w:cs="Arial"/>
          <w:sz w:val="22"/>
          <w:szCs w:val="22"/>
        </w:rPr>
      </w:pPr>
    </w:p>
    <w:p w14:paraId="69CA9E10" w14:textId="77777777" w:rsidR="00273288" w:rsidRPr="00E33DE3" w:rsidRDefault="00273288" w:rsidP="00C65B25">
      <w:pPr>
        <w:widowControl w:val="0"/>
        <w:ind w:right="49"/>
        <w:jc w:val="both"/>
        <w:rPr>
          <w:rFonts w:ascii="Verdana" w:hAnsi="Verdana" w:cs="Arial"/>
          <w:sz w:val="22"/>
          <w:szCs w:val="22"/>
        </w:rPr>
      </w:pPr>
      <w:r w:rsidRPr="00E33DE3">
        <w:rPr>
          <w:rFonts w:ascii="Verdana" w:hAnsi="Verdana" w:cs="Arial"/>
          <w:sz w:val="22"/>
          <w:szCs w:val="22"/>
        </w:rPr>
        <w:t>Por otra parte, si bien el artículo 18 del Decreto 1567 de 1998</w:t>
      </w:r>
      <w:r w:rsidRPr="00E33DE3">
        <w:rPr>
          <w:rStyle w:val="Refdenotaalpie"/>
          <w:rFonts w:ascii="Verdana" w:hAnsi="Verdana" w:cs="Arial"/>
          <w:sz w:val="22"/>
          <w:szCs w:val="22"/>
        </w:rPr>
        <w:footnoteReference w:id="1"/>
      </w:r>
      <w:r w:rsidRPr="00E33DE3">
        <w:rPr>
          <w:rFonts w:ascii="Verdana" w:hAnsi="Verdana" w:cs="Arial"/>
          <w:sz w:val="22"/>
          <w:szCs w:val="22"/>
        </w:rPr>
        <w:t xml:space="preserve"> establece que las entidades públicas deberán adoptar programas de bienestar social y programas de incentivos para el funcionamiento del sistema de estímulos de los empleados púbicos, el artículo 13 del mismo Decreto especifica que dicho sistema consiste en </w:t>
      </w:r>
      <w:r w:rsidRPr="00E33DE3">
        <w:rPr>
          <w:rFonts w:ascii="Verdana" w:hAnsi="Verdana" w:cs="Arial"/>
          <w:i/>
          <w:sz w:val="22"/>
          <w:szCs w:val="22"/>
        </w:rPr>
        <w:t>“(…) el conjunto interrelacionado y coherente de políticas, planes, entidades, disposiciones legales y programas de bienestar e incentivos que interactúan con el propósito de elevar los niveles de eficiencia, satisfacción, desarrollo y bienestar de los empleados del Estado en el desempeño de su labor y de contribuir al cumplimiento efectivo de los resultados institucionales”</w:t>
      </w:r>
      <w:r w:rsidRPr="00E33DE3">
        <w:rPr>
          <w:rFonts w:ascii="Verdana" w:hAnsi="Verdana" w:cs="Arial"/>
          <w:sz w:val="22"/>
          <w:szCs w:val="22"/>
        </w:rPr>
        <w:t>, los cuales se implementarán contemplando los lineamientos que para ello prevé el artículo 20 de dicho cuerpo normativo</w:t>
      </w:r>
      <w:r w:rsidRPr="00E33DE3">
        <w:rPr>
          <w:rStyle w:val="Refdenotaalpie"/>
          <w:rFonts w:ascii="Verdana" w:hAnsi="Verdana" w:cs="Arial"/>
          <w:sz w:val="22"/>
          <w:szCs w:val="22"/>
        </w:rPr>
        <w:footnoteReference w:id="2"/>
      </w:r>
      <w:r w:rsidRPr="00E33DE3">
        <w:rPr>
          <w:rFonts w:ascii="Verdana" w:hAnsi="Verdana" w:cs="Arial"/>
          <w:sz w:val="22"/>
          <w:szCs w:val="22"/>
        </w:rPr>
        <w:t xml:space="preserve">. </w:t>
      </w:r>
    </w:p>
    <w:p w14:paraId="1D1EA98D" w14:textId="77777777" w:rsidR="00273288" w:rsidRPr="00E33DE3" w:rsidRDefault="00273288" w:rsidP="00C65B25">
      <w:pPr>
        <w:widowControl w:val="0"/>
        <w:ind w:right="49"/>
        <w:jc w:val="both"/>
        <w:rPr>
          <w:rFonts w:ascii="Verdana" w:hAnsi="Verdana" w:cs="Arial"/>
          <w:sz w:val="22"/>
          <w:szCs w:val="22"/>
        </w:rPr>
      </w:pPr>
    </w:p>
    <w:p w14:paraId="3C5B429E" w14:textId="77777777" w:rsidR="00273288" w:rsidRPr="00E33DE3" w:rsidRDefault="00273288" w:rsidP="00C65B25">
      <w:pPr>
        <w:ind w:right="49"/>
        <w:jc w:val="both"/>
        <w:rPr>
          <w:rFonts w:ascii="Verdana" w:hAnsi="Verdana" w:cs="Arial"/>
          <w:sz w:val="22"/>
          <w:szCs w:val="22"/>
          <w:shd w:val="clear" w:color="auto" w:fill="FFFFFF"/>
          <w:lang w:val="es-CO" w:eastAsia="en-US"/>
        </w:rPr>
      </w:pPr>
      <w:r w:rsidRPr="00E33DE3">
        <w:rPr>
          <w:rFonts w:ascii="Verdana" w:hAnsi="Verdana" w:cs="Arial"/>
          <w:sz w:val="22"/>
          <w:szCs w:val="22"/>
        </w:rPr>
        <w:lastRenderedPageBreak/>
        <w:t xml:space="preserve">Así, </w:t>
      </w:r>
      <w:r w:rsidRPr="00E33DE3">
        <w:rPr>
          <w:rFonts w:ascii="Verdana" w:hAnsi="Verdana" w:cs="Arial"/>
          <w:sz w:val="22"/>
          <w:szCs w:val="22"/>
          <w:shd w:val="clear" w:color="auto" w:fill="FFFFFF"/>
        </w:rPr>
        <w:t>es menester indicar que dentro de la asignación que se realiza por los gastos inherentes a la nómina docente, en el cálculo se incluye el monto correspondiente a seguridad social y parafiscales de los docentes, en este último rubro se incluye el valor correspondiente a los aportes a las Cajas de Compensación Familiar, que según el artículo 29 del Decreto 784 de 1989 tienen como función los servicios de recreación social y bienestar laboral, en los siguientes términos:</w:t>
      </w:r>
    </w:p>
    <w:p w14:paraId="14176A50" w14:textId="77777777" w:rsidR="00273288" w:rsidRPr="00E33DE3" w:rsidRDefault="00273288" w:rsidP="00C65B25">
      <w:pPr>
        <w:jc w:val="both"/>
        <w:rPr>
          <w:rFonts w:ascii="Verdana" w:hAnsi="Verdana" w:cs="Arial"/>
          <w:sz w:val="22"/>
          <w:szCs w:val="22"/>
          <w:shd w:val="clear" w:color="auto" w:fill="FFFFFF"/>
        </w:rPr>
      </w:pPr>
    </w:p>
    <w:p w14:paraId="61563A67" w14:textId="77777777" w:rsidR="00273288" w:rsidRPr="00E33DE3" w:rsidRDefault="00273288" w:rsidP="00C65B25">
      <w:pPr>
        <w:ind w:left="567" w:right="49"/>
        <w:jc w:val="both"/>
        <w:rPr>
          <w:rFonts w:ascii="Verdana" w:hAnsi="Verdana" w:cs="Arial"/>
          <w:i/>
          <w:iCs/>
          <w:sz w:val="22"/>
          <w:szCs w:val="22"/>
          <w:shd w:val="clear" w:color="auto" w:fill="FFFFFF"/>
        </w:rPr>
      </w:pPr>
      <w:r w:rsidRPr="00E33DE3">
        <w:rPr>
          <w:rFonts w:ascii="Verdana" w:hAnsi="Verdana" w:cs="Arial"/>
          <w:i/>
          <w:iCs/>
          <w:sz w:val="22"/>
          <w:szCs w:val="22"/>
          <w:shd w:val="clear" w:color="auto" w:fill="FFFFFF"/>
        </w:rPr>
        <w:t xml:space="preserve">“Artículo 29.- Los servicios de recreación social. Los servicios de recreación social que adelanten las cajas de compensación </w:t>
      </w:r>
      <w:r w:rsidR="00CF7C7D" w:rsidRPr="00E33DE3">
        <w:rPr>
          <w:rFonts w:ascii="Verdana" w:hAnsi="Verdana" w:cs="Arial"/>
          <w:i/>
          <w:iCs/>
          <w:sz w:val="22"/>
          <w:szCs w:val="22"/>
          <w:shd w:val="clear" w:color="auto" w:fill="FFFFFF"/>
        </w:rPr>
        <w:t>familiar</w:t>
      </w:r>
      <w:r w:rsidRPr="00E33DE3">
        <w:rPr>
          <w:rFonts w:ascii="Verdana" w:hAnsi="Verdana" w:cs="Arial"/>
          <w:i/>
          <w:iCs/>
          <w:sz w:val="22"/>
          <w:szCs w:val="22"/>
          <w:shd w:val="clear" w:color="auto" w:fill="FFFFFF"/>
        </w:rPr>
        <w:t xml:space="preserve"> estarán orientados por las siguientes finalidades principales:</w:t>
      </w:r>
    </w:p>
    <w:p w14:paraId="440B7C3A" w14:textId="77777777" w:rsidR="00273288" w:rsidRPr="00E33DE3" w:rsidRDefault="00273288" w:rsidP="00C65B25">
      <w:pPr>
        <w:ind w:left="567" w:right="49"/>
        <w:jc w:val="both"/>
        <w:rPr>
          <w:rFonts w:ascii="Verdana" w:hAnsi="Verdana" w:cs="Arial"/>
          <w:i/>
          <w:iCs/>
          <w:sz w:val="22"/>
          <w:szCs w:val="22"/>
          <w:shd w:val="clear" w:color="auto" w:fill="FFFFFF"/>
        </w:rPr>
      </w:pPr>
    </w:p>
    <w:p w14:paraId="07A98BC0" w14:textId="77777777" w:rsidR="00273288" w:rsidRPr="00E33DE3" w:rsidRDefault="00273288" w:rsidP="00C65B25">
      <w:pPr>
        <w:ind w:left="567" w:right="49"/>
        <w:jc w:val="both"/>
        <w:rPr>
          <w:rFonts w:ascii="Verdana" w:hAnsi="Verdana" w:cs="Arial"/>
          <w:i/>
          <w:iCs/>
          <w:sz w:val="22"/>
          <w:szCs w:val="22"/>
          <w:shd w:val="clear" w:color="auto" w:fill="FFFFFF"/>
        </w:rPr>
      </w:pPr>
      <w:r w:rsidRPr="00E33DE3">
        <w:rPr>
          <w:rFonts w:ascii="Verdana" w:hAnsi="Verdana" w:cs="Arial"/>
          <w:i/>
          <w:iCs/>
          <w:sz w:val="22"/>
          <w:szCs w:val="22"/>
          <w:shd w:val="clear" w:color="auto" w:fill="FFFFFF"/>
        </w:rPr>
        <w:t>1. Prestar servicios de recreación y turismo social.</w:t>
      </w:r>
    </w:p>
    <w:p w14:paraId="0E62ED97" w14:textId="77777777" w:rsidR="00273288" w:rsidRPr="00E33DE3" w:rsidRDefault="00273288" w:rsidP="00C65B25">
      <w:pPr>
        <w:ind w:left="567" w:right="49"/>
        <w:jc w:val="both"/>
        <w:rPr>
          <w:rFonts w:ascii="Verdana" w:hAnsi="Verdana" w:cs="Arial"/>
          <w:i/>
          <w:iCs/>
          <w:sz w:val="22"/>
          <w:szCs w:val="22"/>
          <w:shd w:val="clear" w:color="auto" w:fill="FFFFFF"/>
        </w:rPr>
      </w:pPr>
      <w:r w:rsidRPr="00E33DE3">
        <w:rPr>
          <w:rFonts w:ascii="Verdana" w:hAnsi="Verdana" w:cs="Arial"/>
          <w:i/>
          <w:iCs/>
          <w:sz w:val="22"/>
          <w:szCs w:val="22"/>
          <w:shd w:val="clear" w:color="auto" w:fill="FFFFFF"/>
        </w:rPr>
        <w:t>2. Facilitar el descanso o el esparcimiento de los trabajadores afiliados, de manera que se repongan de la fatiga o el cansancio resultante de la actividad laboral.</w:t>
      </w:r>
    </w:p>
    <w:p w14:paraId="04416D1C" w14:textId="77777777" w:rsidR="00273288" w:rsidRPr="00E33DE3" w:rsidRDefault="00273288" w:rsidP="00C65B25">
      <w:pPr>
        <w:ind w:left="567" w:right="49"/>
        <w:jc w:val="both"/>
        <w:rPr>
          <w:rFonts w:ascii="Verdana" w:hAnsi="Verdana" w:cs="Arial"/>
          <w:i/>
          <w:iCs/>
          <w:sz w:val="22"/>
          <w:szCs w:val="22"/>
          <w:shd w:val="clear" w:color="auto" w:fill="FFFFFF"/>
        </w:rPr>
      </w:pPr>
      <w:r w:rsidRPr="00E33DE3">
        <w:rPr>
          <w:rFonts w:ascii="Verdana" w:hAnsi="Verdana" w:cs="Arial"/>
          <w:i/>
          <w:iCs/>
          <w:sz w:val="22"/>
          <w:szCs w:val="22"/>
          <w:shd w:val="clear" w:color="auto" w:fill="FFFFFF"/>
        </w:rPr>
        <w:t>3. Inducir a los trabajadores y sus familias a la práctica del deporte y la sana utilización del tiempo libre.</w:t>
      </w:r>
    </w:p>
    <w:p w14:paraId="5D0387F0" w14:textId="77777777" w:rsidR="00273288" w:rsidRPr="00E33DE3" w:rsidRDefault="00273288" w:rsidP="00C65B25">
      <w:pPr>
        <w:ind w:left="567" w:right="49"/>
        <w:jc w:val="both"/>
        <w:rPr>
          <w:rFonts w:ascii="Verdana" w:hAnsi="Verdana" w:cs="Arial"/>
          <w:b/>
          <w:bCs/>
          <w:i/>
          <w:iCs/>
          <w:sz w:val="22"/>
          <w:szCs w:val="22"/>
          <w:u w:val="single"/>
          <w:shd w:val="clear" w:color="auto" w:fill="FFFFFF"/>
        </w:rPr>
      </w:pPr>
      <w:r w:rsidRPr="00E33DE3">
        <w:rPr>
          <w:rFonts w:ascii="Verdana" w:hAnsi="Verdana" w:cs="Arial"/>
          <w:i/>
          <w:iCs/>
          <w:sz w:val="22"/>
          <w:szCs w:val="22"/>
          <w:shd w:val="clear" w:color="auto" w:fill="FFFFFF"/>
        </w:rPr>
        <w:t xml:space="preserve">4. </w:t>
      </w:r>
      <w:r w:rsidRPr="00E33DE3">
        <w:rPr>
          <w:rFonts w:ascii="Verdana" w:hAnsi="Verdana" w:cs="Arial"/>
          <w:b/>
          <w:bCs/>
          <w:i/>
          <w:iCs/>
          <w:sz w:val="22"/>
          <w:szCs w:val="22"/>
          <w:u w:val="single"/>
          <w:shd w:val="clear" w:color="auto" w:fill="FFFFFF"/>
        </w:rPr>
        <w:t>Facilitar la participación en eventos deportivos, programas de recreación, excursiones y actividades similares para el desarrollo físico y mental de los afiliados y sus familias</w:t>
      </w:r>
      <w:r w:rsidRPr="00E33DE3">
        <w:rPr>
          <w:rFonts w:ascii="Verdana" w:hAnsi="Verdana" w:cs="Arial"/>
          <w:sz w:val="22"/>
          <w:szCs w:val="22"/>
          <w:shd w:val="clear" w:color="auto" w:fill="FFFFFF"/>
        </w:rPr>
        <w:t>”. (Énfasis por fuera de texto)</w:t>
      </w:r>
    </w:p>
    <w:p w14:paraId="6B82E7F0" w14:textId="77777777" w:rsidR="00273288" w:rsidRPr="00E33DE3" w:rsidRDefault="00273288" w:rsidP="00C65B25">
      <w:pPr>
        <w:ind w:right="616"/>
        <w:jc w:val="both"/>
        <w:rPr>
          <w:rFonts w:ascii="Verdana" w:hAnsi="Verdana" w:cs="Arial"/>
          <w:sz w:val="22"/>
          <w:szCs w:val="22"/>
          <w:shd w:val="clear" w:color="auto" w:fill="FFFFFF"/>
        </w:rPr>
      </w:pPr>
    </w:p>
    <w:p w14:paraId="1808D5A8" w14:textId="77777777" w:rsidR="00273288" w:rsidRPr="00E33DE3" w:rsidRDefault="00273288" w:rsidP="00C65B25">
      <w:pPr>
        <w:ind w:right="49"/>
        <w:jc w:val="both"/>
        <w:rPr>
          <w:rFonts w:ascii="Verdana" w:hAnsi="Verdana" w:cs="Arial"/>
          <w:sz w:val="22"/>
          <w:szCs w:val="22"/>
          <w:shd w:val="clear" w:color="auto" w:fill="FFFFFF"/>
        </w:rPr>
      </w:pPr>
      <w:r w:rsidRPr="00E33DE3">
        <w:rPr>
          <w:rFonts w:ascii="Verdana" w:hAnsi="Verdana" w:cs="Arial"/>
          <w:sz w:val="22"/>
          <w:szCs w:val="22"/>
          <w:shd w:val="clear" w:color="auto" w:fill="FFFFFF"/>
        </w:rPr>
        <w:t>En ese mismo sentido, el numeral cuarto del artículo 2.2.10.2 del Decreto 1083 de 2015, establece la posibilidad de que las actividades de recreación y bienestar de los empleados se gestionen en coordinación con las Cajas de Compensación Familiar.</w:t>
      </w:r>
    </w:p>
    <w:p w14:paraId="25F93E10" w14:textId="77777777" w:rsidR="00273288" w:rsidRPr="00E33DE3" w:rsidRDefault="00273288" w:rsidP="00C65B25">
      <w:pPr>
        <w:jc w:val="both"/>
        <w:rPr>
          <w:rFonts w:ascii="Verdana" w:hAnsi="Verdana" w:cs="Arial"/>
          <w:sz w:val="22"/>
          <w:szCs w:val="22"/>
          <w:shd w:val="clear" w:color="auto" w:fill="FFFFFF"/>
        </w:rPr>
      </w:pPr>
    </w:p>
    <w:p w14:paraId="65CEAFD8" w14:textId="77777777" w:rsidR="00273288" w:rsidRPr="00E33DE3" w:rsidRDefault="00273288" w:rsidP="00C65B25">
      <w:pPr>
        <w:jc w:val="both"/>
        <w:rPr>
          <w:rFonts w:ascii="Verdana" w:hAnsi="Verdana" w:cs="Arial"/>
          <w:sz w:val="22"/>
          <w:szCs w:val="22"/>
          <w:shd w:val="clear" w:color="auto" w:fill="FFFFFF"/>
        </w:rPr>
      </w:pPr>
      <w:r w:rsidRPr="00E33DE3">
        <w:rPr>
          <w:rFonts w:ascii="Verdana" w:hAnsi="Verdana" w:cs="Arial"/>
          <w:sz w:val="22"/>
          <w:szCs w:val="22"/>
          <w:shd w:val="clear" w:color="auto" w:fill="FFFFFF"/>
        </w:rPr>
        <w:t>Por lo cual, en virtud de los Principios de Economía y Eficiencia consagrados en el artículo 209 de la Constitución Política, corresponde a quien ejerce la función administrativa aprovechar en la mayor medida los recursos a su disposición, obteniendo el máximo beneficio posible con ellos, es por esto que para el desarrollo de las actividades contenidas en los objetos de los contratos que se mencionan a continuación y que no son financiables con el SGP, la Entidad Territorial cuenta con la Caja de Compensación Familiar, cuyos aportes son cubiertos por la nómina financiada con el SGP – Educación, que por obligación legal debe proveer espacios de recreación y bienestar para los trabajadores.</w:t>
      </w:r>
    </w:p>
    <w:p w14:paraId="453CEEF9" w14:textId="77777777" w:rsidR="00273288" w:rsidRPr="00E33DE3" w:rsidRDefault="00273288" w:rsidP="00C65B25">
      <w:pPr>
        <w:jc w:val="both"/>
        <w:rPr>
          <w:rFonts w:ascii="Verdana" w:hAnsi="Verdana" w:cs="Arial"/>
          <w:color w:val="000000"/>
          <w:sz w:val="22"/>
          <w:szCs w:val="22"/>
        </w:rPr>
      </w:pPr>
    </w:p>
    <w:p w14:paraId="4DA8A9D0"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xml:space="preserve">En consecuencia, el objeto de los contratos No. 20182709, 20191602, 20193054 y 20192990 no posee un sustento legal que permita su financiación con los recursos del Sistema General de Participaciones. </w:t>
      </w:r>
    </w:p>
    <w:p w14:paraId="5A8764DB" w14:textId="77777777" w:rsidR="00273288" w:rsidRPr="00E33DE3" w:rsidRDefault="00273288" w:rsidP="00C65B25">
      <w:pPr>
        <w:jc w:val="both"/>
        <w:rPr>
          <w:rFonts w:ascii="Verdana" w:hAnsi="Verdana" w:cs="Arial"/>
          <w:sz w:val="22"/>
          <w:szCs w:val="22"/>
        </w:rPr>
      </w:pPr>
    </w:p>
    <w:p w14:paraId="17350CAA" w14:textId="77777777" w:rsidR="00273288" w:rsidRPr="00E33DE3" w:rsidRDefault="00273288" w:rsidP="00C65B25">
      <w:pPr>
        <w:pStyle w:val="Prrafodelista"/>
        <w:numPr>
          <w:ilvl w:val="0"/>
          <w:numId w:val="33"/>
        </w:numPr>
        <w:ind w:left="284" w:hanging="284"/>
        <w:jc w:val="both"/>
        <w:rPr>
          <w:rFonts w:ascii="Verdana" w:hAnsi="Verdana" w:cs="Arial"/>
          <w:sz w:val="22"/>
          <w:szCs w:val="22"/>
          <w:u w:val="single"/>
        </w:rPr>
      </w:pPr>
      <w:r w:rsidRPr="00E33DE3">
        <w:rPr>
          <w:rFonts w:ascii="Verdana" w:hAnsi="Verdana" w:cs="Arial"/>
          <w:sz w:val="22"/>
          <w:szCs w:val="22"/>
          <w:u w:val="single"/>
        </w:rPr>
        <w:t>Capacitación a docentes y padres de familia</w:t>
      </w:r>
    </w:p>
    <w:p w14:paraId="693386D5" w14:textId="77777777" w:rsidR="00273288" w:rsidRPr="00E33DE3" w:rsidRDefault="00273288" w:rsidP="00C65B25">
      <w:pPr>
        <w:jc w:val="both"/>
        <w:rPr>
          <w:rFonts w:ascii="Verdana" w:hAnsi="Verdana" w:cs="Arial"/>
          <w:sz w:val="22"/>
          <w:szCs w:val="22"/>
          <w:u w:val="single"/>
        </w:rPr>
      </w:pPr>
    </w:p>
    <w:p w14:paraId="78C8989B"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lastRenderedPageBreak/>
        <w:t xml:space="preserve">Para la vigencia 2018, el Municipio de Pasto suscribió el contrato No. 20182711 del 3 de septiembre con el Consorcio S&amp;P Education Line, por valor de $1.169 millones, financiado con recursos del SGP y SGP-FONPET y cuyo objeto consistía en: </w:t>
      </w:r>
      <w:r w:rsidRPr="00E33DE3">
        <w:rPr>
          <w:rFonts w:ascii="Verdana" w:hAnsi="Verdana" w:cs="Arial"/>
          <w:i/>
          <w:iCs/>
          <w:sz w:val="22"/>
          <w:szCs w:val="22"/>
        </w:rPr>
        <w:t xml:space="preserve">“La alcaldía de Pasto requiere contratar los servicios de consultoría para la formación de 752 docentes en uso pedagógico de tic y la formación de 487 padres de familia en tecnología del municipio de Pasto, así como la elaboración de 678 contenidos educativos digitales.” </w:t>
      </w:r>
      <w:r w:rsidRPr="00E33DE3">
        <w:rPr>
          <w:rFonts w:ascii="Verdana" w:hAnsi="Verdana" w:cs="Arial"/>
          <w:sz w:val="22"/>
          <w:szCs w:val="22"/>
        </w:rPr>
        <w:t>La duración pactada era de 4 meses contados a partir de la suscripción del acta de inicio, la cual tuvo lugar el día 3 de septiembre del mismo año. Por lo anterior, se esperaba que el contrato culminara el 3 de enero del 2019, no obstante, el acta de inicio indicaba que el contrato finalizaba el 31 de diciembre del 2018 contradiciendo lo pactado entre las partes.</w:t>
      </w:r>
    </w:p>
    <w:p w14:paraId="42935C7B" w14:textId="77777777" w:rsidR="00273288" w:rsidRPr="00E33DE3" w:rsidRDefault="00273288" w:rsidP="00C65B25">
      <w:pPr>
        <w:jc w:val="both"/>
        <w:rPr>
          <w:rFonts w:ascii="Verdana" w:hAnsi="Verdana" w:cs="Arial"/>
          <w:sz w:val="22"/>
          <w:szCs w:val="22"/>
        </w:rPr>
      </w:pPr>
    </w:p>
    <w:p w14:paraId="2A4FC35C"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xml:space="preserve">Los certificados de disponibilidad presupuestal que soportaron el proceso contractual fueron: No. 2018000641 del 15 de febrero del año 2018 y No. 2018000641 del mismo día, los cuales indican como cuenta y/o fuente de financiación las siguientes: </w:t>
      </w:r>
    </w:p>
    <w:p w14:paraId="510670BF" w14:textId="77777777" w:rsidR="00273288" w:rsidRPr="00E33DE3" w:rsidRDefault="00273288" w:rsidP="00C65B25">
      <w:pPr>
        <w:jc w:val="both"/>
        <w:rPr>
          <w:rFonts w:ascii="Verdana" w:hAnsi="Verdana" w:cs="Arial"/>
          <w:sz w:val="22"/>
          <w:szCs w:val="22"/>
        </w:rPr>
      </w:pPr>
    </w:p>
    <w:p w14:paraId="7F201E6F" w14:textId="77777777" w:rsidR="00273288" w:rsidRPr="00E33DE3" w:rsidRDefault="00273288" w:rsidP="00C65B25">
      <w:pPr>
        <w:jc w:val="both"/>
        <w:rPr>
          <w:rFonts w:ascii="Verdana" w:hAnsi="Verdana" w:cs="Arial"/>
          <w:sz w:val="22"/>
          <w:szCs w:val="22"/>
        </w:rPr>
      </w:pPr>
      <w:r w:rsidRPr="00E33DE3">
        <w:rPr>
          <w:rFonts w:ascii="Verdana" w:hAnsi="Verdana"/>
          <w:noProof/>
          <w:sz w:val="22"/>
          <w:szCs w:val="22"/>
          <w:lang w:val="es-CO" w:eastAsia="es-CO"/>
        </w:rPr>
        <w:drawing>
          <wp:inline distT="0" distB="0" distL="0" distR="0" wp14:anchorId="42972FCE" wp14:editId="3D11B6FF">
            <wp:extent cx="5610225" cy="1962150"/>
            <wp:effectExtent l="0" t="0" r="9525" b="0"/>
            <wp:docPr id="555671079"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Tabl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1962150"/>
                    </a:xfrm>
                    <a:prstGeom prst="rect">
                      <a:avLst/>
                    </a:prstGeom>
                    <a:noFill/>
                    <a:ln>
                      <a:noFill/>
                    </a:ln>
                  </pic:spPr>
                </pic:pic>
              </a:graphicData>
            </a:graphic>
          </wp:inline>
        </w:drawing>
      </w:r>
      <w:r w:rsidRPr="00E33DE3">
        <w:rPr>
          <w:rFonts w:ascii="Verdana" w:hAnsi="Verdana" w:cs="Arial"/>
          <w:sz w:val="22"/>
          <w:szCs w:val="22"/>
        </w:rPr>
        <w:t xml:space="preserve"> </w:t>
      </w:r>
    </w:p>
    <w:p w14:paraId="0E3C7A5E" w14:textId="77777777" w:rsidR="00273288" w:rsidRPr="00E33DE3" w:rsidRDefault="00273288" w:rsidP="00C65B25">
      <w:pPr>
        <w:jc w:val="center"/>
        <w:rPr>
          <w:rFonts w:ascii="Verdana" w:hAnsi="Verdana" w:cs="Arial"/>
          <w:sz w:val="16"/>
          <w:szCs w:val="16"/>
        </w:rPr>
      </w:pPr>
      <w:r w:rsidRPr="00E33DE3">
        <w:rPr>
          <w:rFonts w:ascii="Verdana" w:hAnsi="Verdana" w:cs="Arial"/>
          <w:sz w:val="16"/>
          <w:szCs w:val="16"/>
        </w:rPr>
        <w:t>Fuente: Contrato No. 20182711 del 3 de septiembre de 2018.</w:t>
      </w:r>
    </w:p>
    <w:p w14:paraId="412F2D4F" w14:textId="77777777" w:rsidR="00273288" w:rsidRPr="00E33DE3" w:rsidRDefault="00273288" w:rsidP="00C65B25">
      <w:pPr>
        <w:jc w:val="both"/>
        <w:rPr>
          <w:rFonts w:ascii="Verdana" w:hAnsi="Verdana" w:cs="Arial"/>
          <w:sz w:val="22"/>
          <w:szCs w:val="22"/>
        </w:rPr>
      </w:pPr>
    </w:p>
    <w:p w14:paraId="49E9FC47" w14:textId="77777777" w:rsidR="00273288" w:rsidRPr="00E33DE3" w:rsidRDefault="00273288" w:rsidP="00C65B25">
      <w:pPr>
        <w:autoSpaceDE w:val="0"/>
        <w:autoSpaceDN w:val="0"/>
        <w:adjustRightInd w:val="0"/>
        <w:jc w:val="both"/>
        <w:rPr>
          <w:rFonts w:ascii="Verdana" w:eastAsiaTheme="minorHAnsi" w:hAnsi="Verdana" w:cs="Arial"/>
          <w:sz w:val="22"/>
          <w:szCs w:val="22"/>
          <w:lang w:val="es-CO" w:eastAsia="en-US"/>
        </w:rPr>
      </w:pPr>
      <w:r w:rsidRPr="00E33DE3">
        <w:rPr>
          <w:rFonts w:ascii="Verdana" w:hAnsi="Verdana" w:cs="Arial"/>
          <w:sz w:val="22"/>
          <w:szCs w:val="22"/>
        </w:rPr>
        <w:t xml:space="preserve">Frente a lo anterior, es necesario precisar sobre la destinación que las Entidades Territoriales deben dar a los recursos asignados para conectividad, que </w:t>
      </w:r>
      <w:r w:rsidRPr="00E33DE3">
        <w:rPr>
          <w:rFonts w:ascii="Verdana" w:eastAsiaTheme="minorHAnsi" w:hAnsi="Verdana" w:cs="Arial"/>
          <w:sz w:val="22"/>
          <w:szCs w:val="22"/>
          <w:lang w:val="es-CO" w:eastAsia="en-US"/>
        </w:rPr>
        <w:t>el artículo 149 de la Ley 1450 de 2011 (vigente en la anualidad de 2018) dispuso:</w:t>
      </w:r>
    </w:p>
    <w:p w14:paraId="307FFBB2" w14:textId="77777777" w:rsidR="00273288" w:rsidRPr="00E33DE3" w:rsidRDefault="00273288" w:rsidP="00C65B25">
      <w:pPr>
        <w:autoSpaceDE w:val="0"/>
        <w:autoSpaceDN w:val="0"/>
        <w:adjustRightInd w:val="0"/>
        <w:jc w:val="both"/>
        <w:rPr>
          <w:rFonts w:ascii="Verdana" w:eastAsiaTheme="minorHAnsi" w:hAnsi="Verdana" w:cs="Arial"/>
          <w:i/>
          <w:iCs/>
          <w:sz w:val="22"/>
          <w:szCs w:val="22"/>
          <w:lang w:val="es-CO" w:eastAsia="en-US"/>
        </w:rPr>
      </w:pPr>
    </w:p>
    <w:p w14:paraId="38E7B594" w14:textId="77777777" w:rsidR="00273288" w:rsidRPr="00E33DE3" w:rsidRDefault="00273288" w:rsidP="00C65B25">
      <w:pPr>
        <w:autoSpaceDE w:val="0"/>
        <w:autoSpaceDN w:val="0"/>
        <w:adjustRightInd w:val="0"/>
        <w:ind w:left="567"/>
        <w:jc w:val="both"/>
        <w:rPr>
          <w:rFonts w:ascii="Verdana" w:eastAsiaTheme="minorHAnsi" w:hAnsi="Verdana" w:cs="Arial"/>
          <w:i/>
          <w:iCs/>
          <w:sz w:val="22"/>
          <w:szCs w:val="22"/>
          <w:lang w:val="es-CO" w:eastAsia="en-US"/>
        </w:rPr>
      </w:pPr>
      <w:r w:rsidRPr="00E33DE3">
        <w:rPr>
          <w:rFonts w:ascii="Verdana" w:eastAsiaTheme="minorHAnsi" w:hAnsi="Verdana" w:cs="Arial"/>
          <w:i/>
          <w:iCs/>
          <w:sz w:val="22"/>
          <w:szCs w:val="22"/>
          <w:lang w:val="es-CO" w:eastAsia="en-US"/>
        </w:rPr>
        <w:t>ARTÍCULO 149. El Gobierno Nacional en cabeza del Ministerio de Educación Nacional y el Ministerio de Tecnologías de la Información y las Comunicaciones, promoverán el programa de Conexión total con el objeto de fortalecer las competencias de los estudiantes en el uso de las TIC mediante la ampliación de la conectividad de los establecimientos educativos, la generación y uso de los contenidos educativos a través de la red y el mejoramiento de la cobertura, la calidad y la pertinencia de los procesos de formación. Los operadores de esta conexión, podrán ser empresas de carácter público o privado de telecomunicaciones que acrediten la experiencia comprobada en el sector.</w:t>
      </w:r>
    </w:p>
    <w:p w14:paraId="2C2DC768" w14:textId="77777777" w:rsidR="00273288" w:rsidRPr="00E33DE3" w:rsidRDefault="00273288" w:rsidP="00C65B25">
      <w:pPr>
        <w:autoSpaceDE w:val="0"/>
        <w:autoSpaceDN w:val="0"/>
        <w:adjustRightInd w:val="0"/>
        <w:jc w:val="both"/>
        <w:rPr>
          <w:rFonts w:ascii="Verdana" w:eastAsiaTheme="minorHAnsi" w:hAnsi="Verdana" w:cs="Arial"/>
          <w:i/>
          <w:iCs/>
          <w:sz w:val="22"/>
          <w:szCs w:val="22"/>
          <w:lang w:val="es-CO" w:eastAsia="en-US"/>
        </w:rPr>
      </w:pPr>
    </w:p>
    <w:p w14:paraId="7347B60C" w14:textId="77777777" w:rsidR="00273288" w:rsidRPr="00E33DE3" w:rsidRDefault="00273288" w:rsidP="00C65B25">
      <w:pPr>
        <w:autoSpaceDE w:val="0"/>
        <w:autoSpaceDN w:val="0"/>
        <w:adjustRightInd w:val="0"/>
        <w:jc w:val="both"/>
        <w:rPr>
          <w:rFonts w:ascii="Verdana" w:eastAsiaTheme="minorHAnsi" w:hAnsi="Verdana" w:cs="Arial"/>
          <w:sz w:val="22"/>
          <w:szCs w:val="22"/>
          <w:lang w:val="es-CO" w:eastAsia="en-US"/>
        </w:rPr>
      </w:pPr>
      <w:r w:rsidRPr="00E33DE3">
        <w:rPr>
          <w:rFonts w:ascii="Verdana" w:eastAsiaTheme="minorHAnsi" w:hAnsi="Verdana" w:cs="Arial"/>
          <w:sz w:val="22"/>
          <w:szCs w:val="22"/>
          <w:lang w:val="es-CO" w:eastAsia="en-US"/>
        </w:rPr>
        <w:t>En ese sentido el Documento de Distribución DD-SGP-28-2018 realizó la asignación para conectividad en virtud de dar cumplimiento a la finalidad de la Nación de garantizar educación con acceso a internet en mínimo un 83% a Nivel Nacional en virtud del Plan Nacional de Desarrollo 2014 -2018, en los siguientes términos:</w:t>
      </w:r>
    </w:p>
    <w:p w14:paraId="211FDF53" w14:textId="77777777" w:rsidR="00273288" w:rsidRPr="00E33DE3" w:rsidRDefault="00273288" w:rsidP="00C65B25">
      <w:pPr>
        <w:autoSpaceDE w:val="0"/>
        <w:autoSpaceDN w:val="0"/>
        <w:adjustRightInd w:val="0"/>
        <w:jc w:val="both"/>
        <w:rPr>
          <w:rFonts w:ascii="Verdana" w:eastAsiaTheme="minorHAnsi" w:hAnsi="Verdana" w:cs="Arial"/>
          <w:sz w:val="22"/>
          <w:szCs w:val="22"/>
          <w:lang w:val="es-CO" w:eastAsia="en-US"/>
        </w:rPr>
      </w:pPr>
    </w:p>
    <w:p w14:paraId="5EC73B75" w14:textId="77777777" w:rsidR="00273288" w:rsidRPr="00E33DE3" w:rsidRDefault="00273288" w:rsidP="00C65B25">
      <w:pPr>
        <w:autoSpaceDE w:val="0"/>
        <w:autoSpaceDN w:val="0"/>
        <w:adjustRightInd w:val="0"/>
        <w:ind w:left="567"/>
        <w:jc w:val="both"/>
        <w:rPr>
          <w:rFonts w:ascii="Verdana" w:eastAsiaTheme="minorHAnsi" w:hAnsi="Verdana" w:cs="Arial"/>
          <w:i/>
          <w:iCs/>
          <w:sz w:val="22"/>
          <w:szCs w:val="22"/>
          <w:lang w:val="es-CO" w:eastAsia="en-US"/>
        </w:rPr>
      </w:pPr>
      <w:r w:rsidRPr="00E33DE3">
        <w:rPr>
          <w:rFonts w:ascii="Verdana" w:eastAsiaTheme="minorHAnsi" w:hAnsi="Verdana" w:cs="Arial"/>
          <w:i/>
          <w:iCs/>
          <w:sz w:val="22"/>
          <w:szCs w:val="22"/>
          <w:lang w:val="es-CO" w:eastAsia="en-US"/>
        </w:rPr>
        <w:t xml:space="preserve">"Uno de/os objetivos del MEN es lograrla meta sectorial del porcentaje de matrícula conectada definida en el Plan Nacional de Desarrollo 2014-2018, "Todos por un nuevo país". </w:t>
      </w:r>
      <w:r w:rsidRPr="00E33DE3">
        <w:rPr>
          <w:rFonts w:ascii="Verdana" w:eastAsiaTheme="minorHAnsi" w:hAnsi="Verdana" w:cs="Arial"/>
          <w:b/>
          <w:i/>
          <w:iCs/>
          <w:sz w:val="22"/>
          <w:szCs w:val="22"/>
          <w:lang w:val="es-CO" w:eastAsia="en-US"/>
        </w:rPr>
        <w:t>Esto se logrará conectando las sedes educativas con mayor densidad de estudiantes hasta llegar como mínimo al 83% de alumnos con acceso a internet</w:t>
      </w:r>
      <w:r w:rsidRPr="00E33DE3">
        <w:rPr>
          <w:rFonts w:ascii="Verdana" w:eastAsiaTheme="minorHAnsi" w:hAnsi="Verdana" w:cs="Arial"/>
          <w:i/>
          <w:iCs/>
          <w:sz w:val="22"/>
          <w:szCs w:val="22"/>
          <w:lang w:val="es-CO" w:eastAsia="en-US"/>
        </w:rPr>
        <w:t>. Dentro de las sedes educativas que serán cubiertas por los servicios de conectividad se encuentran en su mayoría las que pertenecen a la estrategia de jornada única, que busca aumentar el tiempo de permanencia de los estudiantes en la institución educativa, incrementando las horas lectivas y fortaleciendo el trabajo académico en las áreas de matemáticas, lenguaje, ciencias naturales e inglés. De la misma forma beneficiará a los colegios 10 TlC21, los cuales son instituciones educativas oficiales del país que hacen parte del Programa "colegios pioneros de la calidad" que tienen características especiales en el uso inteligente de la tecnología aplicada a los procesos educativos". (énfasis fuera del texto).</w:t>
      </w:r>
    </w:p>
    <w:p w14:paraId="1C40DC36" w14:textId="77777777" w:rsidR="00273288" w:rsidRPr="00E33DE3" w:rsidRDefault="00273288" w:rsidP="00C65B25">
      <w:pPr>
        <w:autoSpaceDE w:val="0"/>
        <w:autoSpaceDN w:val="0"/>
        <w:adjustRightInd w:val="0"/>
        <w:jc w:val="both"/>
        <w:rPr>
          <w:rFonts w:ascii="Verdana" w:eastAsiaTheme="minorHAnsi" w:hAnsi="Verdana" w:cs="Arial"/>
          <w:i/>
          <w:iCs/>
          <w:sz w:val="22"/>
          <w:szCs w:val="22"/>
          <w:lang w:val="es-CO" w:eastAsia="en-US"/>
        </w:rPr>
      </w:pPr>
    </w:p>
    <w:p w14:paraId="7F4CBBE3" w14:textId="77777777" w:rsidR="00273288" w:rsidRPr="00E33DE3" w:rsidRDefault="00273288" w:rsidP="00C65B25">
      <w:pPr>
        <w:jc w:val="both"/>
        <w:rPr>
          <w:rFonts w:ascii="Verdana" w:hAnsi="Verdana" w:cs="Arial"/>
          <w:i/>
          <w:sz w:val="22"/>
          <w:szCs w:val="22"/>
        </w:rPr>
      </w:pPr>
      <w:r w:rsidRPr="00E33DE3">
        <w:rPr>
          <w:rFonts w:ascii="Verdana" w:eastAsiaTheme="minorHAnsi" w:hAnsi="Verdana" w:cs="Arial"/>
          <w:iCs/>
          <w:sz w:val="22"/>
          <w:szCs w:val="22"/>
          <w:lang w:val="es-CO" w:eastAsia="en-US"/>
        </w:rPr>
        <w:t xml:space="preserve">Por lo anterior, los recursos deben ser priorizados para otorgar o mejorar el acceso a internet de las diferentes instituciones educativas en el Municipio. Sin embargo, el objeto contractual y lo pactado en el contrato No. </w:t>
      </w:r>
      <w:r w:rsidRPr="00E33DE3">
        <w:rPr>
          <w:rFonts w:ascii="Verdana" w:hAnsi="Verdana" w:cs="Arial"/>
          <w:sz w:val="22"/>
          <w:szCs w:val="22"/>
        </w:rPr>
        <w:t>20182711 del 3 de septiembre de 2018 no guardan relación con tal misión, resaltada esta falencia dada la causa de la suspensión No. 1 del contrato, la cual indica: “</w:t>
      </w:r>
      <w:r w:rsidRPr="00E33DE3">
        <w:rPr>
          <w:rFonts w:ascii="Verdana" w:hAnsi="Verdana" w:cs="Arial"/>
          <w:i/>
          <w:sz w:val="22"/>
          <w:szCs w:val="22"/>
        </w:rPr>
        <w:t xml:space="preserve">que en el año 2018 las aulas de informática de los establecimientos educativos oficiales del municipio de Pasto, </w:t>
      </w:r>
      <w:r w:rsidRPr="00E33DE3">
        <w:rPr>
          <w:rFonts w:ascii="Verdana" w:hAnsi="Verdana" w:cs="Arial"/>
          <w:b/>
          <w:i/>
          <w:sz w:val="22"/>
          <w:szCs w:val="22"/>
        </w:rPr>
        <w:t xml:space="preserve">no contaron con el servicio de internet </w:t>
      </w:r>
      <w:r w:rsidRPr="00E33DE3">
        <w:rPr>
          <w:rFonts w:ascii="Verdana" w:hAnsi="Verdana" w:cs="Arial"/>
          <w:i/>
          <w:sz w:val="22"/>
          <w:szCs w:val="22"/>
        </w:rPr>
        <w:t xml:space="preserve">del programa conexión total del Ministerio de Educación Nacional, licitación pública No.009 de 2018 la cual fue declarada desierta. Que </w:t>
      </w:r>
      <w:r w:rsidRPr="00E33DE3">
        <w:rPr>
          <w:rFonts w:ascii="Verdana" w:hAnsi="Verdana" w:cs="Arial"/>
          <w:b/>
          <w:i/>
          <w:sz w:val="22"/>
          <w:szCs w:val="22"/>
        </w:rPr>
        <w:t>la ausencia del servicio de internet en las aulas de informática</w:t>
      </w:r>
      <w:r w:rsidRPr="00E33DE3">
        <w:rPr>
          <w:rFonts w:ascii="Verdana" w:hAnsi="Verdana" w:cs="Arial"/>
          <w:i/>
          <w:sz w:val="22"/>
          <w:szCs w:val="22"/>
        </w:rPr>
        <w:t xml:space="preserve"> de los establecimientos educativos oficiales del Municipio de Pasto, lugar donde se debía realizar la formación de docentes y padres</w:t>
      </w:r>
      <w:r w:rsidRPr="00E33DE3">
        <w:rPr>
          <w:rFonts w:ascii="Verdana" w:hAnsi="Verdana" w:cs="Arial"/>
          <w:b/>
          <w:i/>
          <w:sz w:val="22"/>
          <w:szCs w:val="22"/>
        </w:rPr>
        <w:t>, no ha permitido el cumplimiento del 100% del cronograma diseñado para el proyecto</w:t>
      </w:r>
      <w:r w:rsidRPr="00E33DE3">
        <w:rPr>
          <w:rFonts w:ascii="Verdana" w:hAnsi="Verdana" w:cs="Arial"/>
          <w:i/>
          <w:sz w:val="22"/>
          <w:szCs w:val="22"/>
        </w:rPr>
        <w:t xml:space="preserve">”. (énfasis fuera del texto). </w:t>
      </w:r>
    </w:p>
    <w:p w14:paraId="3DD0DD1D" w14:textId="77777777" w:rsidR="00273288" w:rsidRPr="00E33DE3" w:rsidRDefault="00273288" w:rsidP="00C65B25">
      <w:pPr>
        <w:jc w:val="both"/>
        <w:rPr>
          <w:rFonts w:ascii="Verdana" w:hAnsi="Verdana" w:cs="Arial"/>
          <w:i/>
          <w:sz w:val="22"/>
          <w:szCs w:val="22"/>
        </w:rPr>
      </w:pPr>
    </w:p>
    <w:p w14:paraId="10BF7FE0"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xml:space="preserve">Así, la Entidad Territorial no debió emplear los recursos para conectividad como parte de la fuente de financiación del contrato, puesto que no busca mitigar la necesidad para la cual fueron asignados dichos recursos. Por otro lado, el contrato se relaciona con proyectos para la capacitación del personal docente, formación que se encuentra regulada en el art. 113 de la ley 115 de 1994, acogido en el artículo 3 del decreto 0709 de 1996: </w:t>
      </w:r>
    </w:p>
    <w:p w14:paraId="1D995BCA" w14:textId="77777777" w:rsidR="00273288" w:rsidRPr="00E33DE3" w:rsidRDefault="00273288" w:rsidP="00C65B25">
      <w:pPr>
        <w:jc w:val="both"/>
        <w:rPr>
          <w:rFonts w:ascii="Verdana" w:hAnsi="Verdana" w:cs="Arial"/>
          <w:sz w:val="22"/>
          <w:szCs w:val="22"/>
        </w:rPr>
      </w:pPr>
    </w:p>
    <w:p w14:paraId="1F631CB1" w14:textId="77777777" w:rsidR="00273288" w:rsidRPr="00E33DE3" w:rsidRDefault="00273288" w:rsidP="00C65B25">
      <w:pPr>
        <w:ind w:left="567"/>
        <w:jc w:val="both"/>
        <w:rPr>
          <w:rFonts w:ascii="Verdana" w:hAnsi="Verdana" w:cs="Arial"/>
          <w:i/>
          <w:color w:val="000000"/>
          <w:sz w:val="22"/>
          <w:szCs w:val="22"/>
        </w:rPr>
      </w:pPr>
      <w:r w:rsidRPr="00E33DE3">
        <w:rPr>
          <w:rFonts w:ascii="Verdana" w:hAnsi="Verdana" w:cs="Arial"/>
          <w:b/>
          <w:i/>
          <w:color w:val="000000"/>
          <w:sz w:val="22"/>
          <w:szCs w:val="22"/>
        </w:rPr>
        <w:lastRenderedPageBreak/>
        <w:t>“ARTICULO 3</w:t>
      </w:r>
      <w:r w:rsidRPr="00E33DE3">
        <w:rPr>
          <w:rFonts w:ascii="Verdana" w:hAnsi="Verdana" w:cs="Arial"/>
          <w:i/>
          <w:color w:val="000000"/>
          <w:sz w:val="22"/>
          <w:szCs w:val="22"/>
        </w:rPr>
        <w:t>. Los programas académicos para la formación de pregrado y de postgrado de educadores deberán atender las reglas generales contenidas en este decreto, además de los requisitos de creación y funcionamiento que establezca el Gobierno Nacional, a propuesta del Consejo Nacional de Educación Superior - CESU o que determine el Ministerio de Educación Nacional, para el caso de las Escuelas Normales Superiores.”</w:t>
      </w:r>
    </w:p>
    <w:p w14:paraId="385070A4" w14:textId="77777777" w:rsidR="00273288" w:rsidRPr="00E33DE3" w:rsidRDefault="00273288" w:rsidP="00C65B25">
      <w:pPr>
        <w:jc w:val="both"/>
        <w:rPr>
          <w:rFonts w:ascii="Verdana" w:hAnsi="Verdana" w:cs="Arial"/>
          <w:color w:val="000000"/>
          <w:sz w:val="22"/>
          <w:szCs w:val="22"/>
        </w:rPr>
      </w:pPr>
    </w:p>
    <w:p w14:paraId="00FE2237" w14:textId="77777777" w:rsidR="00273288" w:rsidRPr="00E33DE3" w:rsidRDefault="00273288" w:rsidP="00C65B25">
      <w:pPr>
        <w:jc w:val="both"/>
        <w:rPr>
          <w:rFonts w:ascii="Verdana" w:hAnsi="Verdana" w:cs="Arial"/>
          <w:i/>
          <w:sz w:val="22"/>
          <w:szCs w:val="22"/>
        </w:rPr>
      </w:pPr>
      <w:r w:rsidRPr="00E33DE3">
        <w:rPr>
          <w:rFonts w:ascii="Verdana" w:hAnsi="Verdana" w:cs="Arial"/>
          <w:color w:val="000000"/>
          <w:sz w:val="22"/>
          <w:szCs w:val="22"/>
        </w:rPr>
        <w:t>Adicionalmente, el artículo 7 del mismo cuerpo normativo estipula que “</w:t>
      </w:r>
      <w:r w:rsidRPr="00E33DE3">
        <w:rPr>
          <w:rFonts w:ascii="Verdana" w:hAnsi="Verdana" w:cs="Arial"/>
          <w:b/>
          <w:i/>
          <w:sz w:val="22"/>
          <w:szCs w:val="22"/>
        </w:rPr>
        <w:t>Estos programas serán válidos para el otorgamiento de créditos exigidos como requisito de capacitación para el ingreso y el ascenso en el Escalafón Nacional Docente, si cumplen con lo dispuesto en el Capítulo IV del presente decreto y son ofrecidos por las universidades u otras instituciones de educación superior</w:t>
      </w:r>
      <w:r w:rsidRPr="00E33DE3">
        <w:rPr>
          <w:rFonts w:ascii="Verdana" w:hAnsi="Verdana" w:cs="Arial"/>
          <w:i/>
          <w:sz w:val="22"/>
          <w:szCs w:val="22"/>
        </w:rPr>
        <w:t xml:space="preserve">, directamente por su facultad de educación o su unidad académica dedicada a la educación o, en general, a través de los demás programas académicos que en ellas se ofrezcan” (énfasis fuera del texto). </w:t>
      </w:r>
    </w:p>
    <w:p w14:paraId="30735B44" w14:textId="77777777" w:rsidR="00273288" w:rsidRPr="00E33DE3" w:rsidRDefault="00273288" w:rsidP="00C65B25">
      <w:pPr>
        <w:jc w:val="both"/>
        <w:rPr>
          <w:rFonts w:ascii="Verdana" w:hAnsi="Verdana" w:cs="Arial"/>
          <w:i/>
          <w:sz w:val="22"/>
          <w:szCs w:val="22"/>
        </w:rPr>
      </w:pPr>
    </w:p>
    <w:p w14:paraId="54811DE3"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xml:space="preserve">No obstante, el contrato No. 20182711 del 3 de septiembre de 2018 fue celebrado con el </w:t>
      </w:r>
      <w:r w:rsidRPr="00E33DE3">
        <w:rPr>
          <w:rFonts w:ascii="Verdana" w:hAnsi="Verdana" w:cs="Arial"/>
          <w:i/>
          <w:iCs/>
          <w:sz w:val="22"/>
          <w:szCs w:val="22"/>
        </w:rPr>
        <w:t xml:space="preserve">Consorcio S&amp;P Education Line, </w:t>
      </w:r>
      <w:r w:rsidRPr="00E33DE3">
        <w:rPr>
          <w:rFonts w:ascii="Verdana" w:hAnsi="Verdana" w:cs="Arial"/>
          <w:sz w:val="22"/>
          <w:szCs w:val="22"/>
        </w:rPr>
        <w:t xml:space="preserve">el cual no cumple con los requisitos estipulados en la normatividad citada, al no ser una universidad o institución de educación superior; por lo cual la Entidad Territorial no debió emplear como fuente de financiación del contrato el SGP-Educación. Adicionalmente, la capacitación de los padres de familia no corresponde a un gasto financiable con SGP-Educación, de acuerdo con lo estipulado en el artículo 15 de la ley 715 del 2001 y el decreto 1075 del 2015. </w:t>
      </w:r>
    </w:p>
    <w:p w14:paraId="78647F2A" w14:textId="77777777" w:rsidR="00273288" w:rsidRPr="00E33DE3" w:rsidRDefault="00273288" w:rsidP="00C65B25">
      <w:pPr>
        <w:jc w:val="both"/>
        <w:rPr>
          <w:rFonts w:ascii="Verdana" w:hAnsi="Verdana" w:cs="Arial"/>
          <w:sz w:val="22"/>
          <w:szCs w:val="22"/>
        </w:rPr>
      </w:pPr>
    </w:p>
    <w:p w14:paraId="426F73C8"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xml:space="preserve">Por lo anterior, los recursos inadecuadamente empleados por la entidad territorial se resumen en la siguiente tabla (cifras en millones de pesos): </w:t>
      </w:r>
    </w:p>
    <w:p w14:paraId="48B98D82" w14:textId="77777777" w:rsidR="00273288" w:rsidRPr="00E33DE3" w:rsidRDefault="00273288" w:rsidP="00C65B25">
      <w:pPr>
        <w:jc w:val="both"/>
        <w:rPr>
          <w:rFonts w:ascii="Verdana" w:hAnsi="Verdana" w:cs="Arial"/>
          <w:sz w:val="22"/>
          <w:szCs w:val="22"/>
        </w:rPr>
      </w:pPr>
    </w:p>
    <w:tbl>
      <w:tblPr>
        <w:tblW w:w="0" w:type="auto"/>
        <w:tblCellMar>
          <w:left w:w="70" w:type="dxa"/>
          <w:right w:w="70" w:type="dxa"/>
        </w:tblCellMar>
        <w:tblLook w:val="04A0" w:firstRow="1" w:lastRow="0" w:firstColumn="1" w:lastColumn="0" w:noHBand="0" w:noVBand="1"/>
      </w:tblPr>
      <w:tblGrid>
        <w:gridCol w:w="811"/>
        <w:gridCol w:w="4335"/>
        <w:gridCol w:w="945"/>
        <w:gridCol w:w="2737"/>
      </w:tblGrid>
      <w:tr w:rsidR="00273288" w:rsidRPr="00E33DE3" w14:paraId="0A9FA616" w14:textId="77777777" w:rsidTr="00273288">
        <w:trPr>
          <w:trHeight w:val="20"/>
          <w:tblHeader/>
        </w:trPr>
        <w:tc>
          <w:tcPr>
            <w:tcW w:w="8828" w:type="dxa"/>
            <w:gridSpan w:val="4"/>
            <w:tcBorders>
              <w:top w:val="single" w:sz="4" w:space="0" w:color="auto"/>
              <w:left w:val="single" w:sz="4" w:space="0" w:color="auto"/>
              <w:bottom w:val="single" w:sz="4" w:space="0" w:color="auto"/>
              <w:right w:val="single" w:sz="4" w:space="0" w:color="auto"/>
            </w:tcBorders>
            <w:shd w:val="clear" w:color="auto" w:fill="B48C41"/>
            <w:hideMark/>
          </w:tcPr>
          <w:p w14:paraId="11768381" w14:textId="77777777" w:rsidR="00273288" w:rsidRPr="00E33DE3" w:rsidRDefault="00273288" w:rsidP="00C65B25">
            <w:pPr>
              <w:jc w:val="center"/>
              <w:rPr>
                <w:rFonts w:ascii="Verdana" w:eastAsia="Times New Roman" w:hAnsi="Verdana" w:cs="Arial"/>
                <w:b/>
                <w:bCs/>
                <w:color w:val="FFFFFF" w:themeColor="background1"/>
                <w:sz w:val="18"/>
                <w:szCs w:val="18"/>
                <w:lang w:val="es-CO" w:eastAsia="es-CO"/>
              </w:rPr>
            </w:pPr>
            <w:r w:rsidRPr="00E33DE3">
              <w:rPr>
                <w:rFonts w:ascii="Verdana" w:eastAsia="Times New Roman" w:hAnsi="Verdana" w:cs="Arial"/>
                <w:b/>
                <w:bCs/>
                <w:color w:val="FFFFFF" w:themeColor="background1"/>
                <w:sz w:val="18"/>
                <w:szCs w:val="18"/>
                <w:lang w:val="es-CO" w:eastAsia="es-CO"/>
              </w:rPr>
              <w:t>TABLA 6. Conceptos de cambio en destinación</w:t>
            </w:r>
          </w:p>
        </w:tc>
      </w:tr>
      <w:tr w:rsidR="00273288" w:rsidRPr="00E33DE3" w14:paraId="443BE221" w14:textId="77777777" w:rsidTr="00273288">
        <w:trPr>
          <w:trHeight w:val="20"/>
          <w:tblHeader/>
        </w:trPr>
        <w:tc>
          <w:tcPr>
            <w:tcW w:w="811" w:type="dxa"/>
            <w:tcBorders>
              <w:top w:val="single" w:sz="4" w:space="0" w:color="auto"/>
              <w:left w:val="single" w:sz="4" w:space="0" w:color="auto"/>
              <w:bottom w:val="single" w:sz="4" w:space="0" w:color="auto"/>
              <w:right w:val="single" w:sz="4" w:space="0" w:color="auto"/>
            </w:tcBorders>
            <w:shd w:val="clear" w:color="auto" w:fill="B48C41"/>
            <w:hideMark/>
          </w:tcPr>
          <w:p w14:paraId="29B352A4"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AÑO</w:t>
            </w:r>
          </w:p>
        </w:tc>
        <w:tc>
          <w:tcPr>
            <w:tcW w:w="4335" w:type="dxa"/>
            <w:tcBorders>
              <w:top w:val="single" w:sz="4" w:space="0" w:color="auto"/>
              <w:left w:val="nil"/>
              <w:bottom w:val="single" w:sz="4" w:space="0" w:color="auto"/>
              <w:right w:val="single" w:sz="4" w:space="0" w:color="auto"/>
            </w:tcBorders>
            <w:shd w:val="clear" w:color="auto" w:fill="B48C41"/>
            <w:hideMark/>
          </w:tcPr>
          <w:p w14:paraId="5F761D57"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CONCEPTO</w:t>
            </w:r>
          </w:p>
        </w:tc>
        <w:tc>
          <w:tcPr>
            <w:tcW w:w="945" w:type="dxa"/>
            <w:tcBorders>
              <w:top w:val="single" w:sz="4" w:space="0" w:color="auto"/>
              <w:left w:val="nil"/>
              <w:bottom w:val="single" w:sz="4" w:space="0" w:color="auto"/>
              <w:right w:val="single" w:sz="4" w:space="0" w:color="auto"/>
            </w:tcBorders>
            <w:shd w:val="clear" w:color="auto" w:fill="B48C41"/>
            <w:hideMark/>
          </w:tcPr>
          <w:p w14:paraId="5150828C" w14:textId="77777777" w:rsidR="00273288" w:rsidRPr="00E33DE3" w:rsidRDefault="00273288" w:rsidP="00C65B25">
            <w:pPr>
              <w:ind w:left="-38"/>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CIFRA</w:t>
            </w:r>
          </w:p>
        </w:tc>
        <w:tc>
          <w:tcPr>
            <w:tcW w:w="2737" w:type="dxa"/>
            <w:tcBorders>
              <w:top w:val="single" w:sz="4" w:space="0" w:color="auto"/>
              <w:left w:val="nil"/>
              <w:bottom w:val="single" w:sz="4" w:space="0" w:color="auto"/>
              <w:right w:val="single" w:sz="4" w:space="0" w:color="auto"/>
            </w:tcBorders>
            <w:shd w:val="clear" w:color="auto" w:fill="B48C41"/>
            <w:hideMark/>
          </w:tcPr>
          <w:p w14:paraId="18AD1CF0"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CONTEMPLADO EN</w:t>
            </w:r>
          </w:p>
        </w:tc>
      </w:tr>
      <w:tr w:rsidR="00273288" w:rsidRPr="00E33DE3" w14:paraId="511364F1" w14:textId="77777777" w:rsidTr="00273288">
        <w:trPr>
          <w:trHeight w:val="20"/>
        </w:trPr>
        <w:tc>
          <w:tcPr>
            <w:tcW w:w="811" w:type="dxa"/>
            <w:tcBorders>
              <w:top w:val="nil"/>
              <w:left w:val="single" w:sz="4" w:space="0" w:color="auto"/>
              <w:bottom w:val="single" w:sz="4" w:space="0" w:color="auto"/>
              <w:right w:val="single" w:sz="4" w:space="0" w:color="auto"/>
            </w:tcBorders>
            <w:noWrap/>
            <w:hideMark/>
          </w:tcPr>
          <w:p w14:paraId="485ED5A5"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2018</w:t>
            </w:r>
          </w:p>
        </w:tc>
        <w:tc>
          <w:tcPr>
            <w:tcW w:w="4335" w:type="dxa"/>
            <w:tcBorders>
              <w:top w:val="nil"/>
              <w:left w:val="nil"/>
              <w:bottom w:val="single" w:sz="4" w:space="0" w:color="auto"/>
              <w:right w:val="single" w:sz="4" w:space="0" w:color="auto"/>
            </w:tcBorders>
            <w:noWrap/>
            <w:hideMark/>
          </w:tcPr>
          <w:p w14:paraId="7936E39E"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Incremento de Antigüedad</w:t>
            </w:r>
          </w:p>
        </w:tc>
        <w:tc>
          <w:tcPr>
            <w:tcW w:w="945" w:type="dxa"/>
            <w:tcBorders>
              <w:top w:val="nil"/>
              <w:left w:val="nil"/>
              <w:bottom w:val="single" w:sz="4" w:space="0" w:color="auto"/>
              <w:right w:val="single" w:sz="4" w:space="0" w:color="auto"/>
            </w:tcBorders>
            <w:noWrap/>
            <w:hideMark/>
          </w:tcPr>
          <w:p w14:paraId="49C72BF2"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28</w:t>
            </w:r>
          </w:p>
        </w:tc>
        <w:tc>
          <w:tcPr>
            <w:tcW w:w="2737" w:type="dxa"/>
            <w:tcBorders>
              <w:top w:val="nil"/>
              <w:left w:val="nil"/>
              <w:bottom w:val="single" w:sz="4" w:space="0" w:color="auto"/>
              <w:right w:val="single" w:sz="4" w:space="0" w:color="auto"/>
            </w:tcBorders>
            <w:noWrap/>
            <w:hideMark/>
          </w:tcPr>
          <w:p w14:paraId="78EDAD04"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Ejecución Presupuestal</w:t>
            </w:r>
          </w:p>
        </w:tc>
      </w:tr>
      <w:tr w:rsidR="00273288" w:rsidRPr="00E33DE3" w14:paraId="66337A70" w14:textId="77777777" w:rsidTr="00273288">
        <w:trPr>
          <w:trHeight w:val="20"/>
        </w:trPr>
        <w:tc>
          <w:tcPr>
            <w:tcW w:w="811" w:type="dxa"/>
            <w:tcBorders>
              <w:top w:val="nil"/>
              <w:left w:val="single" w:sz="4" w:space="0" w:color="auto"/>
              <w:bottom w:val="single" w:sz="4" w:space="0" w:color="auto"/>
              <w:right w:val="single" w:sz="4" w:space="0" w:color="auto"/>
            </w:tcBorders>
            <w:noWrap/>
            <w:hideMark/>
          </w:tcPr>
          <w:p w14:paraId="7014605E"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2018</w:t>
            </w:r>
          </w:p>
        </w:tc>
        <w:tc>
          <w:tcPr>
            <w:tcW w:w="4335" w:type="dxa"/>
            <w:tcBorders>
              <w:top w:val="nil"/>
              <w:left w:val="nil"/>
              <w:bottom w:val="single" w:sz="4" w:space="0" w:color="auto"/>
              <w:right w:val="single" w:sz="4" w:space="0" w:color="auto"/>
            </w:tcBorders>
            <w:noWrap/>
            <w:hideMark/>
          </w:tcPr>
          <w:p w14:paraId="58C1E8CA"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Bienestar Social y estímulos administrativos al personal de las I.E.</w:t>
            </w:r>
          </w:p>
        </w:tc>
        <w:tc>
          <w:tcPr>
            <w:tcW w:w="945" w:type="dxa"/>
            <w:tcBorders>
              <w:top w:val="nil"/>
              <w:left w:val="nil"/>
              <w:bottom w:val="single" w:sz="4" w:space="0" w:color="auto"/>
              <w:right w:val="single" w:sz="4" w:space="0" w:color="auto"/>
            </w:tcBorders>
            <w:noWrap/>
            <w:hideMark/>
          </w:tcPr>
          <w:p w14:paraId="220C63ED"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58</w:t>
            </w:r>
          </w:p>
        </w:tc>
        <w:tc>
          <w:tcPr>
            <w:tcW w:w="2737" w:type="dxa"/>
            <w:tcBorders>
              <w:top w:val="nil"/>
              <w:left w:val="nil"/>
              <w:bottom w:val="single" w:sz="4" w:space="0" w:color="auto"/>
              <w:right w:val="single" w:sz="4" w:space="0" w:color="auto"/>
            </w:tcBorders>
            <w:noWrap/>
            <w:hideMark/>
          </w:tcPr>
          <w:p w14:paraId="50624D12"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Ejecución Presupuestal</w:t>
            </w:r>
          </w:p>
        </w:tc>
      </w:tr>
      <w:tr w:rsidR="00273288" w:rsidRPr="00E33DE3" w14:paraId="4F9D8377" w14:textId="77777777" w:rsidTr="00273288">
        <w:trPr>
          <w:trHeight w:val="20"/>
        </w:trPr>
        <w:tc>
          <w:tcPr>
            <w:tcW w:w="811" w:type="dxa"/>
            <w:tcBorders>
              <w:top w:val="nil"/>
              <w:left w:val="single" w:sz="4" w:space="0" w:color="auto"/>
              <w:bottom w:val="single" w:sz="4" w:space="0" w:color="auto"/>
              <w:right w:val="single" w:sz="4" w:space="0" w:color="auto"/>
            </w:tcBorders>
            <w:noWrap/>
            <w:hideMark/>
          </w:tcPr>
          <w:p w14:paraId="5FECFECA"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2018</w:t>
            </w:r>
          </w:p>
        </w:tc>
        <w:tc>
          <w:tcPr>
            <w:tcW w:w="4335" w:type="dxa"/>
            <w:tcBorders>
              <w:top w:val="nil"/>
              <w:left w:val="nil"/>
              <w:bottom w:val="single" w:sz="4" w:space="0" w:color="auto"/>
              <w:right w:val="single" w:sz="4" w:space="0" w:color="auto"/>
            </w:tcBorders>
            <w:noWrap/>
            <w:hideMark/>
          </w:tcPr>
          <w:p w14:paraId="21F77F00"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Bienestar Social y estímulos al personal directivo docente</w:t>
            </w:r>
          </w:p>
        </w:tc>
        <w:tc>
          <w:tcPr>
            <w:tcW w:w="945" w:type="dxa"/>
            <w:tcBorders>
              <w:top w:val="nil"/>
              <w:left w:val="nil"/>
              <w:bottom w:val="single" w:sz="4" w:space="0" w:color="auto"/>
              <w:right w:val="single" w:sz="4" w:space="0" w:color="auto"/>
            </w:tcBorders>
            <w:noWrap/>
            <w:hideMark/>
          </w:tcPr>
          <w:p w14:paraId="2ECFE0E4"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18</w:t>
            </w:r>
          </w:p>
        </w:tc>
        <w:tc>
          <w:tcPr>
            <w:tcW w:w="2737" w:type="dxa"/>
            <w:tcBorders>
              <w:top w:val="nil"/>
              <w:left w:val="nil"/>
              <w:bottom w:val="single" w:sz="4" w:space="0" w:color="auto"/>
              <w:right w:val="single" w:sz="4" w:space="0" w:color="auto"/>
            </w:tcBorders>
            <w:noWrap/>
            <w:hideMark/>
          </w:tcPr>
          <w:p w14:paraId="77F36603"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Ejecución Presupuestal</w:t>
            </w:r>
          </w:p>
        </w:tc>
      </w:tr>
      <w:tr w:rsidR="00273288" w:rsidRPr="00E33DE3" w14:paraId="5CAF4FB9" w14:textId="77777777" w:rsidTr="00273288">
        <w:trPr>
          <w:trHeight w:val="20"/>
        </w:trPr>
        <w:tc>
          <w:tcPr>
            <w:tcW w:w="811" w:type="dxa"/>
            <w:tcBorders>
              <w:top w:val="nil"/>
              <w:left w:val="single" w:sz="4" w:space="0" w:color="auto"/>
              <w:bottom w:val="single" w:sz="4" w:space="0" w:color="auto"/>
              <w:right w:val="single" w:sz="4" w:space="0" w:color="auto"/>
            </w:tcBorders>
            <w:noWrap/>
            <w:hideMark/>
          </w:tcPr>
          <w:p w14:paraId="68C9482A"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2018</w:t>
            </w:r>
          </w:p>
        </w:tc>
        <w:tc>
          <w:tcPr>
            <w:tcW w:w="4335" w:type="dxa"/>
            <w:tcBorders>
              <w:top w:val="nil"/>
              <w:left w:val="nil"/>
              <w:bottom w:val="single" w:sz="4" w:space="0" w:color="auto"/>
              <w:right w:val="single" w:sz="4" w:space="0" w:color="auto"/>
            </w:tcBorders>
            <w:hideMark/>
          </w:tcPr>
          <w:p w14:paraId="0CE26E98"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Costos derivados al mejoramiento de la calidad educativa</w:t>
            </w:r>
          </w:p>
        </w:tc>
        <w:tc>
          <w:tcPr>
            <w:tcW w:w="945" w:type="dxa"/>
            <w:tcBorders>
              <w:top w:val="nil"/>
              <w:left w:val="nil"/>
              <w:bottom w:val="single" w:sz="4" w:space="0" w:color="auto"/>
              <w:right w:val="single" w:sz="4" w:space="0" w:color="auto"/>
            </w:tcBorders>
            <w:noWrap/>
            <w:hideMark/>
          </w:tcPr>
          <w:p w14:paraId="65B96FF1"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1.252</w:t>
            </w:r>
          </w:p>
        </w:tc>
        <w:tc>
          <w:tcPr>
            <w:tcW w:w="2737" w:type="dxa"/>
            <w:tcBorders>
              <w:top w:val="nil"/>
              <w:left w:val="nil"/>
              <w:bottom w:val="single" w:sz="4" w:space="0" w:color="auto"/>
              <w:right w:val="single" w:sz="4" w:space="0" w:color="auto"/>
            </w:tcBorders>
            <w:noWrap/>
            <w:hideMark/>
          </w:tcPr>
          <w:p w14:paraId="16086FA2"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Ejecución Presupuestal</w:t>
            </w:r>
          </w:p>
        </w:tc>
      </w:tr>
      <w:tr w:rsidR="00273288" w:rsidRPr="00E33DE3" w14:paraId="585098C6" w14:textId="77777777" w:rsidTr="00273288">
        <w:trPr>
          <w:trHeight w:val="421"/>
        </w:trPr>
        <w:tc>
          <w:tcPr>
            <w:tcW w:w="811" w:type="dxa"/>
            <w:tcBorders>
              <w:top w:val="nil"/>
              <w:left w:val="single" w:sz="4" w:space="0" w:color="auto"/>
              <w:bottom w:val="single" w:sz="4" w:space="0" w:color="auto"/>
              <w:right w:val="single" w:sz="4" w:space="0" w:color="auto"/>
            </w:tcBorders>
            <w:noWrap/>
            <w:hideMark/>
          </w:tcPr>
          <w:p w14:paraId="4C925D0C"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2018</w:t>
            </w:r>
          </w:p>
        </w:tc>
        <w:tc>
          <w:tcPr>
            <w:tcW w:w="4335" w:type="dxa"/>
            <w:tcBorders>
              <w:top w:val="nil"/>
              <w:left w:val="nil"/>
              <w:bottom w:val="single" w:sz="4" w:space="0" w:color="auto"/>
              <w:right w:val="single" w:sz="4" w:space="0" w:color="auto"/>
            </w:tcBorders>
            <w:noWrap/>
            <w:hideMark/>
          </w:tcPr>
          <w:p w14:paraId="26088455" w14:textId="77777777" w:rsidR="00273288" w:rsidRPr="00E33DE3" w:rsidRDefault="00273288" w:rsidP="00C65B25">
            <w:pPr>
              <w:ind w:left="79" w:hanging="79"/>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Participación en los juegos nacionales docentes</w:t>
            </w:r>
          </w:p>
        </w:tc>
        <w:tc>
          <w:tcPr>
            <w:tcW w:w="945" w:type="dxa"/>
            <w:tcBorders>
              <w:top w:val="nil"/>
              <w:left w:val="nil"/>
              <w:bottom w:val="single" w:sz="4" w:space="0" w:color="auto"/>
              <w:right w:val="single" w:sz="4" w:space="0" w:color="auto"/>
            </w:tcBorders>
            <w:noWrap/>
            <w:hideMark/>
          </w:tcPr>
          <w:p w14:paraId="2FC964BB"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12</w:t>
            </w:r>
          </w:p>
        </w:tc>
        <w:tc>
          <w:tcPr>
            <w:tcW w:w="2737" w:type="dxa"/>
            <w:tcBorders>
              <w:top w:val="nil"/>
              <w:left w:val="nil"/>
              <w:bottom w:val="single" w:sz="4" w:space="0" w:color="auto"/>
              <w:right w:val="single" w:sz="4" w:space="0" w:color="auto"/>
            </w:tcBorders>
            <w:noWrap/>
            <w:hideMark/>
          </w:tcPr>
          <w:p w14:paraId="5C2A2815"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Ejecución Presupuestal</w:t>
            </w:r>
          </w:p>
        </w:tc>
      </w:tr>
      <w:tr w:rsidR="00273288" w:rsidRPr="00E33DE3" w14:paraId="233BDE7D" w14:textId="77777777" w:rsidTr="00273288">
        <w:trPr>
          <w:trHeight w:val="20"/>
        </w:trPr>
        <w:tc>
          <w:tcPr>
            <w:tcW w:w="811" w:type="dxa"/>
            <w:tcBorders>
              <w:top w:val="nil"/>
              <w:left w:val="single" w:sz="4" w:space="0" w:color="auto"/>
              <w:bottom w:val="single" w:sz="4" w:space="0" w:color="auto"/>
              <w:right w:val="single" w:sz="4" w:space="0" w:color="auto"/>
            </w:tcBorders>
            <w:noWrap/>
            <w:hideMark/>
          </w:tcPr>
          <w:p w14:paraId="2701DA65"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2019</w:t>
            </w:r>
          </w:p>
        </w:tc>
        <w:tc>
          <w:tcPr>
            <w:tcW w:w="4335" w:type="dxa"/>
            <w:tcBorders>
              <w:top w:val="nil"/>
              <w:left w:val="nil"/>
              <w:bottom w:val="single" w:sz="4" w:space="0" w:color="auto"/>
              <w:right w:val="single" w:sz="4" w:space="0" w:color="auto"/>
            </w:tcBorders>
            <w:noWrap/>
            <w:hideMark/>
          </w:tcPr>
          <w:p w14:paraId="0D240ED7"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Incremento de Antigüedad</w:t>
            </w:r>
          </w:p>
        </w:tc>
        <w:tc>
          <w:tcPr>
            <w:tcW w:w="945" w:type="dxa"/>
            <w:tcBorders>
              <w:top w:val="nil"/>
              <w:left w:val="nil"/>
              <w:bottom w:val="single" w:sz="4" w:space="0" w:color="auto"/>
              <w:right w:val="single" w:sz="4" w:space="0" w:color="auto"/>
            </w:tcBorders>
            <w:noWrap/>
            <w:hideMark/>
          </w:tcPr>
          <w:p w14:paraId="3B59FFC9"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29</w:t>
            </w:r>
          </w:p>
        </w:tc>
        <w:tc>
          <w:tcPr>
            <w:tcW w:w="2737" w:type="dxa"/>
            <w:tcBorders>
              <w:top w:val="nil"/>
              <w:left w:val="nil"/>
              <w:bottom w:val="single" w:sz="4" w:space="0" w:color="auto"/>
              <w:right w:val="single" w:sz="4" w:space="0" w:color="auto"/>
            </w:tcBorders>
            <w:noWrap/>
            <w:hideMark/>
          </w:tcPr>
          <w:p w14:paraId="06B685E9"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Ejecución Presupuestal</w:t>
            </w:r>
          </w:p>
        </w:tc>
      </w:tr>
      <w:tr w:rsidR="00273288" w:rsidRPr="00E33DE3" w14:paraId="1CD7137A" w14:textId="77777777" w:rsidTr="00273288">
        <w:trPr>
          <w:trHeight w:val="20"/>
        </w:trPr>
        <w:tc>
          <w:tcPr>
            <w:tcW w:w="811" w:type="dxa"/>
            <w:tcBorders>
              <w:top w:val="nil"/>
              <w:left w:val="single" w:sz="4" w:space="0" w:color="auto"/>
              <w:bottom w:val="single" w:sz="4" w:space="0" w:color="auto"/>
              <w:right w:val="single" w:sz="4" w:space="0" w:color="auto"/>
            </w:tcBorders>
            <w:noWrap/>
            <w:hideMark/>
          </w:tcPr>
          <w:p w14:paraId="4AD326A5"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2019</w:t>
            </w:r>
          </w:p>
        </w:tc>
        <w:tc>
          <w:tcPr>
            <w:tcW w:w="4335" w:type="dxa"/>
            <w:tcBorders>
              <w:top w:val="nil"/>
              <w:left w:val="nil"/>
              <w:bottom w:val="single" w:sz="4" w:space="0" w:color="auto"/>
              <w:right w:val="single" w:sz="4" w:space="0" w:color="auto"/>
            </w:tcBorders>
            <w:noWrap/>
            <w:hideMark/>
          </w:tcPr>
          <w:p w14:paraId="217E5B7D"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Bienestar Social y estímulos administrativos al personal de las I.E.</w:t>
            </w:r>
          </w:p>
        </w:tc>
        <w:tc>
          <w:tcPr>
            <w:tcW w:w="945" w:type="dxa"/>
            <w:tcBorders>
              <w:top w:val="nil"/>
              <w:left w:val="nil"/>
              <w:bottom w:val="single" w:sz="4" w:space="0" w:color="auto"/>
              <w:right w:val="single" w:sz="4" w:space="0" w:color="auto"/>
            </w:tcBorders>
            <w:noWrap/>
            <w:hideMark/>
          </w:tcPr>
          <w:p w14:paraId="07889232"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31</w:t>
            </w:r>
          </w:p>
        </w:tc>
        <w:tc>
          <w:tcPr>
            <w:tcW w:w="2737" w:type="dxa"/>
            <w:tcBorders>
              <w:top w:val="nil"/>
              <w:left w:val="nil"/>
              <w:bottom w:val="single" w:sz="4" w:space="0" w:color="auto"/>
              <w:right w:val="single" w:sz="4" w:space="0" w:color="auto"/>
            </w:tcBorders>
            <w:noWrap/>
            <w:hideMark/>
          </w:tcPr>
          <w:p w14:paraId="1D5D3C18"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Ejecución Presupuestal</w:t>
            </w:r>
          </w:p>
        </w:tc>
      </w:tr>
      <w:tr w:rsidR="00273288" w:rsidRPr="00E33DE3" w14:paraId="5C86147C" w14:textId="77777777" w:rsidTr="00273288">
        <w:trPr>
          <w:trHeight w:val="20"/>
        </w:trPr>
        <w:tc>
          <w:tcPr>
            <w:tcW w:w="811" w:type="dxa"/>
            <w:tcBorders>
              <w:top w:val="nil"/>
              <w:left w:val="single" w:sz="4" w:space="0" w:color="auto"/>
              <w:bottom w:val="single" w:sz="4" w:space="0" w:color="auto"/>
              <w:right w:val="single" w:sz="4" w:space="0" w:color="auto"/>
            </w:tcBorders>
            <w:noWrap/>
            <w:hideMark/>
          </w:tcPr>
          <w:p w14:paraId="0212EFFD"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2019</w:t>
            </w:r>
          </w:p>
        </w:tc>
        <w:tc>
          <w:tcPr>
            <w:tcW w:w="4335" w:type="dxa"/>
            <w:tcBorders>
              <w:top w:val="nil"/>
              <w:left w:val="nil"/>
              <w:bottom w:val="single" w:sz="4" w:space="0" w:color="auto"/>
              <w:right w:val="single" w:sz="4" w:space="0" w:color="auto"/>
            </w:tcBorders>
            <w:noWrap/>
            <w:hideMark/>
          </w:tcPr>
          <w:p w14:paraId="2B8D6705"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Bienestar Social y estímulos al personal directivo docente</w:t>
            </w:r>
          </w:p>
        </w:tc>
        <w:tc>
          <w:tcPr>
            <w:tcW w:w="945" w:type="dxa"/>
            <w:tcBorders>
              <w:top w:val="nil"/>
              <w:left w:val="nil"/>
              <w:bottom w:val="single" w:sz="4" w:space="0" w:color="auto"/>
              <w:right w:val="single" w:sz="4" w:space="0" w:color="auto"/>
            </w:tcBorders>
            <w:noWrap/>
            <w:hideMark/>
          </w:tcPr>
          <w:p w14:paraId="6AB607CD"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18</w:t>
            </w:r>
          </w:p>
        </w:tc>
        <w:tc>
          <w:tcPr>
            <w:tcW w:w="2737" w:type="dxa"/>
            <w:tcBorders>
              <w:top w:val="nil"/>
              <w:left w:val="nil"/>
              <w:bottom w:val="single" w:sz="4" w:space="0" w:color="auto"/>
              <w:right w:val="single" w:sz="4" w:space="0" w:color="auto"/>
            </w:tcBorders>
            <w:noWrap/>
            <w:hideMark/>
          </w:tcPr>
          <w:p w14:paraId="64564446"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Ejecución Presupuestal</w:t>
            </w:r>
          </w:p>
        </w:tc>
      </w:tr>
      <w:tr w:rsidR="00273288" w:rsidRPr="00E33DE3" w14:paraId="6CC33586" w14:textId="77777777" w:rsidTr="00273288">
        <w:trPr>
          <w:trHeight w:val="20"/>
        </w:trPr>
        <w:tc>
          <w:tcPr>
            <w:tcW w:w="811" w:type="dxa"/>
            <w:tcBorders>
              <w:top w:val="nil"/>
              <w:left w:val="single" w:sz="4" w:space="0" w:color="auto"/>
              <w:bottom w:val="single" w:sz="4" w:space="0" w:color="auto"/>
              <w:right w:val="single" w:sz="4" w:space="0" w:color="auto"/>
            </w:tcBorders>
            <w:noWrap/>
            <w:hideMark/>
          </w:tcPr>
          <w:p w14:paraId="1ECCB7D5"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2019</w:t>
            </w:r>
          </w:p>
        </w:tc>
        <w:tc>
          <w:tcPr>
            <w:tcW w:w="4335" w:type="dxa"/>
            <w:tcBorders>
              <w:top w:val="nil"/>
              <w:left w:val="nil"/>
              <w:bottom w:val="single" w:sz="4" w:space="0" w:color="auto"/>
              <w:right w:val="single" w:sz="4" w:space="0" w:color="auto"/>
            </w:tcBorders>
            <w:noWrap/>
            <w:hideMark/>
          </w:tcPr>
          <w:p w14:paraId="2EB5379A"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Viáticos y gastos de viaje participación juegos nacionales</w:t>
            </w:r>
          </w:p>
        </w:tc>
        <w:tc>
          <w:tcPr>
            <w:tcW w:w="945" w:type="dxa"/>
            <w:tcBorders>
              <w:top w:val="nil"/>
              <w:left w:val="nil"/>
              <w:bottom w:val="single" w:sz="4" w:space="0" w:color="auto"/>
              <w:right w:val="single" w:sz="4" w:space="0" w:color="auto"/>
            </w:tcBorders>
            <w:noWrap/>
            <w:hideMark/>
          </w:tcPr>
          <w:p w14:paraId="7922E4E3"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17</w:t>
            </w:r>
          </w:p>
        </w:tc>
        <w:tc>
          <w:tcPr>
            <w:tcW w:w="2737" w:type="dxa"/>
            <w:tcBorders>
              <w:top w:val="nil"/>
              <w:left w:val="nil"/>
              <w:bottom w:val="single" w:sz="4" w:space="0" w:color="auto"/>
              <w:right w:val="single" w:sz="4" w:space="0" w:color="auto"/>
            </w:tcBorders>
            <w:noWrap/>
            <w:hideMark/>
          </w:tcPr>
          <w:p w14:paraId="4AB3BF6A"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Ejecución Presupuestal</w:t>
            </w:r>
          </w:p>
        </w:tc>
      </w:tr>
      <w:tr w:rsidR="00273288" w:rsidRPr="00E33DE3" w14:paraId="7D5F12D9" w14:textId="77777777" w:rsidTr="00273288">
        <w:trPr>
          <w:trHeight w:val="20"/>
        </w:trPr>
        <w:tc>
          <w:tcPr>
            <w:tcW w:w="811" w:type="dxa"/>
            <w:tcBorders>
              <w:top w:val="nil"/>
              <w:left w:val="single" w:sz="4" w:space="0" w:color="auto"/>
              <w:bottom w:val="single" w:sz="4" w:space="0" w:color="auto"/>
              <w:right w:val="single" w:sz="4" w:space="0" w:color="auto"/>
            </w:tcBorders>
            <w:noWrap/>
            <w:hideMark/>
          </w:tcPr>
          <w:p w14:paraId="17E944BA"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lastRenderedPageBreak/>
              <w:t>2019</w:t>
            </w:r>
          </w:p>
        </w:tc>
        <w:tc>
          <w:tcPr>
            <w:tcW w:w="4335" w:type="dxa"/>
            <w:tcBorders>
              <w:top w:val="nil"/>
              <w:left w:val="nil"/>
              <w:bottom w:val="single" w:sz="4" w:space="0" w:color="auto"/>
              <w:right w:val="single" w:sz="4" w:space="0" w:color="auto"/>
            </w:tcBorders>
            <w:noWrap/>
            <w:hideMark/>
          </w:tcPr>
          <w:p w14:paraId="6AFE4E89"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Participación en los juegos nacionales docentes</w:t>
            </w:r>
          </w:p>
        </w:tc>
        <w:tc>
          <w:tcPr>
            <w:tcW w:w="945" w:type="dxa"/>
            <w:tcBorders>
              <w:top w:val="nil"/>
              <w:left w:val="nil"/>
              <w:bottom w:val="single" w:sz="4" w:space="0" w:color="auto"/>
              <w:right w:val="single" w:sz="4" w:space="0" w:color="auto"/>
            </w:tcBorders>
            <w:noWrap/>
            <w:hideMark/>
          </w:tcPr>
          <w:p w14:paraId="3917DC19"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3</w:t>
            </w:r>
          </w:p>
        </w:tc>
        <w:tc>
          <w:tcPr>
            <w:tcW w:w="2737" w:type="dxa"/>
            <w:tcBorders>
              <w:top w:val="nil"/>
              <w:left w:val="nil"/>
              <w:bottom w:val="single" w:sz="4" w:space="0" w:color="auto"/>
              <w:right w:val="single" w:sz="4" w:space="0" w:color="auto"/>
            </w:tcBorders>
            <w:noWrap/>
            <w:hideMark/>
          </w:tcPr>
          <w:p w14:paraId="63638E83"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Ejecución Presupuestal</w:t>
            </w:r>
          </w:p>
        </w:tc>
      </w:tr>
      <w:tr w:rsidR="00273288" w:rsidRPr="00E33DE3" w14:paraId="68D32743" w14:textId="77777777" w:rsidTr="00273288">
        <w:trPr>
          <w:trHeight w:val="619"/>
        </w:trPr>
        <w:tc>
          <w:tcPr>
            <w:tcW w:w="811" w:type="dxa"/>
            <w:tcBorders>
              <w:top w:val="nil"/>
              <w:left w:val="single" w:sz="4" w:space="0" w:color="auto"/>
              <w:bottom w:val="single" w:sz="4" w:space="0" w:color="auto"/>
              <w:right w:val="single" w:sz="4" w:space="0" w:color="auto"/>
            </w:tcBorders>
            <w:noWrap/>
            <w:hideMark/>
          </w:tcPr>
          <w:p w14:paraId="4363182D"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2019</w:t>
            </w:r>
          </w:p>
        </w:tc>
        <w:tc>
          <w:tcPr>
            <w:tcW w:w="4335" w:type="dxa"/>
            <w:tcBorders>
              <w:top w:val="nil"/>
              <w:left w:val="nil"/>
              <w:bottom w:val="single" w:sz="4" w:space="0" w:color="auto"/>
              <w:right w:val="single" w:sz="4" w:space="0" w:color="auto"/>
            </w:tcBorders>
            <w:noWrap/>
            <w:hideMark/>
          </w:tcPr>
          <w:p w14:paraId="4BA34E3D"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Capacitación, viáticos y gastos de viaje rectores y directores de las IEM y CEM.</w:t>
            </w:r>
          </w:p>
        </w:tc>
        <w:tc>
          <w:tcPr>
            <w:tcW w:w="945" w:type="dxa"/>
            <w:tcBorders>
              <w:top w:val="nil"/>
              <w:left w:val="nil"/>
              <w:bottom w:val="single" w:sz="4" w:space="0" w:color="auto"/>
              <w:right w:val="single" w:sz="4" w:space="0" w:color="auto"/>
            </w:tcBorders>
            <w:noWrap/>
            <w:hideMark/>
          </w:tcPr>
          <w:p w14:paraId="52FD5679"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73</w:t>
            </w:r>
          </w:p>
        </w:tc>
        <w:tc>
          <w:tcPr>
            <w:tcW w:w="2737" w:type="dxa"/>
            <w:tcBorders>
              <w:top w:val="nil"/>
              <w:left w:val="nil"/>
              <w:bottom w:val="single" w:sz="4" w:space="0" w:color="auto"/>
              <w:right w:val="single" w:sz="4" w:space="0" w:color="auto"/>
            </w:tcBorders>
            <w:noWrap/>
            <w:hideMark/>
          </w:tcPr>
          <w:p w14:paraId="5BEB3167"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Ejecución Presupuestal</w:t>
            </w:r>
          </w:p>
        </w:tc>
      </w:tr>
      <w:tr w:rsidR="00273288" w:rsidRPr="00E33DE3" w14:paraId="02A95BDF" w14:textId="77777777" w:rsidTr="00273288">
        <w:trPr>
          <w:trHeight w:val="20"/>
        </w:trPr>
        <w:tc>
          <w:tcPr>
            <w:tcW w:w="811" w:type="dxa"/>
            <w:tcBorders>
              <w:top w:val="nil"/>
              <w:left w:val="single" w:sz="4" w:space="0" w:color="auto"/>
              <w:bottom w:val="single" w:sz="4" w:space="0" w:color="auto"/>
              <w:right w:val="single" w:sz="4" w:space="0" w:color="auto"/>
            </w:tcBorders>
            <w:noWrap/>
            <w:hideMark/>
          </w:tcPr>
          <w:p w14:paraId="0796364C"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2020</w:t>
            </w:r>
          </w:p>
        </w:tc>
        <w:tc>
          <w:tcPr>
            <w:tcW w:w="4335" w:type="dxa"/>
            <w:tcBorders>
              <w:top w:val="nil"/>
              <w:left w:val="nil"/>
              <w:bottom w:val="single" w:sz="4" w:space="0" w:color="auto"/>
              <w:right w:val="single" w:sz="4" w:space="0" w:color="auto"/>
            </w:tcBorders>
            <w:noWrap/>
            <w:hideMark/>
          </w:tcPr>
          <w:p w14:paraId="28ADA5E0"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Incremento de Antigüedad</w:t>
            </w:r>
          </w:p>
        </w:tc>
        <w:tc>
          <w:tcPr>
            <w:tcW w:w="945" w:type="dxa"/>
            <w:tcBorders>
              <w:top w:val="nil"/>
              <w:left w:val="nil"/>
              <w:bottom w:val="single" w:sz="4" w:space="0" w:color="auto"/>
              <w:right w:val="single" w:sz="4" w:space="0" w:color="auto"/>
            </w:tcBorders>
            <w:noWrap/>
            <w:hideMark/>
          </w:tcPr>
          <w:p w14:paraId="28C158EB"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6</w:t>
            </w:r>
          </w:p>
        </w:tc>
        <w:tc>
          <w:tcPr>
            <w:tcW w:w="2737" w:type="dxa"/>
            <w:tcBorders>
              <w:top w:val="nil"/>
              <w:left w:val="nil"/>
              <w:bottom w:val="single" w:sz="4" w:space="0" w:color="auto"/>
              <w:right w:val="single" w:sz="4" w:space="0" w:color="auto"/>
            </w:tcBorders>
            <w:noWrap/>
            <w:hideMark/>
          </w:tcPr>
          <w:p w14:paraId="1C7D0158"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Información enviada por la E.T</w:t>
            </w:r>
          </w:p>
        </w:tc>
      </w:tr>
      <w:tr w:rsidR="00273288" w:rsidRPr="00E33DE3" w14:paraId="1F80FABD" w14:textId="77777777" w:rsidTr="00273288">
        <w:trPr>
          <w:trHeight w:val="20"/>
        </w:trPr>
        <w:tc>
          <w:tcPr>
            <w:tcW w:w="811" w:type="dxa"/>
            <w:tcBorders>
              <w:top w:val="nil"/>
              <w:left w:val="single" w:sz="4" w:space="0" w:color="auto"/>
              <w:bottom w:val="single" w:sz="4" w:space="0" w:color="auto"/>
              <w:right w:val="single" w:sz="4" w:space="0" w:color="auto"/>
            </w:tcBorders>
            <w:noWrap/>
            <w:hideMark/>
          </w:tcPr>
          <w:p w14:paraId="363637C1"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2021</w:t>
            </w:r>
          </w:p>
        </w:tc>
        <w:tc>
          <w:tcPr>
            <w:tcW w:w="4335" w:type="dxa"/>
            <w:tcBorders>
              <w:top w:val="nil"/>
              <w:left w:val="nil"/>
              <w:bottom w:val="single" w:sz="4" w:space="0" w:color="auto"/>
              <w:right w:val="single" w:sz="4" w:space="0" w:color="auto"/>
            </w:tcBorders>
            <w:noWrap/>
            <w:hideMark/>
          </w:tcPr>
          <w:p w14:paraId="5905B45E"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Incremento de Antigüedad</w:t>
            </w:r>
          </w:p>
        </w:tc>
        <w:tc>
          <w:tcPr>
            <w:tcW w:w="945" w:type="dxa"/>
            <w:tcBorders>
              <w:top w:val="nil"/>
              <w:left w:val="nil"/>
              <w:bottom w:val="single" w:sz="4" w:space="0" w:color="auto"/>
              <w:right w:val="single" w:sz="4" w:space="0" w:color="auto"/>
            </w:tcBorders>
            <w:noWrap/>
            <w:hideMark/>
          </w:tcPr>
          <w:p w14:paraId="4AE54F0B"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15</w:t>
            </w:r>
          </w:p>
        </w:tc>
        <w:tc>
          <w:tcPr>
            <w:tcW w:w="2737" w:type="dxa"/>
            <w:tcBorders>
              <w:top w:val="nil"/>
              <w:left w:val="nil"/>
              <w:bottom w:val="single" w:sz="4" w:space="0" w:color="auto"/>
              <w:right w:val="single" w:sz="4" w:space="0" w:color="auto"/>
            </w:tcBorders>
            <w:noWrap/>
            <w:hideMark/>
          </w:tcPr>
          <w:p w14:paraId="5A162B1E"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Información enviada por la E.T</w:t>
            </w:r>
          </w:p>
        </w:tc>
      </w:tr>
      <w:tr w:rsidR="00273288" w:rsidRPr="00E33DE3" w14:paraId="6D208F3C" w14:textId="77777777" w:rsidTr="00273288">
        <w:trPr>
          <w:trHeight w:val="20"/>
        </w:trPr>
        <w:tc>
          <w:tcPr>
            <w:tcW w:w="811" w:type="dxa"/>
            <w:tcBorders>
              <w:top w:val="nil"/>
              <w:left w:val="single" w:sz="4" w:space="0" w:color="auto"/>
              <w:bottom w:val="single" w:sz="4" w:space="0" w:color="auto"/>
              <w:right w:val="single" w:sz="4" w:space="0" w:color="auto"/>
            </w:tcBorders>
            <w:noWrap/>
            <w:hideMark/>
          </w:tcPr>
          <w:p w14:paraId="321FDA29"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2022</w:t>
            </w:r>
          </w:p>
        </w:tc>
        <w:tc>
          <w:tcPr>
            <w:tcW w:w="4335" w:type="dxa"/>
            <w:tcBorders>
              <w:top w:val="nil"/>
              <w:left w:val="nil"/>
              <w:bottom w:val="single" w:sz="4" w:space="0" w:color="auto"/>
              <w:right w:val="single" w:sz="4" w:space="0" w:color="auto"/>
            </w:tcBorders>
            <w:noWrap/>
            <w:hideMark/>
          </w:tcPr>
          <w:p w14:paraId="0B0124E6"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Incremento de Antigüedad</w:t>
            </w:r>
          </w:p>
        </w:tc>
        <w:tc>
          <w:tcPr>
            <w:tcW w:w="945" w:type="dxa"/>
            <w:tcBorders>
              <w:top w:val="nil"/>
              <w:left w:val="nil"/>
              <w:bottom w:val="single" w:sz="4" w:space="0" w:color="auto"/>
              <w:right w:val="single" w:sz="4" w:space="0" w:color="auto"/>
            </w:tcBorders>
            <w:noWrap/>
            <w:hideMark/>
          </w:tcPr>
          <w:p w14:paraId="45F14267"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18</w:t>
            </w:r>
          </w:p>
        </w:tc>
        <w:tc>
          <w:tcPr>
            <w:tcW w:w="2737" w:type="dxa"/>
            <w:tcBorders>
              <w:top w:val="nil"/>
              <w:left w:val="nil"/>
              <w:bottom w:val="single" w:sz="4" w:space="0" w:color="auto"/>
              <w:right w:val="single" w:sz="4" w:space="0" w:color="auto"/>
            </w:tcBorders>
            <w:noWrap/>
            <w:hideMark/>
          </w:tcPr>
          <w:p w14:paraId="538D41C2"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Información enviada por la E.T</w:t>
            </w:r>
          </w:p>
        </w:tc>
      </w:tr>
      <w:tr w:rsidR="00273288" w:rsidRPr="00E33DE3" w14:paraId="0A3B86CF" w14:textId="77777777" w:rsidTr="00273288">
        <w:trPr>
          <w:trHeight w:val="20"/>
        </w:trPr>
        <w:tc>
          <w:tcPr>
            <w:tcW w:w="811" w:type="dxa"/>
            <w:tcBorders>
              <w:top w:val="nil"/>
              <w:left w:val="single" w:sz="4" w:space="0" w:color="auto"/>
              <w:bottom w:val="single" w:sz="4" w:space="0" w:color="auto"/>
              <w:right w:val="single" w:sz="4" w:space="0" w:color="auto"/>
            </w:tcBorders>
            <w:noWrap/>
            <w:hideMark/>
          </w:tcPr>
          <w:p w14:paraId="1523CFE2"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2018</w:t>
            </w:r>
          </w:p>
        </w:tc>
        <w:tc>
          <w:tcPr>
            <w:tcW w:w="4335" w:type="dxa"/>
            <w:tcBorders>
              <w:top w:val="nil"/>
              <w:left w:val="nil"/>
              <w:bottom w:val="single" w:sz="4" w:space="0" w:color="auto"/>
              <w:right w:val="single" w:sz="4" w:space="0" w:color="auto"/>
            </w:tcBorders>
            <w:hideMark/>
          </w:tcPr>
          <w:p w14:paraId="19EAD7E9"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Operador logístico de los eventos de la secretaría de educación</w:t>
            </w:r>
          </w:p>
        </w:tc>
        <w:tc>
          <w:tcPr>
            <w:tcW w:w="945" w:type="dxa"/>
            <w:tcBorders>
              <w:top w:val="nil"/>
              <w:left w:val="nil"/>
              <w:bottom w:val="single" w:sz="4" w:space="0" w:color="auto"/>
              <w:right w:val="single" w:sz="4" w:space="0" w:color="auto"/>
            </w:tcBorders>
            <w:noWrap/>
            <w:hideMark/>
          </w:tcPr>
          <w:p w14:paraId="6169D212"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277*</w:t>
            </w:r>
          </w:p>
        </w:tc>
        <w:tc>
          <w:tcPr>
            <w:tcW w:w="2737" w:type="dxa"/>
            <w:tcBorders>
              <w:top w:val="nil"/>
              <w:left w:val="nil"/>
              <w:bottom w:val="single" w:sz="4" w:space="0" w:color="auto"/>
              <w:right w:val="single" w:sz="4" w:space="0" w:color="auto"/>
            </w:tcBorders>
            <w:noWrap/>
            <w:hideMark/>
          </w:tcPr>
          <w:p w14:paraId="33ACE0DE"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Contrato No. 20182709 de 2018</w:t>
            </w:r>
          </w:p>
        </w:tc>
      </w:tr>
      <w:tr w:rsidR="00273288" w:rsidRPr="00E33DE3" w14:paraId="21A3BD37" w14:textId="77777777" w:rsidTr="00273288">
        <w:trPr>
          <w:trHeight w:val="20"/>
        </w:trPr>
        <w:tc>
          <w:tcPr>
            <w:tcW w:w="811" w:type="dxa"/>
            <w:tcBorders>
              <w:top w:val="nil"/>
              <w:left w:val="single" w:sz="4" w:space="0" w:color="auto"/>
              <w:bottom w:val="single" w:sz="4" w:space="0" w:color="auto"/>
              <w:right w:val="single" w:sz="4" w:space="0" w:color="auto"/>
            </w:tcBorders>
            <w:noWrap/>
            <w:hideMark/>
          </w:tcPr>
          <w:p w14:paraId="28AF64BB"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2018</w:t>
            </w:r>
          </w:p>
        </w:tc>
        <w:tc>
          <w:tcPr>
            <w:tcW w:w="4335" w:type="dxa"/>
            <w:tcBorders>
              <w:top w:val="nil"/>
              <w:left w:val="nil"/>
              <w:bottom w:val="single" w:sz="4" w:space="0" w:color="auto"/>
              <w:right w:val="single" w:sz="4" w:space="0" w:color="auto"/>
            </w:tcBorders>
            <w:hideMark/>
          </w:tcPr>
          <w:p w14:paraId="6BB80FE1"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Capacitación a docentes y padres de familia</w:t>
            </w:r>
          </w:p>
        </w:tc>
        <w:tc>
          <w:tcPr>
            <w:tcW w:w="945" w:type="dxa"/>
            <w:tcBorders>
              <w:top w:val="nil"/>
              <w:left w:val="nil"/>
              <w:bottom w:val="single" w:sz="4" w:space="0" w:color="auto"/>
              <w:right w:val="single" w:sz="4" w:space="0" w:color="auto"/>
            </w:tcBorders>
            <w:noWrap/>
            <w:hideMark/>
          </w:tcPr>
          <w:p w14:paraId="0F46228D"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1.169*</w:t>
            </w:r>
          </w:p>
        </w:tc>
        <w:tc>
          <w:tcPr>
            <w:tcW w:w="2737" w:type="dxa"/>
            <w:tcBorders>
              <w:top w:val="nil"/>
              <w:left w:val="nil"/>
              <w:bottom w:val="single" w:sz="4" w:space="0" w:color="auto"/>
              <w:right w:val="single" w:sz="4" w:space="0" w:color="auto"/>
            </w:tcBorders>
            <w:noWrap/>
            <w:hideMark/>
          </w:tcPr>
          <w:p w14:paraId="10A83FC9"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Contrato No. 20182711 de 2018</w:t>
            </w:r>
          </w:p>
        </w:tc>
      </w:tr>
      <w:tr w:rsidR="00273288" w:rsidRPr="00E33DE3" w14:paraId="77AB2AF0" w14:textId="77777777" w:rsidTr="00273288">
        <w:trPr>
          <w:trHeight w:val="20"/>
        </w:trPr>
        <w:tc>
          <w:tcPr>
            <w:tcW w:w="811" w:type="dxa"/>
            <w:tcBorders>
              <w:top w:val="nil"/>
              <w:left w:val="single" w:sz="4" w:space="0" w:color="auto"/>
              <w:bottom w:val="single" w:sz="4" w:space="0" w:color="auto"/>
              <w:right w:val="single" w:sz="4" w:space="0" w:color="auto"/>
            </w:tcBorders>
            <w:noWrap/>
            <w:hideMark/>
          </w:tcPr>
          <w:p w14:paraId="219EAD7D"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2018</w:t>
            </w:r>
          </w:p>
        </w:tc>
        <w:tc>
          <w:tcPr>
            <w:tcW w:w="4335" w:type="dxa"/>
            <w:tcBorders>
              <w:top w:val="nil"/>
              <w:left w:val="nil"/>
              <w:bottom w:val="single" w:sz="4" w:space="0" w:color="auto"/>
              <w:right w:val="single" w:sz="4" w:space="0" w:color="auto"/>
            </w:tcBorders>
            <w:noWrap/>
            <w:hideMark/>
          </w:tcPr>
          <w:p w14:paraId="5F726B53"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Contratación de personal docente</w:t>
            </w:r>
          </w:p>
        </w:tc>
        <w:tc>
          <w:tcPr>
            <w:tcW w:w="945" w:type="dxa"/>
            <w:tcBorders>
              <w:top w:val="nil"/>
              <w:left w:val="nil"/>
              <w:bottom w:val="single" w:sz="4" w:space="0" w:color="auto"/>
              <w:right w:val="single" w:sz="4" w:space="0" w:color="auto"/>
            </w:tcBorders>
            <w:noWrap/>
            <w:hideMark/>
          </w:tcPr>
          <w:p w14:paraId="438C43F7"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807*</w:t>
            </w:r>
          </w:p>
        </w:tc>
        <w:tc>
          <w:tcPr>
            <w:tcW w:w="2737" w:type="dxa"/>
            <w:tcBorders>
              <w:top w:val="nil"/>
              <w:left w:val="nil"/>
              <w:bottom w:val="single" w:sz="4" w:space="0" w:color="auto"/>
              <w:right w:val="single" w:sz="4" w:space="0" w:color="auto"/>
            </w:tcBorders>
            <w:noWrap/>
            <w:hideMark/>
          </w:tcPr>
          <w:p w14:paraId="77183B63"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47 contratos en total</w:t>
            </w:r>
          </w:p>
        </w:tc>
      </w:tr>
      <w:tr w:rsidR="00273288" w:rsidRPr="00E33DE3" w14:paraId="585789F7" w14:textId="77777777" w:rsidTr="00273288">
        <w:trPr>
          <w:trHeight w:val="20"/>
        </w:trPr>
        <w:tc>
          <w:tcPr>
            <w:tcW w:w="811" w:type="dxa"/>
            <w:tcBorders>
              <w:top w:val="nil"/>
              <w:left w:val="single" w:sz="4" w:space="0" w:color="auto"/>
              <w:bottom w:val="single" w:sz="4" w:space="0" w:color="auto"/>
              <w:right w:val="single" w:sz="4" w:space="0" w:color="auto"/>
            </w:tcBorders>
            <w:noWrap/>
            <w:hideMark/>
          </w:tcPr>
          <w:p w14:paraId="7C9B41A1"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2019</w:t>
            </w:r>
          </w:p>
        </w:tc>
        <w:tc>
          <w:tcPr>
            <w:tcW w:w="4335" w:type="dxa"/>
            <w:tcBorders>
              <w:top w:val="nil"/>
              <w:left w:val="nil"/>
              <w:bottom w:val="single" w:sz="4" w:space="0" w:color="auto"/>
              <w:right w:val="single" w:sz="4" w:space="0" w:color="auto"/>
            </w:tcBorders>
            <w:hideMark/>
          </w:tcPr>
          <w:p w14:paraId="6B31B4D9"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Operador logístico de los eventos de la secretaría de educación</w:t>
            </w:r>
          </w:p>
        </w:tc>
        <w:tc>
          <w:tcPr>
            <w:tcW w:w="945" w:type="dxa"/>
            <w:tcBorders>
              <w:top w:val="nil"/>
              <w:left w:val="nil"/>
              <w:bottom w:val="single" w:sz="4" w:space="0" w:color="auto"/>
              <w:right w:val="single" w:sz="4" w:space="0" w:color="auto"/>
            </w:tcBorders>
            <w:noWrap/>
            <w:hideMark/>
          </w:tcPr>
          <w:p w14:paraId="6CF3D04E"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113*</w:t>
            </w:r>
          </w:p>
        </w:tc>
        <w:tc>
          <w:tcPr>
            <w:tcW w:w="2737" w:type="dxa"/>
            <w:tcBorders>
              <w:top w:val="nil"/>
              <w:left w:val="nil"/>
              <w:bottom w:val="single" w:sz="4" w:space="0" w:color="auto"/>
              <w:right w:val="single" w:sz="4" w:space="0" w:color="auto"/>
            </w:tcBorders>
            <w:hideMark/>
          </w:tcPr>
          <w:p w14:paraId="608B3AB1"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Contratos No. 20191602, 20193054 y 20192990 de 2019</w:t>
            </w:r>
          </w:p>
        </w:tc>
      </w:tr>
      <w:tr w:rsidR="00273288" w:rsidRPr="00E33DE3" w14:paraId="05A22C96" w14:textId="77777777" w:rsidTr="00273288">
        <w:trPr>
          <w:trHeight w:val="20"/>
        </w:trPr>
        <w:tc>
          <w:tcPr>
            <w:tcW w:w="811" w:type="dxa"/>
            <w:tcBorders>
              <w:top w:val="nil"/>
              <w:left w:val="single" w:sz="4" w:space="0" w:color="auto"/>
              <w:bottom w:val="single" w:sz="4" w:space="0" w:color="auto"/>
              <w:right w:val="single" w:sz="4" w:space="0" w:color="auto"/>
            </w:tcBorders>
            <w:noWrap/>
            <w:hideMark/>
          </w:tcPr>
          <w:p w14:paraId="3154B7A0"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2019</w:t>
            </w:r>
          </w:p>
        </w:tc>
        <w:tc>
          <w:tcPr>
            <w:tcW w:w="4335" w:type="dxa"/>
            <w:tcBorders>
              <w:top w:val="nil"/>
              <w:left w:val="nil"/>
              <w:bottom w:val="single" w:sz="4" w:space="0" w:color="auto"/>
              <w:right w:val="single" w:sz="4" w:space="0" w:color="auto"/>
            </w:tcBorders>
            <w:noWrap/>
            <w:hideMark/>
          </w:tcPr>
          <w:p w14:paraId="1A15485F"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Contratación de personal docente</w:t>
            </w:r>
          </w:p>
        </w:tc>
        <w:tc>
          <w:tcPr>
            <w:tcW w:w="945" w:type="dxa"/>
            <w:tcBorders>
              <w:top w:val="nil"/>
              <w:left w:val="nil"/>
              <w:bottom w:val="single" w:sz="4" w:space="0" w:color="auto"/>
              <w:right w:val="single" w:sz="4" w:space="0" w:color="auto"/>
            </w:tcBorders>
            <w:noWrap/>
            <w:hideMark/>
          </w:tcPr>
          <w:p w14:paraId="3D8636C9"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863*</w:t>
            </w:r>
            <w:r w:rsidRPr="00E33DE3">
              <w:rPr>
                <w:rStyle w:val="Refdenotaalpie"/>
                <w:rFonts w:ascii="Verdana" w:eastAsia="Times New Roman" w:hAnsi="Verdana" w:cs="Arial"/>
                <w:color w:val="000000"/>
                <w:sz w:val="18"/>
                <w:szCs w:val="18"/>
                <w:lang w:val="es-CO" w:eastAsia="es-CO"/>
              </w:rPr>
              <w:footnoteReference w:id="3"/>
            </w:r>
          </w:p>
        </w:tc>
        <w:tc>
          <w:tcPr>
            <w:tcW w:w="2737" w:type="dxa"/>
            <w:tcBorders>
              <w:top w:val="nil"/>
              <w:left w:val="nil"/>
              <w:bottom w:val="single" w:sz="4" w:space="0" w:color="auto"/>
              <w:right w:val="single" w:sz="4" w:space="0" w:color="auto"/>
            </w:tcBorders>
            <w:noWrap/>
            <w:hideMark/>
          </w:tcPr>
          <w:p w14:paraId="60F0816D"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81 contratos en total</w:t>
            </w:r>
          </w:p>
        </w:tc>
      </w:tr>
      <w:tr w:rsidR="00273288" w:rsidRPr="00E33DE3" w14:paraId="4E2A6F6F" w14:textId="77777777" w:rsidTr="00273288">
        <w:trPr>
          <w:trHeight w:val="20"/>
        </w:trPr>
        <w:tc>
          <w:tcPr>
            <w:tcW w:w="0" w:type="auto"/>
            <w:gridSpan w:val="2"/>
            <w:tcBorders>
              <w:top w:val="single" w:sz="4" w:space="0" w:color="auto"/>
              <w:left w:val="single" w:sz="4" w:space="0" w:color="auto"/>
              <w:bottom w:val="single" w:sz="4" w:space="0" w:color="auto"/>
              <w:right w:val="single" w:sz="4" w:space="0" w:color="auto"/>
            </w:tcBorders>
            <w:shd w:val="clear" w:color="auto" w:fill="B48C41"/>
            <w:hideMark/>
          </w:tcPr>
          <w:p w14:paraId="39951EE1" w14:textId="77777777" w:rsidR="00273288" w:rsidRPr="00E33DE3" w:rsidRDefault="00273288" w:rsidP="00C65B25">
            <w:pPr>
              <w:jc w:val="center"/>
              <w:rPr>
                <w:rFonts w:ascii="Verdana" w:eastAsia="Times New Roman" w:hAnsi="Verdana" w:cs="Arial"/>
                <w:b/>
                <w:bCs/>
                <w:color w:val="FFFFFF"/>
                <w:sz w:val="18"/>
                <w:szCs w:val="18"/>
                <w:lang w:val="es-CO" w:eastAsia="es-CO"/>
              </w:rPr>
            </w:pPr>
            <w:bookmarkStart w:id="0" w:name="_Int_1JecJhjy"/>
            <w:r w:rsidRPr="00E33DE3">
              <w:rPr>
                <w:rFonts w:ascii="Verdana" w:eastAsia="Times New Roman" w:hAnsi="Verdana" w:cs="Arial"/>
                <w:b/>
                <w:bCs/>
                <w:color w:val="FFFFFF" w:themeColor="background1"/>
                <w:sz w:val="18"/>
                <w:szCs w:val="18"/>
                <w:lang w:val="es-CO" w:eastAsia="es-CO"/>
              </w:rPr>
              <w:t>TOTAL</w:t>
            </w:r>
            <w:bookmarkEnd w:id="0"/>
            <w:r w:rsidRPr="00E33DE3">
              <w:rPr>
                <w:rFonts w:ascii="Verdana" w:eastAsia="Times New Roman" w:hAnsi="Verdana" w:cs="Arial"/>
                <w:b/>
                <w:bCs/>
                <w:color w:val="FFFFFF" w:themeColor="background1"/>
                <w:sz w:val="18"/>
                <w:szCs w:val="18"/>
                <w:lang w:val="es-CO" w:eastAsia="es-CO"/>
              </w:rPr>
              <w:t xml:space="preserve"> DE GASTOS con cambios en la destinación</w:t>
            </w:r>
          </w:p>
        </w:tc>
        <w:tc>
          <w:tcPr>
            <w:tcW w:w="945" w:type="dxa"/>
            <w:tcBorders>
              <w:top w:val="nil"/>
              <w:left w:val="nil"/>
              <w:bottom w:val="single" w:sz="4" w:space="0" w:color="auto"/>
              <w:right w:val="single" w:sz="4" w:space="0" w:color="auto"/>
            </w:tcBorders>
            <w:shd w:val="clear" w:color="auto" w:fill="B48C41"/>
            <w:hideMark/>
          </w:tcPr>
          <w:p w14:paraId="28CE73E8"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5.823</w:t>
            </w:r>
          </w:p>
        </w:tc>
        <w:tc>
          <w:tcPr>
            <w:tcW w:w="2737" w:type="dxa"/>
            <w:tcBorders>
              <w:top w:val="nil"/>
              <w:left w:val="nil"/>
              <w:bottom w:val="single" w:sz="4" w:space="0" w:color="auto"/>
              <w:right w:val="single" w:sz="4" w:space="0" w:color="auto"/>
            </w:tcBorders>
            <w:shd w:val="clear" w:color="auto" w:fill="B48C41"/>
            <w:hideMark/>
          </w:tcPr>
          <w:p w14:paraId="134160C7" w14:textId="77777777" w:rsidR="00273288" w:rsidRPr="00E33DE3" w:rsidRDefault="00273288" w:rsidP="00C65B25">
            <w:pPr>
              <w:rPr>
                <w:rFonts w:ascii="Verdana" w:eastAsia="Times New Roman" w:hAnsi="Verdana" w:cs="Arial"/>
                <w:b/>
                <w:bCs/>
                <w:color w:val="FFFFFF"/>
                <w:sz w:val="18"/>
                <w:szCs w:val="18"/>
                <w:lang w:val="es-CO" w:eastAsia="es-CO"/>
              </w:rPr>
            </w:pPr>
          </w:p>
        </w:tc>
      </w:tr>
    </w:tbl>
    <w:p w14:paraId="4D01D78E" w14:textId="77777777" w:rsidR="00273288" w:rsidRPr="00E33DE3" w:rsidRDefault="00273288" w:rsidP="00C65B25">
      <w:pPr>
        <w:jc w:val="center"/>
        <w:rPr>
          <w:rFonts w:ascii="Verdana" w:hAnsi="Verdana" w:cs="Arial"/>
          <w:sz w:val="18"/>
          <w:szCs w:val="18"/>
        </w:rPr>
      </w:pPr>
      <w:r w:rsidRPr="00E33DE3">
        <w:rPr>
          <w:rFonts w:ascii="Verdana" w:hAnsi="Verdana" w:cs="Arial"/>
          <w:sz w:val="18"/>
          <w:szCs w:val="18"/>
        </w:rPr>
        <w:t>Fuente: elaboración propia con base en información suministrada por la entidad territorial.</w:t>
      </w:r>
    </w:p>
    <w:p w14:paraId="5AB74172" w14:textId="77777777" w:rsidR="00273288" w:rsidRPr="00E33DE3" w:rsidRDefault="00273288" w:rsidP="00C65B25">
      <w:pPr>
        <w:jc w:val="both"/>
        <w:rPr>
          <w:rFonts w:ascii="Verdana" w:hAnsi="Verdana" w:cs="Arial"/>
          <w:sz w:val="22"/>
          <w:szCs w:val="22"/>
        </w:rPr>
      </w:pPr>
    </w:p>
    <w:p w14:paraId="43568A9B"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No obstante, es menester de la entidad territorial aclarar los conceptos evidenciados en la tabla anterior, especialmente los relacionados con el pago de la prima técnica y los contratos evidenciados para las vigencias 2018 y 2019 (en cuanto al porcentaje financiado con el SGP). En caso de que estos pagos se hayan realizado sin dar cumplimiento a lo establecido en la sentencia del 19 de marzo de 1998 con ponencia del Consejero Silvio Escudero Castro, el artículo 3 de la Ley 617 de 2000 y el artículo 15 de la Ley 715 de 2001, compensar los recursos ejecutados.</w:t>
      </w:r>
    </w:p>
    <w:p w14:paraId="6A102E21" w14:textId="77777777" w:rsidR="00273288" w:rsidRPr="00E33DE3" w:rsidRDefault="00273288" w:rsidP="00C65B25">
      <w:pPr>
        <w:jc w:val="both"/>
        <w:rPr>
          <w:rFonts w:ascii="Verdana" w:hAnsi="Verdana" w:cs="Arial"/>
          <w:sz w:val="22"/>
          <w:szCs w:val="22"/>
          <w:lang w:val="es-CO"/>
        </w:rPr>
      </w:pPr>
    </w:p>
    <w:p w14:paraId="09C68F51" w14:textId="77777777" w:rsidR="00273288" w:rsidRPr="00E33DE3" w:rsidRDefault="00273288" w:rsidP="00C65B25">
      <w:pPr>
        <w:jc w:val="both"/>
        <w:rPr>
          <w:rFonts w:ascii="Verdana" w:hAnsi="Verdana" w:cs="Arial"/>
          <w:sz w:val="22"/>
          <w:szCs w:val="22"/>
          <w:lang w:val="es-ES_tradnl"/>
        </w:rPr>
      </w:pPr>
      <w:r w:rsidRPr="00E33DE3">
        <w:rPr>
          <w:rFonts w:ascii="Verdana" w:hAnsi="Verdana" w:cs="Arial"/>
          <w:b/>
          <w:sz w:val="22"/>
          <w:szCs w:val="22"/>
          <w:lang w:val="es-ES_tradnl"/>
        </w:rPr>
        <w:t xml:space="preserve">Evidencia: </w:t>
      </w:r>
      <w:r w:rsidRPr="00E33DE3">
        <w:rPr>
          <w:rFonts w:ascii="Verdana" w:hAnsi="Verdana" w:cs="Arial"/>
          <w:sz w:val="22"/>
          <w:szCs w:val="22"/>
          <w:lang w:val="es-ES_tradnl"/>
        </w:rPr>
        <w:t xml:space="preserve">Obra en el expediente el siguiente material probatorio: </w:t>
      </w:r>
    </w:p>
    <w:p w14:paraId="2174DC69"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Ejecución presupuestal gastos vigencia 2018</w:t>
      </w:r>
    </w:p>
    <w:p w14:paraId="1B3874A6"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Ejecución presupuestal gastos vigencia 2019</w:t>
      </w:r>
    </w:p>
    <w:p w14:paraId="5FDFC93D"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 xml:space="preserve">Ejecución presupuestal gastos vigencia 2020- corte marzo. </w:t>
      </w:r>
    </w:p>
    <w:p w14:paraId="27380732"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 xml:space="preserve">Contrato No. 20182709 del 05 de septiembre de 2018. </w:t>
      </w:r>
    </w:p>
    <w:p w14:paraId="2B78E16E"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 xml:space="preserve">Contrato No. 20182711 del 3 de septiembre de 2018. </w:t>
      </w:r>
    </w:p>
    <w:p w14:paraId="576D11C0"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Consulta SECOP contrato No. contrato No. 20192645 del 2019</w:t>
      </w:r>
    </w:p>
    <w:p w14:paraId="0E4ED5F5"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 xml:space="preserve">Consulta SECOP contrato No. 20181571 del 24 de mayo de 2018. </w:t>
      </w:r>
    </w:p>
    <w:p w14:paraId="0172DE5E"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 xml:space="preserve">Relación de los procesos contractuales llevados a cabo por el Municipio de Pasto en las vigencias: 2018, 2019 y marzo 2020. </w:t>
      </w:r>
    </w:p>
    <w:p w14:paraId="2EC95EC4"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Resolución No. 782 de 4 de marzo de 1997.</w:t>
      </w:r>
    </w:p>
    <w:p w14:paraId="7E455BE5"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Resolución No. 1408 de 19 de noviembre de 1999.</w:t>
      </w:r>
    </w:p>
    <w:p w14:paraId="45E34B9A" w14:textId="77777777" w:rsidR="00273288" w:rsidRPr="00E33DE3" w:rsidRDefault="00273288" w:rsidP="00C65B25">
      <w:pPr>
        <w:pStyle w:val="Prrafodelista"/>
        <w:numPr>
          <w:ilvl w:val="0"/>
          <w:numId w:val="28"/>
        </w:numPr>
        <w:ind w:left="284" w:hanging="284"/>
        <w:jc w:val="both"/>
        <w:rPr>
          <w:rFonts w:ascii="Verdana" w:hAnsi="Verdana" w:cs="Arial"/>
          <w:sz w:val="22"/>
          <w:szCs w:val="22"/>
          <w:lang w:val="es-ES_tradnl"/>
        </w:rPr>
      </w:pPr>
      <w:r w:rsidRPr="00E33DE3">
        <w:rPr>
          <w:rFonts w:ascii="Verdana" w:eastAsia="Calibri" w:hAnsi="Verdana" w:cs="Arial"/>
          <w:sz w:val="22"/>
          <w:szCs w:val="22"/>
          <w:lang w:eastAsia="en-US"/>
        </w:rPr>
        <w:lastRenderedPageBreak/>
        <w:t>Relación</w:t>
      </w:r>
      <w:r w:rsidRPr="00E33DE3">
        <w:rPr>
          <w:rFonts w:ascii="Verdana" w:hAnsi="Verdana" w:cs="Arial"/>
          <w:sz w:val="22"/>
          <w:szCs w:val="22"/>
        </w:rPr>
        <w:t xml:space="preserve"> del personal con incremento de antigüedad para las vigencias 2021 y 2022, enviado por la entidad territorial. </w:t>
      </w:r>
    </w:p>
    <w:p w14:paraId="3BD8284A" w14:textId="77777777" w:rsidR="00273288" w:rsidRPr="00E33DE3" w:rsidRDefault="00273288" w:rsidP="00C65B25">
      <w:pPr>
        <w:jc w:val="both"/>
        <w:rPr>
          <w:rFonts w:ascii="Verdana" w:hAnsi="Verdana" w:cs="Arial"/>
          <w:sz w:val="22"/>
          <w:szCs w:val="22"/>
          <w:lang w:val="es-ES_tradnl"/>
        </w:rPr>
      </w:pPr>
    </w:p>
    <w:p w14:paraId="6E8E7473" w14:textId="77777777" w:rsidR="00273288" w:rsidRPr="00E33DE3" w:rsidRDefault="00273288" w:rsidP="00C65B25">
      <w:pPr>
        <w:jc w:val="both"/>
        <w:rPr>
          <w:rFonts w:ascii="Verdana" w:hAnsi="Verdana" w:cs="Arial"/>
          <w:sz w:val="22"/>
          <w:szCs w:val="22"/>
          <w:lang w:val="es-CO"/>
        </w:rPr>
      </w:pPr>
      <w:r w:rsidRPr="00E33DE3">
        <w:rPr>
          <w:rFonts w:ascii="Verdana" w:hAnsi="Verdana" w:cs="Arial"/>
          <w:sz w:val="22"/>
          <w:szCs w:val="22"/>
          <w:lang w:val="es-CO"/>
        </w:rPr>
        <w:t>Por otro lado, preocupan la constitución de cláusulas contractuales que vulneran la normatividad vigente, así como riesgos de contrato realidad latente en el municipio (evidenciado de igual manera por el Ministerio de Educación Nacional), extemporaneidad en la contratación de las dotaciones relacionadas en la ley 70 de 1988 (se configura evento de riesgo 9.17) y que los contratos para la prestación del servicio educativo no cumplen con el calendario académico (</w:t>
      </w:r>
      <w:r w:rsidRPr="00E33DE3">
        <w:rPr>
          <w:rFonts w:ascii="Verdana" w:eastAsia="Calibri" w:hAnsi="Verdana" w:cs="Arial"/>
          <w:sz w:val="22"/>
          <w:szCs w:val="22"/>
          <w:lang w:val="es-CO" w:eastAsia="en-US"/>
        </w:rPr>
        <w:t>se configura evento de riesgo 9.18)</w:t>
      </w:r>
      <w:r w:rsidRPr="00E33DE3">
        <w:rPr>
          <w:rFonts w:ascii="Verdana" w:hAnsi="Verdana" w:cs="Arial"/>
          <w:sz w:val="22"/>
          <w:szCs w:val="22"/>
          <w:lang w:val="es-CO"/>
        </w:rPr>
        <w:t>.</w:t>
      </w:r>
    </w:p>
    <w:p w14:paraId="6A164A40" w14:textId="77777777" w:rsidR="00273288" w:rsidRPr="00E33DE3" w:rsidRDefault="00273288" w:rsidP="00C65B25">
      <w:pPr>
        <w:jc w:val="both"/>
        <w:rPr>
          <w:rFonts w:ascii="Verdana" w:hAnsi="Verdana" w:cs="Arial"/>
          <w:sz w:val="22"/>
          <w:szCs w:val="22"/>
          <w:lang w:val="es-CO"/>
        </w:rPr>
      </w:pPr>
    </w:p>
    <w:p w14:paraId="742B576F" w14:textId="77777777" w:rsidR="004A1838" w:rsidRPr="00E33DE3" w:rsidRDefault="004A1838" w:rsidP="004A1838">
      <w:pPr>
        <w:jc w:val="both"/>
        <w:rPr>
          <w:rFonts w:ascii="Verdana" w:eastAsia="Verdana" w:hAnsi="Verdana" w:cs="Verdana"/>
          <w:b/>
          <w:bCs/>
          <w:color w:val="000000" w:themeColor="text1"/>
          <w:sz w:val="22"/>
          <w:szCs w:val="22"/>
        </w:rPr>
      </w:pPr>
      <w:r w:rsidRPr="00E33DE3">
        <w:rPr>
          <w:rFonts w:ascii="Verdana" w:eastAsia="Verdana" w:hAnsi="Verdana" w:cs="Verdana"/>
          <w:b/>
          <w:bCs/>
          <w:color w:val="000000" w:themeColor="text1"/>
          <w:sz w:val="22"/>
          <w:szCs w:val="22"/>
        </w:rPr>
        <w:t>Respecto al régimen prestacional de los empleados públicos</w:t>
      </w:r>
    </w:p>
    <w:p w14:paraId="3DC62387" w14:textId="77777777" w:rsidR="004A1838" w:rsidRPr="00E33DE3" w:rsidRDefault="004A1838" w:rsidP="004A1838">
      <w:pPr>
        <w:jc w:val="both"/>
        <w:rPr>
          <w:rFonts w:ascii="Verdana" w:hAnsi="Verdana" w:cs="Arial"/>
          <w:sz w:val="22"/>
          <w:szCs w:val="22"/>
          <w:lang w:val="es-CO"/>
        </w:rPr>
      </w:pPr>
    </w:p>
    <w:p w14:paraId="754DC297" w14:textId="77777777" w:rsidR="004A1838" w:rsidRPr="00E33DE3" w:rsidRDefault="004A1838" w:rsidP="004A1838">
      <w:pPr>
        <w:jc w:val="both"/>
        <w:rPr>
          <w:rFonts w:ascii="Verdana" w:hAnsi="Verdana" w:cs="Arial"/>
          <w:sz w:val="22"/>
          <w:szCs w:val="22"/>
          <w:lang w:val="es-CO"/>
        </w:rPr>
      </w:pPr>
      <w:r w:rsidRPr="00E33DE3">
        <w:rPr>
          <w:rFonts w:ascii="Verdana" w:hAnsi="Verdana" w:cs="Arial"/>
          <w:sz w:val="22"/>
          <w:szCs w:val="22"/>
          <w:lang w:val="es-CO"/>
        </w:rPr>
        <w:t>De conformidad con el artículo 150 de la Constitución Política, corresponde al Congreso de la República a través de las leyes, entre otras “</w:t>
      </w:r>
      <w:r w:rsidRPr="00E33DE3">
        <w:rPr>
          <w:rFonts w:ascii="Verdana" w:hAnsi="Verdana" w:cs="Arial"/>
          <w:i/>
          <w:iCs/>
          <w:sz w:val="22"/>
          <w:szCs w:val="22"/>
          <w:lang w:val="es-CO"/>
        </w:rPr>
        <w:t>19. Dictar las normas generales, y señalar en ellas los objetivos y criterios a los cuales debe sujetarse el Gobierno para los siguientes efectos: […] e) Fijar el régimen salarial y prestacional de los empleados públicos, de los miembros del Congreso Nacional y la Fuerza Pública</w:t>
      </w:r>
      <w:r w:rsidRPr="00E33DE3">
        <w:rPr>
          <w:rFonts w:ascii="Verdana" w:hAnsi="Verdana" w:cs="Arial"/>
          <w:sz w:val="22"/>
          <w:szCs w:val="22"/>
          <w:lang w:val="es-CO"/>
        </w:rPr>
        <w:t>”; en este sentido las asambleas departamentales y los concejos municipales carecen de competencia para determinar el régimen salarial y prestacional de los empleados públicos del nivel territorial.</w:t>
      </w:r>
    </w:p>
    <w:p w14:paraId="432EFECF" w14:textId="77777777" w:rsidR="004A1838" w:rsidRPr="00E33DE3" w:rsidRDefault="004A1838" w:rsidP="004A1838">
      <w:pPr>
        <w:jc w:val="both"/>
        <w:rPr>
          <w:rFonts w:ascii="Verdana" w:hAnsi="Verdana" w:cs="Arial"/>
          <w:sz w:val="22"/>
          <w:szCs w:val="22"/>
          <w:lang w:val="es-CO"/>
        </w:rPr>
      </w:pPr>
    </w:p>
    <w:p w14:paraId="7CF23106" w14:textId="77777777" w:rsidR="004A1838" w:rsidRPr="00E33DE3" w:rsidRDefault="004A1838" w:rsidP="004A1838">
      <w:pPr>
        <w:jc w:val="both"/>
        <w:rPr>
          <w:rFonts w:ascii="Verdana" w:hAnsi="Verdana" w:cs="Arial"/>
          <w:sz w:val="22"/>
          <w:szCs w:val="22"/>
          <w:lang w:val="es-CO"/>
        </w:rPr>
      </w:pPr>
      <w:r w:rsidRPr="00E33DE3">
        <w:rPr>
          <w:rFonts w:ascii="Verdana" w:hAnsi="Verdana" w:cs="Arial"/>
          <w:sz w:val="22"/>
          <w:szCs w:val="22"/>
          <w:lang w:val="es-CO"/>
        </w:rPr>
        <w:t>Respecto al régimen salarial de los empleados públicos, desde la expedición del Acto Legislativo No. 01 de 1968 que modificó la Constitución Política de 1886, posición recogida por el literal (e) del numeral 19 del artículo 150 de la Constitución Política de 1991, el único competente para fijar el régimen salarial y prestacional de los funcionarios públicos es el Congreso de la República.</w:t>
      </w:r>
    </w:p>
    <w:p w14:paraId="724FAD9C" w14:textId="77777777" w:rsidR="004A1838" w:rsidRPr="00E33DE3" w:rsidRDefault="004A1838" w:rsidP="004A1838">
      <w:pPr>
        <w:jc w:val="both"/>
        <w:rPr>
          <w:rFonts w:ascii="Verdana" w:hAnsi="Verdana" w:cs="Arial"/>
          <w:sz w:val="22"/>
          <w:szCs w:val="22"/>
        </w:rPr>
      </w:pPr>
    </w:p>
    <w:p w14:paraId="75C43261" w14:textId="77777777" w:rsidR="004A1838" w:rsidRPr="00E33DE3" w:rsidRDefault="004A1838" w:rsidP="004A1838">
      <w:pPr>
        <w:jc w:val="both"/>
        <w:rPr>
          <w:rFonts w:ascii="Verdana" w:hAnsi="Verdana" w:cs="Arial"/>
          <w:sz w:val="22"/>
          <w:szCs w:val="22"/>
        </w:rPr>
      </w:pPr>
      <w:r w:rsidRPr="00E33DE3">
        <w:rPr>
          <w:rFonts w:ascii="Verdana" w:hAnsi="Verdana" w:cs="Arial"/>
          <w:sz w:val="22"/>
          <w:szCs w:val="22"/>
        </w:rPr>
        <w:t>Ahora bien, mediante la Ley 4 de 1992 el Congreso de la República otorgó de manera exclusiva al Gobierno Nacional la facultad para determinar el régimen salarial y prestacional de los empleados públicos, por lo cual las asambleas departamentales y los concejos distritales o municipales sólo están facultados para determinar las escalas de remuneración de los cargos de sus dependencias, según la categoría del empleo de que se trate y los gobernadores y alcaldes, para fijar los emolumentos de sus dependencias, teniendo en cuenta las estipulaciones que para el efecto dicten las asambleas departamentales y concejos distritales o municipales, emolumentos que en ningún caso pueden desconocer los límites máximos determinados por el Gobierno Nacional.</w:t>
      </w:r>
    </w:p>
    <w:p w14:paraId="02CDA50F" w14:textId="77777777" w:rsidR="004A1838" w:rsidRPr="00E33DE3" w:rsidRDefault="004A1838" w:rsidP="004A1838">
      <w:pPr>
        <w:jc w:val="both"/>
        <w:rPr>
          <w:rFonts w:ascii="Verdana" w:hAnsi="Verdana" w:cs="Arial"/>
          <w:sz w:val="22"/>
          <w:szCs w:val="22"/>
        </w:rPr>
      </w:pPr>
    </w:p>
    <w:p w14:paraId="2641E0A1" w14:textId="77777777" w:rsidR="004A1838" w:rsidRPr="00E33DE3" w:rsidRDefault="004A1838" w:rsidP="004A1838">
      <w:pPr>
        <w:jc w:val="both"/>
        <w:rPr>
          <w:rFonts w:ascii="Verdana" w:hAnsi="Verdana" w:cs="Arial"/>
          <w:sz w:val="22"/>
          <w:szCs w:val="22"/>
        </w:rPr>
      </w:pPr>
      <w:r w:rsidRPr="00E33DE3">
        <w:rPr>
          <w:rFonts w:ascii="Verdana" w:hAnsi="Verdana" w:cs="Arial"/>
          <w:sz w:val="22"/>
          <w:szCs w:val="22"/>
        </w:rPr>
        <w:t>En consecuencia, el artículo 10 y 12 de la Ley 4 de 1992 establecen que las corporaciones públicas territoriales no pueden abrogarse la facultad de determinar el régimen salarial o prestacional de los empleados públicos, por lo cual las prestaciones que se establezcan “</w:t>
      </w:r>
      <w:r w:rsidRPr="00E33DE3">
        <w:rPr>
          <w:rFonts w:ascii="Verdana" w:hAnsi="Verdana" w:cs="Arial"/>
          <w:i/>
          <w:iCs/>
          <w:sz w:val="22"/>
          <w:szCs w:val="22"/>
        </w:rPr>
        <w:t xml:space="preserve">contraviniendo las disposiciones contenidas en la presente Ley o en los decretos que dicte el Gobierno Nacional </w:t>
      </w:r>
      <w:r w:rsidRPr="00E33DE3">
        <w:rPr>
          <w:rFonts w:ascii="Verdana" w:hAnsi="Verdana" w:cs="Arial"/>
          <w:i/>
          <w:iCs/>
          <w:sz w:val="22"/>
          <w:szCs w:val="22"/>
        </w:rPr>
        <w:lastRenderedPageBreak/>
        <w:t>en desarrollo de esta, carecerán de todo efecto y no crearán derechos adquiridos</w:t>
      </w:r>
      <w:r w:rsidRPr="00E33DE3">
        <w:rPr>
          <w:rFonts w:ascii="Verdana" w:hAnsi="Verdana" w:cs="Arial"/>
          <w:sz w:val="22"/>
          <w:szCs w:val="22"/>
        </w:rPr>
        <w:t>”.</w:t>
      </w:r>
    </w:p>
    <w:p w14:paraId="48535276" w14:textId="77777777" w:rsidR="004A1838" w:rsidRPr="00E33DE3" w:rsidRDefault="004A1838" w:rsidP="004A1838">
      <w:pPr>
        <w:jc w:val="both"/>
        <w:rPr>
          <w:rFonts w:ascii="Verdana" w:hAnsi="Verdana" w:cs="Arial"/>
          <w:sz w:val="22"/>
          <w:szCs w:val="22"/>
        </w:rPr>
      </w:pPr>
    </w:p>
    <w:p w14:paraId="3F8F5EC5" w14:textId="77777777" w:rsidR="004A1838" w:rsidRPr="00E33DE3" w:rsidRDefault="004A1838" w:rsidP="004A1838">
      <w:pPr>
        <w:jc w:val="both"/>
        <w:rPr>
          <w:rFonts w:ascii="Verdana" w:eastAsiaTheme="minorEastAsia" w:hAnsi="Verdana"/>
          <w:sz w:val="22"/>
          <w:szCs w:val="22"/>
          <w:lang w:val="es-CO" w:eastAsia="es-CO"/>
        </w:rPr>
      </w:pPr>
      <w:r w:rsidRPr="00E33DE3">
        <w:rPr>
          <w:rFonts w:ascii="Verdana" w:hAnsi="Verdana" w:cs="Arial"/>
          <w:sz w:val="22"/>
          <w:szCs w:val="22"/>
          <w:lang w:val="es-CO"/>
        </w:rPr>
        <w:t>Ahora bien, respecto a la prima técnica para los empleados públicos del nivel territorial, es importante anotar que mediante Sentencia del 19 de marzo de 1998 con ponencia del Consejero Silvio Escudero Castro, el Consejo de Estado declaró nulo el artículo 13 del Decreto 2164 de 1991 que otorgó a los gobernadores y alcaldes la facultad para el reconocimiento de esta prestación salarial, por lo tanto, no tiene sustento jurídico dicho reconocimiento, ni genera derechos adquiridos para aquellos funcionarios a los que le fue reconocida dicha prima con antelación a 1991, conforme a lo estipulado por la Ley 4 de 1992.</w:t>
      </w:r>
    </w:p>
    <w:p w14:paraId="7A33869A" w14:textId="77777777" w:rsidR="004A1838" w:rsidRPr="00E33DE3" w:rsidRDefault="004A1838" w:rsidP="004A1838">
      <w:pPr>
        <w:jc w:val="both"/>
        <w:rPr>
          <w:rFonts w:ascii="Verdana" w:hAnsi="Verdana" w:cs="Arial"/>
          <w:sz w:val="22"/>
          <w:szCs w:val="22"/>
        </w:rPr>
      </w:pPr>
    </w:p>
    <w:p w14:paraId="25BFB663" w14:textId="77777777" w:rsidR="004A1838" w:rsidRPr="00E33DE3" w:rsidRDefault="004A1838" w:rsidP="004A1838">
      <w:pPr>
        <w:jc w:val="both"/>
        <w:rPr>
          <w:rFonts w:ascii="Verdana" w:hAnsi="Verdana" w:cs="Arial"/>
          <w:sz w:val="22"/>
          <w:szCs w:val="22"/>
        </w:rPr>
      </w:pPr>
      <w:r w:rsidRPr="00E33DE3">
        <w:rPr>
          <w:rFonts w:ascii="Verdana" w:hAnsi="Verdana" w:cs="Arial"/>
          <w:sz w:val="22"/>
          <w:szCs w:val="22"/>
        </w:rPr>
        <w:t xml:space="preserve">Dicho precedente fue reiterado por el alto tribunal por medio de la Sentencia </w:t>
      </w:r>
      <w:r w:rsidRPr="00E33DE3">
        <w:rPr>
          <w:rFonts w:ascii="Verdana" w:hAnsi="Verdana" w:cs="Arial"/>
          <w:sz w:val="22"/>
          <w:szCs w:val="22"/>
          <w:lang w:val="es-CO"/>
        </w:rPr>
        <w:t xml:space="preserve">de radicado número 70001-23-31-000-2003-00095-02(1771-08) </w:t>
      </w:r>
      <w:r w:rsidRPr="00E33DE3">
        <w:rPr>
          <w:rFonts w:ascii="Verdana" w:hAnsi="Verdana" w:cs="Arial"/>
          <w:sz w:val="22"/>
          <w:szCs w:val="22"/>
        </w:rPr>
        <w:t>del 28 de enero de 2010</w:t>
      </w:r>
      <w:r w:rsidRPr="00E33DE3">
        <w:rPr>
          <w:rFonts w:ascii="Verdana" w:hAnsi="Verdana" w:cs="Arial"/>
          <w:sz w:val="22"/>
          <w:szCs w:val="22"/>
          <w:lang w:val="es-CO"/>
        </w:rPr>
        <w:t>, emitida por la Sección segunda de la Sala de lo Contencioso Administrativo y</w:t>
      </w:r>
      <w:r w:rsidRPr="00E33DE3">
        <w:rPr>
          <w:rFonts w:ascii="Verdana" w:hAnsi="Verdana" w:cs="Arial"/>
          <w:sz w:val="22"/>
          <w:szCs w:val="22"/>
        </w:rPr>
        <w:t xml:space="preserve"> con ponencia del Magistrado Alfonso Vargas Rincón:</w:t>
      </w:r>
    </w:p>
    <w:p w14:paraId="46C4B1EE" w14:textId="77777777" w:rsidR="004A1838" w:rsidRPr="00E33DE3" w:rsidRDefault="004A1838" w:rsidP="004A1838">
      <w:pPr>
        <w:ind w:left="567" w:right="567"/>
        <w:jc w:val="both"/>
        <w:rPr>
          <w:rFonts w:ascii="Verdana" w:hAnsi="Verdana" w:cs="Arial"/>
          <w:i/>
          <w:iCs/>
          <w:sz w:val="22"/>
          <w:szCs w:val="22"/>
        </w:rPr>
      </w:pPr>
    </w:p>
    <w:p w14:paraId="02EAD99F" w14:textId="77777777" w:rsidR="004A1838" w:rsidRPr="00E33DE3" w:rsidRDefault="004A1838" w:rsidP="004A1838">
      <w:pPr>
        <w:ind w:left="567" w:right="49"/>
        <w:jc w:val="both"/>
        <w:rPr>
          <w:rFonts w:ascii="Verdana" w:hAnsi="Verdana" w:cs="Arial"/>
          <w:i/>
          <w:iCs/>
          <w:sz w:val="22"/>
          <w:szCs w:val="22"/>
        </w:rPr>
      </w:pPr>
      <w:r w:rsidRPr="00E33DE3">
        <w:rPr>
          <w:rFonts w:ascii="Verdana" w:hAnsi="Verdana" w:cs="Arial"/>
          <w:i/>
          <w:iCs/>
          <w:sz w:val="22"/>
          <w:szCs w:val="22"/>
        </w:rPr>
        <w:t>“De los preceptos constitucionales transcritos, se puede apreciar que el Constituyente de 1968 estatuyó una competencia concurrente para la fijación del régimen salarial y prestacional de los empleados públicos, razón por la cual, encuentra la Sala que las entidades que profirieron los actos contentivos de las primas semestral y de antigüedad que reclama el demandante no tenían competencia para crear emolumentos a favor de los empleados a favor de los empleados del Departamento de Sucre.</w:t>
      </w:r>
    </w:p>
    <w:p w14:paraId="06AB5A4B" w14:textId="77777777" w:rsidR="004A1838" w:rsidRPr="00E33DE3" w:rsidRDefault="004A1838" w:rsidP="004A1838">
      <w:pPr>
        <w:ind w:left="567" w:right="49"/>
        <w:jc w:val="both"/>
        <w:rPr>
          <w:rFonts w:ascii="Verdana" w:hAnsi="Verdana" w:cs="Arial"/>
          <w:i/>
          <w:iCs/>
          <w:sz w:val="22"/>
          <w:szCs w:val="22"/>
        </w:rPr>
      </w:pPr>
    </w:p>
    <w:p w14:paraId="76B3A532" w14:textId="77777777" w:rsidR="004A1838" w:rsidRPr="00E33DE3" w:rsidRDefault="004A1838" w:rsidP="004A1838">
      <w:pPr>
        <w:ind w:left="567" w:right="49"/>
        <w:jc w:val="both"/>
        <w:rPr>
          <w:rFonts w:ascii="Verdana" w:hAnsi="Verdana" w:cs="Arial"/>
          <w:i/>
          <w:iCs/>
          <w:sz w:val="22"/>
          <w:szCs w:val="22"/>
        </w:rPr>
      </w:pPr>
      <w:r w:rsidRPr="00E33DE3">
        <w:rPr>
          <w:rFonts w:ascii="Verdana" w:hAnsi="Verdana" w:cs="Arial"/>
          <w:i/>
          <w:iCs/>
          <w:sz w:val="22"/>
          <w:szCs w:val="22"/>
        </w:rPr>
        <w:t>De la lectura armónica de los artículos transcritos se puede concluir que a las Asambleas Departamentales le estaba asignada la competencia para determinar las escalas salariales más no para crear derechos salariales como es la prima semestral contenida en la Ordenanza 08 de 1985. En igual manera el Gobernador, quien debía someterse a lo reglado por la mencionada corporación en desarrollo de la función asignada.</w:t>
      </w:r>
    </w:p>
    <w:p w14:paraId="64D5579A" w14:textId="77777777" w:rsidR="004A1838" w:rsidRPr="00E33DE3" w:rsidRDefault="004A1838" w:rsidP="004A1838">
      <w:pPr>
        <w:ind w:left="567" w:right="49"/>
        <w:jc w:val="both"/>
        <w:rPr>
          <w:rFonts w:ascii="Verdana" w:hAnsi="Verdana" w:cs="Arial"/>
          <w:i/>
          <w:iCs/>
          <w:sz w:val="22"/>
          <w:szCs w:val="22"/>
        </w:rPr>
      </w:pPr>
    </w:p>
    <w:p w14:paraId="678EA7F4" w14:textId="77777777" w:rsidR="004A1838" w:rsidRPr="00E33DE3" w:rsidRDefault="004A1838" w:rsidP="004A1838">
      <w:pPr>
        <w:ind w:left="567" w:right="49"/>
        <w:jc w:val="both"/>
        <w:rPr>
          <w:rFonts w:ascii="Verdana" w:hAnsi="Verdana" w:cs="Arial"/>
          <w:i/>
          <w:iCs/>
          <w:sz w:val="22"/>
          <w:szCs w:val="22"/>
        </w:rPr>
      </w:pPr>
      <w:r w:rsidRPr="00E33DE3">
        <w:rPr>
          <w:rFonts w:ascii="Verdana" w:hAnsi="Verdana" w:cs="Arial"/>
          <w:i/>
          <w:iCs/>
          <w:sz w:val="22"/>
          <w:szCs w:val="22"/>
        </w:rPr>
        <w:t>En tales circunstancias y en atención a lo anteriormente expuesto, comparte la Sala la decisión proferida por el Tribunal Administrativo de Sucre, en el sentido de inaplicar por inconstitucionalidad la Ordenanza 08 de 1985 y el Decreto 402 de 1988, en cumplimiento a lo dispuesto por el artículo 4 de la Constitución Política, pues como se precisó, el contenido de las mismas es contrario a la normatividad superior vigente si se tiene en cuenta que fueron proferidas por autoridades incompetentes.”</w:t>
      </w:r>
    </w:p>
    <w:p w14:paraId="66CE22E4" w14:textId="77777777" w:rsidR="004A1838" w:rsidRPr="00E33DE3" w:rsidRDefault="004A1838" w:rsidP="004A1838">
      <w:pPr>
        <w:jc w:val="both"/>
        <w:rPr>
          <w:rFonts w:ascii="Verdana" w:hAnsi="Verdana" w:cs="Arial"/>
          <w:sz w:val="22"/>
          <w:szCs w:val="22"/>
        </w:rPr>
      </w:pPr>
    </w:p>
    <w:p w14:paraId="0D1D6A36" w14:textId="77777777" w:rsidR="004A1838" w:rsidRPr="00E33DE3" w:rsidRDefault="004A1838" w:rsidP="004A1838">
      <w:pPr>
        <w:jc w:val="both"/>
        <w:rPr>
          <w:rFonts w:ascii="Verdana" w:hAnsi="Verdana" w:cs="Arial"/>
          <w:sz w:val="22"/>
          <w:szCs w:val="22"/>
        </w:rPr>
      </w:pPr>
      <w:r w:rsidRPr="00E33DE3">
        <w:rPr>
          <w:rFonts w:ascii="Verdana" w:hAnsi="Verdana" w:cs="Arial"/>
          <w:sz w:val="22"/>
          <w:szCs w:val="22"/>
        </w:rPr>
        <w:t>Ulteriormente, el Consejo de Estado mediante concepto No. 2302 del 28 de febrero de 2017 con ponencia del Consejero Germán Alberto Bula Escobar, mencionó que:</w:t>
      </w:r>
    </w:p>
    <w:p w14:paraId="3C8043E1" w14:textId="77777777" w:rsidR="004A1838" w:rsidRPr="00E33DE3" w:rsidRDefault="004A1838" w:rsidP="004A1838">
      <w:pPr>
        <w:ind w:left="709" w:right="709"/>
        <w:jc w:val="both"/>
        <w:rPr>
          <w:rFonts w:ascii="Verdana" w:hAnsi="Verdana" w:cs="Arial"/>
          <w:sz w:val="22"/>
          <w:szCs w:val="22"/>
        </w:rPr>
      </w:pPr>
    </w:p>
    <w:p w14:paraId="1FB8D34D" w14:textId="77777777" w:rsidR="004A1838" w:rsidRPr="00E33DE3" w:rsidRDefault="004A1838" w:rsidP="004A1838">
      <w:pPr>
        <w:ind w:left="567" w:right="49"/>
        <w:jc w:val="both"/>
        <w:rPr>
          <w:rFonts w:ascii="Verdana" w:hAnsi="Verdana" w:cs="Arial"/>
          <w:i/>
          <w:sz w:val="22"/>
          <w:szCs w:val="22"/>
        </w:rPr>
      </w:pPr>
      <w:r w:rsidRPr="00E33DE3">
        <w:rPr>
          <w:rFonts w:ascii="Verdana" w:hAnsi="Verdana" w:cs="Arial"/>
          <w:sz w:val="22"/>
          <w:szCs w:val="22"/>
        </w:rPr>
        <w:lastRenderedPageBreak/>
        <w:t>“</w:t>
      </w:r>
      <w:r w:rsidRPr="00E33DE3">
        <w:rPr>
          <w:rFonts w:ascii="Verdana" w:hAnsi="Verdana" w:cs="Arial"/>
          <w:i/>
          <w:sz w:val="22"/>
          <w:szCs w:val="22"/>
        </w:rPr>
        <w:t>La competencia para crear o suprimir un emolumento o factor prestacional o salarial no se encuentra radicada en las autoridades y corporaciones territoriales, pues a éstas les está permitido únicamente la determinación de la escala salarial y sus emolumentos dentro de la competencia concurrente que tiene con el Gobierno nacional y el Congreso de la República.”</w:t>
      </w:r>
    </w:p>
    <w:p w14:paraId="108EEC2B" w14:textId="77777777" w:rsidR="004A1838" w:rsidRPr="00E33DE3" w:rsidRDefault="004A1838" w:rsidP="004A1838">
      <w:pPr>
        <w:jc w:val="both"/>
        <w:rPr>
          <w:rFonts w:ascii="Verdana" w:hAnsi="Verdana" w:cs="Arial"/>
          <w:sz w:val="22"/>
          <w:szCs w:val="22"/>
        </w:rPr>
      </w:pPr>
    </w:p>
    <w:p w14:paraId="5606F421" w14:textId="77777777" w:rsidR="004A1838" w:rsidRPr="00E33DE3" w:rsidRDefault="004A1838" w:rsidP="004A1838">
      <w:pPr>
        <w:jc w:val="both"/>
        <w:rPr>
          <w:rFonts w:ascii="Verdana" w:hAnsi="Verdana" w:cs="Arial"/>
          <w:sz w:val="22"/>
          <w:szCs w:val="22"/>
          <w:lang w:val="es-CO"/>
        </w:rPr>
      </w:pPr>
      <w:r w:rsidRPr="00E33DE3">
        <w:rPr>
          <w:rFonts w:ascii="Verdana" w:hAnsi="Verdana" w:cs="Arial"/>
          <w:sz w:val="22"/>
          <w:szCs w:val="22"/>
          <w:lang w:val="es-CO"/>
        </w:rPr>
        <w:t>Es así que se ha reconocido de manera reiterada que el régimen prestacional de los servidores públicos solo puede ser definido por el nivel nacional, en específico por el Congreso de la República. Así mismo, no es posible que las entidades territoriales determinen primas extralegales con fuentes externas de financiación. Lo anterior no obsta para que, en el respeto de derechos adquiridos y la garantía de los derechos laborales, los docentes del nivel nacional que recibían primas técnicas que hayan sido descentralizados gocen de dichas erogaciones.</w:t>
      </w:r>
    </w:p>
    <w:p w14:paraId="63D06CE7" w14:textId="77777777" w:rsidR="004A1838" w:rsidRPr="00E33DE3" w:rsidRDefault="004A1838" w:rsidP="004A1838">
      <w:pPr>
        <w:jc w:val="both"/>
        <w:rPr>
          <w:rFonts w:ascii="Verdana" w:hAnsi="Verdana" w:cs="Arial"/>
          <w:sz w:val="22"/>
          <w:szCs w:val="22"/>
          <w:lang w:val="es-CO"/>
        </w:rPr>
      </w:pPr>
    </w:p>
    <w:p w14:paraId="4DEECEBB" w14:textId="77777777" w:rsidR="004A1838" w:rsidRPr="00E33DE3" w:rsidRDefault="004A1838" w:rsidP="004A1838">
      <w:pPr>
        <w:jc w:val="both"/>
        <w:rPr>
          <w:rFonts w:ascii="Verdana" w:eastAsia="Arial" w:hAnsi="Verdana" w:cs="Arial"/>
          <w:sz w:val="22"/>
          <w:szCs w:val="22"/>
          <w:lang w:val="es-CO"/>
        </w:rPr>
      </w:pPr>
      <w:r w:rsidRPr="00E33DE3">
        <w:rPr>
          <w:rFonts w:ascii="Verdana" w:hAnsi="Verdana" w:cs="Arial"/>
          <w:sz w:val="22"/>
          <w:szCs w:val="22"/>
          <w:lang w:val="es-CO"/>
        </w:rPr>
        <w:t xml:space="preserve">De esta manera, </w:t>
      </w:r>
      <w:r w:rsidRPr="00E33DE3">
        <w:rPr>
          <w:rFonts w:ascii="Verdana" w:eastAsia="Arial" w:hAnsi="Verdana" w:cs="Arial"/>
          <w:sz w:val="22"/>
          <w:szCs w:val="22"/>
          <w:lang w:val="es-CO"/>
        </w:rPr>
        <w:t>El Ministerio de Educación Nacional a través de la Resolución 03528 del 16 de julio de 1993 reglamentó la asignación de la prima técnica para sus funcionarios de planta. Adicionalmente, mediante Resolución No. 05737 del 12 de julio de 1994 estableció la asignación de la prima técnica a otros funcionarios del orden nacional vinculados a la administración del servicio educativo en las entidades territoriales, dicha resolución establece:</w:t>
      </w:r>
    </w:p>
    <w:p w14:paraId="5D7DBC97" w14:textId="77777777" w:rsidR="004A1838" w:rsidRPr="00E33DE3" w:rsidRDefault="004A1838" w:rsidP="004A1838">
      <w:pPr>
        <w:jc w:val="both"/>
        <w:rPr>
          <w:rFonts w:ascii="Verdana" w:eastAsia="Arial" w:hAnsi="Verdana" w:cs="Arial"/>
          <w:sz w:val="22"/>
          <w:szCs w:val="22"/>
          <w:lang w:val="es-CO"/>
        </w:rPr>
      </w:pPr>
    </w:p>
    <w:p w14:paraId="3BB8D2D5" w14:textId="77777777" w:rsidR="004A1838" w:rsidRPr="00E33DE3" w:rsidRDefault="004A1838" w:rsidP="004A1838">
      <w:pPr>
        <w:ind w:left="567"/>
        <w:jc w:val="both"/>
        <w:rPr>
          <w:rFonts w:ascii="Verdana" w:eastAsia="Arial" w:hAnsi="Verdana" w:cs="Arial"/>
          <w:i/>
          <w:iCs/>
          <w:sz w:val="22"/>
          <w:szCs w:val="22"/>
          <w:lang w:val="es-CO"/>
        </w:rPr>
      </w:pPr>
      <w:r w:rsidRPr="00E33DE3">
        <w:rPr>
          <w:rFonts w:ascii="Verdana" w:eastAsia="Arial" w:hAnsi="Verdana" w:cs="Arial"/>
          <w:sz w:val="22"/>
          <w:szCs w:val="22"/>
          <w:lang w:val="es-CO"/>
        </w:rPr>
        <w:t>“</w:t>
      </w:r>
      <w:r w:rsidRPr="00E33DE3">
        <w:rPr>
          <w:rFonts w:ascii="Verdana" w:eastAsia="Arial" w:hAnsi="Verdana" w:cs="Arial"/>
          <w:b/>
          <w:bCs/>
          <w:i/>
          <w:iCs/>
          <w:sz w:val="22"/>
          <w:szCs w:val="22"/>
          <w:lang w:val="es-CO"/>
        </w:rPr>
        <w:t>ARTÍCULO 1:</w:t>
      </w:r>
      <w:r w:rsidRPr="00E33DE3">
        <w:rPr>
          <w:rFonts w:ascii="Verdana" w:eastAsia="Arial" w:hAnsi="Verdana" w:cs="Arial"/>
          <w:i/>
          <w:iCs/>
          <w:sz w:val="22"/>
          <w:szCs w:val="22"/>
          <w:lang w:val="es-CO"/>
        </w:rPr>
        <w:t xml:space="preserve"> Para el reconocimiento de la Prima Técnica a funcionarios administrativos del orden nacional que laboran en los Fondos Educativos Regionales, Oficinas Seccionales de Escalafón, Centros Experimentales Piloto, Centros Auxiliares de Servicios Docentes y Colegios Nacionales y Nacionalizados, se tendrán en cuenta las disposiciones contenidas en la Resolución No. 03528 de 1993 que reglamenta la asignación de la prima técnica para los funcionarios de planta del Ministerio de Educación Nacional. </w:t>
      </w:r>
    </w:p>
    <w:p w14:paraId="3C7D1763" w14:textId="77777777" w:rsidR="004A1838" w:rsidRPr="00E33DE3" w:rsidRDefault="004A1838" w:rsidP="004A1838">
      <w:pPr>
        <w:ind w:left="567"/>
        <w:jc w:val="both"/>
        <w:rPr>
          <w:rFonts w:ascii="Verdana" w:eastAsia="Arial" w:hAnsi="Verdana" w:cs="Arial"/>
          <w:i/>
          <w:iCs/>
          <w:sz w:val="22"/>
          <w:szCs w:val="22"/>
          <w:lang w:val="es-CO"/>
        </w:rPr>
      </w:pPr>
    </w:p>
    <w:p w14:paraId="25F6FAEC" w14:textId="77777777" w:rsidR="004A1838" w:rsidRPr="00E33DE3" w:rsidRDefault="004A1838" w:rsidP="004A1838">
      <w:pPr>
        <w:ind w:left="567"/>
        <w:jc w:val="both"/>
        <w:rPr>
          <w:rFonts w:ascii="Verdana" w:eastAsia="Arial" w:hAnsi="Verdana" w:cs="Arial"/>
          <w:i/>
          <w:iCs/>
          <w:sz w:val="22"/>
          <w:szCs w:val="22"/>
          <w:lang w:val="es-CO"/>
        </w:rPr>
      </w:pPr>
      <w:r w:rsidRPr="00E33DE3">
        <w:rPr>
          <w:rFonts w:ascii="Verdana" w:eastAsia="Arial" w:hAnsi="Verdana" w:cs="Arial"/>
          <w:b/>
          <w:bCs/>
          <w:i/>
          <w:iCs/>
          <w:sz w:val="22"/>
          <w:szCs w:val="22"/>
          <w:lang w:val="es-CO"/>
        </w:rPr>
        <w:t>ARTÍCULO 2:</w:t>
      </w:r>
      <w:r w:rsidRPr="00E33DE3">
        <w:rPr>
          <w:rFonts w:ascii="Verdana" w:eastAsia="Arial" w:hAnsi="Verdana" w:cs="Arial"/>
          <w:i/>
          <w:iCs/>
          <w:sz w:val="22"/>
          <w:szCs w:val="22"/>
          <w:lang w:val="es-CO"/>
        </w:rPr>
        <w:t xml:space="preserve"> Los actos administrativos de reconocimiento de la prima técnica para los funcionarios indicados en el artículo anterior, serán proferidos por los Gobernadores y alcalde mayor de Santafé de Bogotá en calidad de presidentes de las Juntas Administradoras de los Fondos Educativos Regionales, siguiendo el procedimiento señalado en el artículo 6 del Decreto 16661 del 27 de junio de 1993. </w:t>
      </w:r>
    </w:p>
    <w:p w14:paraId="0F04EDEE" w14:textId="77777777" w:rsidR="004A1838" w:rsidRPr="00E33DE3" w:rsidRDefault="004A1838" w:rsidP="004A1838">
      <w:pPr>
        <w:ind w:left="708"/>
        <w:jc w:val="both"/>
        <w:rPr>
          <w:rFonts w:ascii="Verdana" w:eastAsia="Arial" w:hAnsi="Verdana" w:cs="Arial"/>
          <w:i/>
          <w:iCs/>
          <w:sz w:val="22"/>
          <w:szCs w:val="22"/>
          <w:lang w:val="es-CO"/>
        </w:rPr>
      </w:pPr>
    </w:p>
    <w:p w14:paraId="4B286DCC" w14:textId="77777777" w:rsidR="004A1838" w:rsidRPr="00E33DE3" w:rsidRDefault="004A1838" w:rsidP="004A1838">
      <w:pPr>
        <w:ind w:left="567"/>
        <w:jc w:val="both"/>
        <w:rPr>
          <w:rFonts w:ascii="Verdana" w:eastAsia="Arial" w:hAnsi="Verdana" w:cs="Arial"/>
          <w:sz w:val="22"/>
          <w:szCs w:val="22"/>
          <w:lang w:val="es-CO"/>
        </w:rPr>
      </w:pPr>
      <w:r w:rsidRPr="00E33DE3">
        <w:rPr>
          <w:rFonts w:ascii="Verdana" w:eastAsia="Arial" w:hAnsi="Verdana" w:cs="Arial"/>
          <w:b/>
          <w:bCs/>
          <w:i/>
          <w:iCs/>
          <w:sz w:val="22"/>
          <w:szCs w:val="22"/>
          <w:lang w:val="es-CO"/>
        </w:rPr>
        <w:t>ARTÍCULO 3:</w:t>
      </w:r>
      <w:r w:rsidRPr="00E33DE3">
        <w:rPr>
          <w:rFonts w:ascii="Verdana" w:eastAsia="Arial" w:hAnsi="Verdana" w:cs="Arial"/>
          <w:i/>
          <w:iCs/>
          <w:sz w:val="22"/>
          <w:szCs w:val="22"/>
          <w:lang w:val="es-CO"/>
        </w:rPr>
        <w:t xml:space="preserve"> Las solicitudes para asignación de prima técnica deberán ser formuladas individualmente por los interesados. Para el efecto, los jefes de personal competentes para la recepción y estudio de las solicitudes individuales son: a) Para los funcionarios del Fondo Educativo Regional, el representante del Ministerio de Educación Nacional ante el mismo organismo. b) Para los funcionarios de la Oficina Seccional de Escalafón, el jefe de la misma. c) Para los funcionarios del Centro Experimental Piloto y </w:t>
      </w:r>
      <w:r w:rsidRPr="00E33DE3">
        <w:rPr>
          <w:rFonts w:ascii="Verdana" w:eastAsia="Arial" w:hAnsi="Verdana" w:cs="Arial"/>
          <w:i/>
          <w:iCs/>
          <w:sz w:val="22"/>
          <w:szCs w:val="22"/>
          <w:lang w:val="es-CO"/>
        </w:rPr>
        <w:lastRenderedPageBreak/>
        <w:t>el Centro Auxiliar de Servicios Docentes, los directores respectivos. d) Para los funcionarios de colegios nacionales y nacionalizados, el jefe de personal de la Secretaría de Educación o quien haga sus veces, de la entidad territorial (…)</w:t>
      </w:r>
      <w:r w:rsidRPr="00E33DE3">
        <w:rPr>
          <w:rFonts w:ascii="Verdana" w:eastAsia="Arial" w:hAnsi="Verdana" w:cs="Arial"/>
          <w:sz w:val="22"/>
          <w:szCs w:val="22"/>
          <w:lang w:val="es-CO"/>
        </w:rPr>
        <w:t>” (negrilla fuera de texto original).</w:t>
      </w:r>
    </w:p>
    <w:p w14:paraId="6908F6A3" w14:textId="77777777" w:rsidR="004A1838" w:rsidRPr="00E33DE3" w:rsidRDefault="004A1838" w:rsidP="004A1838">
      <w:pPr>
        <w:jc w:val="both"/>
        <w:rPr>
          <w:rFonts w:ascii="Verdana" w:hAnsi="Verdana" w:cs="Arial"/>
          <w:sz w:val="22"/>
          <w:szCs w:val="22"/>
          <w:lang w:val="es-ES_tradnl"/>
        </w:rPr>
      </w:pPr>
    </w:p>
    <w:p w14:paraId="17EAA8A7" w14:textId="77777777" w:rsidR="004A1838" w:rsidRPr="00E33DE3" w:rsidRDefault="004A1838" w:rsidP="004A1838">
      <w:pPr>
        <w:jc w:val="both"/>
        <w:rPr>
          <w:rFonts w:ascii="Verdana" w:eastAsia="Arial" w:hAnsi="Verdana" w:cs="Arial"/>
          <w:sz w:val="22"/>
          <w:szCs w:val="22"/>
        </w:rPr>
      </w:pPr>
      <w:r w:rsidRPr="00E33DE3">
        <w:rPr>
          <w:rFonts w:ascii="Verdana" w:eastAsia="Arial" w:hAnsi="Verdana" w:cs="Arial"/>
          <w:sz w:val="22"/>
          <w:szCs w:val="22"/>
        </w:rPr>
        <w:t>De acuerdo con la anterior normatividad, resulta evidente que la Entidad Territorial Certificada en educación es la encargada de verificar en cada una de las hojas de vida de los funcionarios que reciben la prima técnica, el cumplimiento de los requisitos, dentro de los cuales se encuentran: verificar el tipo de vinculación (nacional), determinar si al momento de la descentralización (1993) venían percibiendo la prima técnica y el cumplimiento de los requisitos establecidos en el Decreto 2164 de 1991, ya que son titulares de dicho reconocimiento.</w:t>
      </w:r>
    </w:p>
    <w:p w14:paraId="2054D58D" w14:textId="77777777" w:rsidR="004A1838" w:rsidRPr="00E33DE3" w:rsidRDefault="004A1838" w:rsidP="004A1838">
      <w:pPr>
        <w:jc w:val="both"/>
        <w:rPr>
          <w:rFonts w:ascii="Verdana" w:eastAsia="Arial" w:hAnsi="Verdana" w:cs="Arial"/>
          <w:sz w:val="22"/>
          <w:szCs w:val="22"/>
        </w:rPr>
      </w:pPr>
    </w:p>
    <w:p w14:paraId="7191559D" w14:textId="77777777" w:rsidR="004A1838" w:rsidRPr="00E33DE3" w:rsidRDefault="004A1838" w:rsidP="004A1838">
      <w:pPr>
        <w:jc w:val="both"/>
        <w:rPr>
          <w:rFonts w:ascii="Verdana" w:eastAsia="Arial" w:hAnsi="Verdana" w:cs="Arial"/>
          <w:sz w:val="22"/>
          <w:szCs w:val="22"/>
        </w:rPr>
      </w:pPr>
      <w:r w:rsidRPr="00E33DE3">
        <w:rPr>
          <w:rFonts w:ascii="Verdana" w:eastAsia="Arial" w:hAnsi="Verdana" w:cs="Arial"/>
          <w:sz w:val="22"/>
          <w:szCs w:val="22"/>
        </w:rPr>
        <w:t>De igual manera, por tratarse de un procedimiento rogado, la entidad territorial es la encargada de verificar el cumplimiento de los requisitos del artículo 3 de la Resolución 05737 de 1994 y en general toda la documentación y cumplimiento de los requisitos de Ley para determinar quienes tenían el derecho.</w:t>
      </w:r>
    </w:p>
    <w:p w14:paraId="6F8E6E9B" w14:textId="77777777" w:rsidR="004A1838" w:rsidRPr="00E33DE3" w:rsidRDefault="004A1838" w:rsidP="004A1838">
      <w:pPr>
        <w:jc w:val="both"/>
        <w:rPr>
          <w:rFonts w:ascii="Verdana" w:hAnsi="Verdana" w:cs="Arial"/>
          <w:sz w:val="22"/>
          <w:szCs w:val="22"/>
        </w:rPr>
      </w:pPr>
    </w:p>
    <w:p w14:paraId="463612D7" w14:textId="77777777" w:rsidR="004A1838" w:rsidRPr="00E33DE3" w:rsidRDefault="004A1838" w:rsidP="004A1838">
      <w:pPr>
        <w:jc w:val="both"/>
        <w:rPr>
          <w:rFonts w:ascii="Verdana" w:hAnsi="Verdana" w:cs="Arial"/>
          <w:color w:val="000000"/>
          <w:sz w:val="22"/>
          <w:szCs w:val="22"/>
        </w:rPr>
      </w:pPr>
      <w:bookmarkStart w:id="1" w:name="_Int_YdMNhvYq"/>
      <w:r w:rsidRPr="00E33DE3">
        <w:rPr>
          <w:rFonts w:ascii="Verdana" w:hAnsi="Verdana" w:cs="Arial"/>
          <w:sz w:val="22"/>
          <w:szCs w:val="22"/>
        </w:rPr>
        <w:t xml:space="preserve">De otro lado, los recursos del Sistema General de Participaciones asignados a las entidades territoriales solo pueden ser utilizados para financiar las destinaciones establecidas en la normatividad vigente dentro del marco de sus competencias y funciones, a saber, el artículo 15 de la Ley 715 de 2001 establece que los recursos de la Participación para Educación se destinarán a: </w:t>
      </w:r>
      <w:r w:rsidRPr="00E33DE3">
        <w:rPr>
          <w:rFonts w:ascii="Verdana" w:hAnsi="Verdana" w:cs="Arial"/>
          <w:color w:val="000000" w:themeColor="text1"/>
          <w:sz w:val="22"/>
          <w:szCs w:val="22"/>
        </w:rPr>
        <w:t>15.1.</w:t>
      </w:r>
      <w:bookmarkEnd w:id="1"/>
      <w:r w:rsidRPr="00E33DE3">
        <w:rPr>
          <w:rFonts w:ascii="Verdana" w:hAnsi="Verdana" w:cs="Arial"/>
          <w:color w:val="000000" w:themeColor="text1"/>
          <w:sz w:val="22"/>
          <w:szCs w:val="22"/>
        </w:rPr>
        <w:t xml:space="preserve"> Pago del personal docente y administrativo de las instituciones educativas públicas, las contribuciones inherentes a la nómina y sus prestaciones sociales; 15.2. Construcción de la infraestructura, mantenimiento, pago de servicios públicos y funcionamiento de las instituciones educativas; 15.3. Provisión de la Canasta Educativa; y 15.4. Las destinadas a mantener, evaluar y promover la Calidad Educativa. </w:t>
      </w:r>
    </w:p>
    <w:p w14:paraId="237D968D" w14:textId="77777777" w:rsidR="004A1838" w:rsidRPr="00E33DE3" w:rsidRDefault="004A1838" w:rsidP="004A1838">
      <w:pPr>
        <w:jc w:val="both"/>
        <w:rPr>
          <w:rFonts w:ascii="Verdana" w:hAnsi="Verdana" w:cs="Arial"/>
          <w:color w:val="000000"/>
          <w:sz w:val="22"/>
          <w:szCs w:val="22"/>
        </w:rPr>
      </w:pPr>
    </w:p>
    <w:p w14:paraId="24056DE6" w14:textId="77777777" w:rsidR="004A1838" w:rsidRPr="00E33DE3" w:rsidRDefault="004A1838" w:rsidP="004A1838">
      <w:pPr>
        <w:jc w:val="both"/>
        <w:rPr>
          <w:rFonts w:ascii="Verdana" w:hAnsi="Verdana" w:cs="Arial"/>
          <w:color w:val="000000"/>
          <w:sz w:val="22"/>
          <w:szCs w:val="22"/>
        </w:rPr>
      </w:pPr>
      <w:r w:rsidRPr="00E33DE3">
        <w:rPr>
          <w:rFonts w:ascii="Verdana" w:hAnsi="Verdana" w:cs="Arial"/>
          <w:color w:val="000000" w:themeColor="text1"/>
          <w:sz w:val="22"/>
          <w:szCs w:val="22"/>
        </w:rPr>
        <w:t>Aunado a lo anterior, los recursos del Sistema General de Participaciones son rentas con destinación específica que, conforme a lo establecido por el numeral primero del artículo tercero de la Ley 617 de 2000 son las destinadas por ley o acto administrativo, de las corporaciones públicas de nivel territorial, a un fin determinado, por tanto, ningún otro acto bien sea una circular o directiva ministerial podrá crear nuevas destinaciones a estos recursos.</w:t>
      </w:r>
    </w:p>
    <w:p w14:paraId="7F55DFC0" w14:textId="77777777" w:rsidR="004A1838" w:rsidRPr="00E33DE3" w:rsidRDefault="004A1838" w:rsidP="004A1838">
      <w:pPr>
        <w:jc w:val="both"/>
        <w:rPr>
          <w:rFonts w:ascii="Verdana" w:hAnsi="Verdana" w:cs="Arial"/>
          <w:color w:val="000000" w:themeColor="text1"/>
          <w:sz w:val="22"/>
          <w:szCs w:val="22"/>
        </w:rPr>
      </w:pPr>
    </w:p>
    <w:p w14:paraId="1C75C8BB" w14:textId="77777777" w:rsidR="004A1838" w:rsidRPr="00E33DE3" w:rsidRDefault="004A1838" w:rsidP="004A1838">
      <w:pPr>
        <w:jc w:val="both"/>
        <w:rPr>
          <w:rFonts w:ascii="Verdana" w:hAnsi="Verdana" w:cs="Arial"/>
          <w:color w:val="000000" w:themeColor="text1"/>
          <w:sz w:val="22"/>
          <w:szCs w:val="22"/>
        </w:rPr>
      </w:pPr>
      <w:r w:rsidRPr="00E33DE3">
        <w:rPr>
          <w:rFonts w:ascii="Verdana" w:hAnsi="Verdana" w:cs="Arial"/>
          <w:color w:val="000000" w:themeColor="text1"/>
          <w:sz w:val="22"/>
          <w:szCs w:val="22"/>
        </w:rPr>
        <w:t>De esta manera, si la entidad territorial adelanta pagos de primas técnicas a funcionarios que no tienen dicho derecho no solamente se encontraría contraviniendo las disposiciones del régimen salarial, sino que también se encontraría incurso en la realización de ejecuciones presupuestales no autorizadas financiadas con recursos del SGP. Por lo anterior, dicho pago implicaría un cambio en la destinación específica de los rubros provenientes del sistema.</w:t>
      </w:r>
    </w:p>
    <w:p w14:paraId="6DA26AB3" w14:textId="77777777" w:rsidR="004A1838" w:rsidRPr="00E33DE3" w:rsidRDefault="004A1838" w:rsidP="004A1838">
      <w:pPr>
        <w:jc w:val="both"/>
        <w:rPr>
          <w:rFonts w:ascii="Verdana" w:hAnsi="Verdana" w:cs="Arial"/>
          <w:color w:val="000000" w:themeColor="text1"/>
          <w:sz w:val="22"/>
          <w:szCs w:val="22"/>
        </w:rPr>
      </w:pPr>
    </w:p>
    <w:p w14:paraId="0AE43AC9" w14:textId="77777777" w:rsidR="004A1838" w:rsidRPr="00E33DE3" w:rsidRDefault="004A1838" w:rsidP="004A1838">
      <w:pPr>
        <w:jc w:val="both"/>
        <w:rPr>
          <w:rFonts w:ascii="Verdana" w:eastAsia="Arial" w:hAnsi="Verdana" w:cs="Arial"/>
          <w:sz w:val="22"/>
          <w:szCs w:val="22"/>
        </w:rPr>
      </w:pPr>
      <w:r w:rsidRPr="00E33DE3">
        <w:rPr>
          <w:rFonts w:ascii="Verdana" w:eastAsia="Arial" w:hAnsi="Verdana" w:cs="Arial"/>
          <w:sz w:val="22"/>
          <w:szCs w:val="22"/>
        </w:rPr>
        <w:t>Resulta necesario puntualizar que la prima técnica no es una prima de carácter extralegal, no obstante, si existen personas a las que les fue reconocida en virtud del artículo 13 del Decreto 2164 de 1991 declarado nulo, estas personas no tendrían el derecho, no solo en virtud de la nulidad, sino por tratarse de personas cuya vinculación es de carácter territorial. Por lo tanto, el único que puede determinar y corroborar la información que dé cuenta de estas situaciones es el municipio, ya que es allí donde reposan las hojas de vida de sus funcionarios.</w:t>
      </w:r>
    </w:p>
    <w:p w14:paraId="70AFD7E8" w14:textId="77777777" w:rsidR="004A1838" w:rsidRPr="00E33DE3" w:rsidRDefault="004A1838" w:rsidP="004A1838">
      <w:pPr>
        <w:jc w:val="both"/>
        <w:rPr>
          <w:rFonts w:ascii="Verdana" w:hAnsi="Verdana" w:cs="Arial"/>
          <w:sz w:val="22"/>
          <w:szCs w:val="22"/>
          <w:lang w:val="es-ES_tradnl"/>
        </w:rPr>
      </w:pPr>
    </w:p>
    <w:p w14:paraId="24FAC38A" w14:textId="77777777" w:rsidR="004A1838" w:rsidRPr="004A1838" w:rsidRDefault="004A1838" w:rsidP="004A1838">
      <w:pPr>
        <w:jc w:val="both"/>
        <w:rPr>
          <w:rFonts w:ascii="Verdana" w:eastAsia="Verdana" w:hAnsi="Verdana" w:cs="Verdana"/>
          <w:b/>
          <w:bCs/>
          <w:color w:val="000000" w:themeColor="text1"/>
          <w:sz w:val="22"/>
          <w:szCs w:val="22"/>
        </w:rPr>
      </w:pPr>
      <w:r>
        <w:rPr>
          <w:rFonts w:ascii="Verdana" w:eastAsia="Verdana" w:hAnsi="Verdana" w:cs="Verdana"/>
          <w:b/>
          <w:bCs/>
          <w:color w:val="000000" w:themeColor="text1"/>
          <w:sz w:val="22"/>
          <w:szCs w:val="22"/>
        </w:rPr>
        <w:t>Riesgo latente por p</w:t>
      </w:r>
      <w:r w:rsidRPr="004A1838">
        <w:rPr>
          <w:rFonts w:ascii="Verdana" w:eastAsia="Verdana" w:hAnsi="Verdana" w:cs="Verdana"/>
          <w:b/>
          <w:bCs/>
          <w:color w:val="000000" w:themeColor="text1"/>
          <w:sz w:val="22"/>
          <w:szCs w:val="22"/>
        </w:rPr>
        <w:t>resunto cambio en la destinación específica del SGP - Educación por falta de soportes documentales sobre el reconocimiento de prima técnica</w:t>
      </w:r>
    </w:p>
    <w:p w14:paraId="432C3A1B" w14:textId="77777777" w:rsidR="004A1838" w:rsidRPr="00E33DE3" w:rsidRDefault="004A1838" w:rsidP="004A1838">
      <w:pPr>
        <w:jc w:val="both"/>
        <w:rPr>
          <w:rFonts w:ascii="Verdana" w:hAnsi="Verdana" w:cs="Arial"/>
          <w:sz w:val="22"/>
          <w:szCs w:val="22"/>
          <w:lang w:val="es-ES_tradnl"/>
        </w:rPr>
      </w:pPr>
    </w:p>
    <w:p w14:paraId="12BE07C3" w14:textId="77777777" w:rsidR="004A1838" w:rsidRPr="00E33DE3" w:rsidRDefault="004A1838" w:rsidP="004A1838">
      <w:pPr>
        <w:jc w:val="both"/>
        <w:rPr>
          <w:rFonts w:ascii="Verdana" w:hAnsi="Verdana" w:cs="Arial"/>
          <w:sz w:val="22"/>
          <w:szCs w:val="22"/>
        </w:rPr>
      </w:pPr>
      <w:r w:rsidRPr="00E33DE3">
        <w:rPr>
          <w:rFonts w:ascii="Verdana" w:hAnsi="Verdana" w:cs="Arial"/>
          <w:sz w:val="22"/>
          <w:szCs w:val="22"/>
          <w:lang w:val="es-ES_tradnl"/>
        </w:rPr>
        <w:t xml:space="preserve">La auditoría de la ejecución presupuestal para la vigencia 2018 permitió detectar que </w:t>
      </w:r>
      <w:r w:rsidRPr="00E33DE3">
        <w:rPr>
          <w:rFonts w:ascii="Verdana" w:hAnsi="Verdana" w:cs="Arial"/>
          <w:sz w:val="22"/>
          <w:szCs w:val="22"/>
        </w:rPr>
        <w:t>el Municipio de Pasto incurrió en el pago de los siguientes conceptos: (1) $28 millones de incremento de antigüedad, $816 millones por prima técnica y $58 millones de bienestar social y estímulos administrativos al personal administrativo de las instituciones educativas, (2) $18 millones al personal directivo docente por concepto de bienestar y estímulos y (3) $1.252 millones por costos derivados al mejoramiento de la calidad educativa al personal docente y $12 millones destinados a la participación en los juegos nacionales docentes.</w:t>
      </w:r>
    </w:p>
    <w:p w14:paraId="1F3C712C" w14:textId="77777777" w:rsidR="004A1838" w:rsidRPr="00E33DE3" w:rsidRDefault="004A1838" w:rsidP="004A1838">
      <w:pPr>
        <w:jc w:val="both"/>
        <w:rPr>
          <w:rFonts w:ascii="Verdana" w:hAnsi="Verdana" w:cs="Arial"/>
          <w:sz w:val="22"/>
          <w:szCs w:val="22"/>
        </w:rPr>
      </w:pPr>
      <w:r w:rsidRPr="00E33DE3">
        <w:rPr>
          <w:rFonts w:ascii="Verdana" w:hAnsi="Verdana" w:cs="Arial"/>
          <w:sz w:val="22"/>
          <w:szCs w:val="22"/>
        </w:rPr>
        <w:t xml:space="preserve"> </w:t>
      </w:r>
    </w:p>
    <w:p w14:paraId="6CCE7AB3" w14:textId="77777777" w:rsidR="004A1838" w:rsidRPr="00E33DE3" w:rsidRDefault="004A1838" w:rsidP="004A1838">
      <w:pPr>
        <w:jc w:val="both"/>
        <w:rPr>
          <w:rFonts w:ascii="Verdana" w:hAnsi="Verdana" w:cs="Arial"/>
          <w:bCs/>
          <w:sz w:val="22"/>
          <w:szCs w:val="22"/>
          <w:lang w:val="es-ES_tradnl"/>
        </w:rPr>
      </w:pPr>
      <w:r w:rsidRPr="00E33DE3">
        <w:rPr>
          <w:rFonts w:ascii="Verdana" w:hAnsi="Verdana" w:cs="Arial"/>
          <w:sz w:val="22"/>
          <w:szCs w:val="22"/>
        </w:rPr>
        <w:t xml:space="preserve">Para la vigencia 2019, </w:t>
      </w:r>
      <w:r w:rsidRPr="00E33DE3">
        <w:rPr>
          <w:rFonts w:ascii="Verdana" w:hAnsi="Verdana" w:cs="Arial"/>
          <w:bCs/>
          <w:sz w:val="22"/>
          <w:szCs w:val="22"/>
          <w:lang w:val="es-ES_tradnl"/>
        </w:rPr>
        <w:t xml:space="preserve">la entidad comprometió recursos para el pago de conceptos como: (1) al personal administrativo de las instituciones educativas se les reconoció $859 millones de prima técnica, $29 millones por incremento de antigüedad y $31 millones </w:t>
      </w:r>
      <w:r w:rsidRPr="00E33DE3">
        <w:rPr>
          <w:rFonts w:ascii="Verdana" w:hAnsi="Verdana" w:cs="Arial"/>
          <w:sz w:val="22"/>
          <w:szCs w:val="22"/>
        </w:rPr>
        <w:t>bienestar social y estímulos administrativos</w:t>
      </w:r>
      <w:r w:rsidRPr="00E33DE3">
        <w:rPr>
          <w:rFonts w:ascii="Verdana" w:hAnsi="Verdana" w:cs="Arial"/>
          <w:bCs/>
          <w:sz w:val="22"/>
          <w:szCs w:val="22"/>
          <w:lang w:val="es-ES_tradnl"/>
        </w:rPr>
        <w:t xml:space="preserve"> (2) </w:t>
      </w:r>
      <w:r w:rsidRPr="00E33DE3">
        <w:rPr>
          <w:rFonts w:ascii="Verdana" w:hAnsi="Verdana" w:cs="Arial"/>
          <w:sz w:val="22"/>
          <w:szCs w:val="22"/>
        </w:rPr>
        <w:t>$18 millones al personal directivo docente por concepto de bienestar y estímulos. Adicionalmente, se comprometieron $17 millones por concepto de viáticos y gastos de viaje participación juegos nacionales, $3 millones por concepto de Participación Juegos Nacionales docentes, $73 millones para capacitación, viáticos y gastos de viaje rectores y directores de las IEM y CEM.</w:t>
      </w:r>
    </w:p>
    <w:p w14:paraId="48461D70" w14:textId="77777777" w:rsidR="004A1838" w:rsidRPr="00E33DE3" w:rsidRDefault="004A1838" w:rsidP="004A1838">
      <w:pPr>
        <w:jc w:val="both"/>
        <w:rPr>
          <w:rFonts w:ascii="Verdana" w:hAnsi="Verdana" w:cs="Arial"/>
          <w:bCs/>
          <w:sz w:val="22"/>
          <w:szCs w:val="22"/>
          <w:lang w:val="es-ES_tradnl"/>
        </w:rPr>
      </w:pPr>
    </w:p>
    <w:p w14:paraId="44E427A1" w14:textId="77777777" w:rsidR="004A1838" w:rsidRPr="00E33DE3" w:rsidRDefault="004A1838" w:rsidP="004A1838">
      <w:pPr>
        <w:jc w:val="both"/>
        <w:rPr>
          <w:rFonts w:ascii="Verdana" w:hAnsi="Verdana" w:cs="Arial"/>
          <w:sz w:val="22"/>
          <w:szCs w:val="22"/>
        </w:rPr>
      </w:pPr>
      <w:r w:rsidRPr="00DC3CF1">
        <w:rPr>
          <w:rFonts w:ascii="Verdana" w:hAnsi="Verdana" w:cs="Arial"/>
          <w:sz w:val="22"/>
          <w:szCs w:val="22"/>
        </w:rPr>
        <w:t>En 2020, la entidad realizó pagos al personal administrativo del sector por $873 millones de prima técnica y $28 millones por incremento de antigüedad. En 2021 estos rubros ascendieron a $886 millones y $9.334 millones respectivamente, mientras que en 2022 los giros alcanzaron $690 millones y $8.556 para estos mismos objetos de gasto.</w:t>
      </w:r>
      <w:r w:rsidRPr="00E33DE3">
        <w:rPr>
          <w:rFonts w:ascii="Verdana" w:hAnsi="Verdana" w:cs="Arial"/>
          <w:sz w:val="22"/>
          <w:szCs w:val="22"/>
        </w:rPr>
        <w:t xml:space="preserve"> </w:t>
      </w:r>
    </w:p>
    <w:p w14:paraId="7FD13270" w14:textId="77777777" w:rsidR="004A1838" w:rsidRPr="00E33DE3" w:rsidRDefault="004A1838" w:rsidP="004A1838">
      <w:pPr>
        <w:autoSpaceDE w:val="0"/>
        <w:autoSpaceDN w:val="0"/>
        <w:adjustRightInd w:val="0"/>
        <w:jc w:val="both"/>
        <w:rPr>
          <w:rFonts w:ascii="Verdana" w:hAnsi="Verdana" w:cs="Arial"/>
          <w:bCs/>
          <w:sz w:val="22"/>
          <w:szCs w:val="22"/>
          <w:lang w:val="es-ES_tradnl"/>
        </w:rPr>
      </w:pPr>
    </w:p>
    <w:p w14:paraId="1788E28F" w14:textId="77777777" w:rsidR="004A1838" w:rsidRPr="00E33DE3" w:rsidRDefault="004A1838" w:rsidP="004A1838">
      <w:pPr>
        <w:autoSpaceDE w:val="0"/>
        <w:autoSpaceDN w:val="0"/>
        <w:adjustRightInd w:val="0"/>
        <w:jc w:val="both"/>
        <w:rPr>
          <w:rFonts w:ascii="Verdana" w:hAnsi="Verdana" w:cs="Arial"/>
          <w:bCs/>
          <w:sz w:val="22"/>
          <w:szCs w:val="22"/>
          <w:lang w:val="es-ES_tradnl"/>
        </w:rPr>
      </w:pPr>
      <w:r w:rsidRPr="00E33DE3">
        <w:rPr>
          <w:rFonts w:ascii="Verdana" w:hAnsi="Verdana" w:cs="Arial"/>
          <w:bCs/>
          <w:sz w:val="22"/>
          <w:szCs w:val="22"/>
          <w:lang w:val="es-ES_tradnl"/>
        </w:rPr>
        <w:t xml:space="preserve">Frente a lo anterior, mediante el oficio con radicado No. </w:t>
      </w:r>
      <w:r w:rsidRPr="00E33DE3">
        <w:rPr>
          <w:rFonts w:ascii="Verdana" w:eastAsiaTheme="minorHAnsi" w:hAnsi="Verdana" w:cs="Arial"/>
          <w:sz w:val="22"/>
          <w:szCs w:val="22"/>
          <w:lang w:val="es-CO" w:eastAsia="en-US"/>
        </w:rPr>
        <w:t xml:space="preserve">2-2022-046148 del 10 de octubre de 2022 </w:t>
      </w:r>
      <w:r w:rsidRPr="00E33DE3">
        <w:rPr>
          <w:rFonts w:ascii="Verdana" w:hAnsi="Verdana" w:cs="Arial"/>
          <w:bCs/>
          <w:sz w:val="22"/>
          <w:szCs w:val="22"/>
          <w:lang w:val="es-ES_tradnl"/>
        </w:rPr>
        <w:t xml:space="preserve">esta Dirección solicitó a la Entidad Territorial el envío de los actos administrativos en los cuales se reconoció la prima técnica al personal, así como un listado de los funcionarios merecedores de la misma. Al respecto, la administración municipal mediante radicado No. 1-2022-093498 envió un listado de 79 funcionarios y dos actos administrativos: (1) Resolución No. 782 de 4 de marzo de 1997 y (2) Resolución No. 1408 de 19 de noviembre de 1999. </w:t>
      </w:r>
    </w:p>
    <w:p w14:paraId="796842C4" w14:textId="77777777" w:rsidR="004A1838" w:rsidRPr="00E33DE3" w:rsidRDefault="004A1838" w:rsidP="004A1838">
      <w:pPr>
        <w:autoSpaceDE w:val="0"/>
        <w:autoSpaceDN w:val="0"/>
        <w:adjustRightInd w:val="0"/>
        <w:jc w:val="both"/>
        <w:rPr>
          <w:rFonts w:ascii="Verdana" w:hAnsi="Verdana" w:cs="Arial"/>
          <w:bCs/>
          <w:sz w:val="22"/>
          <w:szCs w:val="22"/>
          <w:lang w:val="es-ES_tradnl"/>
        </w:rPr>
      </w:pPr>
    </w:p>
    <w:p w14:paraId="2FD64999" w14:textId="77777777" w:rsidR="004A1838" w:rsidRPr="00E33DE3" w:rsidRDefault="004A1838" w:rsidP="004A1838">
      <w:pPr>
        <w:jc w:val="both"/>
        <w:rPr>
          <w:rFonts w:ascii="Verdana" w:hAnsi="Verdana" w:cs="Arial"/>
          <w:sz w:val="22"/>
          <w:szCs w:val="22"/>
        </w:rPr>
      </w:pPr>
      <w:r w:rsidRPr="00E33DE3">
        <w:rPr>
          <w:rFonts w:ascii="Verdana" w:hAnsi="Verdana" w:cs="Arial"/>
          <w:sz w:val="22"/>
          <w:szCs w:val="22"/>
        </w:rPr>
        <w:t>El primer acto administrativo fue expedido por el presidente de la junta administradora del Fondo Educativo Regional de Nariño quien según indica el mismo documento, mediante el Decreto 023 de enero de 16 de 1995 actúa en función del señor Gobernador del Departamento. Dentro de los considerandos estableció: “</w:t>
      </w:r>
      <w:r w:rsidRPr="00E33DE3">
        <w:rPr>
          <w:rFonts w:ascii="Verdana" w:hAnsi="Verdana" w:cs="Arial"/>
          <w:i/>
          <w:iCs/>
          <w:sz w:val="22"/>
          <w:szCs w:val="22"/>
        </w:rPr>
        <w:t xml:space="preserve">que los servidores del Ministerio de Educación Nacional por medio del apoderado, y peticionarios directos reclaman el reconocimiento y pago de la prima técnica por evaluación del desempeño; así mismo, su pago será con efecto retroactivo desde la fecha en que se causó el derecho…” </w:t>
      </w:r>
      <w:r w:rsidRPr="00E33DE3">
        <w:rPr>
          <w:rFonts w:ascii="Verdana" w:hAnsi="Verdana" w:cs="Arial"/>
          <w:sz w:val="22"/>
          <w:szCs w:val="22"/>
        </w:rPr>
        <w:t xml:space="preserve">para posteriormente desglosar el listado de los funcionarios implicados en el requerimiento. Sin embargo, el documento se encuentra incompleto pues no contiene una hoja final en donde se observe la debida firma del representante legal de la entidad territorial, así como el resuelve y los demás artículos de la resolución. </w:t>
      </w:r>
    </w:p>
    <w:p w14:paraId="4AD237BE" w14:textId="77777777" w:rsidR="004A1838" w:rsidRPr="00E33DE3" w:rsidRDefault="004A1838" w:rsidP="004A1838">
      <w:pPr>
        <w:jc w:val="both"/>
        <w:rPr>
          <w:rFonts w:ascii="Verdana" w:hAnsi="Verdana" w:cs="Arial"/>
          <w:sz w:val="22"/>
          <w:szCs w:val="22"/>
        </w:rPr>
      </w:pPr>
    </w:p>
    <w:p w14:paraId="7DB14099" w14:textId="77777777" w:rsidR="004A1838" w:rsidRPr="00E33DE3" w:rsidRDefault="004A1838" w:rsidP="004A1838">
      <w:pPr>
        <w:jc w:val="both"/>
        <w:rPr>
          <w:rFonts w:ascii="Verdana" w:hAnsi="Verdana" w:cs="Arial"/>
          <w:sz w:val="22"/>
          <w:szCs w:val="22"/>
        </w:rPr>
      </w:pPr>
      <w:r w:rsidRPr="00E33DE3">
        <w:rPr>
          <w:rFonts w:ascii="Verdana" w:hAnsi="Verdana" w:cs="Arial"/>
          <w:sz w:val="22"/>
          <w:szCs w:val="22"/>
        </w:rPr>
        <w:t>Cabe resaltar que, en virtud de lo estipulado en el artículo 22 del Decreto 028 de 2008, es deber de la entidad territorial suministrar la información requerida para el desarrollo de las atribuciones inherentes a la ejecución de la estrategia de monitoreo, seguimiento y control. Dado que el reconocimiento de las primas técnicas es excepcional y rogado, la entidad territorial debe contar con la totalidad de los soportes documentales para el reconocimiento de la prima técnica, caso contrario el pago de dicha erogación involucraría un cambio en la destinación de los recursos y podría generar la materialización del evento de riesgo descrito en el numeral 9.4 del artículo 9 del Decreto 028 de 2008 por la incompletitud de la información, pues no es posible para esta dirección verificar el adecuado cumplimiento de los requisitos establecidos para el pago de la prima técnica.</w:t>
      </w:r>
    </w:p>
    <w:p w14:paraId="14081FDA" w14:textId="77777777" w:rsidR="004A1838" w:rsidRPr="00E33DE3" w:rsidRDefault="004A1838" w:rsidP="004A1838">
      <w:pPr>
        <w:jc w:val="both"/>
        <w:rPr>
          <w:rFonts w:ascii="Verdana" w:hAnsi="Verdana" w:cs="Arial"/>
          <w:sz w:val="22"/>
          <w:szCs w:val="22"/>
        </w:rPr>
      </w:pPr>
    </w:p>
    <w:p w14:paraId="16BAA1D3" w14:textId="77777777" w:rsidR="004A1838" w:rsidRPr="00E33DE3" w:rsidRDefault="004A1838" w:rsidP="004A1838">
      <w:pPr>
        <w:autoSpaceDE w:val="0"/>
        <w:autoSpaceDN w:val="0"/>
        <w:adjustRightInd w:val="0"/>
        <w:jc w:val="both"/>
        <w:rPr>
          <w:rFonts w:ascii="Verdana" w:hAnsi="Verdana" w:cs="Arial"/>
          <w:sz w:val="22"/>
          <w:szCs w:val="22"/>
        </w:rPr>
      </w:pPr>
      <w:r w:rsidRPr="00E33DE3">
        <w:rPr>
          <w:rFonts w:ascii="Verdana" w:hAnsi="Verdana" w:cs="Arial"/>
          <w:sz w:val="22"/>
          <w:szCs w:val="22"/>
        </w:rPr>
        <w:t>Igualmente, es relevante aclarar que según lo estipulado por el Decreto 2164 de 1991 en su artículo 5, la prima técnica por evaluación de desempeño solo se otorga a los funcionarios que “</w:t>
      </w:r>
      <w:r w:rsidRPr="00E33DE3">
        <w:rPr>
          <w:rFonts w:ascii="Verdana" w:hAnsi="Verdana" w:cs="Arial"/>
          <w:i/>
          <w:iCs/>
          <w:sz w:val="22"/>
          <w:szCs w:val="22"/>
        </w:rPr>
        <w:t>tuvieren un porcentaje correspondiente al noventa por ciento (90%), como mínimo, del total de la última evaluación del desempeño, correspondiente a un período no inferior a tres (3) meses en el ejercicio del cargo en propiedad. Una vez otorgada la prima técnica, el servidor deberá ser evaluado anualmente. Será causal de pérdida de la misma obtener una calificación definitiva inferior al noventa por ciento (90%)”</w:t>
      </w:r>
      <w:r w:rsidRPr="00E33DE3">
        <w:rPr>
          <w:rFonts w:ascii="Verdana" w:hAnsi="Verdana" w:cs="Arial"/>
          <w:sz w:val="22"/>
          <w:szCs w:val="22"/>
        </w:rPr>
        <w:t>. Por lo cual, la entidad territorial debe soportar la evaluación anual realizada a los funcionarios que actualmente estén recibiendo pago por este concepto, dado que, de acuerdo con el mismo cuerpo normativo “</w:t>
      </w:r>
      <w:r w:rsidRPr="00E33DE3">
        <w:rPr>
          <w:rFonts w:ascii="Verdana" w:hAnsi="Verdana" w:cs="Arial"/>
          <w:i/>
          <w:iCs/>
          <w:sz w:val="22"/>
          <w:szCs w:val="22"/>
        </w:rPr>
        <w:t>Para la asignación y conservación de la prima técnica por este criterio, cada entidad deberá adoptar un sistema especial de calificación, diferente a los Acuerdos de Gestión, en el cual se establecerán los criterios de desempeño, las escalas y los períodos mínimos a evaluar</w:t>
      </w:r>
      <w:r w:rsidRPr="00E33DE3">
        <w:rPr>
          <w:rFonts w:ascii="Verdana" w:hAnsi="Verdana" w:cs="Arial"/>
          <w:sz w:val="22"/>
          <w:szCs w:val="22"/>
        </w:rPr>
        <w:t>”.</w:t>
      </w:r>
    </w:p>
    <w:p w14:paraId="10DED4E7" w14:textId="77777777" w:rsidR="004A1838" w:rsidRPr="00E33DE3" w:rsidRDefault="004A1838" w:rsidP="004A1838">
      <w:pPr>
        <w:autoSpaceDE w:val="0"/>
        <w:autoSpaceDN w:val="0"/>
        <w:adjustRightInd w:val="0"/>
        <w:jc w:val="both"/>
        <w:rPr>
          <w:rFonts w:ascii="Verdana" w:hAnsi="Verdana" w:cs="Arial"/>
          <w:bCs/>
          <w:sz w:val="22"/>
          <w:szCs w:val="22"/>
          <w:lang w:val="es-ES_tradnl"/>
        </w:rPr>
      </w:pPr>
    </w:p>
    <w:p w14:paraId="4F9A4CB4" w14:textId="77777777" w:rsidR="004A1838" w:rsidRPr="00E33DE3" w:rsidRDefault="004A1838" w:rsidP="004A1838">
      <w:pPr>
        <w:autoSpaceDE w:val="0"/>
        <w:autoSpaceDN w:val="0"/>
        <w:adjustRightInd w:val="0"/>
        <w:jc w:val="both"/>
        <w:rPr>
          <w:rFonts w:ascii="Verdana" w:hAnsi="Verdana" w:cs="Arial"/>
          <w:sz w:val="22"/>
          <w:szCs w:val="22"/>
        </w:rPr>
      </w:pPr>
      <w:r w:rsidRPr="00E33DE3">
        <w:rPr>
          <w:rFonts w:ascii="Verdana" w:hAnsi="Verdana" w:cs="Arial"/>
          <w:sz w:val="22"/>
          <w:szCs w:val="22"/>
        </w:rPr>
        <w:t xml:space="preserve">Respecto al segundo acto administrativo, este fue expedido y firmado por el señor secretario de educación, no obstante, dentro del documento no se menciona algún acto administrativo que haya delegado las funciones del señor </w:t>
      </w:r>
      <w:r w:rsidRPr="00E33DE3">
        <w:rPr>
          <w:rFonts w:ascii="Verdana" w:hAnsi="Verdana" w:cs="Arial"/>
          <w:sz w:val="22"/>
          <w:szCs w:val="22"/>
        </w:rPr>
        <w:lastRenderedPageBreak/>
        <w:t>Gobernador a éste, por lo cual la entidad debió remitir tal documento, de manera que la resolución No. 1408 de 19 de noviembre de 1999 cuente con el debido soporte legal. Adicionalmente, el documento ordena el pago del “</w:t>
      </w:r>
      <w:r w:rsidRPr="00E33DE3">
        <w:rPr>
          <w:rFonts w:ascii="Verdana" w:hAnsi="Verdana" w:cs="Arial"/>
          <w:i/>
          <w:iCs/>
          <w:sz w:val="22"/>
          <w:szCs w:val="22"/>
        </w:rPr>
        <w:t xml:space="preserve">58% de dicha prima correspondiente al año de 1997”, </w:t>
      </w:r>
      <w:r w:rsidRPr="00E33DE3">
        <w:rPr>
          <w:rFonts w:ascii="Verdana" w:hAnsi="Verdana" w:cs="Arial"/>
          <w:sz w:val="22"/>
          <w:szCs w:val="22"/>
        </w:rPr>
        <w:t xml:space="preserve">es decir, no corresponde al acto administrativo mediante el cual el Departamento, en primera medida, reconoce la prima técnica al trabajador y/o autoriza el pago del 42% inicial de este emolumento. Así, la resolución sin los documentos previamente enunciados no es prueba suficiente para demostrar la adquisición del derecho de la erogación en cuestión. </w:t>
      </w:r>
    </w:p>
    <w:p w14:paraId="6D7D645D" w14:textId="77777777" w:rsidR="004A1838" w:rsidRPr="00E33DE3" w:rsidRDefault="004A1838" w:rsidP="004A1838">
      <w:pPr>
        <w:jc w:val="both"/>
        <w:rPr>
          <w:rFonts w:ascii="Verdana" w:hAnsi="Verdana" w:cs="Arial"/>
          <w:sz w:val="22"/>
          <w:szCs w:val="22"/>
        </w:rPr>
      </w:pPr>
    </w:p>
    <w:p w14:paraId="7E802EDB" w14:textId="77777777" w:rsidR="004A1838" w:rsidRPr="00E33DE3" w:rsidRDefault="004A1838" w:rsidP="004A1838">
      <w:pPr>
        <w:jc w:val="both"/>
        <w:rPr>
          <w:rFonts w:ascii="Verdana" w:hAnsi="Verdana" w:cs="Arial"/>
          <w:sz w:val="22"/>
          <w:szCs w:val="22"/>
        </w:rPr>
      </w:pPr>
      <w:r w:rsidRPr="00E33DE3">
        <w:rPr>
          <w:rFonts w:ascii="Verdana" w:hAnsi="Verdana" w:cs="Arial"/>
          <w:sz w:val="22"/>
          <w:szCs w:val="22"/>
        </w:rPr>
        <w:t>Cabe resaltar que la competencia de alcaldes y gobernadores para la expedición de dichos actos administrativos es excepcional por lo que anexar el acto administrativo particular que delega dicha competencia es fundamental para verificar la potestad de su emisión. De esta forma, en virtud de que no se anexó tal documento no fue posible constatar los requisitos formales del acto administrativo que reconoce a las personas beneficiarias de la prima técnica con tal de tenerlos como prueba suficiente. La confirmación que pueda ejercerse sobre este particular resulta fundamental por cuanto el Consejo de Estado ha sido reiterativo en señalar la importancia que comporta la competencia en la expedición de los actos. Así pues, por medio de sentencia del 20 de febrero de 2020, Consejero Ponente Jaime Enrique Rodriguez Navas de radicado 25000-23-26-000-2010-00512-01(46852) el alto tribunal señaló que en virtud de la materialización del principio de legalidad y moralidad administrativa:</w:t>
      </w:r>
      <w:bookmarkStart w:id="2" w:name="_Int_h7zixAPJ"/>
      <w:bookmarkEnd w:id="2"/>
    </w:p>
    <w:p w14:paraId="16927721" w14:textId="77777777" w:rsidR="004A1838" w:rsidRPr="00E33DE3" w:rsidRDefault="004A1838" w:rsidP="004A1838">
      <w:pPr>
        <w:jc w:val="both"/>
        <w:rPr>
          <w:rFonts w:ascii="Verdana" w:hAnsi="Verdana" w:cs="Arial"/>
          <w:sz w:val="22"/>
          <w:szCs w:val="22"/>
        </w:rPr>
      </w:pPr>
    </w:p>
    <w:p w14:paraId="0BF0F24D" w14:textId="77777777" w:rsidR="004A1838" w:rsidRPr="00E33DE3" w:rsidRDefault="004A1838" w:rsidP="004A1838">
      <w:pPr>
        <w:ind w:left="567"/>
        <w:jc w:val="both"/>
        <w:rPr>
          <w:rFonts w:ascii="Verdana" w:eastAsia="Arial" w:hAnsi="Verdana" w:cs="Arial"/>
          <w:i/>
          <w:iCs/>
          <w:sz w:val="22"/>
          <w:szCs w:val="22"/>
        </w:rPr>
      </w:pPr>
      <w:r w:rsidRPr="00E33DE3">
        <w:rPr>
          <w:rFonts w:ascii="Verdana" w:eastAsia="Arial" w:hAnsi="Verdana" w:cs="Arial"/>
          <w:i/>
          <w:iCs/>
          <w:sz w:val="22"/>
          <w:szCs w:val="22"/>
        </w:rPr>
        <w:t>En relación con la falta de competencia, debe recordarse que esta situación impone un pronunciamiento -inclusive oficioso- por parte del juez, como quiera que constituye “(…) el vicio más grave de todas las formas de ilegalidad en que puede incurrir un acto administrativo (…)”, dado el “(…) carácter de orden público que revisten las reglas de competencia (…)” , y entre sus modalidades se encuentra la incompetencia “ratione temporis” que se presenta cuando las competencias asignadas a un órgano o funcionario deben ejercerse bajo una condición temporal, existiendo el vicio cuando se ejercen antes o con posterioridad al vencimiento de la oportunidad en que podía hacerlo, y la falta de competencia “ratione materiae”, cuando se ejercen competencias no conferidas en la ley.</w:t>
      </w:r>
    </w:p>
    <w:p w14:paraId="358C2820" w14:textId="77777777" w:rsidR="004A1838" w:rsidRPr="00E33DE3" w:rsidRDefault="004A1838" w:rsidP="004A1838">
      <w:pPr>
        <w:autoSpaceDE w:val="0"/>
        <w:autoSpaceDN w:val="0"/>
        <w:adjustRightInd w:val="0"/>
        <w:jc w:val="both"/>
        <w:rPr>
          <w:rFonts w:ascii="Verdana" w:hAnsi="Verdana" w:cs="Arial"/>
          <w:sz w:val="22"/>
          <w:szCs w:val="22"/>
        </w:rPr>
      </w:pPr>
    </w:p>
    <w:p w14:paraId="5CEC1749" w14:textId="77777777" w:rsidR="004A1838" w:rsidRPr="00E33DE3" w:rsidRDefault="004A1838" w:rsidP="004A1838">
      <w:pPr>
        <w:jc w:val="both"/>
        <w:rPr>
          <w:rFonts w:ascii="Verdana" w:hAnsi="Verdana" w:cs="Arial"/>
          <w:sz w:val="22"/>
          <w:szCs w:val="22"/>
        </w:rPr>
      </w:pPr>
      <w:r w:rsidRPr="00E33DE3">
        <w:rPr>
          <w:rFonts w:ascii="Verdana" w:hAnsi="Verdana" w:cs="Arial"/>
          <w:sz w:val="22"/>
          <w:szCs w:val="22"/>
        </w:rPr>
        <w:t>Dado que la competencia en la expedición de este tipo de actos es excepcional respecto a las funciones ordinarias de los secretarios de educación departamentales, el acto administrativo que delega dicha competencia corresponde a parte integral de la documentación que soporta el acto administrativo que reconoce el pago de la prima técnica. En ese orden de ideas, cabe dentro de las funciones de monitoreo, seguimiento y control dicha verificación con el fin de constatar los requisitos formales del acto que sustenta dichos pagos con recursos del SGP.</w:t>
      </w:r>
    </w:p>
    <w:p w14:paraId="6846262E" w14:textId="77777777" w:rsidR="004A1838" w:rsidRPr="00E33DE3" w:rsidRDefault="004A1838" w:rsidP="004A1838">
      <w:pPr>
        <w:jc w:val="both"/>
        <w:rPr>
          <w:rFonts w:ascii="Verdana" w:hAnsi="Verdana" w:cs="Arial"/>
          <w:sz w:val="22"/>
          <w:szCs w:val="22"/>
        </w:rPr>
      </w:pPr>
    </w:p>
    <w:p w14:paraId="6633AAAB" w14:textId="77777777" w:rsidR="000E7DD2" w:rsidRDefault="004A1838" w:rsidP="004A1838">
      <w:pPr>
        <w:jc w:val="both"/>
        <w:rPr>
          <w:rFonts w:ascii="Verdana" w:hAnsi="Verdana" w:cs="Arial"/>
          <w:sz w:val="22"/>
          <w:szCs w:val="22"/>
        </w:rPr>
      </w:pPr>
      <w:r w:rsidRPr="00E33DE3">
        <w:rPr>
          <w:rFonts w:ascii="Verdana" w:hAnsi="Verdana" w:cs="Arial"/>
          <w:sz w:val="22"/>
          <w:szCs w:val="22"/>
        </w:rPr>
        <w:lastRenderedPageBreak/>
        <w:t xml:space="preserve">Por lo anterior, y reconociendo la legalidad de la prima técnica pero su condicionamiento en el momento de otorgarla es indispensable que la administración municipal </w:t>
      </w:r>
      <w:r w:rsidR="000E7DD2">
        <w:rPr>
          <w:rFonts w:ascii="Verdana" w:hAnsi="Verdana" w:cs="Arial"/>
          <w:sz w:val="22"/>
          <w:szCs w:val="22"/>
        </w:rPr>
        <w:t xml:space="preserve">solicite el acompañamiento al Ministerio de Educación Nacional para </w:t>
      </w:r>
      <w:r w:rsidRPr="00E33DE3">
        <w:rPr>
          <w:rFonts w:ascii="Verdana" w:hAnsi="Verdana" w:cs="Arial"/>
          <w:sz w:val="22"/>
          <w:szCs w:val="22"/>
        </w:rPr>
        <w:t>soportar legalmente que los 79 funcionarios a los cuales actualmente se les está reconociendo este derecho son beneficiarios del mismo</w:t>
      </w:r>
      <w:r w:rsidR="000E7DD2">
        <w:rPr>
          <w:rFonts w:ascii="Verdana" w:hAnsi="Verdana" w:cs="Arial"/>
          <w:sz w:val="22"/>
          <w:szCs w:val="22"/>
        </w:rPr>
        <w:t>, dado que el emolumento proviene de su vinculación desde el orden nacional.</w:t>
      </w:r>
    </w:p>
    <w:p w14:paraId="67275AE7" w14:textId="77777777" w:rsidR="000E7DD2" w:rsidRDefault="000E7DD2" w:rsidP="004A1838">
      <w:pPr>
        <w:jc w:val="both"/>
        <w:rPr>
          <w:rFonts w:ascii="Verdana" w:hAnsi="Verdana" w:cs="Arial"/>
          <w:sz w:val="22"/>
          <w:szCs w:val="22"/>
        </w:rPr>
      </w:pPr>
    </w:p>
    <w:p w14:paraId="6BD748A0" w14:textId="77777777" w:rsidR="004A1838" w:rsidRPr="00E33DE3" w:rsidRDefault="000E7DD2" w:rsidP="004A1838">
      <w:pPr>
        <w:jc w:val="both"/>
        <w:rPr>
          <w:rFonts w:ascii="Verdana" w:hAnsi="Verdana" w:cs="Arial"/>
          <w:sz w:val="22"/>
          <w:szCs w:val="22"/>
        </w:rPr>
      </w:pPr>
      <w:r>
        <w:rPr>
          <w:rFonts w:ascii="Verdana" w:hAnsi="Verdana" w:cs="Arial"/>
          <w:sz w:val="22"/>
          <w:szCs w:val="22"/>
        </w:rPr>
        <w:t>E</w:t>
      </w:r>
      <w:r w:rsidR="004A1838" w:rsidRPr="00E33DE3">
        <w:rPr>
          <w:rFonts w:ascii="Verdana" w:hAnsi="Verdana" w:cs="Arial"/>
          <w:sz w:val="22"/>
          <w:szCs w:val="22"/>
        </w:rPr>
        <w:t>sto, a través de: (1) debidos actos administrativos departamentales y/o municipales mediante los cuales reconoce el derecho otorgado previamente por el Ministerio de Educación Nacional, recordando que esta prima es de carácter nacional y no territorial; (2) soporte legal y/o de nómina en el cual se evidencie que el funcionario devengaba este derecho antes de ingresar en la planta del Departamento, en la medida en que no todo funcionario del nivel nacional poseía la prima técnica (debía cumplir con los dos requisitos establecidos en la norma);  (3) en caso de otorgarse la prima por cumplimiento de la evaluación de desempeño, es menester de la administración allegar (además de todo lo anterior) las pruebas de desempeño realizadas anualmente al trabajador, de acuerdo con lo estipulado en el Decreto 2164 de 1991 y (4) Soportes de comprobantes de pago de nómina de los funcionarios a quienes se ha realizado el pago por dicho concepto.</w:t>
      </w:r>
    </w:p>
    <w:p w14:paraId="3D0A13DE" w14:textId="77777777" w:rsidR="004A1838" w:rsidRPr="00E33DE3" w:rsidRDefault="004A1838" w:rsidP="004A1838">
      <w:pPr>
        <w:jc w:val="both"/>
        <w:rPr>
          <w:rFonts w:ascii="Verdana" w:hAnsi="Verdana" w:cs="Arial"/>
          <w:sz w:val="22"/>
          <w:szCs w:val="22"/>
        </w:rPr>
      </w:pPr>
    </w:p>
    <w:p w14:paraId="46A8FB4C" w14:textId="77777777" w:rsidR="004A1838" w:rsidRPr="00E33DE3" w:rsidRDefault="000E7DD2" w:rsidP="004A1838">
      <w:pPr>
        <w:jc w:val="both"/>
        <w:rPr>
          <w:rFonts w:ascii="Verdana" w:hAnsi="Verdana" w:cs="Arial"/>
          <w:sz w:val="22"/>
          <w:szCs w:val="22"/>
        </w:rPr>
      </w:pPr>
      <w:r w:rsidRPr="000E7DD2">
        <w:rPr>
          <w:rFonts w:ascii="Verdana" w:hAnsi="Verdana" w:cs="Arial"/>
          <w:b/>
          <w:bCs/>
          <w:sz w:val="22"/>
          <w:szCs w:val="22"/>
        </w:rPr>
        <w:t>Recomendación:</w:t>
      </w:r>
      <w:r w:rsidR="004A1838" w:rsidRPr="00E33DE3">
        <w:rPr>
          <w:rFonts w:ascii="Verdana" w:hAnsi="Verdana" w:cs="Arial"/>
          <w:sz w:val="22"/>
          <w:szCs w:val="22"/>
        </w:rPr>
        <w:t xml:space="preserve"> </w:t>
      </w:r>
      <w:r>
        <w:rPr>
          <w:rFonts w:ascii="Verdana" w:hAnsi="Verdana" w:cs="Arial"/>
          <w:sz w:val="22"/>
          <w:szCs w:val="22"/>
        </w:rPr>
        <w:t>L</w:t>
      </w:r>
      <w:r w:rsidR="004A1838" w:rsidRPr="00E33DE3">
        <w:rPr>
          <w:rFonts w:ascii="Verdana" w:hAnsi="Verdana" w:cs="Arial"/>
          <w:sz w:val="22"/>
          <w:szCs w:val="22"/>
        </w:rPr>
        <w:t>a entidad territorial debe realizar el estudio de la documentación del pago de la prima técnica para todos los funcionarios a los que se reconoció dicho derecho durante las vigencias evaluadas</w:t>
      </w:r>
      <w:r>
        <w:rPr>
          <w:rFonts w:ascii="Verdana" w:hAnsi="Verdana" w:cs="Arial"/>
          <w:sz w:val="22"/>
          <w:szCs w:val="22"/>
        </w:rPr>
        <w:t>, contando con la asistencia técnica del Ministerio de Educación Nacional, como empleador original del personal en cuestión y competente para otorgar dicha prima</w:t>
      </w:r>
      <w:r w:rsidR="004A1838" w:rsidRPr="00E33DE3">
        <w:rPr>
          <w:rFonts w:ascii="Verdana" w:hAnsi="Verdana" w:cs="Arial"/>
          <w:sz w:val="22"/>
          <w:szCs w:val="22"/>
        </w:rPr>
        <w:t>.</w:t>
      </w:r>
      <w:r w:rsidRPr="000E7DD2">
        <w:rPr>
          <w:rFonts w:ascii="Verdana" w:hAnsi="Verdana" w:cs="Arial"/>
          <w:sz w:val="22"/>
          <w:szCs w:val="22"/>
        </w:rPr>
        <w:t xml:space="preserve"> </w:t>
      </w:r>
      <w:r w:rsidRPr="00E33DE3">
        <w:rPr>
          <w:rFonts w:ascii="Verdana" w:hAnsi="Verdana" w:cs="Arial"/>
          <w:sz w:val="22"/>
          <w:szCs w:val="22"/>
        </w:rPr>
        <w:t xml:space="preserve">Cabe resaltar que, una vez la entidad territorial remita </w:t>
      </w:r>
      <w:r>
        <w:rPr>
          <w:rFonts w:ascii="Verdana" w:hAnsi="Verdana" w:cs="Arial"/>
          <w:sz w:val="22"/>
          <w:szCs w:val="22"/>
        </w:rPr>
        <w:t xml:space="preserve">el resultado del estudio jurídico de cada caso y las evidencias del acompañamiento del Ministerio de Educación Nacional, </w:t>
      </w:r>
      <w:r w:rsidRPr="00E33DE3">
        <w:rPr>
          <w:rFonts w:ascii="Verdana" w:hAnsi="Verdana" w:cs="Arial"/>
          <w:sz w:val="22"/>
          <w:szCs w:val="22"/>
        </w:rPr>
        <w:t xml:space="preserve">esta </w:t>
      </w:r>
      <w:r>
        <w:rPr>
          <w:rFonts w:ascii="Verdana" w:hAnsi="Verdana" w:cs="Arial"/>
          <w:sz w:val="22"/>
          <w:szCs w:val="22"/>
        </w:rPr>
        <w:t>D</w:t>
      </w:r>
      <w:r w:rsidRPr="00E33DE3">
        <w:rPr>
          <w:rFonts w:ascii="Verdana" w:hAnsi="Verdana" w:cs="Arial"/>
          <w:sz w:val="22"/>
          <w:szCs w:val="22"/>
        </w:rPr>
        <w:t>irección procederá a verificar si los pagos se han realizado acorde a la ley para que, en caso contrario, se evalúe la configuración del evento de riesgo 9.4 por cambio en la destinación de los recursos provenientes del SGP para el sector de Educación</w:t>
      </w:r>
      <w:r>
        <w:rPr>
          <w:rFonts w:ascii="Verdana" w:hAnsi="Verdana" w:cs="Arial"/>
          <w:sz w:val="22"/>
          <w:szCs w:val="22"/>
        </w:rPr>
        <w:t xml:space="preserve"> y su respectiva </w:t>
      </w:r>
      <w:r w:rsidRPr="00E33DE3">
        <w:rPr>
          <w:rFonts w:ascii="Verdana" w:hAnsi="Verdana" w:cs="Arial"/>
          <w:sz w:val="22"/>
          <w:szCs w:val="22"/>
        </w:rPr>
        <w:t>restitu</w:t>
      </w:r>
      <w:r>
        <w:rPr>
          <w:rFonts w:ascii="Verdana" w:hAnsi="Verdana" w:cs="Arial"/>
          <w:sz w:val="22"/>
          <w:szCs w:val="22"/>
        </w:rPr>
        <w:t>ción, de ser procedente</w:t>
      </w:r>
      <w:r w:rsidRPr="00E33DE3">
        <w:rPr>
          <w:rFonts w:ascii="Verdana" w:hAnsi="Verdana" w:cs="Arial"/>
          <w:sz w:val="22"/>
          <w:szCs w:val="22"/>
        </w:rPr>
        <w:t>.</w:t>
      </w:r>
    </w:p>
    <w:p w14:paraId="5BBD6FAB" w14:textId="77777777" w:rsidR="004A1838" w:rsidRPr="00E33DE3" w:rsidRDefault="004A1838" w:rsidP="004A1838">
      <w:pPr>
        <w:jc w:val="both"/>
        <w:rPr>
          <w:rFonts w:ascii="Verdana" w:hAnsi="Verdana" w:cs="Arial"/>
          <w:sz w:val="22"/>
          <w:szCs w:val="22"/>
        </w:rPr>
      </w:pPr>
    </w:p>
    <w:p w14:paraId="0D71E3E4" w14:textId="77777777" w:rsidR="004A1838" w:rsidRPr="00E33DE3" w:rsidRDefault="004A1838" w:rsidP="004A1838">
      <w:pPr>
        <w:jc w:val="both"/>
        <w:rPr>
          <w:rFonts w:ascii="Verdana" w:hAnsi="Verdana" w:cs="Arial"/>
          <w:sz w:val="22"/>
          <w:szCs w:val="22"/>
        </w:rPr>
      </w:pPr>
      <w:r w:rsidRPr="00E33DE3">
        <w:rPr>
          <w:rFonts w:ascii="Verdana" w:hAnsi="Verdana" w:cs="Arial"/>
          <w:sz w:val="22"/>
          <w:szCs w:val="22"/>
        </w:rPr>
        <w:t xml:space="preserve">Sin embargo, es importante mencionar que es deber de la Entidad Territorial efectuar dicho pago a los funcionarios que tienen el derecho correspondiente, por lo que si existen funcionarios que posean el soporte documental completo para sustentar dicho pago, la entidad deberá reconocer esta prestación y no realizarse una suspensión generalizada de los pagos a todos los funcionarios. </w:t>
      </w:r>
    </w:p>
    <w:p w14:paraId="65406377" w14:textId="77777777" w:rsidR="004A1838" w:rsidRPr="00E33DE3" w:rsidRDefault="004A1838" w:rsidP="004A1838">
      <w:pPr>
        <w:jc w:val="both"/>
        <w:rPr>
          <w:rFonts w:ascii="Verdana" w:eastAsia="Times New Roman" w:hAnsi="Verdana" w:cs="Arial"/>
          <w:color w:val="000000"/>
          <w:sz w:val="22"/>
          <w:szCs w:val="22"/>
          <w:lang w:eastAsia="es-CO"/>
        </w:rPr>
      </w:pPr>
    </w:p>
    <w:p w14:paraId="7234AA90" w14:textId="77777777" w:rsidR="00273288" w:rsidRPr="00E33DE3" w:rsidRDefault="00273288" w:rsidP="00C65B25">
      <w:pPr>
        <w:rPr>
          <w:rFonts w:ascii="Verdana" w:hAnsi="Verdana" w:cs="Arial"/>
          <w:b/>
          <w:sz w:val="22"/>
          <w:szCs w:val="22"/>
          <w:lang w:val="es-CO"/>
        </w:rPr>
      </w:pPr>
      <w:r w:rsidRPr="00E33DE3">
        <w:rPr>
          <w:rFonts w:ascii="Verdana" w:hAnsi="Verdana" w:cs="Arial"/>
          <w:b/>
          <w:sz w:val="22"/>
          <w:szCs w:val="22"/>
          <w:lang w:val="es-CO"/>
        </w:rPr>
        <w:t>Deudas Laborales: Ascensos en el escalafón</w:t>
      </w:r>
    </w:p>
    <w:p w14:paraId="69804A73" w14:textId="77777777" w:rsidR="00273288" w:rsidRPr="00E33DE3" w:rsidRDefault="00273288" w:rsidP="00C65B25">
      <w:pPr>
        <w:rPr>
          <w:rFonts w:ascii="Verdana" w:hAnsi="Verdana" w:cs="Arial"/>
          <w:sz w:val="22"/>
          <w:szCs w:val="22"/>
          <w:lang w:val="es-ES_tradnl"/>
        </w:rPr>
      </w:pPr>
    </w:p>
    <w:p w14:paraId="79B50C98" w14:textId="77777777" w:rsidR="00273288" w:rsidRPr="00E33DE3" w:rsidRDefault="00273288" w:rsidP="00C65B25">
      <w:pPr>
        <w:autoSpaceDE w:val="0"/>
        <w:autoSpaceDN w:val="0"/>
        <w:adjustRightInd w:val="0"/>
        <w:jc w:val="both"/>
        <w:rPr>
          <w:rFonts w:ascii="Verdana" w:eastAsiaTheme="minorHAnsi" w:hAnsi="Verdana" w:cs="Arial"/>
          <w:sz w:val="22"/>
          <w:szCs w:val="22"/>
          <w:lang w:eastAsia="en-US"/>
        </w:rPr>
      </w:pPr>
      <w:r w:rsidRPr="00E33DE3">
        <w:rPr>
          <w:rFonts w:ascii="Verdana" w:eastAsiaTheme="minorHAnsi" w:hAnsi="Verdana" w:cs="Arial"/>
          <w:sz w:val="22"/>
          <w:szCs w:val="22"/>
          <w:lang w:eastAsia="en-US"/>
        </w:rPr>
        <w:t xml:space="preserve">Se hizo la revisión de los reportes de información presupuestal de la Entidad al FUT para las vigencias 2019, 2020 y 2021, encontrando que no se registraron compromisos por concepto de deudas laborales para dichas vigencias. De igual manera, se verificó el reporte del Municipio de Pasto a la Categoría de </w:t>
      </w:r>
      <w:r w:rsidRPr="00E33DE3">
        <w:rPr>
          <w:rFonts w:ascii="Verdana" w:eastAsiaTheme="minorHAnsi" w:hAnsi="Verdana" w:cs="Arial"/>
          <w:sz w:val="22"/>
          <w:szCs w:val="22"/>
          <w:lang w:eastAsia="en-US"/>
        </w:rPr>
        <w:lastRenderedPageBreak/>
        <w:t>Información Única Presupuestal-CUIPO para la Vigencia 2021, donde al igual que en el FUT, no se evidencian compromisos por concepto de deudas laborales.</w:t>
      </w:r>
    </w:p>
    <w:p w14:paraId="31B115DC" w14:textId="77777777" w:rsidR="00273288" w:rsidRPr="00E33DE3" w:rsidRDefault="00273288" w:rsidP="00C65B25">
      <w:pPr>
        <w:autoSpaceDE w:val="0"/>
        <w:autoSpaceDN w:val="0"/>
        <w:adjustRightInd w:val="0"/>
        <w:jc w:val="both"/>
        <w:rPr>
          <w:rFonts w:ascii="Verdana" w:eastAsiaTheme="minorHAnsi" w:hAnsi="Verdana" w:cs="Arial"/>
          <w:sz w:val="22"/>
          <w:szCs w:val="22"/>
          <w:lang w:eastAsia="en-US"/>
        </w:rPr>
      </w:pPr>
    </w:p>
    <w:p w14:paraId="71A06F76" w14:textId="77777777" w:rsidR="00273288" w:rsidRPr="00E33DE3" w:rsidRDefault="00273288" w:rsidP="00C65B25">
      <w:pPr>
        <w:autoSpaceDE w:val="0"/>
        <w:autoSpaceDN w:val="0"/>
        <w:adjustRightInd w:val="0"/>
        <w:jc w:val="both"/>
        <w:rPr>
          <w:rFonts w:ascii="Verdana" w:eastAsiaTheme="minorEastAsia" w:hAnsi="Verdana" w:cs="Arial"/>
          <w:sz w:val="22"/>
          <w:szCs w:val="22"/>
          <w:lang w:eastAsia="en-US"/>
        </w:rPr>
      </w:pPr>
      <w:r w:rsidRPr="00E33DE3">
        <w:rPr>
          <w:rFonts w:ascii="Verdana" w:eastAsiaTheme="minorEastAsia" w:hAnsi="Verdana" w:cs="Arial"/>
          <w:sz w:val="22"/>
          <w:szCs w:val="22"/>
          <w:lang w:eastAsia="en-US"/>
        </w:rPr>
        <w:t xml:space="preserve">Adicionalmente, la Dirección de Apoyo Fiscal solicitó al Municipio de Pasto mediante radicado 2-2022-046148 del 10 de octubre de 2022, la relación de deudas laborales pagadas y un informe sobre el estado de las deudas laborales del sector a la fecha (monto, concepto, vigencias y gestión realizada ante el Ministerio de Educación Nacional para solicitar su aprobación). Al respecto, la Oficina de Nómina de la Secretaría de Educación de Pasto emitió un certificado el 24 de octubre de 2022, en el cual indica que </w:t>
      </w:r>
      <w:r w:rsidRPr="00E33DE3">
        <w:rPr>
          <w:rFonts w:ascii="Verdana" w:eastAsiaTheme="minorEastAsia" w:hAnsi="Verdana" w:cs="Arial"/>
          <w:i/>
          <w:iCs/>
          <w:sz w:val="22"/>
          <w:szCs w:val="22"/>
          <w:lang w:eastAsia="en-US"/>
        </w:rPr>
        <w:t>“revisados los registros de planta en el Sistema Humano, no hay deudas laborales a la fecha por liquidación de nómina del personal de planta de la Secretaría de Educación de Pasto”</w:t>
      </w:r>
    </w:p>
    <w:p w14:paraId="32E0FA34" w14:textId="77777777" w:rsidR="00273288" w:rsidRPr="00E33DE3" w:rsidRDefault="00273288" w:rsidP="00C65B25">
      <w:pPr>
        <w:autoSpaceDE w:val="0"/>
        <w:autoSpaceDN w:val="0"/>
        <w:adjustRightInd w:val="0"/>
        <w:jc w:val="both"/>
        <w:rPr>
          <w:rFonts w:ascii="Verdana" w:eastAsiaTheme="minorHAnsi" w:hAnsi="Verdana" w:cs="Arial"/>
          <w:sz w:val="22"/>
          <w:szCs w:val="22"/>
          <w:lang w:eastAsia="en-US"/>
        </w:rPr>
      </w:pPr>
    </w:p>
    <w:p w14:paraId="7BEB6BF0" w14:textId="77777777" w:rsidR="00273288" w:rsidRPr="00E33DE3" w:rsidRDefault="00273288" w:rsidP="00C65B25">
      <w:pPr>
        <w:autoSpaceDE w:val="0"/>
        <w:autoSpaceDN w:val="0"/>
        <w:adjustRightInd w:val="0"/>
        <w:jc w:val="both"/>
        <w:rPr>
          <w:rFonts w:ascii="Verdana" w:eastAsiaTheme="minorEastAsia" w:hAnsi="Verdana" w:cs="Arial"/>
          <w:sz w:val="22"/>
          <w:szCs w:val="22"/>
          <w:lang w:eastAsia="en-US"/>
        </w:rPr>
      </w:pPr>
      <w:r w:rsidRPr="00E33DE3">
        <w:rPr>
          <w:rFonts w:ascii="Verdana" w:eastAsiaTheme="minorEastAsia" w:hAnsi="Verdana" w:cs="Arial"/>
          <w:sz w:val="22"/>
          <w:szCs w:val="22"/>
          <w:lang w:eastAsia="en-US"/>
        </w:rPr>
        <w:t>Así mismo, la Oficina de Escalafón Docente de la Secretaría de Educación del Municipio remitió a la Alcaldía de Pasto el 24 de octubre de 2022 un documento según el cual, una vez revisados los archivos de dicha oficina, se logra verificar que no existen actos administrativos de ascensos, reubicación y/o mejoramientos salariales pendientes por reportar a la Oficina de Nomina para su correspondiente reconocimiento y liquidación.</w:t>
      </w:r>
    </w:p>
    <w:p w14:paraId="1198C83B" w14:textId="77777777" w:rsidR="00273288" w:rsidRPr="00E33DE3" w:rsidRDefault="00273288" w:rsidP="00C65B25">
      <w:pPr>
        <w:rPr>
          <w:rFonts w:ascii="Verdana" w:hAnsi="Verdana" w:cs="Arial"/>
          <w:sz w:val="22"/>
          <w:szCs w:val="22"/>
          <w:lang w:val="es-CO"/>
        </w:rPr>
      </w:pPr>
    </w:p>
    <w:p w14:paraId="2D464498" w14:textId="77777777" w:rsidR="00273288" w:rsidRPr="00E33DE3" w:rsidRDefault="00273288" w:rsidP="00C65B25">
      <w:pPr>
        <w:rPr>
          <w:rFonts w:ascii="Verdana" w:hAnsi="Verdana" w:cs="Arial"/>
          <w:b/>
          <w:sz w:val="22"/>
          <w:szCs w:val="22"/>
          <w:lang w:val="es-CO"/>
        </w:rPr>
      </w:pPr>
      <w:r w:rsidRPr="00E33DE3">
        <w:rPr>
          <w:rFonts w:ascii="Verdana" w:hAnsi="Verdana" w:cs="Arial"/>
          <w:b/>
          <w:sz w:val="22"/>
          <w:szCs w:val="22"/>
          <w:lang w:val="es-CO"/>
        </w:rPr>
        <w:t>Deuda con la Fiduprevisora.</w:t>
      </w:r>
    </w:p>
    <w:p w14:paraId="7BC247CB" w14:textId="77777777" w:rsidR="00273288" w:rsidRPr="00E33DE3" w:rsidRDefault="00273288" w:rsidP="00C65B25">
      <w:pPr>
        <w:jc w:val="both"/>
        <w:rPr>
          <w:rFonts w:ascii="Verdana" w:hAnsi="Verdana" w:cs="Arial"/>
          <w:sz w:val="22"/>
          <w:szCs w:val="22"/>
          <w:lang w:val="es-CO"/>
        </w:rPr>
      </w:pPr>
    </w:p>
    <w:p w14:paraId="67492902"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La Entidad envió la conciliación de aportes SGP Sin Situación de Fondos con la Fiduprevisora del 11 de marzo de 2020, en la cual se aclara que la conciliación de las vigencias 2003 – 2018 se realizó en octubre de 2019, quedando un saldo a favor del Fondo Nacional de Prestaciones Sociales del Magisterio de $640 millones, asimismo se menciona que se realizó la conciliación de la vigencia 2019 arrojando un saldo a favor de la Fiduprevisora por valor de $4.715 millones, para un saldo total de $5.354 millones. No obstante, el Ministerio de Educación Nacional realizó un giro adicional en octubre de 2019 a favor de la entidad por $482 millones, para el cubrimiento de vigencias anteriores, y un giro adicional en enero de 2020 por $3.689 millones para el cubrimiento de la vigencia 2019, quedando un saldo de conciliación de aportes de 2003 – 2019 a favor del Fondo Nacional de Prestaciones Sociales por $1.183 millones.</w:t>
      </w:r>
    </w:p>
    <w:p w14:paraId="7CB73213" w14:textId="77777777" w:rsidR="00273288" w:rsidRPr="00E33DE3" w:rsidRDefault="00273288" w:rsidP="00C65B25">
      <w:pPr>
        <w:jc w:val="both"/>
        <w:rPr>
          <w:rFonts w:ascii="Verdana" w:hAnsi="Verdana" w:cs="Arial"/>
          <w:sz w:val="22"/>
          <w:szCs w:val="22"/>
        </w:rPr>
      </w:pPr>
    </w:p>
    <w:p w14:paraId="1B0908E0"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Ahora bien, el Municipio de Pasto remitió a esta Dirección el Acta de conciliación de aportes SGP Sin Situación de Fondos con la Fiduprevisora para la vigencia 2021 con fecha del 26 de abril de 2022. En dicha acta se indica que, respecto a la vigencia 2020, en conciliación con la Fiduprevisora del 19 de febrero de 2021, quedó un saldo pendiente a favor de FOMAG por valor de $124 millones. De igual manera, se indica que la conciliación para la vigencia 2020 dio como resultado un saldo a favor de FOMAG por $59 millones de pesos.</w:t>
      </w:r>
    </w:p>
    <w:p w14:paraId="44A64A86" w14:textId="77777777" w:rsidR="00273288" w:rsidRPr="00E33DE3" w:rsidRDefault="00273288" w:rsidP="00C65B25">
      <w:pPr>
        <w:jc w:val="both"/>
        <w:rPr>
          <w:rFonts w:ascii="Verdana" w:hAnsi="Verdana" w:cs="Arial"/>
          <w:sz w:val="22"/>
          <w:szCs w:val="22"/>
        </w:rPr>
      </w:pPr>
    </w:p>
    <w:p w14:paraId="3A85C5A8" w14:textId="77777777" w:rsidR="00273288" w:rsidRPr="00E33DE3" w:rsidRDefault="00273288" w:rsidP="00C65B25">
      <w:pPr>
        <w:pStyle w:val="Ttulo1"/>
        <w:numPr>
          <w:ilvl w:val="0"/>
          <w:numId w:val="1"/>
        </w:numPr>
        <w:spacing w:before="0"/>
        <w:ind w:left="426" w:hanging="426"/>
        <w:rPr>
          <w:rFonts w:ascii="Verdana" w:hAnsi="Verdana" w:cs="Arial"/>
          <w:szCs w:val="22"/>
          <w:lang w:val="es-CO"/>
        </w:rPr>
      </w:pPr>
      <w:r w:rsidRPr="00E33DE3">
        <w:rPr>
          <w:rFonts w:ascii="Verdana" w:hAnsi="Verdana" w:cs="Arial"/>
          <w:szCs w:val="22"/>
          <w:lang w:val="es-CO"/>
        </w:rPr>
        <w:t xml:space="preserve">EVENTOS DE RIESGO IDENTIFICADOS </w:t>
      </w:r>
    </w:p>
    <w:p w14:paraId="38FC82BE" w14:textId="77777777" w:rsidR="00273288" w:rsidRPr="00E33DE3" w:rsidRDefault="00273288" w:rsidP="00C65B25">
      <w:pPr>
        <w:rPr>
          <w:rFonts w:ascii="Verdana" w:hAnsi="Verdana"/>
          <w:sz w:val="22"/>
          <w:szCs w:val="22"/>
          <w:lang w:val="es-CO"/>
        </w:rPr>
      </w:pPr>
    </w:p>
    <w:p w14:paraId="4A307C27" w14:textId="77777777" w:rsidR="00273288" w:rsidRPr="00E33DE3" w:rsidRDefault="00273288" w:rsidP="00C65B25">
      <w:pPr>
        <w:pStyle w:val="Ttulo1"/>
        <w:spacing w:before="0"/>
        <w:jc w:val="both"/>
        <w:rPr>
          <w:rFonts w:ascii="Verdana" w:hAnsi="Verdana" w:cs="Arial"/>
          <w:szCs w:val="22"/>
          <w:lang w:val="es-CO"/>
        </w:rPr>
      </w:pPr>
      <w:r w:rsidRPr="00E33DE3">
        <w:rPr>
          <w:rFonts w:ascii="Verdana" w:hAnsi="Verdana" w:cs="Arial"/>
          <w:bCs/>
          <w:szCs w:val="22"/>
          <w:lang w:val="es-CO"/>
        </w:rPr>
        <w:lastRenderedPageBreak/>
        <w:t xml:space="preserve">EVENTO DE RIESGO 9.1. </w:t>
      </w:r>
      <w:r w:rsidRPr="00E33DE3">
        <w:rPr>
          <w:rFonts w:ascii="Verdana" w:hAnsi="Verdana" w:cs="Arial"/>
          <w:bCs/>
          <w:iCs/>
          <w:szCs w:val="22"/>
          <w:lang w:val="es-CO"/>
        </w:rPr>
        <w:t>“</w:t>
      </w:r>
      <w:r w:rsidRPr="00E33DE3">
        <w:rPr>
          <w:rFonts w:ascii="Verdana" w:hAnsi="Verdana" w:cs="Arial"/>
          <w:szCs w:val="22"/>
          <w:lang w:val="es-CO"/>
        </w:rPr>
        <w:t>No envío de información conforme a los plazos, condiciones y formatos indicados por el gobierno nacional, y/o haber remitido o entregado información incompleta o errónea”.</w:t>
      </w:r>
    </w:p>
    <w:p w14:paraId="4117C8CC" w14:textId="77777777" w:rsidR="00273288" w:rsidRPr="00E33DE3" w:rsidRDefault="00273288" w:rsidP="00C65B25">
      <w:pPr>
        <w:rPr>
          <w:rFonts w:ascii="Verdana" w:hAnsi="Verdana"/>
          <w:sz w:val="22"/>
          <w:szCs w:val="22"/>
          <w:lang w:val="es-CO"/>
        </w:rPr>
      </w:pPr>
    </w:p>
    <w:p w14:paraId="487F11C6" w14:textId="77777777" w:rsidR="00F9561D" w:rsidRPr="00E33DE3" w:rsidRDefault="00F9561D" w:rsidP="00C65B25">
      <w:pPr>
        <w:pStyle w:val="Ttulo3"/>
        <w:numPr>
          <w:ilvl w:val="3"/>
          <w:numId w:val="32"/>
        </w:numPr>
        <w:spacing w:before="0"/>
        <w:ind w:left="426" w:hanging="426"/>
        <w:jc w:val="both"/>
        <w:rPr>
          <w:rFonts w:ascii="Verdana" w:hAnsi="Verdana"/>
          <w:b/>
          <w:bCs/>
          <w:color w:val="auto"/>
          <w:sz w:val="22"/>
          <w:szCs w:val="22"/>
        </w:rPr>
      </w:pPr>
      <w:r w:rsidRPr="00E33DE3">
        <w:rPr>
          <w:rFonts w:ascii="Verdana" w:hAnsi="Verdana"/>
          <w:b/>
          <w:bCs/>
          <w:color w:val="auto"/>
          <w:sz w:val="22"/>
          <w:szCs w:val="22"/>
        </w:rPr>
        <w:t xml:space="preserve">Inconsistencias en la información del Directorio Único de Establecimientos Educativos – DUE </w:t>
      </w:r>
    </w:p>
    <w:p w14:paraId="4DD9C6B3" w14:textId="77777777" w:rsidR="00F9561D" w:rsidRPr="00E33DE3" w:rsidRDefault="00F9561D" w:rsidP="00C65B25">
      <w:pPr>
        <w:pStyle w:val="CONPESTexto"/>
        <w:spacing w:before="0" w:after="0" w:line="240" w:lineRule="auto"/>
        <w:ind w:firstLine="0"/>
        <w:rPr>
          <w:rFonts w:ascii="Verdana" w:hAnsi="Verdana" w:cs="Arial"/>
          <w:color w:val="auto"/>
          <w:szCs w:val="22"/>
        </w:rPr>
      </w:pPr>
    </w:p>
    <w:p w14:paraId="36A89ED7" w14:textId="77777777" w:rsidR="00273288" w:rsidRPr="00E33DE3" w:rsidRDefault="00273288" w:rsidP="00C65B25">
      <w:pPr>
        <w:pStyle w:val="CONPESTexto"/>
        <w:spacing w:before="0" w:after="0" w:line="240" w:lineRule="auto"/>
        <w:ind w:firstLine="0"/>
        <w:rPr>
          <w:rFonts w:ascii="Verdana" w:hAnsi="Verdana" w:cs="Arial"/>
          <w:color w:val="auto"/>
          <w:szCs w:val="22"/>
        </w:rPr>
      </w:pPr>
      <w:r w:rsidRPr="00E33DE3">
        <w:rPr>
          <w:rFonts w:ascii="Verdana" w:hAnsi="Verdana" w:cs="Arial"/>
          <w:color w:val="auto"/>
          <w:szCs w:val="22"/>
        </w:rPr>
        <w:t>El artículo 32 de la Ley 715 de 2001 plantea como obligación de alcaldes y gobernadores</w:t>
      </w:r>
      <w:r w:rsidRPr="00E33DE3">
        <w:rPr>
          <w:rFonts w:ascii="Verdana" w:hAnsi="Verdana" w:cs="Arial"/>
          <w:szCs w:val="22"/>
        </w:rPr>
        <w:t xml:space="preserve">, tener un sistema de información del Sector Educativo, mantenerlo actualizado y reportar oficialmente al Ministerio de Educación Nacional la documentación correspondiente a la prestación del Servicio Educativo de forma anual, toda vez que </w:t>
      </w:r>
      <w:r w:rsidR="005543CD" w:rsidRPr="00E33DE3">
        <w:rPr>
          <w:rFonts w:ascii="Verdana" w:hAnsi="Verdana" w:cs="Arial"/>
          <w:szCs w:val="22"/>
        </w:rPr>
        <w:t>é</w:t>
      </w:r>
      <w:r w:rsidRPr="00E33DE3">
        <w:rPr>
          <w:rFonts w:ascii="Verdana" w:hAnsi="Verdana" w:cs="Arial"/>
          <w:szCs w:val="22"/>
        </w:rPr>
        <w:t xml:space="preserve">sta permite una distribución eficiente de los recursos de conformidad con aspectos tales como la matrícula registrada. El incumplimiento de estas disposiciones se constituye en una falta grave que acarrea sanciones para los secretarios de educación departamentales, municipales o distritales y para los funcionarios encargados de la administración </w:t>
      </w:r>
      <w:r w:rsidRPr="00E33DE3">
        <w:rPr>
          <w:rFonts w:ascii="Verdana" w:hAnsi="Verdana" w:cs="Arial"/>
          <w:color w:val="auto"/>
          <w:szCs w:val="22"/>
        </w:rPr>
        <w:t xml:space="preserve">de la planta o la nómina. </w:t>
      </w:r>
    </w:p>
    <w:p w14:paraId="7DE26176" w14:textId="77777777" w:rsidR="00273288" w:rsidRPr="00E33DE3" w:rsidRDefault="00273288" w:rsidP="00C65B25">
      <w:pPr>
        <w:pStyle w:val="CONPESTexto"/>
        <w:spacing w:before="0" w:after="0" w:line="240" w:lineRule="auto"/>
        <w:ind w:firstLine="0"/>
        <w:rPr>
          <w:rFonts w:ascii="Verdana" w:hAnsi="Verdana" w:cs="Arial"/>
          <w:szCs w:val="22"/>
        </w:rPr>
      </w:pPr>
    </w:p>
    <w:p w14:paraId="70C1F762" w14:textId="77777777" w:rsidR="00273288" w:rsidRPr="00E33DE3" w:rsidRDefault="00273288" w:rsidP="00C65B25">
      <w:pPr>
        <w:pStyle w:val="CONPESTexto"/>
        <w:spacing w:before="0" w:after="0" w:line="240" w:lineRule="auto"/>
        <w:ind w:firstLine="0"/>
        <w:rPr>
          <w:rFonts w:ascii="Verdana" w:hAnsi="Verdana" w:cs="Arial"/>
          <w:szCs w:val="22"/>
        </w:rPr>
      </w:pPr>
      <w:r w:rsidRPr="00E33DE3">
        <w:rPr>
          <w:rFonts w:ascii="Verdana" w:hAnsi="Verdana" w:cs="Arial"/>
          <w:szCs w:val="22"/>
        </w:rPr>
        <w:t xml:space="preserve">Así mismo, los artículos 2.3.6.3 del Decreto 1075 de 2015, 1 y 2 de la Resolución 166 de 2003 determinan los datos básicos a reportar por parte de las entidades territoriales certificadas además del respectivo cronograma para efectuar el reporte, garantizando la calidad de la información consignada. </w:t>
      </w:r>
    </w:p>
    <w:p w14:paraId="5C3C4CD5" w14:textId="77777777" w:rsidR="00273288" w:rsidRPr="00E33DE3" w:rsidRDefault="00273288" w:rsidP="00C65B25">
      <w:pPr>
        <w:pStyle w:val="CONPESTexto"/>
        <w:spacing w:before="0" w:after="0" w:line="240" w:lineRule="auto"/>
        <w:ind w:firstLine="0"/>
        <w:rPr>
          <w:rFonts w:ascii="Verdana" w:hAnsi="Verdana" w:cs="Arial"/>
          <w:szCs w:val="22"/>
        </w:rPr>
      </w:pPr>
    </w:p>
    <w:p w14:paraId="105C6651" w14:textId="77777777" w:rsidR="00273288" w:rsidRPr="00E33DE3" w:rsidRDefault="00273288" w:rsidP="00C65B25">
      <w:pPr>
        <w:pStyle w:val="CONPESTexto"/>
        <w:spacing w:before="0" w:after="0" w:line="240" w:lineRule="auto"/>
        <w:ind w:firstLine="0"/>
        <w:rPr>
          <w:rFonts w:ascii="Verdana" w:hAnsi="Verdana" w:cs="Arial"/>
          <w:szCs w:val="22"/>
        </w:rPr>
      </w:pPr>
      <w:r w:rsidRPr="00E33DE3">
        <w:rPr>
          <w:rFonts w:ascii="Verdana" w:hAnsi="Verdana" w:cs="Arial"/>
          <w:color w:val="auto"/>
          <w:szCs w:val="22"/>
        </w:rPr>
        <w:t xml:space="preserve">El Directorio Único de Establecimientos Educativos – DUE es una herramienta clave para la definición de la asignación de recursos de conformidad con aspectos tales como la matrícula registrada, los giros a establecimientos educativos de los recursos de Gratuidad, el número de cargos de directivos </w:t>
      </w:r>
      <w:r w:rsidRPr="00E33DE3">
        <w:rPr>
          <w:rFonts w:ascii="Verdana" w:hAnsi="Verdana" w:cs="Arial"/>
          <w:szCs w:val="22"/>
        </w:rPr>
        <w:t>docentes requeridos por las entidades, entre otros. En consecuencia, la desactualización del DUE vulnera la referida normatividad vigente.</w:t>
      </w:r>
    </w:p>
    <w:p w14:paraId="43CDEA39" w14:textId="77777777" w:rsidR="00273288" w:rsidRPr="00E33DE3" w:rsidRDefault="00273288" w:rsidP="00C65B25">
      <w:pPr>
        <w:pStyle w:val="CONPESTexto"/>
        <w:spacing w:before="0" w:after="0" w:line="240" w:lineRule="auto"/>
        <w:ind w:firstLine="0"/>
        <w:rPr>
          <w:rFonts w:ascii="Verdana" w:hAnsi="Verdana" w:cs="Arial"/>
          <w:szCs w:val="22"/>
        </w:rPr>
      </w:pPr>
    </w:p>
    <w:p w14:paraId="4D9F5A68" w14:textId="77777777" w:rsidR="00273288" w:rsidRPr="00E33DE3" w:rsidRDefault="00273288" w:rsidP="00C65B25">
      <w:pPr>
        <w:pStyle w:val="CONPESTexto"/>
        <w:spacing w:before="0" w:after="0" w:line="240" w:lineRule="auto"/>
        <w:ind w:firstLine="0"/>
        <w:rPr>
          <w:rFonts w:ascii="Verdana" w:hAnsi="Verdana" w:cs="Arial"/>
          <w:szCs w:val="22"/>
        </w:rPr>
      </w:pPr>
      <w:r w:rsidRPr="00E33DE3">
        <w:rPr>
          <w:rFonts w:ascii="Verdana" w:hAnsi="Verdana" w:cs="Arial"/>
          <w:szCs w:val="22"/>
        </w:rPr>
        <w:t xml:space="preserve">En ejercicio de sus competencias, trimestralmente el Ministerio de Educación Nacional realiza nueve diferentes validaciones sobre los reportes realizados en los Sistemas DUE – SIMAT - SINEB (Humano) por parte de las Entidades Territoriales Certificadas en Educación – ETC, así: </w:t>
      </w:r>
    </w:p>
    <w:p w14:paraId="755C2F7B" w14:textId="77777777" w:rsidR="00273288" w:rsidRPr="00E33DE3" w:rsidRDefault="00273288" w:rsidP="00C65B25">
      <w:pPr>
        <w:pStyle w:val="CONPESTexto"/>
        <w:spacing w:before="0" w:after="0" w:line="240" w:lineRule="auto"/>
        <w:ind w:firstLine="0"/>
        <w:rPr>
          <w:rFonts w:ascii="Verdana" w:hAnsi="Verdana" w:cs="Arial"/>
          <w:szCs w:val="22"/>
        </w:rPr>
      </w:pPr>
    </w:p>
    <w:tbl>
      <w:tblPr>
        <w:tblW w:w="5000" w:type="pct"/>
        <w:tblCellMar>
          <w:left w:w="70" w:type="dxa"/>
          <w:right w:w="70" w:type="dxa"/>
        </w:tblCellMar>
        <w:tblLook w:val="04A0" w:firstRow="1" w:lastRow="0" w:firstColumn="1" w:lastColumn="0" w:noHBand="0" w:noVBand="1"/>
      </w:tblPr>
      <w:tblGrid>
        <w:gridCol w:w="786"/>
        <w:gridCol w:w="8042"/>
      </w:tblGrid>
      <w:tr w:rsidR="00273288" w:rsidRPr="00E33DE3" w14:paraId="6180DB8F" w14:textId="77777777" w:rsidTr="00273288">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B48C41"/>
            <w:noWrap/>
            <w:vAlign w:val="bottom"/>
            <w:hideMark/>
          </w:tcPr>
          <w:p w14:paraId="6C966A82" w14:textId="77777777" w:rsidR="00273288" w:rsidRPr="00E33DE3" w:rsidRDefault="00273288" w:rsidP="00C65B25">
            <w:pPr>
              <w:jc w:val="center"/>
              <w:rPr>
                <w:rFonts w:ascii="Verdana" w:hAnsi="Verdana" w:cs="Arial"/>
                <w:b/>
                <w:bCs/>
                <w:color w:val="000000"/>
                <w:sz w:val="18"/>
                <w:szCs w:val="18"/>
                <w:lang w:val="es-CO" w:eastAsia="es-CO"/>
              </w:rPr>
            </w:pPr>
            <w:r w:rsidRPr="00E33DE3">
              <w:rPr>
                <w:rFonts w:ascii="Verdana" w:hAnsi="Verdana" w:cs="Arial"/>
                <w:b/>
                <w:bCs/>
                <w:color w:val="FFFFFF" w:themeColor="background1"/>
                <w:sz w:val="18"/>
                <w:szCs w:val="18"/>
                <w:lang w:val="es-CO" w:eastAsia="es-CO"/>
              </w:rPr>
              <w:t>Tabla 7. RELACION DE VALIDACIONES DUE</w:t>
            </w:r>
          </w:p>
        </w:tc>
      </w:tr>
      <w:tr w:rsidR="00273288" w:rsidRPr="00E33DE3" w14:paraId="28E2ECFE" w14:textId="77777777" w:rsidTr="005543CD">
        <w:trPr>
          <w:trHeight w:val="20"/>
          <w:tblHeader/>
        </w:trPr>
        <w:tc>
          <w:tcPr>
            <w:tcW w:w="800" w:type="pct"/>
            <w:tcBorders>
              <w:top w:val="nil"/>
              <w:left w:val="single" w:sz="4" w:space="0" w:color="auto"/>
              <w:bottom w:val="single" w:sz="4" w:space="0" w:color="auto"/>
              <w:right w:val="single" w:sz="4" w:space="0" w:color="auto"/>
            </w:tcBorders>
            <w:shd w:val="clear" w:color="auto" w:fill="F1EADA"/>
            <w:noWrap/>
            <w:vAlign w:val="bottom"/>
            <w:hideMark/>
          </w:tcPr>
          <w:p w14:paraId="2773F12A" w14:textId="77777777" w:rsidR="00273288" w:rsidRPr="00E33DE3" w:rsidRDefault="00273288" w:rsidP="00C65B25">
            <w:pPr>
              <w:jc w:val="center"/>
              <w:rPr>
                <w:rFonts w:ascii="Verdana" w:hAnsi="Verdana" w:cs="Arial"/>
                <w:b/>
                <w:bCs/>
                <w:color w:val="000000"/>
                <w:sz w:val="18"/>
                <w:szCs w:val="18"/>
                <w:lang w:val="es-CO" w:eastAsia="es-CO"/>
              </w:rPr>
            </w:pPr>
            <w:r w:rsidRPr="00E33DE3">
              <w:rPr>
                <w:rFonts w:ascii="Verdana" w:hAnsi="Verdana" w:cs="Arial"/>
                <w:b/>
                <w:bCs/>
                <w:color w:val="000000"/>
                <w:sz w:val="18"/>
                <w:szCs w:val="18"/>
                <w:lang w:val="es-CO" w:eastAsia="es-CO"/>
              </w:rPr>
              <w:t xml:space="preserve">Validación </w:t>
            </w:r>
          </w:p>
        </w:tc>
        <w:tc>
          <w:tcPr>
            <w:tcW w:w="4200" w:type="pct"/>
            <w:tcBorders>
              <w:top w:val="nil"/>
              <w:left w:val="nil"/>
              <w:bottom w:val="single" w:sz="4" w:space="0" w:color="auto"/>
              <w:right w:val="single" w:sz="4" w:space="0" w:color="auto"/>
            </w:tcBorders>
            <w:shd w:val="clear" w:color="auto" w:fill="F1EADA"/>
            <w:noWrap/>
            <w:vAlign w:val="bottom"/>
            <w:hideMark/>
          </w:tcPr>
          <w:p w14:paraId="25F7A789" w14:textId="77777777" w:rsidR="00273288" w:rsidRPr="00E33DE3" w:rsidRDefault="00273288" w:rsidP="00C65B25">
            <w:pPr>
              <w:jc w:val="center"/>
              <w:rPr>
                <w:rFonts w:ascii="Verdana" w:hAnsi="Verdana" w:cs="Arial"/>
                <w:b/>
                <w:bCs/>
                <w:color w:val="000000"/>
                <w:sz w:val="18"/>
                <w:szCs w:val="18"/>
                <w:lang w:val="es-CO" w:eastAsia="es-CO"/>
              </w:rPr>
            </w:pPr>
            <w:r w:rsidRPr="00E33DE3">
              <w:rPr>
                <w:rFonts w:ascii="Verdana" w:hAnsi="Verdana" w:cs="Arial"/>
                <w:b/>
                <w:bCs/>
                <w:color w:val="000000"/>
                <w:sz w:val="18"/>
                <w:szCs w:val="18"/>
                <w:lang w:val="es-CO" w:eastAsia="es-CO"/>
              </w:rPr>
              <w:t xml:space="preserve">Concepto de la validación </w:t>
            </w:r>
          </w:p>
        </w:tc>
      </w:tr>
      <w:tr w:rsidR="00273288" w:rsidRPr="00E33DE3" w14:paraId="493E2514" w14:textId="77777777" w:rsidTr="005543CD">
        <w:trPr>
          <w:trHeight w:val="20"/>
        </w:trPr>
        <w:tc>
          <w:tcPr>
            <w:tcW w:w="800" w:type="pct"/>
            <w:tcBorders>
              <w:top w:val="nil"/>
              <w:left w:val="single" w:sz="4" w:space="0" w:color="auto"/>
              <w:bottom w:val="single" w:sz="4" w:space="0" w:color="auto"/>
              <w:right w:val="single" w:sz="4" w:space="0" w:color="auto"/>
            </w:tcBorders>
            <w:noWrap/>
            <w:vAlign w:val="center"/>
            <w:hideMark/>
          </w:tcPr>
          <w:p w14:paraId="24AA84EC" w14:textId="77777777" w:rsidR="00273288" w:rsidRPr="00E33DE3" w:rsidRDefault="00273288" w:rsidP="00C65B25">
            <w:pPr>
              <w:jc w:val="center"/>
              <w:rPr>
                <w:rFonts w:ascii="Verdana" w:hAnsi="Verdana" w:cs="Arial"/>
                <w:color w:val="000000"/>
                <w:sz w:val="18"/>
                <w:szCs w:val="18"/>
                <w:lang w:val="es-CO" w:eastAsia="es-CO"/>
              </w:rPr>
            </w:pPr>
            <w:r w:rsidRPr="00E33DE3">
              <w:rPr>
                <w:rFonts w:ascii="Verdana" w:hAnsi="Verdana" w:cs="Arial"/>
                <w:color w:val="000000"/>
                <w:sz w:val="18"/>
                <w:szCs w:val="18"/>
                <w:lang w:val="es-CO" w:eastAsia="es-CO"/>
              </w:rPr>
              <w:t>VALIDACIÓN 1</w:t>
            </w:r>
          </w:p>
        </w:tc>
        <w:tc>
          <w:tcPr>
            <w:tcW w:w="4200" w:type="pct"/>
            <w:tcBorders>
              <w:top w:val="nil"/>
              <w:left w:val="nil"/>
              <w:bottom w:val="single" w:sz="4" w:space="0" w:color="auto"/>
              <w:right w:val="single" w:sz="4" w:space="0" w:color="auto"/>
            </w:tcBorders>
            <w:noWrap/>
            <w:vAlign w:val="center"/>
            <w:hideMark/>
          </w:tcPr>
          <w:p w14:paraId="3CBA1180" w14:textId="77777777" w:rsidR="00273288" w:rsidRPr="00E33DE3" w:rsidRDefault="00273288" w:rsidP="00C65B25">
            <w:pPr>
              <w:rPr>
                <w:rFonts w:ascii="Verdana" w:hAnsi="Verdana" w:cs="Arial"/>
                <w:color w:val="000000"/>
                <w:sz w:val="18"/>
                <w:szCs w:val="18"/>
                <w:lang w:val="es-CO" w:eastAsia="es-CO"/>
              </w:rPr>
            </w:pPr>
            <w:r w:rsidRPr="00E33DE3">
              <w:rPr>
                <w:rFonts w:ascii="Verdana" w:hAnsi="Verdana" w:cs="Arial"/>
                <w:color w:val="000000"/>
                <w:sz w:val="18"/>
                <w:szCs w:val="18"/>
                <w:lang w:val="es-CO" w:eastAsia="es-CO"/>
              </w:rPr>
              <w:t>códigos DANE de las sedes activas en el DUE que no reportan información de matrícula (estudiantes) en SIMAT y/o planta (Docentes y Directivos Docentes) en el sistema HUMANO.</w:t>
            </w:r>
          </w:p>
        </w:tc>
      </w:tr>
      <w:tr w:rsidR="00273288" w:rsidRPr="00E33DE3" w14:paraId="1D15424D" w14:textId="77777777" w:rsidTr="005543CD">
        <w:trPr>
          <w:trHeight w:val="20"/>
        </w:trPr>
        <w:tc>
          <w:tcPr>
            <w:tcW w:w="800" w:type="pct"/>
            <w:tcBorders>
              <w:top w:val="nil"/>
              <w:left w:val="single" w:sz="4" w:space="0" w:color="auto"/>
              <w:bottom w:val="single" w:sz="4" w:space="0" w:color="auto"/>
              <w:right w:val="single" w:sz="4" w:space="0" w:color="auto"/>
            </w:tcBorders>
            <w:noWrap/>
            <w:vAlign w:val="center"/>
            <w:hideMark/>
          </w:tcPr>
          <w:p w14:paraId="70215857" w14:textId="77777777" w:rsidR="00273288" w:rsidRPr="00E33DE3" w:rsidRDefault="00273288" w:rsidP="00C65B25">
            <w:pPr>
              <w:jc w:val="center"/>
              <w:rPr>
                <w:rFonts w:ascii="Verdana" w:hAnsi="Verdana" w:cs="Arial"/>
                <w:color w:val="000000"/>
                <w:sz w:val="18"/>
                <w:szCs w:val="18"/>
                <w:lang w:val="es-CO" w:eastAsia="es-CO"/>
              </w:rPr>
            </w:pPr>
            <w:r w:rsidRPr="00E33DE3">
              <w:rPr>
                <w:rFonts w:ascii="Verdana" w:hAnsi="Verdana" w:cs="Arial"/>
                <w:color w:val="000000"/>
                <w:sz w:val="18"/>
                <w:szCs w:val="18"/>
                <w:lang w:val="es-CO" w:eastAsia="es-CO"/>
              </w:rPr>
              <w:t>VALIDACIÓN 3</w:t>
            </w:r>
          </w:p>
        </w:tc>
        <w:tc>
          <w:tcPr>
            <w:tcW w:w="4200" w:type="pct"/>
            <w:tcBorders>
              <w:top w:val="nil"/>
              <w:left w:val="nil"/>
              <w:bottom w:val="single" w:sz="4" w:space="0" w:color="auto"/>
              <w:right w:val="single" w:sz="4" w:space="0" w:color="auto"/>
            </w:tcBorders>
            <w:noWrap/>
            <w:vAlign w:val="center"/>
            <w:hideMark/>
          </w:tcPr>
          <w:p w14:paraId="4A46E6E9" w14:textId="77777777" w:rsidR="00273288" w:rsidRPr="00E33DE3" w:rsidRDefault="00273288" w:rsidP="00C65B25">
            <w:pPr>
              <w:rPr>
                <w:rFonts w:ascii="Verdana" w:hAnsi="Verdana" w:cs="Arial"/>
                <w:color w:val="000000"/>
                <w:sz w:val="18"/>
                <w:szCs w:val="18"/>
                <w:lang w:val="es-CO" w:eastAsia="es-CO"/>
              </w:rPr>
            </w:pPr>
            <w:r w:rsidRPr="00E33DE3">
              <w:rPr>
                <w:rFonts w:ascii="Verdana" w:hAnsi="Verdana" w:cs="Arial"/>
                <w:color w:val="000000"/>
                <w:sz w:val="18"/>
                <w:szCs w:val="18"/>
                <w:lang w:val="es-CO" w:eastAsia="es-CO"/>
              </w:rPr>
              <w:t>códigos DANE de las sedes activas en el sistema de información DUE que no registran matrícula (Estudiantes) en SIMAT.</w:t>
            </w:r>
          </w:p>
        </w:tc>
      </w:tr>
      <w:tr w:rsidR="00273288" w:rsidRPr="00E33DE3" w14:paraId="13D90C3A" w14:textId="77777777" w:rsidTr="005543CD">
        <w:trPr>
          <w:trHeight w:val="20"/>
        </w:trPr>
        <w:tc>
          <w:tcPr>
            <w:tcW w:w="800" w:type="pct"/>
            <w:tcBorders>
              <w:top w:val="nil"/>
              <w:left w:val="single" w:sz="4" w:space="0" w:color="auto"/>
              <w:bottom w:val="single" w:sz="4" w:space="0" w:color="auto"/>
              <w:right w:val="single" w:sz="4" w:space="0" w:color="auto"/>
            </w:tcBorders>
            <w:noWrap/>
            <w:vAlign w:val="center"/>
            <w:hideMark/>
          </w:tcPr>
          <w:p w14:paraId="539D4CA7" w14:textId="77777777" w:rsidR="00273288" w:rsidRPr="00E33DE3" w:rsidRDefault="00273288" w:rsidP="00C65B25">
            <w:pPr>
              <w:jc w:val="center"/>
              <w:rPr>
                <w:rFonts w:ascii="Verdana" w:hAnsi="Verdana" w:cs="Arial"/>
                <w:color w:val="000000"/>
                <w:sz w:val="18"/>
                <w:szCs w:val="18"/>
                <w:lang w:val="es-CO" w:eastAsia="es-CO"/>
              </w:rPr>
            </w:pPr>
            <w:r w:rsidRPr="00E33DE3">
              <w:rPr>
                <w:rFonts w:ascii="Verdana" w:hAnsi="Verdana" w:cs="Arial"/>
                <w:color w:val="000000"/>
                <w:sz w:val="18"/>
                <w:szCs w:val="18"/>
                <w:lang w:val="es-CO" w:eastAsia="es-CO"/>
              </w:rPr>
              <w:t>VALIDACIÓN 4</w:t>
            </w:r>
          </w:p>
        </w:tc>
        <w:tc>
          <w:tcPr>
            <w:tcW w:w="4200" w:type="pct"/>
            <w:tcBorders>
              <w:top w:val="nil"/>
              <w:left w:val="nil"/>
              <w:bottom w:val="single" w:sz="4" w:space="0" w:color="auto"/>
              <w:right w:val="single" w:sz="4" w:space="0" w:color="auto"/>
            </w:tcBorders>
            <w:noWrap/>
            <w:vAlign w:val="center"/>
            <w:hideMark/>
          </w:tcPr>
          <w:p w14:paraId="549283D9" w14:textId="77777777" w:rsidR="00273288" w:rsidRPr="00E33DE3" w:rsidRDefault="00273288" w:rsidP="00C65B25">
            <w:pPr>
              <w:rPr>
                <w:rFonts w:ascii="Verdana" w:hAnsi="Verdana" w:cs="Arial"/>
                <w:color w:val="000000"/>
                <w:sz w:val="18"/>
                <w:szCs w:val="18"/>
                <w:lang w:val="es-CO" w:eastAsia="es-CO"/>
              </w:rPr>
            </w:pPr>
            <w:r w:rsidRPr="00E33DE3">
              <w:rPr>
                <w:rFonts w:ascii="Verdana" w:hAnsi="Verdana" w:cs="Arial"/>
                <w:color w:val="000000"/>
                <w:sz w:val="18"/>
                <w:szCs w:val="18"/>
                <w:lang w:val="es-CO" w:eastAsia="es-CO"/>
              </w:rPr>
              <w:t>códigos DANE de las sedes activas en HUMANO que no registran matrícula (Estudiantes) en SIMAT y tienen docentes asignados.</w:t>
            </w:r>
          </w:p>
        </w:tc>
      </w:tr>
      <w:tr w:rsidR="00273288" w:rsidRPr="00E33DE3" w14:paraId="26D6B4FE" w14:textId="77777777" w:rsidTr="005543CD">
        <w:trPr>
          <w:trHeight w:val="20"/>
        </w:trPr>
        <w:tc>
          <w:tcPr>
            <w:tcW w:w="800" w:type="pct"/>
            <w:tcBorders>
              <w:top w:val="nil"/>
              <w:left w:val="single" w:sz="4" w:space="0" w:color="auto"/>
              <w:bottom w:val="single" w:sz="4" w:space="0" w:color="auto"/>
              <w:right w:val="single" w:sz="4" w:space="0" w:color="auto"/>
            </w:tcBorders>
            <w:noWrap/>
            <w:vAlign w:val="center"/>
            <w:hideMark/>
          </w:tcPr>
          <w:p w14:paraId="08B6D23C" w14:textId="77777777" w:rsidR="00273288" w:rsidRPr="00E33DE3" w:rsidRDefault="00273288" w:rsidP="00C65B25">
            <w:pPr>
              <w:jc w:val="center"/>
              <w:rPr>
                <w:rFonts w:ascii="Verdana" w:hAnsi="Verdana" w:cs="Arial"/>
                <w:color w:val="000000"/>
                <w:sz w:val="18"/>
                <w:szCs w:val="18"/>
                <w:lang w:val="es-CO" w:eastAsia="es-CO"/>
              </w:rPr>
            </w:pPr>
            <w:r w:rsidRPr="00E33DE3">
              <w:rPr>
                <w:rFonts w:ascii="Verdana" w:hAnsi="Verdana" w:cs="Arial"/>
                <w:color w:val="000000"/>
                <w:sz w:val="18"/>
                <w:szCs w:val="18"/>
                <w:lang w:val="es-CO" w:eastAsia="es-CO"/>
              </w:rPr>
              <w:lastRenderedPageBreak/>
              <w:t>VALIDACIÓN 9</w:t>
            </w:r>
          </w:p>
        </w:tc>
        <w:tc>
          <w:tcPr>
            <w:tcW w:w="4200" w:type="pct"/>
            <w:tcBorders>
              <w:top w:val="nil"/>
              <w:left w:val="nil"/>
              <w:bottom w:val="single" w:sz="4" w:space="0" w:color="auto"/>
              <w:right w:val="single" w:sz="4" w:space="0" w:color="auto"/>
            </w:tcBorders>
            <w:noWrap/>
            <w:vAlign w:val="center"/>
            <w:hideMark/>
          </w:tcPr>
          <w:p w14:paraId="68ABEE02" w14:textId="77777777" w:rsidR="00273288" w:rsidRPr="00E33DE3" w:rsidRDefault="00273288" w:rsidP="00C65B25">
            <w:pPr>
              <w:rPr>
                <w:rFonts w:ascii="Verdana" w:hAnsi="Verdana" w:cs="Arial"/>
                <w:color w:val="000000"/>
                <w:sz w:val="18"/>
                <w:szCs w:val="18"/>
                <w:lang w:val="es-CO" w:eastAsia="es-CO"/>
              </w:rPr>
            </w:pPr>
            <w:r w:rsidRPr="00E33DE3">
              <w:rPr>
                <w:rFonts w:ascii="Verdana" w:hAnsi="Verdana" w:cs="Arial"/>
                <w:color w:val="000000"/>
                <w:sz w:val="18"/>
                <w:szCs w:val="18"/>
                <w:lang w:val="es-CO" w:eastAsia="es-CO"/>
              </w:rPr>
              <w:t xml:space="preserve"> información de las sedes educativas principales activas oficiales que tienen más de un directivo docente asociado en el sistema HUMANO.</w:t>
            </w:r>
          </w:p>
        </w:tc>
      </w:tr>
    </w:tbl>
    <w:p w14:paraId="15EA4E31" w14:textId="77777777" w:rsidR="00273288" w:rsidRPr="00E33DE3" w:rsidRDefault="00273288" w:rsidP="00C65B25">
      <w:pPr>
        <w:pStyle w:val="CONPESTexto"/>
        <w:spacing w:before="0" w:after="0" w:line="240" w:lineRule="auto"/>
        <w:ind w:firstLine="0"/>
        <w:contextualSpacing/>
        <w:jc w:val="center"/>
        <w:rPr>
          <w:rFonts w:ascii="Verdana" w:eastAsia="Times New Roman" w:hAnsi="Verdana" w:cs="Arial"/>
          <w:sz w:val="18"/>
          <w:szCs w:val="18"/>
        </w:rPr>
      </w:pPr>
      <w:r w:rsidRPr="00E33DE3">
        <w:rPr>
          <w:rFonts w:ascii="Verdana" w:hAnsi="Verdana" w:cs="Arial"/>
          <w:sz w:val="18"/>
          <w:szCs w:val="18"/>
        </w:rPr>
        <w:t>Fuente: Ministerio de Educación Nacional.</w:t>
      </w:r>
    </w:p>
    <w:p w14:paraId="58C66014" w14:textId="77777777" w:rsidR="00273288" w:rsidRPr="00E33DE3" w:rsidRDefault="00273288" w:rsidP="00C65B25">
      <w:pPr>
        <w:pStyle w:val="CONPESTexto"/>
        <w:spacing w:before="0" w:after="0" w:line="240" w:lineRule="auto"/>
        <w:ind w:firstLine="0"/>
        <w:rPr>
          <w:rFonts w:ascii="Verdana" w:hAnsi="Verdana" w:cs="Arial"/>
          <w:szCs w:val="22"/>
        </w:rPr>
      </w:pPr>
    </w:p>
    <w:p w14:paraId="4D60B489" w14:textId="77777777" w:rsidR="00273288" w:rsidRPr="00E33DE3" w:rsidRDefault="00273288" w:rsidP="00C65B25">
      <w:pPr>
        <w:pStyle w:val="CONPESTexto"/>
        <w:spacing w:before="0" w:after="0" w:line="240" w:lineRule="auto"/>
        <w:ind w:firstLine="0"/>
        <w:rPr>
          <w:rFonts w:ascii="Verdana" w:hAnsi="Verdana" w:cs="Arial"/>
          <w:szCs w:val="22"/>
        </w:rPr>
      </w:pPr>
      <w:r w:rsidRPr="00E33DE3">
        <w:rPr>
          <w:rFonts w:ascii="Verdana" w:hAnsi="Verdana" w:cs="Arial"/>
          <w:szCs w:val="22"/>
        </w:rPr>
        <w:t xml:space="preserve">Al respecto, tal Ministerio remitió el reporte para las vigencias 2019, 2020, 2021 y 2022, en </w:t>
      </w:r>
      <w:r w:rsidR="005543CD" w:rsidRPr="00E33DE3">
        <w:rPr>
          <w:rFonts w:ascii="Verdana" w:hAnsi="Verdana" w:cs="Arial"/>
          <w:szCs w:val="22"/>
        </w:rPr>
        <w:t>el</w:t>
      </w:r>
      <w:r w:rsidRPr="00E33DE3">
        <w:rPr>
          <w:rFonts w:ascii="Verdana" w:hAnsi="Verdana" w:cs="Arial"/>
          <w:szCs w:val="22"/>
        </w:rPr>
        <w:t xml:space="preserve"> que se indicaban las validaciones con corte a noviembre de 2019, octubre de 2020, octubre de 2021 y julio de 2022 respectivamente. Según esta información, el Municipio de Pasto ha registrado las siguientes inconsistencias por validación en cada vigencia:</w:t>
      </w:r>
    </w:p>
    <w:p w14:paraId="11FABA5F" w14:textId="77777777" w:rsidR="00273288" w:rsidRPr="00E33DE3" w:rsidRDefault="00273288" w:rsidP="00C65B25">
      <w:pPr>
        <w:pStyle w:val="CONPESTexto"/>
        <w:spacing w:before="0" w:after="0" w:line="240" w:lineRule="auto"/>
        <w:ind w:firstLine="0"/>
        <w:rPr>
          <w:rFonts w:ascii="Verdana" w:hAnsi="Verdana" w:cs="Arial"/>
          <w:szCs w:val="22"/>
        </w:rPr>
      </w:pP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901"/>
        <w:gridCol w:w="766"/>
        <w:gridCol w:w="705"/>
        <w:gridCol w:w="754"/>
        <w:gridCol w:w="736"/>
        <w:gridCol w:w="751"/>
        <w:gridCol w:w="796"/>
        <w:gridCol w:w="721"/>
        <w:gridCol w:w="751"/>
        <w:gridCol w:w="676"/>
        <w:gridCol w:w="645"/>
      </w:tblGrid>
      <w:tr w:rsidR="00273288" w:rsidRPr="00E33DE3" w14:paraId="75BFD4C1" w14:textId="77777777" w:rsidTr="00273288">
        <w:trPr>
          <w:trHeight w:val="20"/>
        </w:trPr>
        <w:tc>
          <w:tcPr>
            <w:tcW w:w="8937" w:type="dxa"/>
            <w:gridSpan w:val="12"/>
            <w:tcBorders>
              <w:top w:val="single" w:sz="4" w:space="0" w:color="auto"/>
              <w:left w:val="single" w:sz="4" w:space="0" w:color="auto"/>
              <w:bottom w:val="single" w:sz="4" w:space="0" w:color="auto"/>
              <w:right w:val="single" w:sz="4" w:space="0" w:color="auto"/>
            </w:tcBorders>
            <w:shd w:val="clear" w:color="auto" w:fill="B48C41"/>
            <w:noWrap/>
            <w:vAlign w:val="center"/>
            <w:hideMark/>
          </w:tcPr>
          <w:p w14:paraId="5ACC96BE" w14:textId="77777777" w:rsidR="00273288" w:rsidRPr="00E33DE3" w:rsidRDefault="00273288" w:rsidP="00C65B25">
            <w:pPr>
              <w:jc w:val="center"/>
              <w:rPr>
                <w:rFonts w:ascii="Verdana" w:eastAsia="Times New Roman" w:hAnsi="Verdana" w:cs="Arial"/>
                <w:b/>
                <w:bCs/>
                <w:color w:val="FFFFFF" w:themeColor="background1"/>
                <w:sz w:val="18"/>
                <w:szCs w:val="18"/>
                <w:lang w:val="es-CO" w:eastAsia="es-CO"/>
              </w:rPr>
            </w:pPr>
            <w:r w:rsidRPr="00E33DE3">
              <w:rPr>
                <w:rFonts w:ascii="Verdana" w:eastAsia="Times New Roman" w:hAnsi="Verdana" w:cs="Arial"/>
                <w:b/>
                <w:bCs/>
                <w:color w:val="FFFFFF" w:themeColor="background1"/>
                <w:sz w:val="18"/>
                <w:szCs w:val="18"/>
                <w:lang w:val="es-CO" w:eastAsia="es-CO"/>
              </w:rPr>
              <w:t>TABLA 8. VALIDACIONES DUE - SINEB - DUE - SIMAT – HUMANO</w:t>
            </w:r>
          </w:p>
        </w:tc>
      </w:tr>
      <w:tr w:rsidR="00273288" w:rsidRPr="00E33DE3" w14:paraId="4DDBD869" w14:textId="77777777" w:rsidTr="00273288">
        <w:trPr>
          <w:trHeight w:val="20"/>
        </w:trPr>
        <w:tc>
          <w:tcPr>
            <w:tcW w:w="737" w:type="dxa"/>
            <w:tcBorders>
              <w:top w:val="single" w:sz="4" w:space="0" w:color="auto"/>
              <w:left w:val="single" w:sz="4" w:space="0" w:color="auto"/>
              <w:bottom w:val="single" w:sz="4" w:space="0" w:color="auto"/>
              <w:right w:val="single" w:sz="4" w:space="0" w:color="auto"/>
            </w:tcBorders>
            <w:shd w:val="clear" w:color="auto" w:fill="B48C41"/>
            <w:tcMar>
              <w:top w:w="0" w:type="dxa"/>
              <w:left w:w="70" w:type="dxa"/>
              <w:bottom w:w="0" w:type="dxa"/>
              <w:right w:w="70" w:type="dxa"/>
            </w:tcMar>
            <w:vAlign w:val="center"/>
            <w:hideMark/>
          </w:tcPr>
          <w:p w14:paraId="5B51F93B"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Vigencia</w:t>
            </w:r>
          </w:p>
        </w:tc>
        <w:tc>
          <w:tcPr>
            <w:tcW w:w="900" w:type="dxa"/>
            <w:tcBorders>
              <w:top w:val="single" w:sz="4" w:space="0" w:color="auto"/>
              <w:left w:val="single" w:sz="4" w:space="0" w:color="auto"/>
              <w:bottom w:val="single" w:sz="4" w:space="0" w:color="auto"/>
              <w:right w:val="single" w:sz="4" w:space="0" w:color="auto"/>
            </w:tcBorders>
            <w:shd w:val="clear" w:color="auto" w:fill="B48C41"/>
            <w:tcMar>
              <w:top w:w="0" w:type="dxa"/>
              <w:left w:w="70" w:type="dxa"/>
              <w:bottom w:w="0" w:type="dxa"/>
              <w:right w:w="70" w:type="dxa"/>
            </w:tcMar>
            <w:vAlign w:val="center"/>
            <w:hideMark/>
          </w:tcPr>
          <w:p w14:paraId="72D335DB"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sz w:val="18"/>
                <w:szCs w:val="18"/>
                <w:lang w:val="es-CO" w:eastAsia="es-CO"/>
              </w:rPr>
              <w:t>Criterio</w:t>
            </w:r>
          </w:p>
        </w:tc>
        <w:tc>
          <w:tcPr>
            <w:tcW w:w="765" w:type="dxa"/>
            <w:tcBorders>
              <w:top w:val="single" w:sz="4" w:space="0" w:color="auto"/>
              <w:left w:val="single" w:sz="4" w:space="0" w:color="auto"/>
              <w:bottom w:val="single" w:sz="4" w:space="0" w:color="auto"/>
              <w:right w:val="single" w:sz="4" w:space="0" w:color="auto"/>
            </w:tcBorders>
            <w:shd w:val="clear" w:color="auto" w:fill="B48C41"/>
            <w:tcMar>
              <w:top w:w="0" w:type="dxa"/>
              <w:left w:w="70" w:type="dxa"/>
              <w:bottom w:w="0" w:type="dxa"/>
              <w:right w:w="70" w:type="dxa"/>
            </w:tcMar>
            <w:vAlign w:val="center"/>
            <w:hideMark/>
          </w:tcPr>
          <w:p w14:paraId="2BC60234"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sz w:val="18"/>
                <w:szCs w:val="18"/>
                <w:lang w:val="es-CO" w:eastAsia="es-CO"/>
              </w:rPr>
              <w:t>Validación 1</w:t>
            </w:r>
          </w:p>
        </w:tc>
        <w:tc>
          <w:tcPr>
            <w:tcW w:w="705" w:type="dxa"/>
            <w:tcBorders>
              <w:top w:val="single" w:sz="4" w:space="0" w:color="auto"/>
              <w:left w:val="single" w:sz="4" w:space="0" w:color="auto"/>
              <w:bottom w:val="single" w:sz="4" w:space="0" w:color="auto"/>
              <w:right w:val="single" w:sz="4" w:space="0" w:color="auto"/>
            </w:tcBorders>
            <w:shd w:val="clear" w:color="auto" w:fill="B48C41"/>
            <w:tcMar>
              <w:top w:w="0" w:type="dxa"/>
              <w:left w:w="70" w:type="dxa"/>
              <w:bottom w:w="0" w:type="dxa"/>
              <w:right w:w="70" w:type="dxa"/>
            </w:tcMar>
            <w:vAlign w:val="center"/>
            <w:hideMark/>
          </w:tcPr>
          <w:p w14:paraId="664F513E"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sz w:val="18"/>
                <w:szCs w:val="18"/>
                <w:lang w:val="es-CO" w:eastAsia="es-CO"/>
              </w:rPr>
              <w:t>Validación 2</w:t>
            </w:r>
          </w:p>
        </w:tc>
        <w:tc>
          <w:tcPr>
            <w:tcW w:w="754" w:type="dxa"/>
            <w:tcBorders>
              <w:top w:val="single" w:sz="4" w:space="0" w:color="auto"/>
              <w:left w:val="single" w:sz="4" w:space="0" w:color="auto"/>
              <w:bottom w:val="single" w:sz="4" w:space="0" w:color="auto"/>
              <w:right w:val="single" w:sz="4" w:space="0" w:color="auto"/>
            </w:tcBorders>
            <w:shd w:val="clear" w:color="auto" w:fill="B48C41"/>
            <w:tcMar>
              <w:top w:w="0" w:type="dxa"/>
              <w:left w:w="70" w:type="dxa"/>
              <w:bottom w:w="0" w:type="dxa"/>
              <w:right w:w="70" w:type="dxa"/>
            </w:tcMar>
            <w:vAlign w:val="center"/>
            <w:hideMark/>
          </w:tcPr>
          <w:p w14:paraId="0BEC94E3"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sz w:val="18"/>
                <w:szCs w:val="18"/>
                <w:lang w:val="es-CO" w:eastAsia="es-CO"/>
              </w:rPr>
              <w:t>Validación 3</w:t>
            </w:r>
          </w:p>
        </w:tc>
        <w:tc>
          <w:tcPr>
            <w:tcW w:w="736" w:type="dxa"/>
            <w:tcBorders>
              <w:top w:val="single" w:sz="4" w:space="0" w:color="auto"/>
              <w:left w:val="single" w:sz="4" w:space="0" w:color="auto"/>
              <w:bottom w:val="single" w:sz="4" w:space="0" w:color="auto"/>
              <w:right w:val="single" w:sz="4" w:space="0" w:color="auto"/>
            </w:tcBorders>
            <w:shd w:val="clear" w:color="auto" w:fill="B48C41"/>
            <w:tcMar>
              <w:top w:w="0" w:type="dxa"/>
              <w:left w:w="70" w:type="dxa"/>
              <w:bottom w:w="0" w:type="dxa"/>
              <w:right w:w="70" w:type="dxa"/>
            </w:tcMar>
            <w:vAlign w:val="center"/>
            <w:hideMark/>
          </w:tcPr>
          <w:p w14:paraId="0E188862"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sz w:val="18"/>
                <w:szCs w:val="18"/>
                <w:lang w:val="es-CO" w:eastAsia="es-CO"/>
              </w:rPr>
              <w:t>Validación 4</w:t>
            </w:r>
          </w:p>
        </w:tc>
        <w:tc>
          <w:tcPr>
            <w:tcW w:w="751" w:type="dxa"/>
            <w:tcBorders>
              <w:top w:val="single" w:sz="4" w:space="0" w:color="auto"/>
              <w:left w:val="single" w:sz="4" w:space="0" w:color="auto"/>
              <w:bottom w:val="single" w:sz="4" w:space="0" w:color="auto"/>
              <w:right w:val="single" w:sz="4" w:space="0" w:color="auto"/>
            </w:tcBorders>
            <w:shd w:val="clear" w:color="auto" w:fill="B48C41"/>
            <w:tcMar>
              <w:top w:w="0" w:type="dxa"/>
              <w:left w:w="70" w:type="dxa"/>
              <w:bottom w:w="0" w:type="dxa"/>
              <w:right w:w="70" w:type="dxa"/>
            </w:tcMar>
            <w:vAlign w:val="center"/>
            <w:hideMark/>
          </w:tcPr>
          <w:p w14:paraId="5E34C8C1"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sz w:val="18"/>
                <w:szCs w:val="18"/>
                <w:lang w:val="es-CO" w:eastAsia="es-CO"/>
              </w:rPr>
              <w:t>Validación 5</w:t>
            </w:r>
          </w:p>
        </w:tc>
        <w:tc>
          <w:tcPr>
            <w:tcW w:w="796" w:type="dxa"/>
            <w:tcBorders>
              <w:top w:val="single" w:sz="4" w:space="0" w:color="auto"/>
              <w:left w:val="single" w:sz="4" w:space="0" w:color="auto"/>
              <w:bottom w:val="single" w:sz="4" w:space="0" w:color="auto"/>
              <w:right w:val="single" w:sz="4" w:space="0" w:color="auto"/>
            </w:tcBorders>
            <w:shd w:val="clear" w:color="auto" w:fill="B48C41"/>
            <w:tcMar>
              <w:top w:w="0" w:type="dxa"/>
              <w:left w:w="70" w:type="dxa"/>
              <w:bottom w:w="0" w:type="dxa"/>
              <w:right w:w="70" w:type="dxa"/>
            </w:tcMar>
            <w:vAlign w:val="center"/>
            <w:hideMark/>
          </w:tcPr>
          <w:p w14:paraId="2A0673F3"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sz w:val="18"/>
                <w:szCs w:val="18"/>
                <w:lang w:val="es-CO" w:eastAsia="es-CO"/>
              </w:rPr>
              <w:t>Validación 6</w:t>
            </w:r>
          </w:p>
        </w:tc>
        <w:tc>
          <w:tcPr>
            <w:tcW w:w="721" w:type="dxa"/>
            <w:tcBorders>
              <w:top w:val="single" w:sz="4" w:space="0" w:color="auto"/>
              <w:left w:val="single" w:sz="4" w:space="0" w:color="auto"/>
              <w:bottom w:val="single" w:sz="4" w:space="0" w:color="auto"/>
              <w:right w:val="single" w:sz="4" w:space="0" w:color="auto"/>
            </w:tcBorders>
            <w:shd w:val="clear" w:color="auto" w:fill="B48C41"/>
            <w:tcMar>
              <w:top w:w="0" w:type="dxa"/>
              <w:left w:w="70" w:type="dxa"/>
              <w:bottom w:w="0" w:type="dxa"/>
              <w:right w:w="70" w:type="dxa"/>
            </w:tcMar>
            <w:vAlign w:val="center"/>
            <w:hideMark/>
          </w:tcPr>
          <w:p w14:paraId="549AF0F7"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sz w:val="18"/>
                <w:szCs w:val="18"/>
                <w:lang w:val="es-CO" w:eastAsia="es-CO"/>
              </w:rPr>
              <w:t>Validación 7</w:t>
            </w:r>
          </w:p>
        </w:tc>
        <w:tc>
          <w:tcPr>
            <w:tcW w:w="751" w:type="dxa"/>
            <w:tcBorders>
              <w:top w:val="single" w:sz="4" w:space="0" w:color="auto"/>
              <w:left w:val="single" w:sz="4" w:space="0" w:color="auto"/>
              <w:bottom w:val="single" w:sz="4" w:space="0" w:color="auto"/>
              <w:right w:val="single" w:sz="4" w:space="0" w:color="auto"/>
            </w:tcBorders>
            <w:shd w:val="clear" w:color="auto" w:fill="B48C41"/>
            <w:tcMar>
              <w:top w:w="0" w:type="dxa"/>
              <w:left w:w="70" w:type="dxa"/>
              <w:bottom w:w="0" w:type="dxa"/>
              <w:right w:w="70" w:type="dxa"/>
            </w:tcMar>
            <w:vAlign w:val="center"/>
            <w:hideMark/>
          </w:tcPr>
          <w:p w14:paraId="571B1CB4"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sz w:val="18"/>
                <w:szCs w:val="18"/>
                <w:lang w:val="es-CO" w:eastAsia="es-CO"/>
              </w:rPr>
              <w:t>Validación 8</w:t>
            </w:r>
          </w:p>
        </w:tc>
        <w:tc>
          <w:tcPr>
            <w:tcW w:w="676" w:type="dxa"/>
            <w:tcBorders>
              <w:top w:val="single" w:sz="4" w:space="0" w:color="auto"/>
              <w:left w:val="single" w:sz="4" w:space="0" w:color="auto"/>
              <w:bottom w:val="single" w:sz="4" w:space="0" w:color="auto"/>
              <w:right w:val="single" w:sz="4" w:space="0" w:color="auto"/>
            </w:tcBorders>
            <w:shd w:val="clear" w:color="auto" w:fill="B48C41"/>
            <w:tcMar>
              <w:top w:w="0" w:type="dxa"/>
              <w:left w:w="70" w:type="dxa"/>
              <w:bottom w:w="0" w:type="dxa"/>
              <w:right w:w="70" w:type="dxa"/>
            </w:tcMar>
            <w:vAlign w:val="center"/>
            <w:hideMark/>
          </w:tcPr>
          <w:p w14:paraId="46291196"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sz w:val="18"/>
                <w:szCs w:val="18"/>
                <w:lang w:val="es-CO" w:eastAsia="es-CO"/>
              </w:rPr>
              <w:t>Validación 9</w:t>
            </w:r>
          </w:p>
        </w:tc>
        <w:tc>
          <w:tcPr>
            <w:tcW w:w="645" w:type="dxa"/>
            <w:tcBorders>
              <w:top w:val="single" w:sz="4" w:space="0" w:color="auto"/>
              <w:left w:val="single" w:sz="4" w:space="0" w:color="auto"/>
              <w:bottom w:val="single" w:sz="4" w:space="0" w:color="auto"/>
              <w:right w:val="single" w:sz="4" w:space="0" w:color="auto"/>
            </w:tcBorders>
            <w:shd w:val="clear" w:color="auto" w:fill="B48C41"/>
            <w:tcMar>
              <w:top w:w="0" w:type="dxa"/>
              <w:left w:w="70" w:type="dxa"/>
              <w:bottom w:w="0" w:type="dxa"/>
              <w:right w:w="70" w:type="dxa"/>
            </w:tcMar>
            <w:vAlign w:val="center"/>
            <w:hideMark/>
          </w:tcPr>
          <w:p w14:paraId="30948C6C"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Total</w:t>
            </w:r>
          </w:p>
        </w:tc>
      </w:tr>
      <w:tr w:rsidR="00C65B25" w:rsidRPr="00E33DE3" w14:paraId="5FA59223" w14:textId="77777777" w:rsidTr="005543CD">
        <w:trPr>
          <w:trHeight w:val="20"/>
        </w:trPr>
        <w:tc>
          <w:tcPr>
            <w:tcW w:w="737" w:type="dxa"/>
            <w:tcBorders>
              <w:top w:val="single" w:sz="4" w:space="0" w:color="auto"/>
              <w:left w:val="single" w:sz="4" w:space="0" w:color="auto"/>
              <w:bottom w:val="single" w:sz="4" w:space="0" w:color="auto"/>
              <w:right w:val="single" w:sz="4" w:space="0" w:color="auto"/>
            </w:tcBorders>
            <w:shd w:val="clear" w:color="auto" w:fill="F1EADA"/>
            <w:vAlign w:val="center"/>
            <w:hideMark/>
          </w:tcPr>
          <w:p w14:paraId="060A116F" w14:textId="77777777" w:rsidR="00273288" w:rsidRPr="00E33DE3" w:rsidRDefault="00273288" w:rsidP="00C65B25">
            <w:pPr>
              <w:jc w:val="center"/>
              <w:rPr>
                <w:rFonts w:ascii="Verdana" w:eastAsia="Verdana" w:hAnsi="Verdana" w:cs="Verdana"/>
                <w:b/>
                <w:bCs/>
                <w:sz w:val="18"/>
                <w:szCs w:val="18"/>
                <w:lang w:val="es-CO" w:eastAsia="es-CO"/>
              </w:rPr>
            </w:pPr>
            <w:r w:rsidRPr="00E33DE3">
              <w:rPr>
                <w:rFonts w:ascii="Verdana" w:eastAsia="Verdana" w:hAnsi="Verdana" w:cs="Verdana"/>
                <w:b/>
                <w:bCs/>
                <w:sz w:val="18"/>
                <w:szCs w:val="18"/>
                <w:lang w:val="es-CO" w:eastAsia="es-CO"/>
              </w:rPr>
              <w:t>2019-Nov</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4B4B8845" w14:textId="77777777" w:rsidR="00273288" w:rsidRPr="00E33DE3" w:rsidRDefault="00273288" w:rsidP="00C65B25">
            <w:pPr>
              <w:rPr>
                <w:rFonts w:ascii="Verdana" w:eastAsia="Verdana" w:hAnsi="Verdana" w:cs="Verdana"/>
                <w:b/>
                <w:bCs/>
                <w:color w:val="000000"/>
                <w:sz w:val="18"/>
                <w:szCs w:val="18"/>
                <w:lang w:val="es-CO" w:eastAsia="es-CO"/>
              </w:rPr>
            </w:pPr>
            <w:r w:rsidRPr="00E33DE3">
              <w:rPr>
                <w:rFonts w:ascii="Verdana" w:eastAsia="Verdana" w:hAnsi="Verdana" w:cs="Verdana"/>
                <w:b/>
                <w:bCs/>
                <w:color w:val="000000" w:themeColor="text1"/>
                <w:sz w:val="18"/>
                <w:szCs w:val="18"/>
                <w:lang w:val="es-CO" w:eastAsia="es-CO"/>
              </w:rPr>
              <w:t>No Válido</w:t>
            </w:r>
          </w:p>
        </w:tc>
        <w:tc>
          <w:tcPr>
            <w:tcW w:w="765" w:type="dxa"/>
            <w:tcBorders>
              <w:top w:val="single" w:sz="4" w:space="0" w:color="auto"/>
              <w:left w:val="single" w:sz="4" w:space="0" w:color="auto"/>
              <w:bottom w:val="single" w:sz="4" w:space="0" w:color="auto"/>
              <w:right w:val="single" w:sz="4" w:space="0" w:color="auto"/>
            </w:tcBorders>
            <w:noWrap/>
            <w:vAlign w:val="center"/>
            <w:hideMark/>
          </w:tcPr>
          <w:p w14:paraId="2BB79AB5"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11</w:t>
            </w:r>
          </w:p>
        </w:tc>
        <w:tc>
          <w:tcPr>
            <w:tcW w:w="705" w:type="dxa"/>
            <w:tcBorders>
              <w:top w:val="single" w:sz="4" w:space="0" w:color="auto"/>
              <w:left w:val="single" w:sz="4" w:space="0" w:color="auto"/>
              <w:bottom w:val="single" w:sz="4" w:space="0" w:color="auto"/>
              <w:right w:val="single" w:sz="4" w:space="0" w:color="auto"/>
            </w:tcBorders>
            <w:noWrap/>
            <w:vAlign w:val="center"/>
            <w:hideMark/>
          </w:tcPr>
          <w:p w14:paraId="3DB6CADA"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0</w:t>
            </w:r>
          </w:p>
        </w:tc>
        <w:tc>
          <w:tcPr>
            <w:tcW w:w="754" w:type="dxa"/>
            <w:tcBorders>
              <w:top w:val="single" w:sz="4" w:space="0" w:color="auto"/>
              <w:left w:val="single" w:sz="4" w:space="0" w:color="auto"/>
              <w:bottom w:val="single" w:sz="4" w:space="0" w:color="auto"/>
              <w:right w:val="single" w:sz="4" w:space="0" w:color="auto"/>
            </w:tcBorders>
            <w:noWrap/>
            <w:vAlign w:val="center"/>
            <w:hideMark/>
          </w:tcPr>
          <w:p w14:paraId="2890D068"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0</w:t>
            </w:r>
          </w:p>
        </w:tc>
        <w:tc>
          <w:tcPr>
            <w:tcW w:w="736" w:type="dxa"/>
            <w:tcBorders>
              <w:top w:val="single" w:sz="4" w:space="0" w:color="auto"/>
              <w:left w:val="single" w:sz="4" w:space="0" w:color="auto"/>
              <w:bottom w:val="single" w:sz="4" w:space="0" w:color="auto"/>
              <w:right w:val="single" w:sz="4" w:space="0" w:color="auto"/>
            </w:tcBorders>
            <w:noWrap/>
            <w:vAlign w:val="center"/>
            <w:hideMark/>
          </w:tcPr>
          <w:p w14:paraId="5697FCFF"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0</w:t>
            </w:r>
          </w:p>
        </w:tc>
        <w:tc>
          <w:tcPr>
            <w:tcW w:w="751" w:type="dxa"/>
            <w:tcBorders>
              <w:top w:val="single" w:sz="4" w:space="0" w:color="auto"/>
              <w:left w:val="single" w:sz="4" w:space="0" w:color="auto"/>
              <w:bottom w:val="single" w:sz="4" w:space="0" w:color="auto"/>
              <w:right w:val="single" w:sz="4" w:space="0" w:color="auto"/>
            </w:tcBorders>
            <w:noWrap/>
            <w:vAlign w:val="center"/>
            <w:hideMark/>
          </w:tcPr>
          <w:p w14:paraId="1FD1ACF6"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0</w:t>
            </w:r>
          </w:p>
        </w:tc>
        <w:tc>
          <w:tcPr>
            <w:tcW w:w="796" w:type="dxa"/>
            <w:tcBorders>
              <w:top w:val="single" w:sz="4" w:space="0" w:color="auto"/>
              <w:left w:val="single" w:sz="4" w:space="0" w:color="auto"/>
              <w:bottom w:val="single" w:sz="4" w:space="0" w:color="auto"/>
              <w:right w:val="single" w:sz="4" w:space="0" w:color="auto"/>
            </w:tcBorders>
            <w:noWrap/>
            <w:vAlign w:val="center"/>
            <w:hideMark/>
          </w:tcPr>
          <w:p w14:paraId="49E5298A"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0</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77777A9B"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0</w:t>
            </w:r>
          </w:p>
        </w:tc>
        <w:tc>
          <w:tcPr>
            <w:tcW w:w="751" w:type="dxa"/>
            <w:tcBorders>
              <w:top w:val="single" w:sz="4" w:space="0" w:color="auto"/>
              <w:left w:val="single" w:sz="4" w:space="0" w:color="auto"/>
              <w:bottom w:val="single" w:sz="4" w:space="0" w:color="auto"/>
              <w:right w:val="single" w:sz="4" w:space="0" w:color="auto"/>
            </w:tcBorders>
            <w:noWrap/>
            <w:vAlign w:val="center"/>
            <w:hideMark/>
          </w:tcPr>
          <w:p w14:paraId="3DA78698"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0</w:t>
            </w:r>
          </w:p>
        </w:tc>
        <w:tc>
          <w:tcPr>
            <w:tcW w:w="676" w:type="dxa"/>
            <w:tcBorders>
              <w:top w:val="single" w:sz="4" w:space="0" w:color="auto"/>
              <w:left w:val="single" w:sz="4" w:space="0" w:color="auto"/>
              <w:bottom w:val="single" w:sz="4" w:space="0" w:color="auto"/>
              <w:right w:val="single" w:sz="4" w:space="0" w:color="auto"/>
            </w:tcBorders>
            <w:noWrap/>
            <w:vAlign w:val="center"/>
            <w:hideMark/>
          </w:tcPr>
          <w:p w14:paraId="5EE3397A"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0</w:t>
            </w:r>
          </w:p>
        </w:tc>
        <w:tc>
          <w:tcPr>
            <w:tcW w:w="645" w:type="dxa"/>
            <w:tcBorders>
              <w:top w:val="single" w:sz="4" w:space="0" w:color="auto"/>
              <w:left w:val="single" w:sz="4" w:space="0" w:color="auto"/>
              <w:bottom w:val="single" w:sz="4" w:space="0" w:color="auto"/>
              <w:right w:val="single" w:sz="4" w:space="0" w:color="auto"/>
            </w:tcBorders>
            <w:noWrap/>
            <w:vAlign w:val="center"/>
            <w:hideMark/>
          </w:tcPr>
          <w:p w14:paraId="4E20E95E"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11</w:t>
            </w:r>
          </w:p>
        </w:tc>
      </w:tr>
      <w:tr w:rsidR="00C65B25" w:rsidRPr="00E33DE3" w14:paraId="39B63710" w14:textId="77777777" w:rsidTr="005543CD">
        <w:trPr>
          <w:trHeight w:val="20"/>
        </w:trPr>
        <w:tc>
          <w:tcPr>
            <w:tcW w:w="737" w:type="dxa"/>
            <w:tcBorders>
              <w:top w:val="single" w:sz="4" w:space="0" w:color="auto"/>
              <w:left w:val="single" w:sz="4" w:space="0" w:color="auto"/>
              <w:bottom w:val="single" w:sz="4" w:space="0" w:color="auto"/>
              <w:right w:val="single" w:sz="4" w:space="0" w:color="auto"/>
            </w:tcBorders>
            <w:shd w:val="clear" w:color="auto" w:fill="F1EADA"/>
            <w:vAlign w:val="center"/>
            <w:hideMark/>
          </w:tcPr>
          <w:p w14:paraId="6DE4447E" w14:textId="77777777" w:rsidR="00273288" w:rsidRPr="00E33DE3" w:rsidRDefault="00273288" w:rsidP="00C65B25">
            <w:pPr>
              <w:jc w:val="center"/>
              <w:rPr>
                <w:rFonts w:ascii="Verdana" w:eastAsia="Verdana" w:hAnsi="Verdana" w:cs="Verdana"/>
                <w:b/>
                <w:bCs/>
                <w:sz w:val="18"/>
                <w:szCs w:val="18"/>
                <w:lang w:val="es-CO" w:eastAsia="es-CO"/>
              </w:rPr>
            </w:pPr>
            <w:r w:rsidRPr="00E33DE3">
              <w:rPr>
                <w:rFonts w:ascii="Verdana" w:eastAsia="Verdana" w:hAnsi="Verdana" w:cs="Verdana"/>
                <w:b/>
                <w:bCs/>
                <w:sz w:val="18"/>
                <w:szCs w:val="18"/>
                <w:lang w:val="es-CO" w:eastAsia="es-CO"/>
              </w:rPr>
              <w:t>2020-Oct</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92498AC" w14:textId="77777777" w:rsidR="00273288" w:rsidRPr="00E33DE3" w:rsidRDefault="00273288" w:rsidP="00C65B25">
            <w:pPr>
              <w:rPr>
                <w:rFonts w:ascii="Verdana" w:eastAsia="Verdana" w:hAnsi="Verdana" w:cs="Verdana"/>
                <w:b/>
                <w:bCs/>
                <w:color w:val="000000"/>
                <w:sz w:val="18"/>
                <w:szCs w:val="18"/>
                <w:lang w:val="es-CO" w:eastAsia="es-CO"/>
              </w:rPr>
            </w:pPr>
            <w:r w:rsidRPr="00E33DE3">
              <w:rPr>
                <w:rFonts w:ascii="Verdana" w:eastAsia="Verdana" w:hAnsi="Verdana" w:cs="Verdana"/>
                <w:b/>
                <w:bCs/>
                <w:color w:val="000000" w:themeColor="text1"/>
                <w:sz w:val="18"/>
                <w:szCs w:val="18"/>
                <w:lang w:val="es-CO" w:eastAsia="es-CO"/>
              </w:rPr>
              <w:t>No Válido</w:t>
            </w:r>
          </w:p>
        </w:tc>
        <w:tc>
          <w:tcPr>
            <w:tcW w:w="765" w:type="dxa"/>
            <w:tcBorders>
              <w:top w:val="single" w:sz="4" w:space="0" w:color="auto"/>
              <w:left w:val="single" w:sz="4" w:space="0" w:color="auto"/>
              <w:bottom w:val="single" w:sz="4" w:space="0" w:color="auto"/>
              <w:right w:val="single" w:sz="4" w:space="0" w:color="auto"/>
            </w:tcBorders>
            <w:noWrap/>
            <w:vAlign w:val="center"/>
            <w:hideMark/>
          </w:tcPr>
          <w:p w14:paraId="3C01E4E9"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12</w:t>
            </w:r>
          </w:p>
        </w:tc>
        <w:tc>
          <w:tcPr>
            <w:tcW w:w="705" w:type="dxa"/>
            <w:tcBorders>
              <w:top w:val="single" w:sz="4" w:space="0" w:color="auto"/>
              <w:left w:val="single" w:sz="4" w:space="0" w:color="auto"/>
              <w:bottom w:val="single" w:sz="4" w:space="0" w:color="auto"/>
              <w:right w:val="single" w:sz="4" w:space="0" w:color="auto"/>
            </w:tcBorders>
            <w:noWrap/>
            <w:vAlign w:val="center"/>
            <w:hideMark/>
          </w:tcPr>
          <w:p w14:paraId="2FB7A419"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0</w:t>
            </w:r>
          </w:p>
        </w:tc>
        <w:tc>
          <w:tcPr>
            <w:tcW w:w="754" w:type="dxa"/>
            <w:tcBorders>
              <w:top w:val="single" w:sz="4" w:space="0" w:color="auto"/>
              <w:left w:val="single" w:sz="4" w:space="0" w:color="auto"/>
              <w:bottom w:val="single" w:sz="4" w:space="0" w:color="auto"/>
              <w:right w:val="single" w:sz="4" w:space="0" w:color="auto"/>
            </w:tcBorders>
            <w:noWrap/>
            <w:vAlign w:val="center"/>
            <w:hideMark/>
          </w:tcPr>
          <w:p w14:paraId="331F2AAD"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1</w:t>
            </w:r>
          </w:p>
        </w:tc>
        <w:tc>
          <w:tcPr>
            <w:tcW w:w="736" w:type="dxa"/>
            <w:tcBorders>
              <w:top w:val="single" w:sz="4" w:space="0" w:color="auto"/>
              <w:left w:val="single" w:sz="4" w:space="0" w:color="auto"/>
              <w:bottom w:val="single" w:sz="4" w:space="0" w:color="auto"/>
              <w:right w:val="single" w:sz="4" w:space="0" w:color="auto"/>
            </w:tcBorders>
            <w:noWrap/>
            <w:vAlign w:val="center"/>
            <w:hideMark/>
          </w:tcPr>
          <w:p w14:paraId="4DB4EF49"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11</w:t>
            </w:r>
          </w:p>
        </w:tc>
        <w:tc>
          <w:tcPr>
            <w:tcW w:w="751" w:type="dxa"/>
            <w:tcBorders>
              <w:top w:val="single" w:sz="4" w:space="0" w:color="auto"/>
              <w:left w:val="single" w:sz="4" w:space="0" w:color="auto"/>
              <w:bottom w:val="single" w:sz="4" w:space="0" w:color="auto"/>
              <w:right w:val="single" w:sz="4" w:space="0" w:color="auto"/>
            </w:tcBorders>
            <w:noWrap/>
            <w:vAlign w:val="center"/>
            <w:hideMark/>
          </w:tcPr>
          <w:p w14:paraId="314CA574"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0</w:t>
            </w:r>
          </w:p>
        </w:tc>
        <w:tc>
          <w:tcPr>
            <w:tcW w:w="796" w:type="dxa"/>
            <w:tcBorders>
              <w:top w:val="single" w:sz="4" w:space="0" w:color="auto"/>
              <w:left w:val="single" w:sz="4" w:space="0" w:color="auto"/>
              <w:bottom w:val="single" w:sz="4" w:space="0" w:color="auto"/>
              <w:right w:val="single" w:sz="4" w:space="0" w:color="auto"/>
            </w:tcBorders>
            <w:noWrap/>
            <w:vAlign w:val="center"/>
            <w:hideMark/>
          </w:tcPr>
          <w:p w14:paraId="64741620"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0</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5481B24D"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0</w:t>
            </w:r>
          </w:p>
        </w:tc>
        <w:tc>
          <w:tcPr>
            <w:tcW w:w="751" w:type="dxa"/>
            <w:tcBorders>
              <w:top w:val="single" w:sz="4" w:space="0" w:color="auto"/>
              <w:left w:val="single" w:sz="4" w:space="0" w:color="auto"/>
              <w:bottom w:val="single" w:sz="4" w:space="0" w:color="auto"/>
              <w:right w:val="single" w:sz="4" w:space="0" w:color="auto"/>
            </w:tcBorders>
            <w:noWrap/>
            <w:vAlign w:val="center"/>
            <w:hideMark/>
          </w:tcPr>
          <w:p w14:paraId="0EA2044D"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0</w:t>
            </w:r>
          </w:p>
        </w:tc>
        <w:tc>
          <w:tcPr>
            <w:tcW w:w="676" w:type="dxa"/>
            <w:tcBorders>
              <w:top w:val="single" w:sz="4" w:space="0" w:color="auto"/>
              <w:left w:val="single" w:sz="4" w:space="0" w:color="auto"/>
              <w:bottom w:val="single" w:sz="4" w:space="0" w:color="auto"/>
              <w:right w:val="single" w:sz="4" w:space="0" w:color="auto"/>
            </w:tcBorders>
            <w:noWrap/>
            <w:vAlign w:val="center"/>
            <w:hideMark/>
          </w:tcPr>
          <w:p w14:paraId="788BA6A8"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0</w:t>
            </w:r>
          </w:p>
        </w:tc>
        <w:tc>
          <w:tcPr>
            <w:tcW w:w="645" w:type="dxa"/>
            <w:tcBorders>
              <w:top w:val="single" w:sz="4" w:space="0" w:color="auto"/>
              <w:left w:val="single" w:sz="4" w:space="0" w:color="auto"/>
              <w:bottom w:val="single" w:sz="4" w:space="0" w:color="auto"/>
              <w:right w:val="single" w:sz="4" w:space="0" w:color="auto"/>
            </w:tcBorders>
            <w:noWrap/>
            <w:vAlign w:val="center"/>
            <w:hideMark/>
          </w:tcPr>
          <w:p w14:paraId="20856D13"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24</w:t>
            </w:r>
          </w:p>
        </w:tc>
      </w:tr>
      <w:tr w:rsidR="00C65B25" w:rsidRPr="00E33DE3" w14:paraId="0AB6908F" w14:textId="77777777" w:rsidTr="005543CD">
        <w:trPr>
          <w:trHeight w:val="20"/>
        </w:trPr>
        <w:tc>
          <w:tcPr>
            <w:tcW w:w="737" w:type="dxa"/>
            <w:tcBorders>
              <w:top w:val="single" w:sz="4" w:space="0" w:color="auto"/>
              <w:left w:val="single" w:sz="4" w:space="0" w:color="auto"/>
              <w:bottom w:val="single" w:sz="4" w:space="0" w:color="auto"/>
              <w:right w:val="single" w:sz="4" w:space="0" w:color="auto"/>
            </w:tcBorders>
            <w:shd w:val="clear" w:color="auto" w:fill="F1EADA"/>
            <w:vAlign w:val="center"/>
            <w:hideMark/>
          </w:tcPr>
          <w:p w14:paraId="1E6B2D64" w14:textId="77777777" w:rsidR="00273288" w:rsidRPr="00E33DE3" w:rsidRDefault="00273288" w:rsidP="00C65B25">
            <w:pPr>
              <w:jc w:val="center"/>
              <w:rPr>
                <w:rFonts w:ascii="Verdana" w:eastAsia="Verdana" w:hAnsi="Verdana" w:cs="Verdana"/>
                <w:b/>
                <w:bCs/>
                <w:sz w:val="18"/>
                <w:szCs w:val="18"/>
                <w:lang w:val="es-CO" w:eastAsia="es-CO"/>
              </w:rPr>
            </w:pPr>
            <w:r w:rsidRPr="00E33DE3">
              <w:rPr>
                <w:rFonts w:ascii="Verdana" w:eastAsia="Verdana" w:hAnsi="Verdana" w:cs="Verdana"/>
                <w:b/>
                <w:bCs/>
                <w:sz w:val="18"/>
                <w:szCs w:val="18"/>
                <w:lang w:val="es-CO" w:eastAsia="es-CO"/>
              </w:rPr>
              <w:t>2021-Oct</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0B9213C" w14:textId="77777777" w:rsidR="00273288" w:rsidRPr="00E33DE3" w:rsidRDefault="00273288" w:rsidP="00C65B25">
            <w:pPr>
              <w:rPr>
                <w:rFonts w:ascii="Verdana" w:eastAsia="Verdana" w:hAnsi="Verdana" w:cs="Verdana"/>
                <w:b/>
                <w:bCs/>
                <w:color w:val="000000"/>
                <w:sz w:val="18"/>
                <w:szCs w:val="18"/>
                <w:lang w:val="es-CO" w:eastAsia="es-CO"/>
              </w:rPr>
            </w:pPr>
            <w:r w:rsidRPr="00E33DE3">
              <w:rPr>
                <w:rFonts w:ascii="Verdana" w:eastAsia="Verdana" w:hAnsi="Verdana" w:cs="Verdana"/>
                <w:b/>
                <w:bCs/>
                <w:color w:val="000000" w:themeColor="text1"/>
                <w:sz w:val="18"/>
                <w:szCs w:val="18"/>
                <w:lang w:val="es-CO" w:eastAsia="es-CO"/>
              </w:rPr>
              <w:t>No Válido</w:t>
            </w:r>
          </w:p>
        </w:tc>
        <w:tc>
          <w:tcPr>
            <w:tcW w:w="765" w:type="dxa"/>
            <w:tcBorders>
              <w:top w:val="single" w:sz="4" w:space="0" w:color="auto"/>
              <w:left w:val="single" w:sz="4" w:space="0" w:color="auto"/>
              <w:bottom w:val="single" w:sz="4" w:space="0" w:color="auto"/>
              <w:right w:val="single" w:sz="4" w:space="0" w:color="auto"/>
            </w:tcBorders>
            <w:noWrap/>
            <w:vAlign w:val="center"/>
            <w:hideMark/>
          </w:tcPr>
          <w:p w14:paraId="293CAE59"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11</w:t>
            </w:r>
          </w:p>
        </w:tc>
        <w:tc>
          <w:tcPr>
            <w:tcW w:w="705" w:type="dxa"/>
            <w:tcBorders>
              <w:top w:val="single" w:sz="4" w:space="0" w:color="auto"/>
              <w:left w:val="single" w:sz="4" w:space="0" w:color="auto"/>
              <w:bottom w:val="single" w:sz="4" w:space="0" w:color="auto"/>
              <w:right w:val="single" w:sz="4" w:space="0" w:color="auto"/>
            </w:tcBorders>
            <w:noWrap/>
            <w:vAlign w:val="center"/>
            <w:hideMark/>
          </w:tcPr>
          <w:p w14:paraId="17F964FA"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0</w:t>
            </w:r>
          </w:p>
        </w:tc>
        <w:tc>
          <w:tcPr>
            <w:tcW w:w="754" w:type="dxa"/>
            <w:tcBorders>
              <w:top w:val="single" w:sz="4" w:space="0" w:color="auto"/>
              <w:left w:val="single" w:sz="4" w:space="0" w:color="auto"/>
              <w:bottom w:val="single" w:sz="4" w:space="0" w:color="auto"/>
              <w:right w:val="single" w:sz="4" w:space="0" w:color="auto"/>
            </w:tcBorders>
            <w:noWrap/>
            <w:vAlign w:val="center"/>
            <w:hideMark/>
          </w:tcPr>
          <w:p w14:paraId="55A379B9"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1</w:t>
            </w:r>
          </w:p>
        </w:tc>
        <w:tc>
          <w:tcPr>
            <w:tcW w:w="736" w:type="dxa"/>
            <w:tcBorders>
              <w:top w:val="single" w:sz="4" w:space="0" w:color="auto"/>
              <w:left w:val="single" w:sz="4" w:space="0" w:color="auto"/>
              <w:bottom w:val="single" w:sz="4" w:space="0" w:color="auto"/>
              <w:right w:val="single" w:sz="4" w:space="0" w:color="auto"/>
            </w:tcBorders>
            <w:noWrap/>
            <w:vAlign w:val="center"/>
            <w:hideMark/>
          </w:tcPr>
          <w:p w14:paraId="7B81A32B"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1</w:t>
            </w:r>
          </w:p>
        </w:tc>
        <w:tc>
          <w:tcPr>
            <w:tcW w:w="751" w:type="dxa"/>
            <w:tcBorders>
              <w:top w:val="single" w:sz="4" w:space="0" w:color="auto"/>
              <w:left w:val="single" w:sz="4" w:space="0" w:color="auto"/>
              <w:bottom w:val="single" w:sz="4" w:space="0" w:color="auto"/>
              <w:right w:val="single" w:sz="4" w:space="0" w:color="auto"/>
            </w:tcBorders>
            <w:noWrap/>
            <w:vAlign w:val="center"/>
            <w:hideMark/>
          </w:tcPr>
          <w:p w14:paraId="375D9737"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0</w:t>
            </w:r>
          </w:p>
        </w:tc>
        <w:tc>
          <w:tcPr>
            <w:tcW w:w="796" w:type="dxa"/>
            <w:tcBorders>
              <w:top w:val="single" w:sz="4" w:space="0" w:color="auto"/>
              <w:left w:val="single" w:sz="4" w:space="0" w:color="auto"/>
              <w:bottom w:val="single" w:sz="4" w:space="0" w:color="auto"/>
              <w:right w:val="single" w:sz="4" w:space="0" w:color="auto"/>
            </w:tcBorders>
            <w:noWrap/>
            <w:vAlign w:val="center"/>
            <w:hideMark/>
          </w:tcPr>
          <w:p w14:paraId="1C7EF6B8"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0</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4DCBAD3C"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0</w:t>
            </w:r>
          </w:p>
        </w:tc>
        <w:tc>
          <w:tcPr>
            <w:tcW w:w="751" w:type="dxa"/>
            <w:tcBorders>
              <w:top w:val="single" w:sz="4" w:space="0" w:color="auto"/>
              <w:left w:val="single" w:sz="4" w:space="0" w:color="auto"/>
              <w:bottom w:val="single" w:sz="4" w:space="0" w:color="auto"/>
              <w:right w:val="single" w:sz="4" w:space="0" w:color="auto"/>
            </w:tcBorders>
            <w:noWrap/>
            <w:vAlign w:val="center"/>
            <w:hideMark/>
          </w:tcPr>
          <w:p w14:paraId="19C1C013"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0</w:t>
            </w:r>
          </w:p>
        </w:tc>
        <w:tc>
          <w:tcPr>
            <w:tcW w:w="676" w:type="dxa"/>
            <w:tcBorders>
              <w:top w:val="single" w:sz="4" w:space="0" w:color="auto"/>
              <w:left w:val="single" w:sz="4" w:space="0" w:color="auto"/>
              <w:bottom w:val="single" w:sz="4" w:space="0" w:color="auto"/>
              <w:right w:val="single" w:sz="4" w:space="0" w:color="auto"/>
            </w:tcBorders>
            <w:noWrap/>
            <w:vAlign w:val="center"/>
            <w:hideMark/>
          </w:tcPr>
          <w:p w14:paraId="38F2543F"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8</w:t>
            </w:r>
          </w:p>
        </w:tc>
        <w:tc>
          <w:tcPr>
            <w:tcW w:w="645" w:type="dxa"/>
            <w:tcBorders>
              <w:top w:val="single" w:sz="4" w:space="0" w:color="auto"/>
              <w:left w:val="single" w:sz="4" w:space="0" w:color="auto"/>
              <w:bottom w:val="single" w:sz="4" w:space="0" w:color="auto"/>
              <w:right w:val="single" w:sz="4" w:space="0" w:color="auto"/>
            </w:tcBorders>
            <w:noWrap/>
            <w:vAlign w:val="center"/>
            <w:hideMark/>
          </w:tcPr>
          <w:p w14:paraId="4396C955"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21</w:t>
            </w:r>
          </w:p>
        </w:tc>
      </w:tr>
      <w:tr w:rsidR="00C65B25" w:rsidRPr="00E33DE3" w14:paraId="41469482" w14:textId="77777777" w:rsidTr="005543CD">
        <w:trPr>
          <w:trHeight w:val="20"/>
        </w:trPr>
        <w:tc>
          <w:tcPr>
            <w:tcW w:w="737" w:type="dxa"/>
            <w:tcBorders>
              <w:top w:val="single" w:sz="4" w:space="0" w:color="auto"/>
              <w:left w:val="single" w:sz="4" w:space="0" w:color="auto"/>
              <w:bottom w:val="single" w:sz="4" w:space="0" w:color="auto"/>
              <w:right w:val="single" w:sz="4" w:space="0" w:color="auto"/>
            </w:tcBorders>
            <w:shd w:val="clear" w:color="auto" w:fill="F1EADA"/>
            <w:vAlign w:val="center"/>
            <w:hideMark/>
          </w:tcPr>
          <w:p w14:paraId="18D466CA" w14:textId="77777777" w:rsidR="00273288" w:rsidRPr="00E33DE3" w:rsidRDefault="00273288" w:rsidP="00C65B25">
            <w:pPr>
              <w:jc w:val="center"/>
              <w:rPr>
                <w:rFonts w:ascii="Verdana" w:eastAsia="Verdana" w:hAnsi="Verdana" w:cs="Verdana"/>
                <w:b/>
                <w:bCs/>
                <w:sz w:val="18"/>
                <w:szCs w:val="18"/>
                <w:lang w:val="es-CO" w:eastAsia="es-CO"/>
              </w:rPr>
            </w:pPr>
            <w:r w:rsidRPr="00E33DE3">
              <w:rPr>
                <w:rFonts w:ascii="Verdana" w:eastAsia="Verdana" w:hAnsi="Verdana" w:cs="Verdana"/>
                <w:b/>
                <w:bCs/>
                <w:sz w:val="18"/>
                <w:szCs w:val="18"/>
                <w:lang w:val="es-CO" w:eastAsia="es-CO"/>
              </w:rPr>
              <w:t>2022-jul</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77806A3" w14:textId="77777777" w:rsidR="00273288" w:rsidRPr="00E33DE3" w:rsidRDefault="00273288" w:rsidP="00C65B25">
            <w:pPr>
              <w:rPr>
                <w:rFonts w:ascii="Verdana" w:eastAsia="Verdana" w:hAnsi="Verdana" w:cs="Verdana"/>
                <w:b/>
                <w:bCs/>
                <w:color w:val="000000"/>
                <w:sz w:val="18"/>
                <w:szCs w:val="18"/>
                <w:lang w:val="es-CO" w:eastAsia="es-CO"/>
              </w:rPr>
            </w:pPr>
            <w:r w:rsidRPr="00E33DE3">
              <w:rPr>
                <w:rFonts w:ascii="Verdana" w:eastAsia="Verdana" w:hAnsi="Verdana" w:cs="Verdana"/>
                <w:b/>
                <w:bCs/>
                <w:color w:val="000000" w:themeColor="text1"/>
                <w:sz w:val="18"/>
                <w:szCs w:val="18"/>
                <w:lang w:val="es-CO" w:eastAsia="es-CO"/>
              </w:rPr>
              <w:t>No Válido</w:t>
            </w:r>
          </w:p>
        </w:tc>
        <w:tc>
          <w:tcPr>
            <w:tcW w:w="765" w:type="dxa"/>
            <w:tcBorders>
              <w:top w:val="single" w:sz="4" w:space="0" w:color="auto"/>
              <w:left w:val="single" w:sz="4" w:space="0" w:color="auto"/>
              <w:bottom w:val="single" w:sz="4" w:space="0" w:color="auto"/>
              <w:right w:val="single" w:sz="4" w:space="0" w:color="auto"/>
            </w:tcBorders>
            <w:noWrap/>
            <w:vAlign w:val="center"/>
            <w:hideMark/>
          </w:tcPr>
          <w:p w14:paraId="42A357FB"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11</w:t>
            </w:r>
          </w:p>
        </w:tc>
        <w:tc>
          <w:tcPr>
            <w:tcW w:w="705" w:type="dxa"/>
            <w:tcBorders>
              <w:top w:val="single" w:sz="4" w:space="0" w:color="auto"/>
              <w:left w:val="single" w:sz="4" w:space="0" w:color="auto"/>
              <w:bottom w:val="single" w:sz="4" w:space="0" w:color="auto"/>
              <w:right w:val="single" w:sz="4" w:space="0" w:color="auto"/>
            </w:tcBorders>
            <w:noWrap/>
            <w:vAlign w:val="center"/>
            <w:hideMark/>
          </w:tcPr>
          <w:p w14:paraId="0F731DF1"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0</w:t>
            </w:r>
          </w:p>
        </w:tc>
        <w:tc>
          <w:tcPr>
            <w:tcW w:w="754" w:type="dxa"/>
            <w:tcBorders>
              <w:top w:val="single" w:sz="4" w:space="0" w:color="auto"/>
              <w:left w:val="single" w:sz="4" w:space="0" w:color="auto"/>
              <w:bottom w:val="single" w:sz="4" w:space="0" w:color="auto"/>
              <w:right w:val="single" w:sz="4" w:space="0" w:color="auto"/>
            </w:tcBorders>
            <w:noWrap/>
            <w:vAlign w:val="center"/>
            <w:hideMark/>
          </w:tcPr>
          <w:p w14:paraId="4E504D4A"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1</w:t>
            </w:r>
          </w:p>
        </w:tc>
        <w:tc>
          <w:tcPr>
            <w:tcW w:w="736" w:type="dxa"/>
            <w:tcBorders>
              <w:top w:val="single" w:sz="4" w:space="0" w:color="auto"/>
              <w:left w:val="single" w:sz="4" w:space="0" w:color="auto"/>
              <w:bottom w:val="single" w:sz="4" w:space="0" w:color="auto"/>
              <w:right w:val="single" w:sz="4" w:space="0" w:color="auto"/>
            </w:tcBorders>
            <w:noWrap/>
            <w:vAlign w:val="center"/>
            <w:hideMark/>
          </w:tcPr>
          <w:p w14:paraId="79B1E632"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1</w:t>
            </w:r>
          </w:p>
        </w:tc>
        <w:tc>
          <w:tcPr>
            <w:tcW w:w="751" w:type="dxa"/>
            <w:tcBorders>
              <w:top w:val="single" w:sz="4" w:space="0" w:color="auto"/>
              <w:left w:val="single" w:sz="4" w:space="0" w:color="auto"/>
              <w:bottom w:val="single" w:sz="4" w:space="0" w:color="auto"/>
              <w:right w:val="single" w:sz="4" w:space="0" w:color="auto"/>
            </w:tcBorders>
            <w:noWrap/>
            <w:vAlign w:val="center"/>
            <w:hideMark/>
          </w:tcPr>
          <w:p w14:paraId="38D915F5"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0</w:t>
            </w:r>
          </w:p>
        </w:tc>
        <w:tc>
          <w:tcPr>
            <w:tcW w:w="796" w:type="dxa"/>
            <w:tcBorders>
              <w:top w:val="single" w:sz="4" w:space="0" w:color="auto"/>
              <w:left w:val="single" w:sz="4" w:space="0" w:color="auto"/>
              <w:bottom w:val="single" w:sz="4" w:space="0" w:color="auto"/>
              <w:right w:val="single" w:sz="4" w:space="0" w:color="auto"/>
            </w:tcBorders>
            <w:noWrap/>
            <w:vAlign w:val="center"/>
            <w:hideMark/>
          </w:tcPr>
          <w:p w14:paraId="7B2C3357"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0</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69BA7A8D"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0</w:t>
            </w:r>
          </w:p>
        </w:tc>
        <w:tc>
          <w:tcPr>
            <w:tcW w:w="751" w:type="dxa"/>
            <w:tcBorders>
              <w:top w:val="single" w:sz="4" w:space="0" w:color="auto"/>
              <w:left w:val="single" w:sz="4" w:space="0" w:color="auto"/>
              <w:bottom w:val="single" w:sz="4" w:space="0" w:color="auto"/>
              <w:right w:val="single" w:sz="4" w:space="0" w:color="auto"/>
            </w:tcBorders>
            <w:noWrap/>
            <w:vAlign w:val="center"/>
            <w:hideMark/>
          </w:tcPr>
          <w:p w14:paraId="31FC6D6F"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0</w:t>
            </w:r>
          </w:p>
        </w:tc>
        <w:tc>
          <w:tcPr>
            <w:tcW w:w="676" w:type="dxa"/>
            <w:tcBorders>
              <w:top w:val="single" w:sz="4" w:space="0" w:color="auto"/>
              <w:left w:val="single" w:sz="4" w:space="0" w:color="auto"/>
              <w:bottom w:val="single" w:sz="4" w:space="0" w:color="auto"/>
              <w:right w:val="single" w:sz="4" w:space="0" w:color="auto"/>
            </w:tcBorders>
            <w:noWrap/>
            <w:vAlign w:val="center"/>
            <w:hideMark/>
          </w:tcPr>
          <w:p w14:paraId="3BFEF89E"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13</w:t>
            </w:r>
          </w:p>
        </w:tc>
        <w:tc>
          <w:tcPr>
            <w:tcW w:w="645" w:type="dxa"/>
            <w:tcBorders>
              <w:top w:val="single" w:sz="4" w:space="0" w:color="auto"/>
              <w:left w:val="single" w:sz="4" w:space="0" w:color="auto"/>
              <w:bottom w:val="single" w:sz="4" w:space="0" w:color="auto"/>
              <w:right w:val="single" w:sz="4" w:space="0" w:color="auto"/>
            </w:tcBorders>
            <w:noWrap/>
            <w:vAlign w:val="center"/>
            <w:hideMark/>
          </w:tcPr>
          <w:p w14:paraId="3F948F34"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26</w:t>
            </w:r>
          </w:p>
        </w:tc>
      </w:tr>
      <w:tr w:rsidR="00273288" w:rsidRPr="00E33DE3" w14:paraId="7F64D5FF" w14:textId="77777777" w:rsidTr="00273288">
        <w:trPr>
          <w:trHeight w:val="20"/>
        </w:trPr>
        <w:tc>
          <w:tcPr>
            <w:tcW w:w="1637" w:type="dxa"/>
            <w:gridSpan w:val="2"/>
            <w:tcBorders>
              <w:top w:val="single" w:sz="4" w:space="0" w:color="auto"/>
              <w:left w:val="single" w:sz="4" w:space="0" w:color="auto"/>
              <w:bottom w:val="single" w:sz="4" w:space="0" w:color="auto"/>
              <w:right w:val="single" w:sz="4" w:space="0" w:color="auto"/>
            </w:tcBorders>
            <w:shd w:val="clear" w:color="auto" w:fill="B48C41"/>
            <w:vAlign w:val="center"/>
            <w:hideMark/>
          </w:tcPr>
          <w:p w14:paraId="4BBC182B"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sz w:val="18"/>
                <w:szCs w:val="18"/>
                <w:lang w:val="es-CO" w:eastAsia="es-CO"/>
              </w:rPr>
              <w:t xml:space="preserve"> TOTAL </w:t>
            </w:r>
          </w:p>
        </w:tc>
        <w:tc>
          <w:tcPr>
            <w:tcW w:w="765" w:type="dxa"/>
            <w:tcBorders>
              <w:top w:val="single" w:sz="4" w:space="0" w:color="auto"/>
              <w:left w:val="single" w:sz="4" w:space="0" w:color="auto"/>
              <w:bottom w:val="single" w:sz="4" w:space="0" w:color="auto"/>
              <w:right w:val="single" w:sz="4" w:space="0" w:color="auto"/>
            </w:tcBorders>
            <w:shd w:val="clear" w:color="auto" w:fill="B48C41"/>
            <w:vAlign w:val="center"/>
            <w:hideMark/>
          </w:tcPr>
          <w:p w14:paraId="09F7F467" w14:textId="77777777" w:rsidR="00273288" w:rsidRPr="00E33DE3" w:rsidRDefault="00273288" w:rsidP="00C65B25">
            <w:pPr>
              <w:jc w:val="center"/>
              <w:rPr>
                <w:rFonts w:ascii="Verdana" w:eastAsia="Times New Roman" w:hAnsi="Verdana" w:cs="Arial"/>
                <w:b/>
                <w:bCs/>
                <w:color w:val="FFFFFF" w:themeColor="background1"/>
                <w:sz w:val="18"/>
                <w:szCs w:val="18"/>
                <w:lang w:val="es-CO" w:eastAsia="es-CO"/>
              </w:rPr>
            </w:pPr>
            <w:r w:rsidRPr="00E33DE3">
              <w:rPr>
                <w:rFonts w:ascii="Verdana" w:eastAsia="Times New Roman" w:hAnsi="Verdana" w:cs="Arial"/>
                <w:b/>
                <w:bCs/>
                <w:color w:val="FFFFFF" w:themeColor="background1"/>
                <w:sz w:val="18"/>
                <w:szCs w:val="18"/>
                <w:lang w:val="es-CO" w:eastAsia="es-CO"/>
              </w:rPr>
              <w:t>45</w:t>
            </w:r>
          </w:p>
        </w:tc>
        <w:tc>
          <w:tcPr>
            <w:tcW w:w="705" w:type="dxa"/>
            <w:tcBorders>
              <w:top w:val="single" w:sz="4" w:space="0" w:color="auto"/>
              <w:left w:val="single" w:sz="4" w:space="0" w:color="auto"/>
              <w:bottom w:val="single" w:sz="4" w:space="0" w:color="auto"/>
              <w:right w:val="single" w:sz="4" w:space="0" w:color="auto"/>
            </w:tcBorders>
            <w:shd w:val="clear" w:color="auto" w:fill="B48C41"/>
            <w:vAlign w:val="center"/>
            <w:hideMark/>
          </w:tcPr>
          <w:p w14:paraId="0867D18A" w14:textId="77777777" w:rsidR="00273288" w:rsidRPr="00E33DE3" w:rsidRDefault="00273288" w:rsidP="00C65B25">
            <w:pPr>
              <w:jc w:val="center"/>
              <w:rPr>
                <w:rFonts w:ascii="Verdana" w:eastAsia="Times New Roman" w:hAnsi="Verdana" w:cs="Arial"/>
                <w:b/>
                <w:bCs/>
                <w:color w:val="FFFFFF" w:themeColor="background1"/>
                <w:sz w:val="18"/>
                <w:szCs w:val="18"/>
                <w:lang w:val="es-CO" w:eastAsia="es-CO"/>
              </w:rPr>
            </w:pPr>
            <w:r w:rsidRPr="00E33DE3">
              <w:rPr>
                <w:rFonts w:ascii="Verdana" w:eastAsia="Times New Roman" w:hAnsi="Verdana" w:cs="Arial"/>
                <w:b/>
                <w:bCs/>
                <w:color w:val="FFFFFF" w:themeColor="background1"/>
                <w:sz w:val="18"/>
                <w:szCs w:val="18"/>
                <w:lang w:val="es-CO" w:eastAsia="es-CO"/>
              </w:rPr>
              <w:t>0</w:t>
            </w:r>
          </w:p>
        </w:tc>
        <w:tc>
          <w:tcPr>
            <w:tcW w:w="754" w:type="dxa"/>
            <w:tcBorders>
              <w:top w:val="single" w:sz="4" w:space="0" w:color="auto"/>
              <w:left w:val="single" w:sz="4" w:space="0" w:color="auto"/>
              <w:bottom w:val="single" w:sz="4" w:space="0" w:color="auto"/>
              <w:right w:val="single" w:sz="4" w:space="0" w:color="auto"/>
            </w:tcBorders>
            <w:shd w:val="clear" w:color="auto" w:fill="B48C41"/>
            <w:vAlign w:val="center"/>
            <w:hideMark/>
          </w:tcPr>
          <w:p w14:paraId="11DE3E81" w14:textId="77777777" w:rsidR="00273288" w:rsidRPr="00E33DE3" w:rsidRDefault="00273288" w:rsidP="00C65B25">
            <w:pPr>
              <w:jc w:val="center"/>
              <w:rPr>
                <w:rFonts w:ascii="Verdana" w:eastAsia="Times New Roman" w:hAnsi="Verdana" w:cs="Arial"/>
                <w:b/>
                <w:bCs/>
                <w:color w:val="FFFFFF" w:themeColor="background1"/>
                <w:sz w:val="18"/>
                <w:szCs w:val="18"/>
                <w:lang w:val="es-CO" w:eastAsia="es-CO"/>
              </w:rPr>
            </w:pPr>
            <w:r w:rsidRPr="00E33DE3">
              <w:rPr>
                <w:rFonts w:ascii="Verdana" w:eastAsia="Times New Roman" w:hAnsi="Verdana" w:cs="Arial"/>
                <w:b/>
                <w:bCs/>
                <w:color w:val="FFFFFF" w:themeColor="background1"/>
                <w:sz w:val="18"/>
                <w:szCs w:val="18"/>
                <w:lang w:val="es-CO" w:eastAsia="es-CO"/>
              </w:rPr>
              <w:t>3</w:t>
            </w:r>
          </w:p>
        </w:tc>
        <w:tc>
          <w:tcPr>
            <w:tcW w:w="736" w:type="dxa"/>
            <w:tcBorders>
              <w:top w:val="single" w:sz="4" w:space="0" w:color="auto"/>
              <w:left w:val="single" w:sz="4" w:space="0" w:color="auto"/>
              <w:bottom w:val="single" w:sz="4" w:space="0" w:color="auto"/>
              <w:right w:val="single" w:sz="4" w:space="0" w:color="auto"/>
            </w:tcBorders>
            <w:shd w:val="clear" w:color="auto" w:fill="B48C41"/>
            <w:vAlign w:val="center"/>
            <w:hideMark/>
          </w:tcPr>
          <w:p w14:paraId="16108427" w14:textId="77777777" w:rsidR="00273288" w:rsidRPr="00E33DE3" w:rsidRDefault="00273288" w:rsidP="00C65B25">
            <w:pPr>
              <w:jc w:val="center"/>
              <w:rPr>
                <w:rFonts w:ascii="Verdana" w:eastAsia="Times New Roman" w:hAnsi="Verdana" w:cs="Arial"/>
                <w:b/>
                <w:bCs/>
                <w:color w:val="FFFFFF" w:themeColor="background1"/>
                <w:sz w:val="18"/>
                <w:szCs w:val="18"/>
                <w:lang w:val="es-CO" w:eastAsia="es-CO"/>
              </w:rPr>
            </w:pPr>
            <w:r w:rsidRPr="00E33DE3">
              <w:rPr>
                <w:rFonts w:ascii="Verdana" w:eastAsia="Times New Roman" w:hAnsi="Verdana" w:cs="Arial"/>
                <w:b/>
                <w:bCs/>
                <w:color w:val="FFFFFF" w:themeColor="background1"/>
                <w:sz w:val="18"/>
                <w:szCs w:val="18"/>
                <w:lang w:val="es-CO" w:eastAsia="es-CO"/>
              </w:rPr>
              <w:t>13</w:t>
            </w:r>
          </w:p>
        </w:tc>
        <w:tc>
          <w:tcPr>
            <w:tcW w:w="751" w:type="dxa"/>
            <w:tcBorders>
              <w:top w:val="single" w:sz="4" w:space="0" w:color="auto"/>
              <w:left w:val="single" w:sz="4" w:space="0" w:color="auto"/>
              <w:bottom w:val="single" w:sz="4" w:space="0" w:color="auto"/>
              <w:right w:val="single" w:sz="4" w:space="0" w:color="auto"/>
            </w:tcBorders>
            <w:shd w:val="clear" w:color="auto" w:fill="B48C41"/>
            <w:vAlign w:val="center"/>
            <w:hideMark/>
          </w:tcPr>
          <w:p w14:paraId="12AA82DE" w14:textId="77777777" w:rsidR="00273288" w:rsidRPr="00E33DE3" w:rsidRDefault="00273288" w:rsidP="00C65B25">
            <w:pPr>
              <w:jc w:val="center"/>
              <w:rPr>
                <w:rFonts w:ascii="Verdana" w:eastAsia="Times New Roman" w:hAnsi="Verdana" w:cs="Arial"/>
                <w:b/>
                <w:bCs/>
                <w:color w:val="FFFFFF" w:themeColor="background1"/>
                <w:sz w:val="18"/>
                <w:szCs w:val="18"/>
                <w:lang w:val="es-CO" w:eastAsia="es-CO"/>
              </w:rPr>
            </w:pPr>
            <w:r w:rsidRPr="00E33DE3">
              <w:rPr>
                <w:rFonts w:ascii="Verdana" w:eastAsia="Times New Roman" w:hAnsi="Verdana" w:cs="Arial"/>
                <w:b/>
                <w:bCs/>
                <w:color w:val="FFFFFF" w:themeColor="background1"/>
                <w:sz w:val="18"/>
                <w:szCs w:val="18"/>
                <w:lang w:val="es-CO" w:eastAsia="es-CO"/>
              </w:rPr>
              <w:t>0</w:t>
            </w:r>
          </w:p>
        </w:tc>
        <w:tc>
          <w:tcPr>
            <w:tcW w:w="796" w:type="dxa"/>
            <w:tcBorders>
              <w:top w:val="single" w:sz="4" w:space="0" w:color="auto"/>
              <w:left w:val="single" w:sz="4" w:space="0" w:color="auto"/>
              <w:bottom w:val="single" w:sz="4" w:space="0" w:color="auto"/>
              <w:right w:val="single" w:sz="4" w:space="0" w:color="auto"/>
            </w:tcBorders>
            <w:shd w:val="clear" w:color="auto" w:fill="B48C41"/>
            <w:vAlign w:val="center"/>
            <w:hideMark/>
          </w:tcPr>
          <w:p w14:paraId="326B490E" w14:textId="77777777" w:rsidR="00273288" w:rsidRPr="00E33DE3" w:rsidRDefault="00273288" w:rsidP="00C65B25">
            <w:pPr>
              <w:jc w:val="center"/>
              <w:rPr>
                <w:rFonts w:ascii="Verdana" w:eastAsia="Times New Roman" w:hAnsi="Verdana" w:cs="Arial"/>
                <w:b/>
                <w:bCs/>
                <w:color w:val="FFFFFF" w:themeColor="background1"/>
                <w:sz w:val="18"/>
                <w:szCs w:val="18"/>
                <w:lang w:val="es-CO" w:eastAsia="es-CO"/>
              </w:rPr>
            </w:pPr>
            <w:r w:rsidRPr="00E33DE3">
              <w:rPr>
                <w:rFonts w:ascii="Verdana" w:eastAsia="Times New Roman" w:hAnsi="Verdana" w:cs="Arial"/>
                <w:b/>
                <w:bCs/>
                <w:color w:val="FFFFFF" w:themeColor="background1"/>
                <w:sz w:val="18"/>
                <w:szCs w:val="18"/>
                <w:lang w:val="es-CO" w:eastAsia="es-CO"/>
              </w:rPr>
              <w:t>0</w:t>
            </w:r>
          </w:p>
        </w:tc>
        <w:tc>
          <w:tcPr>
            <w:tcW w:w="721" w:type="dxa"/>
            <w:tcBorders>
              <w:top w:val="single" w:sz="4" w:space="0" w:color="auto"/>
              <w:left w:val="single" w:sz="4" w:space="0" w:color="auto"/>
              <w:bottom w:val="single" w:sz="4" w:space="0" w:color="auto"/>
              <w:right w:val="single" w:sz="4" w:space="0" w:color="auto"/>
            </w:tcBorders>
            <w:shd w:val="clear" w:color="auto" w:fill="B48C41"/>
            <w:vAlign w:val="center"/>
            <w:hideMark/>
          </w:tcPr>
          <w:p w14:paraId="58DE5FB9" w14:textId="77777777" w:rsidR="00273288" w:rsidRPr="00E33DE3" w:rsidRDefault="00273288" w:rsidP="00C65B25">
            <w:pPr>
              <w:jc w:val="center"/>
              <w:rPr>
                <w:rFonts w:ascii="Verdana" w:eastAsia="Times New Roman" w:hAnsi="Verdana" w:cs="Arial"/>
                <w:b/>
                <w:bCs/>
                <w:color w:val="FFFFFF" w:themeColor="background1"/>
                <w:sz w:val="18"/>
                <w:szCs w:val="18"/>
                <w:lang w:val="es-CO" w:eastAsia="es-CO"/>
              </w:rPr>
            </w:pPr>
            <w:r w:rsidRPr="00E33DE3">
              <w:rPr>
                <w:rFonts w:ascii="Verdana" w:eastAsia="Times New Roman" w:hAnsi="Verdana" w:cs="Arial"/>
                <w:b/>
                <w:bCs/>
                <w:color w:val="FFFFFF" w:themeColor="background1"/>
                <w:sz w:val="18"/>
                <w:szCs w:val="18"/>
                <w:lang w:val="es-CO" w:eastAsia="es-CO"/>
              </w:rPr>
              <w:t>0</w:t>
            </w:r>
          </w:p>
        </w:tc>
        <w:tc>
          <w:tcPr>
            <w:tcW w:w="751" w:type="dxa"/>
            <w:tcBorders>
              <w:top w:val="single" w:sz="4" w:space="0" w:color="auto"/>
              <w:left w:val="single" w:sz="4" w:space="0" w:color="auto"/>
              <w:bottom w:val="single" w:sz="4" w:space="0" w:color="auto"/>
              <w:right w:val="single" w:sz="4" w:space="0" w:color="auto"/>
            </w:tcBorders>
            <w:shd w:val="clear" w:color="auto" w:fill="B48C41"/>
            <w:vAlign w:val="center"/>
            <w:hideMark/>
          </w:tcPr>
          <w:p w14:paraId="660B1A8A" w14:textId="77777777" w:rsidR="00273288" w:rsidRPr="00E33DE3" w:rsidRDefault="00273288" w:rsidP="00C65B25">
            <w:pPr>
              <w:jc w:val="center"/>
              <w:rPr>
                <w:rFonts w:ascii="Verdana" w:eastAsia="Times New Roman" w:hAnsi="Verdana" w:cs="Arial"/>
                <w:b/>
                <w:bCs/>
                <w:color w:val="FFFFFF" w:themeColor="background1"/>
                <w:sz w:val="18"/>
                <w:szCs w:val="18"/>
                <w:lang w:val="es-CO" w:eastAsia="es-CO"/>
              </w:rPr>
            </w:pPr>
            <w:r w:rsidRPr="00E33DE3">
              <w:rPr>
                <w:rFonts w:ascii="Verdana" w:eastAsia="Times New Roman" w:hAnsi="Verdana" w:cs="Arial"/>
                <w:b/>
                <w:bCs/>
                <w:color w:val="FFFFFF" w:themeColor="background1"/>
                <w:sz w:val="18"/>
                <w:szCs w:val="18"/>
                <w:lang w:val="es-CO" w:eastAsia="es-CO"/>
              </w:rPr>
              <w:t>0</w:t>
            </w:r>
          </w:p>
        </w:tc>
        <w:tc>
          <w:tcPr>
            <w:tcW w:w="676" w:type="dxa"/>
            <w:tcBorders>
              <w:top w:val="single" w:sz="4" w:space="0" w:color="auto"/>
              <w:left w:val="single" w:sz="4" w:space="0" w:color="auto"/>
              <w:bottom w:val="single" w:sz="4" w:space="0" w:color="auto"/>
              <w:right w:val="single" w:sz="4" w:space="0" w:color="auto"/>
            </w:tcBorders>
            <w:shd w:val="clear" w:color="auto" w:fill="B48C41"/>
            <w:vAlign w:val="center"/>
            <w:hideMark/>
          </w:tcPr>
          <w:p w14:paraId="53061445" w14:textId="77777777" w:rsidR="00273288" w:rsidRPr="00E33DE3" w:rsidRDefault="00273288" w:rsidP="00C65B25">
            <w:pPr>
              <w:jc w:val="center"/>
              <w:rPr>
                <w:rFonts w:ascii="Verdana" w:eastAsia="Times New Roman" w:hAnsi="Verdana" w:cs="Arial"/>
                <w:b/>
                <w:bCs/>
                <w:color w:val="FFFFFF" w:themeColor="background1"/>
                <w:sz w:val="18"/>
                <w:szCs w:val="18"/>
                <w:lang w:val="es-CO" w:eastAsia="es-CO"/>
              </w:rPr>
            </w:pPr>
            <w:r w:rsidRPr="00E33DE3">
              <w:rPr>
                <w:rFonts w:ascii="Verdana" w:eastAsia="Times New Roman" w:hAnsi="Verdana" w:cs="Arial"/>
                <w:b/>
                <w:bCs/>
                <w:color w:val="FFFFFF" w:themeColor="background1"/>
                <w:sz w:val="18"/>
                <w:szCs w:val="18"/>
                <w:lang w:val="es-CO" w:eastAsia="es-CO"/>
              </w:rPr>
              <w:t>21</w:t>
            </w:r>
          </w:p>
        </w:tc>
        <w:tc>
          <w:tcPr>
            <w:tcW w:w="645" w:type="dxa"/>
            <w:tcBorders>
              <w:top w:val="single" w:sz="4" w:space="0" w:color="auto"/>
              <w:left w:val="single" w:sz="4" w:space="0" w:color="auto"/>
              <w:bottom w:val="single" w:sz="4" w:space="0" w:color="auto"/>
              <w:right w:val="single" w:sz="4" w:space="0" w:color="auto"/>
            </w:tcBorders>
            <w:shd w:val="clear" w:color="auto" w:fill="B48C41"/>
            <w:vAlign w:val="center"/>
            <w:hideMark/>
          </w:tcPr>
          <w:p w14:paraId="2B4489BD"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sz w:val="18"/>
                <w:szCs w:val="18"/>
                <w:lang w:val="es-CO" w:eastAsia="es-CO"/>
              </w:rPr>
              <w:t>82</w:t>
            </w:r>
          </w:p>
        </w:tc>
      </w:tr>
    </w:tbl>
    <w:p w14:paraId="5A729CA2" w14:textId="77777777" w:rsidR="00273288" w:rsidRPr="00E33DE3" w:rsidRDefault="00273288" w:rsidP="00C65B25">
      <w:pPr>
        <w:pStyle w:val="CONPESTexto"/>
        <w:spacing w:before="0" w:after="0" w:line="240" w:lineRule="auto"/>
        <w:ind w:firstLine="0"/>
        <w:jc w:val="center"/>
        <w:rPr>
          <w:rFonts w:ascii="Verdana" w:hAnsi="Verdana" w:cs="Arial"/>
          <w:sz w:val="18"/>
          <w:szCs w:val="18"/>
        </w:rPr>
      </w:pPr>
      <w:r w:rsidRPr="00E33DE3">
        <w:rPr>
          <w:rFonts w:ascii="Verdana" w:hAnsi="Verdana" w:cs="Arial"/>
          <w:sz w:val="18"/>
          <w:szCs w:val="18"/>
        </w:rPr>
        <w:t>Fuente: Elaboración DAF con información enviada por el Ministerio de Educación Nacional.</w:t>
      </w:r>
    </w:p>
    <w:p w14:paraId="79EFDC92" w14:textId="77777777" w:rsidR="00273288" w:rsidRPr="00E33DE3" w:rsidRDefault="00273288" w:rsidP="00C65B25">
      <w:pPr>
        <w:pStyle w:val="CONPESTexto"/>
        <w:spacing w:before="0" w:after="0" w:line="240" w:lineRule="auto"/>
        <w:ind w:firstLine="0"/>
        <w:rPr>
          <w:rFonts w:ascii="Verdana" w:hAnsi="Verdana" w:cs="Arial"/>
          <w:szCs w:val="22"/>
        </w:rPr>
      </w:pPr>
    </w:p>
    <w:p w14:paraId="01EDD88F" w14:textId="77777777" w:rsidR="00273288" w:rsidRPr="00E33DE3" w:rsidRDefault="00273288" w:rsidP="00C65B25">
      <w:pPr>
        <w:pStyle w:val="CONPESTexto"/>
        <w:spacing w:before="0" w:after="0" w:line="240" w:lineRule="auto"/>
        <w:ind w:firstLine="0"/>
        <w:rPr>
          <w:rFonts w:ascii="Verdana" w:hAnsi="Verdana" w:cs="Arial"/>
          <w:szCs w:val="22"/>
          <w:lang w:val="es-MX"/>
        </w:rPr>
      </w:pPr>
      <w:r w:rsidRPr="00E33DE3">
        <w:rPr>
          <w:rFonts w:ascii="Verdana" w:hAnsi="Verdana" w:cs="Arial"/>
          <w:szCs w:val="22"/>
          <w:lang w:val="es-MX"/>
        </w:rPr>
        <w:t xml:space="preserve">Así las cosas, se evidencia que el Municipio de Pasto, no solo ha reincidido en el mal reporte del DUE, sino que también ha venido aumentando el número de registros inválidos durante las cuatro vigencias analizadas, pasando de tener 11 inconsistencias para la vigencia 2019, 24 para la vigencia 2020, 21 en la vigencia 2021 y 26 a julio de 2022. </w:t>
      </w:r>
    </w:p>
    <w:p w14:paraId="1C99A1D2" w14:textId="77777777" w:rsidR="00273288" w:rsidRPr="00E33DE3" w:rsidRDefault="00273288" w:rsidP="00C65B25">
      <w:pPr>
        <w:pStyle w:val="CONPESTexto"/>
        <w:spacing w:before="0" w:after="0" w:line="240" w:lineRule="auto"/>
        <w:ind w:firstLine="0"/>
        <w:rPr>
          <w:rFonts w:ascii="Verdana" w:hAnsi="Verdana" w:cs="Arial"/>
          <w:szCs w:val="22"/>
          <w:lang w:val="es-MX"/>
        </w:rPr>
      </w:pPr>
    </w:p>
    <w:p w14:paraId="4CE1ADC9" w14:textId="77777777" w:rsidR="00273288" w:rsidRPr="00E33DE3" w:rsidRDefault="00273288" w:rsidP="00C65B25">
      <w:pPr>
        <w:pStyle w:val="CONPESTexto"/>
        <w:spacing w:before="0" w:after="0" w:line="240" w:lineRule="auto"/>
        <w:ind w:firstLine="0"/>
        <w:rPr>
          <w:rFonts w:ascii="Verdana" w:hAnsi="Verdana" w:cs="Arial"/>
          <w:szCs w:val="22"/>
          <w:lang w:val="es-MX"/>
        </w:rPr>
      </w:pPr>
      <w:r w:rsidRPr="00E33DE3">
        <w:rPr>
          <w:rFonts w:ascii="Verdana" w:hAnsi="Verdana" w:cs="Arial"/>
          <w:szCs w:val="22"/>
          <w:lang w:val="es-MX"/>
        </w:rPr>
        <w:t>Dichas inconsistencias ponen en riesgo los recursos del SGP que se asignan a las Entidades Territoriales, si se hace con base en información inexacta o errónea, por ejemplo, por el registro de matrícula en establecimientos educativos, sedes o grados que no cuentan con reconocimiento oficial, licencia de funcionamiento o no están aprobados. El sistema de información que administra el Directorio Único de Establecimientos Educativos debe reflejar las decisiones administrativas de la Entidad Territorial, plasmadas mediante el acto administrativo que define la oferta educativa y otorga las autorizaciones para prestar el servicio a los diferentes establecimientos, para que a su vez alimente los otros sistemas del sector, permitiendo el registro de información en establecimientos educativos autorizados por la Entidad.</w:t>
      </w:r>
    </w:p>
    <w:p w14:paraId="08D4E738" w14:textId="77777777" w:rsidR="00273288" w:rsidRPr="00E33DE3" w:rsidRDefault="00273288" w:rsidP="00C65B25">
      <w:pPr>
        <w:pStyle w:val="CONPESTexto"/>
        <w:spacing w:before="0" w:after="0" w:line="240" w:lineRule="auto"/>
        <w:ind w:firstLine="0"/>
        <w:rPr>
          <w:rFonts w:ascii="Verdana" w:hAnsi="Verdana" w:cs="Arial"/>
          <w:szCs w:val="22"/>
          <w:lang w:val="es-MX"/>
        </w:rPr>
      </w:pPr>
    </w:p>
    <w:p w14:paraId="6AB6F1BC" w14:textId="77777777" w:rsidR="00273288" w:rsidRPr="00E33DE3" w:rsidRDefault="00273288" w:rsidP="00C65B25">
      <w:pPr>
        <w:pStyle w:val="CONPESTexto"/>
        <w:spacing w:before="0" w:after="0" w:line="240" w:lineRule="auto"/>
        <w:ind w:firstLine="0"/>
        <w:rPr>
          <w:rFonts w:ascii="Verdana" w:hAnsi="Verdana" w:cs="Arial"/>
          <w:szCs w:val="22"/>
          <w:lang w:val="es-MX"/>
        </w:rPr>
      </w:pPr>
      <w:r w:rsidRPr="00E33DE3">
        <w:rPr>
          <w:rFonts w:ascii="Verdana" w:hAnsi="Verdana" w:cs="Arial"/>
          <w:szCs w:val="22"/>
          <w:lang w:val="es-MX"/>
        </w:rPr>
        <w:lastRenderedPageBreak/>
        <w:t xml:space="preserve">Con lo anterior, es posible concluir que la Entidad Territorial incumple con lo estipulado en el artículo </w:t>
      </w:r>
      <w:r w:rsidRPr="00E33DE3">
        <w:rPr>
          <w:rFonts w:ascii="Verdana" w:hAnsi="Verdana" w:cs="Arial"/>
          <w:szCs w:val="22"/>
        </w:rPr>
        <w:t xml:space="preserve">2.3.6.3 del Decreto 1075 de 2015 y los artículos 1 y 2 de la Resolución 166 de 2003, debido a que la información reportada a través del DUE presenta inconsistencias </w:t>
      </w:r>
      <w:r w:rsidRPr="00E33DE3">
        <w:rPr>
          <w:rFonts w:ascii="Verdana" w:hAnsi="Verdana" w:cs="Arial"/>
          <w:szCs w:val="22"/>
          <w:lang w:val="es-MX"/>
        </w:rPr>
        <w:t>que vulneran la calidad del reporte, esencial para la gestión y direccionamiento de los recursos del SGP Educación lo que conlleva a errores en la asignación.</w:t>
      </w:r>
    </w:p>
    <w:p w14:paraId="0764A173" w14:textId="77777777" w:rsidR="00273288" w:rsidRPr="00E33DE3" w:rsidRDefault="00273288" w:rsidP="00C65B25">
      <w:pPr>
        <w:pStyle w:val="CONPESTexto"/>
        <w:spacing w:before="0" w:after="0" w:line="240" w:lineRule="auto"/>
        <w:ind w:firstLine="0"/>
        <w:rPr>
          <w:rFonts w:ascii="Verdana" w:hAnsi="Verdana" w:cs="Arial"/>
          <w:szCs w:val="22"/>
          <w:lang w:val="es-MX"/>
        </w:rPr>
      </w:pPr>
    </w:p>
    <w:p w14:paraId="3A927EB0" w14:textId="77777777" w:rsidR="00273288" w:rsidRPr="00E33DE3" w:rsidRDefault="00273288" w:rsidP="00C65B25">
      <w:pPr>
        <w:pStyle w:val="CONPESTexto"/>
        <w:spacing w:before="0" w:after="0" w:line="240" w:lineRule="auto"/>
        <w:ind w:firstLine="0"/>
        <w:rPr>
          <w:rFonts w:ascii="Verdana" w:hAnsi="Verdana" w:cs="Arial"/>
          <w:szCs w:val="22"/>
        </w:rPr>
      </w:pPr>
      <w:r w:rsidRPr="00E33DE3">
        <w:rPr>
          <w:rFonts w:ascii="Verdana" w:hAnsi="Verdana" w:cs="Arial"/>
          <w:b/>
          <w:bCs/>
          <w:szCs w:val="22"/>
        </w:rPr>
        <w:t xml:space="preserve">Evidencia: </w:t>
      </w:r>
      <w:r w:rsidRPr="00E33DE3">
        <w:rPr>
          <w:rFonts w:ascii="Verdana" w:hAnsi="Verdana" w:cs="Arial"/>
          <w:szCs w:val="22"/>
        </w:rPr>
        <w:t xml:space="preserve">Obra en el expediente el siguiente material probatorio: </w:t>
      </w:r>
    </w:p>
    <w:p w14:paraId="2112EB79" w14:textId="77777777" w:rsidR="00273288" w:rsidRPr="00E33DE3" w:rsidRDefault="00273288" w:rsidP="00C65B25">
      <w:pPr>
        <w:pStyle w:val="Prrafodelista"/>
        <w:numPr>
          <w:ilvl w:val="0"/>
          <w:numId w:val="28"/>
        </w:numPr>
        <w:ind w:left="284" w:hanging="284"/>
        <w:jc w:val="both"/>
        <w:rPr>
          <w:rFonts w:ascii="Verdana" w:hAnsi="Verdana" w:cs="Arial"/>
          <w:sz w:val="22"/>
          <w:szCs w:val="22"/>
        </w:rPr>
      </w:pPr>
      <w:r w:rsidRPr="00E33DE3">
        <w:rPr>
          <w:rFonts w:ascii="Verdana" w:hAnsi="Verdana" w:cs="Arial"/>
          <w:sz w:val="22"/>
          <w:szCs w:val="22"/>
        </w:rPr>
        <w:t>Validaciones MEN 2019 - noviembre de 2019.</w:t>
      </w:r>
    </w:p>
    <w:p w14:paraId="6DE04A02" w14:textId="77777777" w:rsidR="00273288" w:rsidRPr="00E33DE3" w:rsidRDefault="00273288" w:rsidP="00C65B25">
      <w:pPr>
        <w:pStyle w:val="Prrafodelista"/>
        <w:numPr>
          <w:ilvl w:val="0"/>
          <w:numId w:val="28"/>
        </w:numPr>
        <w:ind w:left="284" w:hanging="284"/>
        <w:jc w:val="both"/>
        <w:rPr>
          <w:rFonts w:ascii="Verdana" w:hAnsi="Verdana" w:cs="Arial"/>
          <w:sz w:val="22"/>
          <w:szCs w:val="22"/>
        </w:rPr>
      </w:pPr>
      <w:r w:rsidRPr="00E33DE3">
        <w:rPr>
          <w:rFonts w:ascii="Verdana" w:hAnsi="Verdana" w:cs="Arial"/>
          <w:sz w:val="22"/>
          <w:szCs w:val="22"/>
        </w:rPr>
        <w:t>Validaciones MEN 2020 - octubre de 2020.</w:t>
      </w:r>
    </w:p>
    <w:p w14:paraId="508432C0" w14:textId="77777777" w:rsidR="00273288" w:rsidRPr="00E33DE3" w:rsidRDefault="00273288" w:rsidP="00C65B25">
      <w:pPr>
        <w:pStyle w:val="Prrafodelista"/>
        <w:numPr>
          <w:ilvl w:val="0"/>
          <w:numId w:val="28"/>
        </w:numPr>
        <w:ind w:left="284" w:hanging="284"/>
        <w:jc w:val="both"/>
        <w:rPr>
          <w:rFonts w:ascii="Verdana" w:hAnsi="Verdana" w:cs="Arial"/>
          <w:sz w:val="22"/>
          <w:szCs w:val="22"/>
        </w:rPr>
      </w:pPr>
      <w:r w:rsidRPr="00E33DE3">
        <w:rPr>
          <w:rFonts w:ascii="Verdana" w:hAnsi="Verdana" w:cs="Arial"/>
          <w:sz w:val="22"/>
          <w:szCs w:val="22"/>
        </w:rPr>
        <w:t>Validaciones MEN 2021 - octubre de 2021.</w:t>
      </w:r>
    </w:p>
    <w:p w14:paraId="7A9BCBAF" w14:textId="77777777" w:rsidR="00273288" w:rsidRPr="00E33DE3" w:rsidRDefault="00273288" w:rsidP="00C65B25">
      <w:pPr>
        <w:pStyle w:val="Prrafodelista"/>
        <w:numPr>
          <w:ilvl w:val="0"/>
          <w:numId w:val="28"/>
        </w:numPr>
        <w:ind w:left="284" w:hanging="284"/>
        <w:jc w:val="both"/>
        <w:rPr>
          <w:rFonts w:ascii="Verdana" w:hAnsi="Verdana" w:cs="Arial"/>
          <w:sz w:val="22"/>
          <w:szCs w:val="22"/>
        </w:rPr>
      </w:pPr>
      <w:r w:rsidRPr="00E33DE3">
        <w:rPr>
          <w:rFonts w:ascii="Verdana" w:hAnsi="Verdana" w:cs="Arial"/>
          <w:sz w:val="22"/>
          <w:szCs w:val="22"/>
        </w:rPr>
        <w:t>Validaciones MEN 2022 – julio de 2022.</w:t>
      </w:r>
    </w:p>
    <w:p w14:paraId="45E1F3E8" w14:textId="77777777" w:rsidR="005543CD" w:rsidRPr="00E33DE3" w:rsidRDefault="005543CD" w:rsidP="00C65B25">
      <w:pPr>
        <w:jc w:val="both"/>
        <w:rPr>
          <w:rFonts w:ascii="Verdana" w:hAnsi="Verdana" w:cs="Arial"/>
          <w:sz w:val="22"/>
          <w:szCs w:val="22"/>
        </w:rPr>
      </w:pPr>
    </w:p>
    <w:p w14:paraId="0856E486" w14:textId="77777777" w:rsidR="00273288" w:rsidRPr="00E33DE3" w:rsidRDefault="00273288" w:rsidP="00C65B25">
      <w:pPr>
        <w:pStyle w:val="Ttulo3"/>
        <w:numPr>
          <w:ilvl w:val="3"/>
          <w:numId w:val="32"/>
        </w:numPr>
        <w:spacing w:before="0"/>
        <w:ind w:left="426" w:hanging="426"/>
        <w:jc w:val="both"/>
        <w:rPr>
          <w:rFonts w:ascii="Verdana" w:hAnsi="Verdana"/>
          <w:b/>
          <w:bCs/>
          <w:color w:val="auto"/>
          <w:sz w:val="22"/>
          <w:szCs w:val="22"/>
        </w:rPr>
      </w:pPr>
      <w:r w:rsidRPr="00E33DE3">
        <w:rPr>
          <w:rFonts w:ascii="Verdana" w:hAnsi="Verdana"/>
          <w:b/>
          <w:bCs/>
          <w:color w:val="auto"/>
          <w:sz w:val="22"/>
          <w:szCs w:val="22"/>
        </w:rPr>
        <w:t>Inconsistencias en el reporte de matrícula</w:t>
      </w:r>
    </w:p>
    <w:p w14:paraId="0889A8F9" w14:textId="77777777" w:rsidR="00273288" w:rsidRPr="00E33DE3" w:rsidRDefault="00273288" w:rsidP="00C65B25">
      <w:pPr>
        <w:pStyle w:val="Formatolibre"/>
        <w:jc w:val="both"/>
        <w:rPr>
          <w:rFonts w:ascii="Verdana" w:eastAsia="Times New Roman" w:hAnsi="Verdana" w:cs="Arial"/>
          <w:b/>
          <w:color w:val="auto"/>
          <w:sz w:val="22"/>
          <w:szCs w:val="22"/>
          <w:lang w:val="es-ES" w:bidi="x-none"/>
        </w:rPr>
      </w:pPr>
    </w:p>
    <w:p w14:paraId="24240617" w14:textId="77777777" w:rsidR="00273288" w:rsidRPr="00E33DE3" w:rsidRDefault="00273288" w:rsidP="00C65B25">
      <w:pPr>
        <w:jc w:val="both"/>
        <w:rPr>
          <w:rFonts w:ascii="Verdana" w:hAnsi="Verdana" w:cs="Arial"/>
          <w:sz w:val="22"/>
          <w:szCs w:val="22"/>
          <w:lang w:val="es-ES_tradnl"/>
        </w:rPr>
      </w:pPr>
      <w:r w:rsidRPr="00E33DE3">
        <w:rPr>
          <w:rFonts w:ascii="Verdana" w:hAnsi="Verdana" w:cs="Arial"/>
          <w:sz w:val="22"/>
          <w:szCs w:val="22"/>
          <w:lang w:val="es-ES_tradnl"/>
        </w:rPr>
        <w:t>Por mandato del artículo 32 de la Ley 715 de 2001, las Entidades Territoriales Certificadas en Educación deben contar con sistemas de información del Sector Educativo, así como mantenerlos actualizados. El incumplimiento de estas disposiciones se constituye en una falta grave que acarrea sanciones para los funcionarios encargados de la administración de la planta o la nómina.</w:t>
      </w:r>
    </w:p>
    <w:p w14:paraId="150A6B96" w14:textId="77777777" w:rsidR="00273288" w:rsidRPr="00E33DE3" w:rsidRDefault="00273288" w:rsidP="00C65B25">
      <w:pPr>
        <w:jc w:val="both"/>
        <w:rPr>
          <w:rFonts w:ascii="Verdana" w:hAnsi="Verdana" w:cs="Arial"/>
          <w:sz w:val="22"/>
          <w:szCs w:val="22"/>
          <w:lang w:val="es-ES_tradnl"/>
        </w:rPr>
      </w:pPr>
    </w:p>
    <w:p w14:paraId="4BCE1B0E" w14:textId="77777777" w:rsidR="00273288" w:rsidRPr="00E33DE3" w:rsidRDefault="00273288" w:rsidP="00C65B25">
      <w:pPr>
        <w:pStyle w:val="CONPESTexto"/>
        <w:spacing w:before="0" w:after="0" w:line="240" w:lineRule="auto"/>
        <w:ind w:firstLine="0"/>
        <w:rPr>
          <w:rFonts w:ascii="Verdana" w:hAnsi="Verdana" w:cs="Arial"/>
          <w:i/>
          <w:szCs w:val="22"/>
        </w:rPr>
      </w:pPr>
      <w:r w:rsidRPr="00E33DE3">
        <w:rPr>
          <w:rFonts w:ascii="Verdana" w:hAnsi="Verdana" w:cs="Arial"/>
          <w:szCs w:val="22"/>
        </w:rPr>
        <w:t xml:space="preserve">Esta misma Ley, en su artículo 16 establece </w:t>
      </w:r>
      <w:r w:rsidRPr="00E33DE3">
        <w:rPr>
          <w:rFonts w:ascii="Verdana" w:hAnsi="Verdana" w:cs="Arial"/>
          <w:i/>
          <w:szCs w:val="22"/>
        </w:rPr>
        <w:t>la población atendida</w:t>
      </w:r>
      <w:r w:rsidRPr="00E33DE3">
        <w:rPr>
          <w:rFonts w:ascii="Verdana" w:hAnsi="Verdana" w:cs="Arial"/>
          <w:szCs w:val="22"/>
        </w:rPr>
        <w:t xml:space="preserve"> como uno de los criterios para la distribución de los recursos del SGP del sector educación, entendiendo la misma como: </w:t>
      </w:r>
      <w:r w:rsidRPr="00E33DE3">
        <w:rPr>
          <w:rFonts w:ascii="Verdana" w:hAnsi="Verdana" w:cs="Arial"/>
          <w:i/>
          <w:iCs/>
          <w:szCs w:val="22"/>
        </w:rPr>
        <w:t xml:space="preserve">“(…) </w:t>
      </w:r>
      <w:r w:rsidRPr="00E33DE3">
        <w:rPr>
          <w:rFonts w:ascii="Verdana" w:hAnsi="Verdana" w:cs="Arial"/>
          <w:i/>
          <w:szCs w:val="22"/>
        </w:rPr>
        <w:t>la población efectivamente matriculada en el año anterior, financiada con recursos del Sistema General de Participaciones (…) La asignación por alumno se multiplicará por la población atendida con recursos del Sistema General de Participaciones en cada municipio y distrito. El resultado de dicha operación se denominará participación por población atendida, y constituye la primera base para el giro de recursos del Sistema General de Participaciones”</w:t>
      </w:r>
    </w:p>
    <w:p w14:paraId="3CF0BF74" w14:textId="77777777" w:rsidR="00273288" w:rsidRPr="00E33DE3" w:rsidRDefault="00273288" w:rsidP="00C65B25">
      <w:pPr>
        <w:jc w:val="both"/>
        <w:rPr>
          <w:rFonts w:ascii="Verdana" w:hAnsi="Verdana" w:cs="Arial"/>
          <w:sz w:val="22"/>
          <w:szCs w:val="22"/>
          <w:lang w:val="es-ES_tradnl"/>
        </w:rPr>
      </w:pPr>
    </w:p>
    <w:p w14:paraId="7AED9709"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El inciso 11 del artículo 2.3.3.5.6.3.2 del Decreto 1075 del 2015 establece como responsabilidad de las entidades territoriales “</w:t>
      </w:r>
      <w:r w:rsidRPr="00E33DE3">
        <w:rPr>
          <w:rFonts w:ascii="Verdana" w:hAnsi="Verdana" w:cs="Arial"/>
          <w:i/>
          <w:sz w:val="22"/>
          <w:szCs w:val="22"/>
        </w:rPr>
        <w:t>Coordinar las acciones necesarias para mantener actualizada la información relacionada con los beneficios de esta Sección en el Sistema de Información de Matrícula establecido por el Ministerio de Educación Nacional […]”</w:t>
      </w:r>
      <w:r w:rsidRPr="00E33DE3">
        <w:rPr>
          <w:rFonts w:ascii="Verdana" w:hAnsi="Verdana" w:cs="Arial"/>
          <w:sz w:val="22"/>
          <w:szCs w:val="22"/>
        </w:rPr>
        <w:t>; adicionalmente el artículo 2.3.6.3 ibídem indica que “</w:t>
      </w:r>
      <w:r w:rsidRPr="00E33DE3">
        <w:rPr>
          <w:rFonts w:ascii="Verdana" w:hAnsi="Verdana" w:cs="Arial"/>
          <w:i/>
          <w:sz w:val="22"/>
          <w:szCs w:val="22"/>
        </w:rPr>
        <w:t>cada entidad territorial debe contar con un sistema de información confiable y actualizado […]”</w:t>
      </w:r>
      <w:r w:rsidRPr="00E33DE3">
        <w:rPr>
          <w:rFonts w:ascii="Verdana" w:hAnsi="Verdana" w:cs="Arial"/>
          <w:sz w:val="22"/>
          <w:szCs w:val="22"/>
        </w:rPr>
        <w:t xml:space="preserve">, de tal manera que como determina el artículo 2.3.6.4 </w:t>
      </w:r>
      <w:r w:rsidRPr="00E33DE3">
        <w:rPr>
          <w:rFonts w:ascii="Verdana" w:hAnsi="Verdana" w:cs="Arial"/>
          <w:i/>
          <w:sz w:val="22"/>
          <w:szCs w:val="22"/>
        </w:rPr>
        <w:t>“[…] será responsabilidad de cada entidad territorial, una vez al año, efectuar las auditorías que considere necesarias a la misma y la información de la población matriculada y del personal docente y administrativo y contrastarla con la información de la Registraduría Nacional del Estado Civil”</w:t>
      </w:r>
      <w:r w:rsidRPr="00E33DE3">
        <w:rPr>
          <w:rFonts w:ascii="Verdana" w:hAnsi="Verdana" w:cs="Arial"/>
          <w:sz w:val="22"/>
          <w:szCs w:val="22"/>
        </w:rPr>
        <w:t>.</w:t>
      </w:r>
    </w:p>
    <w:p w14:paraId="07C82291" w14:textId="77777777" w:rsidR="00273288" w:rsidRPr="00E33DE3" w:rsidRDefault="00273288" w:rsidP="00C65B25">
      <w:pPr>
        <w:pStyle w:val="Formatolibre"/>
        <w:jc w:val="both"/>
        <w:rPr>
          <w:rFonts w:ascii="Verdana" w:eastAsia="Times New Roman" w:hAnsi="Verdana" w:cs="Arial"/>
          <w:color w:val="auto"/>
          <w:sz w:val="22"/>
          <w:szCs w:val="22"/>
          <w:lang w:val="es-ES_tradnl" w:bidi="x-none"/>
        </w:rPr>
      </w:pPr>
    </w:p>
    <w:p w14:paraId="23E2D68A" w14:textId="77777777" w:rsidR="00273288" w:rsidRPr="00E33DE3" w:rsidRDefault="00273288" w:rsidP="00C65B25">
      <w:pPr>
        <w:pStyle w:val="Formatolibre"/>
        <w:jc w:val="both"/>
        <w:rPr>
          <w:rFonts w:ascii="Verdana" w:eastAsia="MS Mincho" w:hAnsi="Verdana" w:cs="Arial"/>
          <w:i/>
          <w:color w:val="auto"/>
          <w:sz w:val="22"/>
          <w:szCs w:val="22"/>
          <w:lang w:val="es-ES_tradnl" w:eastAsia="es-ES"/>
        </w:rPr>
      </w:pPr>
      <w:r w:rsidRPr="00E33DE3">
        <w:rPr>
          <w:rFonts w:ascii="Verdana" w:eastAsia="MS Mincho" w:hAnsi="Verdana" w:cs="Arial"/>
          <w:color w:val="auto"/>
          <w:sz w:val="22"/>
          <w:szCs w:val="22"/>
          <w:lang w:val="es-ES_tradnl" w:eastAsia="es-ES"/>
        </w:rPr>
        <w:t xml:space="preserve">Adicionalmente, frente al reporte de información de la contratación del Servicio Educativo, el artículo 2.3.1.3.7.6 del Decreto 1075 de 2015 establece que: </w:t>
      </w:r>
      <w:r w:rsidRPr="00E33DE3">
        <w:rPr>
          <w:rFonts w:ascii="Verdana" w:eastAsia="MS Mincho" w:hAnsi="Verdana" w:cs="Arial"/>
          <w:i/>
          <w:color w:val="auto"/>
          <w:sz w:val="22"/>
          <w:szCs w:val="22"/>
          <w:lang w:val="es-ES_tradnl" w:eastAsia="es-ES"/>
        </w:rPr>
        <w:t xml:space="preserve">“La </w:t>
      </w:r>
      <w:r w:rsidRPr="00E33DE3">
        <w:rPr>
          <w:rFonts w:ascii="Verdana" w:eastAsia="MS Mincho" w:hAnsi="Verdana" w:cs="Arial"/>
          <w:i/>
          <w:color w:val="auto"/>
          <w:sz w:val="22"/>
          <w:szCs w:val="22"/>
          <w:lang w:val="es-ES_tradnl" w:eastAsia="es-ES"/>
        </w:rPr>
        <w:lastRenderedPageBreak/>
        <w:t>entidad territorial certificada en educación será la responsable de reportar la información sobre la matrícula de la población que se beneficie de los contratos reglamentados en el presente capítulo, sin perjuicio de las disposiciones que se adopten en esta materia</w:t>
      </w:r>
      <w:r w:rsidRPr="00E33DE3">
        <w:rPr>
          <w:rFonts w:ascii="Verdana" w:eastAsia="MS Mincho" w:hAnsi="Verdana" w:cs="Arial"/>
          <w:color w:val="auto"/>
          <w:sz w:val="22"/>
          <w:szCs w:val="22"/>
          <w:lang w:val="es-ES_tradnl" w:eastAsia="es-ES"/>
        </w:rPr>
        <w:t>” y según el artículo 2.3.1.3.7.7. del mismo Decreto, “</w:t>
      </w:r>
      <w:r w:rsidRPr="00E33DE3">
        <w:rPr>
          <w:rFonts w:ascii="Verdana" w:eastAsia="MS Mincho" w:hAnsi="Verdana" w:cs="Arial"/>
          <w:i/>
          <w:color w:val="auto"/>
          <w:sz w:val="22"/>
          <w:szCs w:val="22"/>
          <w:lang w:val="es-ES_tradnl" w:eastAsia="es-ES"/>
        </w:rPr>
        <w:t>La información de los contratos de servicio público educativo de que trata el presente Capítulo suscritos por las entidades territoriales certificadas, se reportará al Ministerio de Educación Nacional en el Formato Único de Contratación (FUC), quince (15) días después de suscritos los contratos; la información reportada en el FUC deberá ser consistente con la reportada en el SIMAT o en el sistema de información que determine el Ministerio de Educación Nacional”.</w:t>
      </w:r>
    </w:p>
    <w:p w14:paraId="504D3902" w14:textId="77777777" w:rsidR="00273288" w:rsidRPr="00E33DE3" w:rsidRDefault="00273288" w:rsidP="00C65B25">
      <w:pPr>
        <w:jc w:val="both"/>
        <w:rPr>
          <w:rFonts w:ascii="Verdana" w:hAnsi="Verdana" w:cs="Arial"/>
          <w:sz w:val="22"/>
          <w:szCs w:val="22"/>
          <w:lang w:val="es-ES_tradnl"/>
        </w:rPr>
      </w:pPr>
    </w:p>
    <w:p w14:paraId="3D90E981" w14:textId="77777777" w:rsidR="00273288" w:rsidRPr="00E33DE3" w:rsidRDefault="00273288" w:rsidP="00C65B25">
      <w:pPr>
        <w:jc w:val="both"/>
        <w:rPr>
          <w:rFonts w:ascii="Verdana" w:eastAsia="Arial" w:hAnsi="Verdana" w:cs="Arial"/>
          <w:sz w:val="22"/>
          <w:szCs w:val="22"/>
          <w:lang w:val="es-ES_tradnl"/>
        </w:rPr>
      </w:pPr>
      <w:r w:rsidRPr="00E33DE3">
        <w:rPr>
          <w:rFonts w:ascii="Verdana" w:hAnsi="Verdana" w:cs="Arial"/>
          <w:sz w:val="22"/>
          <w:szCs w:val="22"/>
          <w:lang w:val="es-ES_tradnl"/>
        </w:rPr>
        <w:t xml:space="preserve">La Dirección General de Apoyo Fiscal evaluó la consistencia entre el reporte realizado por la Entidad Territorial en el Sistema Integrado de Matrícula – SIMAT a noviembre de 2021 y junio de 2022, junto con la información reportada al Ministerio de Educación Nacional en el Formato Único de Contratación (FUC), evidenciando </w:t>
      </w:r>
      <w:r w:rsidRPr="00E33DE3">
        <w:rPr>
          <w:rFonts w:ascii="Verdana" w:eastAsia="Arial" w:hAnsi="Verdana" w:cs="Arial"/>
          <w:sz w:val="22"/>
          <w:szCs w:val="22"/>
          <w:lang w:val="es-ES_tradnl"/>
        </w:rPr>
        <w:t>que dichos reportes no se ajustan a lo definido por los artículos 2.3.1.3.7.6 y 2.3.1.3.7.7 del Decreto 1075 de 2015, como se muestra en la siguiente tabla por municipio:</w:t>
      </w:r>
    </w:p>
    <w:p w14:paraId="7B5AC34A" w14:textId="77777777" w:rsidR="00273288" w:rsidRPr="00E33DE3" w:rsidRDefault="00273288" w:rsidP="00C65B25">
      <w:pPr>
        <w:jc w:val="both"/>
        <w:rPr>
          <w:rFonts w:ascii="Verdana" w:eastAsia="Arial" w:hAnsi="Verdana" w:cs="Arial"/>
          <w:sz w:val="22"/>
          <w:szCs w:val="22"/>
          <w:lang w:val="es-ES_tradnl"/>
        </w:rPr>
      </w:pP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1155"/>
        <w:gridCol w:w="2311"/>
        <w:gridCol w:w="2242"/>
        <w:gridCol w:w="1025"/>
        <w:gridCol w:w="1025"/>
      </w:tblGrid>
      <w:tr w:rsidR="00273288" w:rsidRPr="00E33DE3" w14:paraId="5F801338" w14:textId="77777777" w:rsidTr="00F9561D">
        <w:trPr>
          <w:trHeight w:val="20"/>
          <w:tblHeader/>
        </w:trPr>
        <w:tc>
          <w:tcPr>
            <w:tcW w:w="8823" w:type="dxa"/>
            <w:gridSpan w:val="6"/>
            <w:tcBorders>
              <w:top w:val="single" w:sz="4" w:space="0" w:color="auto"/>
              <w:left w:val="single" w:sz="4" w:space="0" w:color="auto"/>
              <w:bottom w:val="single" w:sz="4" w:space="0" w:color="auto"/>
              <w:right w:val="single" w:sz="4" w:space="0" w:color="auto"/>
            </w:tcBorders>
            <w:shd w:val="clear" w:color="auto" w:fill="B48C41"/>
            <w:vAlign w:val="center"/>
            <w:hideMark/>
          </w:tcPr>
          <w:p w14:paraId="6402EE62"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TABLA 9. INCONSISTENCIAS EN REPORTE DE MATRICULA</w:t>
            </w:r>
          </w:p>
        </w:tc>
      </w:tr>
      <w:tr w:rsidR="00273288" w:rsidRPr="00E33DE3" w14:paraId="2DFCD2EE" w14:textId="77777777" w:rsidTr="00F9561D">
        <w:trPr>
          <w:trHeight w:val="20"/>
          <w:tblHeader/>
        </w:trPr>
        <w:tc>
          <w:tcPr>
            <w:tcW w:w="1065" w:type="dxa"/>
            <w:vMerge w:val="restart"/>
            <w:tcBorders>
              <w:top w:val="single" w:sz="4" w:space="0" w:color="auto"/>
              <w:left w:val="single" w:sz="4" w:space="0" w:color="auto"/>
              <w:bottom w:val="single" w:sz="4" w:space="0" w:color="auto"/>
              <w:right w:val="single" w:sz="4" w:space="0" w:color="auto"/>
            </w:tcBorders>
            <w:shd w:val="clear" w:color="auto" w:fill="F1EADA"/>
            <w:tcMar>
              <w:top w:w="0" w:type="dxa"/>
              <w:left w:w="70" w:type="dxa"/>
              <w:bottom w:w="0" w:type="dxa"/>
              <w:right w:w="70" w:type="dxa"/>
            </w:tcMar>
            <w:vAlign w:val="center"/>
            <w:hideMark/>
          </w:tcPr>
          <w:p w14:paraId="4F6E4194" w14:textId="77777777" w:rsidR="00273288" w:rsidRPr="00E33DE3" w:rsidRDefault="00273288" w:rsidP="00C65B25">
            <w:pPr>
              <w:jc w:val="center"/>
              <w:rPr>
                <w:rFonts w:ascii="Verdana" w:eastAsia="Times New Roman" w:hAnsi="Verdana" w:cs="Arial"/>
                <w:b/>
                <w:bCs/>
                <w:color w:val="000000"/>
                <w:sz w:val="18"/>
                <w:szCs w:val="18"/>
                <w:lang w:val="es-CO" w:eastAsia="es-CO"/>
              </w:rPr>
            </w:pPr>
            <w:r w:rsidRPr="00E33DE3">
              <w:rPr>
                <w:rFonts w:ascii="Verdana" w:eastAsia="Times New Roman" w:hAnsi="Verdana" w:cs="Arial"/>
                <w:b/>
                <w:bCs/>
                <w:color w:val="000000"/>
                <w:sz w:val="18"/>
                <w:szCs w:val="18"/>
                <w:lang w:val="es-CO" w:eastAsia="es-CO"/>
              </w:rPr>
              <w:t>Vigencia</w:t>
            </w:r>
          </w:p>
        </w:tc>
        <w:tc>
          <w:tcPr>
            <w:tcW w:w="1155" w:type="dxa"/>
            <w:vMerge w:val="restart"/>
            <w:tcBorders>
              <w:top w:val="single" w:sz="4" w:space="0" w:color="auto"/>
              <w:left w:val="single" w:sz="4" w:space="0" w:color="auto"/>
              <w:bottom w:val="single" w:sz="4" w:space="0" w:color="auto"/>
              <w:right w:val="single" w:sz="4" w:space="0" w:color="auto"/>
            </w:tcBorders>
            <w:shd w:val="clear" w:color="auto" w:fill="F1EADA"/>
            <w:tcMar>
              <w:top w:w="0" w:type="dxa"/>
              <w:left w:w="70" w:type="dxa"/>
              <w:bottom w:w="0" w:type="dxa"/>
              <w:right w:w="70" w:type="dxa"/>
            </w:tcMar>
            <w:vAlign w:val="center"/>
            <w:hideMark/>
          </w:tcPr>
          <w:p w14:paraId="53D6BCBB" w14:textId="77777777" w:rsidR="00273288" w:rsidRPr="00E33DE3" w:rsidRDefault="00273288" w:rsidP="00C65B25">
            <w:pPr>
              <w:jc w:val="center"/>
              <w:rPr>
                <w:rFonts w:ascii="Verdana" w:eastAsia="Times New Roman" w:hAnsi="Verdana" w:cs="Arial"/>
                <w:b/>
                <w:bCs/>
                <w:color w:val="000000"/>
                <w:sz w:val="18"/>
                <w:szCs w:val="18"/>
                <w:lang w:val="es-CO" w:eastAsia="es-CO"/>
              </w:rPr>
            </w:pPr>
            <w:r w:rsidRPr="00E33DE3">
              <w:rPr>
                <w:rFonts w:ascii="Verdana" w:eastAsia="Times New Roman" w:hAnsi="Verdana" w:cs="Arial"/>
                <w:b/>
                <w:bCs/>
                <w:color w:val="000000"/>
                <w:sz w:val="18"/>
                <w:szCs w:val="18"/>
                <w:lang w:val="es-CO" w:eastAsia="es-CO"/>
              </w:rPr>
              <w:t>No. Contrato</w:t>
            </w:r>
          </w:p>
        </w:tc>
        <w:tc>
          <w:tcPr>
            <w:tcW w:w="2311" w:type="dxa"/>
            <w:vMerge w:val="restart"/>
            <w:tcBorders>
              <w:top w:val="single" w:sz="4" w:space="0" w:color="auto"/>
              <w:left w:val="single" w:sz="4" w:space="0" w:color="auto"/>
              <w:bottom w:val="single" w:sz="4" w:space="0" w:color="auto"/>
              <w:right w:val="single" w:sz="4" w:space="0" w:color="auto"/>
            </w:tcBorders>
            <w:shd w:val="clear" w:color="auto" w:fill="F1EADA"/>
            <w:tcMar>
              <w:top w:w="0" w:type="dxa"/>
              <w:left w:w="70" w:type="dxa"/>
              <w:bottom w:w="0" w:type="dxa"/>
              <w:right w:w="70" w:type="dxa"/>
            </w:tcMar>
            <w:vAlign w:val="center"/>
            <w:hideMark/>
          </w:tcPr>
          <w:p w14:paraId="70133656" w14:textId="77777777" w:rsidR="00273288" w:rsidRPr="00E33DE3" w:rsidRDefault="00273288" w:rsidP="00C65B25">
            <w:pPr>
              <w:jc w:val="center"/>
              <w:rPr>
                <w:rFonts w:ascii="Verdana" w:eastAsia="Times New Roman" w:hAnsi="Verdana" w:cs="Arial"/>
                <w:b/>
                <w:bCs/>
                <w:color w:val="000000"/>
                <w:sz w:val="18"/>
                <w:szCs w:val="18"/>
                <w:lang w:val="es-CO" w:eastAsia="es-CO"/>
              </w:rPr>
            </w:pPr>
            <w:r w:rsidRPr="00E33DE3">
              <w:rPr>
                <w:rFonts w:ascii="Verdana" w:eastAsia="Times New Roman" w:hAnsi="Verdana" w:cs="Arial"/>
                <w:b/>
                <w:bCs/>
                <w:color w:val="000000"/>
                <w:sz w:val="18"/>
                <w:szCs w:val="18"/>
                <w:lang w:val="es-CO" w:eastAsia="es-CO"/>
              </w:rPr>
              <w:t>Contratista</w:t>
            </w:r>
          </w:p>
        </w:tc>
        <w:tc>
          <w:tcPr>
            <w:tcW w:w="2242" w:type="dxa"/>
            <w:vMerge w:val="restart"/>
            <w:tcBorders>
              <w:top w:val="single" w:sz="4" w:space="0" w:color="auto"/>
              <w:left w:val="single" w:sz="4" w:space="0" w:color="auto"/>
              <w:bottom w:val="single" w:sz="4" w:space="0" w:color="auto"/>
              <w:right w:val="single" w:sz="4" w:space="0" w:color="auto"/>
            </w:tcBorders>
            <w:shd w:val="clear" w:color="auto" w:fill="F1EADA"/>
            <w:tcMar>
              <w:top w:w="0" w:type="dxa"/>
              <w:left w:w="70" w:type="dxa"/>
              <w:bottom w:w="0" w:type="dxa"/>
              <w:right w:w="70" w:type="dxa"/>
            </w:tcMar>
            <w:vAlign w:val="center"/>
            <w:hideMark/>
          </w:tcPr>
          <w:p w14:paraId="2C186A5E" w14:textId="77777777" w:rsidR="00273288" w:rsidRPr="00E33DE3" w:rsidRDefault="00273288" w:rsidP="00C65B25">
            <w:pPr>
              <w:jc w:val="center"/>
              <w:rPr>
                <w:rFonts w:ascii="Verdana" w:eastAsia="Times New Roman" w:hAnsi="Verdana" w:cs="Arial"/>
                <w:b/>
                <w:bCs/>
                <w:color w:val="000000"/>
                <w:sz w:val="18"/>
                <w:szCs w:val="18"/>
                <w:lang w:val="es-CO" w:eastAsia="es-CO"/>
              </w:rPr>
            </w:pPr>
            <w:r w:rsidRPr="00E33DE3">
              <w:rPr>
                <w:rFonts w:ascii="Verdana" w:eastAsia="Times New Roman" w:hAnsi="Verdana" w:cs="Arial"/>
                <w:b/>
                <w:bCs/>
                <w:color w:val="000000"/>
                <w:sz w:val="18"/>
                <w:szCs w:val="18"/>
                <w:lang w:val="es-CO" w:eastAsia="es-CO"/>
              </w:rPr>
              <w:t>Sede</w:t>
            </w:r>
          </w:p>
        </w:tc>
        <w:tc>
          <w:tcPr>
            <w:tcW w:w="2050" w:type="dxa"/>
            <w:gridSpan w:val="2"/>
            <w:tcBorders>
              <w:top w:val="single" w:sz="4" w:space="0" w:color="auto"/>
              <w:left w:val="single" w:sz="4" w:space="0" w:color="auto"/>
              <w:bottom w:val="single" w:sz="4" w:space="0" w:color="auto"/>
              <w:right w:val="single" w:sz="4" w:space="0" w:color="auto"/>
            </w:tcBorders>
            <w:shd w:val="clear" w:color="auto" w:fill="F1EADA"/>
            <w:tcMar>
              <w:top w:w="0" w:type="dxa"/>
              <w:left w:w="70" w:type="dxa"/>
              <w:bottom w:w="0" w:type="dxa"/>
              <w:right w:w="70" w:type="dxa"/>
            </w:tcMar>
            <w:vAlign w:val="center"/>
            <w:hideMark/>
          </w:tcPr>
          <w:p w14:paraId="3FB56BFE" w14:textId="77777777" w:rsidR="00273288" w:rsidRPr="00E33DE3" w:rsidRDefault="00273288" w:rsidP="00C65B25">
            <w:pPr>
              <w:jc w:val="center"/>
              <w:rPr>
                <w:rFonts w:ascii="Verdana" w:eastAsia="Times New Roman" w:hAnsi="Verdana" w:cs="Arial"/>
                <w:b/>
                <w:bCs/>
                <w:color w:val="000000"/>
                <w:sz w:val="18"/>
                <w:szCs w:val="18"/>
                <w:lang w:val="es-CO" w:eastAsia="es-CO"/>
              </w:rPr>
            </w:pPr>
            <w:r w:rsidRPr="00E33DE3">
              <w:rPr>
                <w:rFonts w:ascii="Verdana" w:eastAsia="Times New Roman" w:hAnsi="Verdana" w:cs="Arial"/>
                <w:b/>
                <w:bCs/>
                <w:color w:val="000000"/>
                <w:sz w:val="18"/>
                <w:szCs w:val="18"/>
                <w:lang w:val="es-CO" w:eastAsia="es-CO"/>
              </w:rPr>
              <w:t>MATRÍCULA CONTRATADA</w:t>
            </w:r>
          </w:p>
        </w:tc>
      </w:tr>
      <w:tr w:rsidR="00273288" w:rsidRPr="00E33DE3" w14:paraId="3E421CB6" w14:textId="77777777" w:rsidTr="00F9561D">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34BE44" w14:textId="77777777" w:rsidR="00273288" w:rsidRPr="00E33DE3" w:rsidRDefault="00273288" w:rsidP="00C65B25">
            <w:pPr>
              <w:rPr>
                <w:rFonts w:ascii="Verdana" w:eastAsia="Times New Roman" w:hAnsi="Verdana" w:cs="Arial"/>
                <w:b/>
                <w:b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740D53" w14:textId="77777777" w:rsidR="00273288" w:rsidRPr="00E33DE3" w:rsidRDefault="00273288" w:rsidP="00C65B25">
            <w:pPr>
              <w:rPr>
                <w:rFonts w:ascii="Verdana" w:eastAsia="Times New Roman" w:hAnsi="Verdana" w:cs="Arial"/>
                <w:b/>
                <w:b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FDBBC" w14:textId="77777777" w:rsidR="00273288" w:rsidRPr="00E33DE3" w:rsidRDefault="00273288" w:rsidP="00C65B25">
            <w:pPr>
              <w:rPr>
                <w:rFonts w:ascii="Verdana" w:eastAsia="Times New Roman" w:hAnsi="Verdana" w:cs="Arial"/>
                <w:b/>
                <w:b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0D5FB7" w14:textId="77777777" w:rsidR="00273288" w:rsidRPr="00E33DE3" w:rsidRDefault="00273288" w:rsidP="00C65B25">
            <w:pPr>
              <w:rPr>
                <w:rFonts w:ascii="Verdana" w:eastAsia="Times New Roman" w:hAnsi="Verdana" w:cs="Arial"/>
                <w:b/>
                <w:bCs/>
                <w:color w:val="000000"/>
                <w:sz w:val="18"/>
                <w:szCs w:val="18"/>
                <w:lang w:val="es-CO" w:eastAsia="es-CO"/>
              </w:rPr>
            </w:pPr>
          </w:p>
        </w:tc>
        <w:tc>
          <w:tcPr>
            <w:tcW w:w="1025" w:type="dxa"/>
            <w:tcBorders>
              <w:top w:val="single" w:sz="4" w:space="0" w:color="auto"/>
              <w:left w:val="single" w:sz="4" w:space="0" w:color="auto"/>
              <w:bottom w:val="single" w:sz="4" w:space="0" w:color="auto"/>
              <w:right w:val="single" w:sz="4" w:space="0" w:color="auto"/>
            </w:tcBorders>
            <w:shd w:val="clear" w:color="auto" w:fill="F1EADA"/>
            <w:tcMar>
              <w:top w:w="0" w:type="dxa"/>
              <w:left w:w="70" w:type="dxa"/>
              <w:bottom w:w="0" w:type="dxa"/>
              <w:right w:w="70" w:type="dxa"/>
            </w:tcMar>
            <w:vAlign w:val="center"/>
            <w:hideMark/>
          </w:tcPr>
          <w:p w14:paraId="2F1DAD99" w14:textId="77777777" w:rsidR="00273288" w:rsidRPr="00E33DE3" w:rsidRDefault="00273288" w:rsidP="00C65B25">
            <w:pPr>
              <w:jc w:val="center"/>
              <w:rPr>
                <w:rFonts w:ascii="Verdana" w:eastAsia="Times New Roman" w:hAnsi="Verdana" w:cs="Arial"/>
                <w:b/>
                <w:bCs/>
                <w:color w:val="000000"/>
                <w:sz w:val="18"/>
                <w:szCs w:val="18"/>
                <w:lang w:val="es-CO" w:eastAsia="es-CO"/>
              </w:rPr>
            </w:pPr>
            <w:r w:rsidRPr="00E33DE3">
              <w:rPr>
                <w:rFonts w:ascii="Verdana" w:eastAsia="Times New Roman" w:hAnsi="Verdana" w:cs="Arial"/>
                <w:b/>
                <w:bCs/>
                <w:color w:val="000000"/>
                <w:sz w:val="18"/>
                <w:szCs w:val="18"/>
                <w:lang w:val="es-CO" w:eastAsia="es-CO"/>
              </w:rPr>
              <w:t>Según FUC</w:t>
            </w:r>
          </w:p>
        </w:tc>
        <w:tc>
          <w:tcPr>
            <w:tcW w:w="1025" w:type="dxa"/>
            <w:tcBorders>
              <w:top w:val="single" w:sz="4" w:space="0" w:color="auto"/>
              <w:left w:val="single" w:sz="4" w:space="0" w:color="auto"/>
              <w:bottom w:val="single" w:sz="4" w:space="0" w:color="auto"/>
              <w:right w:val="single" w:sz="4" w:space="0" w:color="auto"/>
            </w:tcBorders>
            <w:shd w:val="clear" w:color="auto" w:fill="F1EADA"/>
            <w:tcMar>
              <w:top w:w="0" w:type="dxa"/>
              <w:left w:w="70" w:type="dxa"/>
              <w:bottom w:w="0" w:type="dxa"/>
              <w:right w:w="70" w:type="dxa"/>
            </w:tcMar>
            <w:vAlign w:val="center"/>
            <w:hideMark/>
          </w:tcPr>
          <w:p w14:paraId="20999050" w14:textId="77777777" w:rsidR="00273288" w:rsidRPr="00E33DE3" w:rsidRDefault="00273288" w:rsidP="00C65B25">
            <w:pPr>
              <w:jc w:val="center"/>
              <w:rPr>
                <w:rFonts w:ascii="Verdana" w:eastAsia="Times New Roman" w:hAnsi="Verdana" w:cs="Arial"/>
                <w:b/>
                <w:bCs/>
                <w:color w:val="000000"/>
                <w:sz w:val="18"/>
                <w:szCs w:val="18"/>
                <w:lang w:val="es-CO" w:eastAsia="es-CO"/>
              </w:rPr>
            </w:pPr>
            <w:r w:rsidRPr="00E33DE3">
              <w:rPr>
                <w:rFonts w:ascii="Verdana" w:eastAsia="Times New Roman" w:hAnsi="Verdana" w:cs="Arial"/>
                <w:b/>
                <w:bCs/>
                <w:color w:val="000000"/>
                <w:sz w:val="18"/>
                <w:szCs w:val="18"/>
                <w:lang w:val="es-CO" w:eastAsia="es-CO"/>
              </w:rPr>
              <w:t>Según SIMAT</w:t>
            </w:r>
          </w:p>
        </w:tc>
      </w:tr>
      <w:tr w:rsidR="00273288" w:rsidRPr="00E33DE3" w14:paraId="2FFBC63F" w14:textId="77777777" w:rsidTr="00F9561D">
        <w:trPr>
          <w:trHeight w:val="20"/>
        </w:trPr>
        <w:tc>
          <w:tcPr>
            <w:tcW w:w="1065" w:type="dxa"/>
            <w:tcBorders>
              <w:top w:val="single" w:sz="4" w:space="0" w:color="auto"/>
              <w:left w:val="single" w:sz="4" w:space="0" w:color="auto"/>
              <w:bottom w:val="single" w:sz="4" w:space="0" w:color="auto"/>
              <w:right w:val="single" w:sz="4" w:space="0" w:color="auto"/>
            </w:tcBorders>
            <w:noWrap/>
            <w:hideMark/>
          </w:tcPr>
          <w:p w14:paraId="09544F2F"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2021</w:t>
            </w:r>
          </w:p>
        </w:tc>
        <w:tc>
          <w:tcPr>
            <w:tcW w:w="1155" w:type="dxa"/>
            <w:tcBorders>
              <w:top w:val="single" w:sz="4" w:space="0" w:color="auto"/>
              <w:left w:val="single" w:sz="4" w:space="0" w:color="auto"/>
              <w:bottom w:val="single" w:sz="4" w:space="0" w:color="auto"/>
              <w:right w:val="single" w:sz="4" w:space="0" w:color="auto"/>
            </w:tcBorders>
            <w:hideMark/>
          </w:tcPr>
          <w:p w14:paraId="026E621E"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20211317</w:t>
            </w:r>
          </w:p>
        </w:tc>
        <w:tc>
          <w:tcPr>
            <w:tcW w:w="2311" w:type="dxa"/>
            <w:tcBorders>
              <w:top w:val="single" w:sz="4" w:space="0" w:color="auto"/>
              <w:left w:val="single" w:sz="4" w:space="0" w:color="auto"/>
              <w:bottom w:val="single" w:sz="4" w:space="0" w:color="auto"/>
              <w:right w:val="single" w:sz="4" w:space="0" w:color="auto"/>
            </w:tcBorders>
            <w:noWrap/>
            <w:hideMark/>
          </w:tcPr>
          <w:p w14:paraId="5FB6DA89"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Fundación Obra Social El Carmen</w:t>
            </w:r>
          </w:p>
        </w:tc>
        <w:tc>
          <w:tcPr>
            <w:tcW w:w="2242" w:type="dxa"/>
            <w:tcBorders>
              <w:top w:val="single" w:sz="4" w:space="0" w:color="auto"/>
              <w:left w:val="single" w:sz="4" w:space="0" w:color="auto"/>
              <w:bottom w:val="single" w:sz="4" w:space="0" w:color="auto"/>
              <w:right w:val="single" w:sz="4" w:space="0" w:color="auto"/>
            </w:tcBorders>
            <w:noWrap/>
            <w:hideMark/>
          </w:tcPr>
          <w:p w14:paraId="04EA981C"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Liceo José Félix Jiménez - Sede Principal</w:t>
            </w:r>
          </w:p>
        </w:tc>
        <w:tc>
          <w:tcPr>
            <w:tcW w:w="1025" w:type="dxa"/>
            <w:tcBorders>
              <w:top w:val="single" w:sz="4" w:space="0" w:color="auto"/>
              <w:left w:val="single" w:sz="4" w:space="0" w:color="auto"/>
              <w:bottom w:val="single" w:sz="4" w:space="0" w:color="auto"/>
              <w:right w:val="single" w:sz="4" w:space="0" w:color="auto"/>
            </w:tcBorders>
            <w:noWrap/>
            <w:hideMark/>
          </w:tcPr>
          <w:p w14:paraId="36DA2897"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0</w:t>
            </w:r>
          </w:p>
        </w:tc>
        <w:tc>
          <w:tcPr>
            <w:tcW w:w="1025" w:type="dxa"/>
            <w:tcBorders>
              <w:top w:val="single" w:sz="4" w:space="0" w:color="auto"/>
              <w:left w:val="single" w:sz="4" w:space="0" w:color="auto"/>
              <w:bottom w:val="single" w:sz="4" w:space="0" w:color="auto"/>
              <w:right w:val="single" w:sz="4" w:space="0" w:color="auto"/>
            </w:tcBorders>
            <w:noWrap/>
            <w:hideMark/>
          </w:tcPr>
          <w:p w14:paraId="6A53E818"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95</w:t>
            </w:r>
            <w:r w:rsidRPr="00E33DE3">
              <w:rPr>
                <w:rStyle w:val="Refdenotaalpie"/>
                <w:rFonts w:ascii="Verdana" w:eastAsia="Times New Roman" w:hAnsi="Verdana" w:cs="Arial"/>
                <w:color w:val="000000"/>
                <w:sz w:val="18"/>
                <w:szCs w:val="18"/>
                <w:lang w:val="es-CO" w:eastAsia="es-CO"/>
              </w:rPr>
              <w:footnoteReference w:id="4"/>
            </w:r>
          </w:p>
        </w:tc>
      </w:tr>
      <w:tr w:rsidR="00273288" w:rsidRPr="00E33DE3" w14:paraId="6435FC23" w14:textId="77777777" w:rsidTr="00F9561D">
        <w:trPr>
          <w:trHeight w:val="20"/>
        </w:trPr>
        <w:tc>
          <w:tcPr>
            <w:tcW w:w="1065" w:type="dxa"/>
            <w:tcBorders>
              <w:top w:val="single" w:sz="4" w:space="0" w:color="auto"/>
              <w:left w:val="single" w:sz="4" w:space="0" w:color="auto"/>
              <w:bottom w:val="single" w:sz="4" w:space="0" w:color="auto"/>
              <w:right w:val="single" w:sz="4" w:space="0" w:color="auto"/>
            </w:tcBorders>
            <w:noWrap/>
            <w:hideMark/>
          </w:tcPr>
          <w:p w14:paraId="68F13D72"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2022</w:t>
            </w:r>
          </w:p>
        </w:tc>
        <w:tc>
          <w:tcPr>
            <w:tcW w:w="1155" w:type="dxa"/>
            <w:tcBorders>
              <w:top w:val="single" w:sz="4" w:space="0" w:color="auto"/>
              <w:left w:val="single" w:sz="4" w:space="0" w:color="auto"/>
              <w:bottom w:val="single" w:sz="4" w:space="0" w:color="auto"/>
              <w:right w:val="single" w:sz="4" w:space="0" w:color="auto"/>
            </w:tcBorders>
            <w:hideMark/>
          </w:tcPr>
          <w:p w14:paraId="09CF2119"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20221590</w:t>
            </w:r>
          </w:p>
        </w:tc>
        <w:tc>
          <w:tcPr>
            <w:tcW w:w="2311" w:type="dxa"/>
            <w:tcBorders>
              <w:top w:val="single" w:sz="4" w:space="0" w:color="auto"/>
              <w:left w:val="single" w:sz="4" w:space="0" w:color="auto"/>
              <w:bottom w:val="single" w:sz="4" w:space="0" w:color="auto"/>
              <w:right w:val="single" w:sz="4" w:space="0" w:color="auto"/>
            </w:tcBorders>
            <w:noWrap/>
            <w:hideMark/>
          </w:tcPr>
          <w:p w14:paraId="6A357806"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Fundación Obra Social El Carmen</w:t>
            </w:r>
          </w:p>
        </w:tc>
        <w:tc>
          <w:tcPr>
            <w:tcW w:w="2242" w:type="dxa"/>
            <w:tcBorders>
              <w:top w:val="single" w:sz="4" w:space="0" w:color="auto"/>
              <w:left w:val="single" w:sz="4" w:space="0" w:color="auto"/>
              <w:bottom w:val="single" w:sz="4" w:space="0" w:color="auto"/>
              <w:right w:val="single" w:sz="4" w:space="0" w:color="auto"/>
            </w:tcBorders>
            <w:noWrap/>
            <w:hideMark/>
          </w:tcPr>
          <w:p w14:paraId="204A6402"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Liceo José Félix Jiménez - Sede Principal</w:t>
            </w:r>
          </w:p>
        </w:tc>
        <w:tc>
          <w:tcPr>
            <w:tcW w:w="1025" w:type="dxa"/>
            <w:tcBorders>
              <w:top w:val="single" w:sz="4" w:space="0" w:color="auto"/>
              <w:left w:val="single" w:sz="4" w:space="0" w:color="auto"/>
              <w:bottom w:val="single" w:sz="4" w:space="0" w:color="auto"/>
              <w:right w:val="single" w:sz="4" w:space="0" w:color="auto"/>
            </w:tcBorders>
            <w:noWrap/>
            <w:hideMark/>
          </w:tcPr>
          <w:p w14:paraId="60EB74CB"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0</w:t>
            </w:r>
          </w:p>
        </w:tc>
        <w:tc>
          <w:tcPr>
            <w:tcW w:w="1025" w:type="dxa"/>
            <w:tcBorders>
              <w:top w:val="single" w:sz="4" w:space="0" w:color="auto"/>
              <w:left w:val="single" w:sz="4" w:space="0" w:color="auto"/>
              <w:bottom w:val="single" w:sz="4" w:space="0" w:color="auto"/>
              <w:right w:val="single" w:sz="4" w:space="0" w:color="auto"/>
            </w:tcBorders>
            <w:noWrap/>
            <w:hideMark/>
          </w:tcPr>
          <w:p w14:paraId="43EC884E"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95</w:t>
            </w:r>
          </w:p>
        </w:tc>
      </w:tr>
      <w:tr w:rsidR="00273288" w:rsidRPr="00E33DE3" w14:paraId="02BDC4E0" w14:textId="77777777" w:rsidTr="00F9561D">
        <w:trPr>
          <w:trHeight w:val="20"/>
        </w:trPr>
        <w:tc>
          <w:tcPr>
            <w:tcW w:w="1065" w:type="dxa"/>
            <w:tcBorders>
              <w:top w:val="single" w:sz="4" w:space="0" w:color="auto"/>
              <w:left w:val="single" w:sz="4" w:space="0" w:color="auto"/>
              <w:bottom w:val="single" w:sz="4" w:space="0" w:color="auto"/>
              <w:right w:val="single" w:sz="4" w:space="0" w:color="auto"/>
            </w:tcBorders>
            <w:noWrap/>
            <w:hideMark/>
          </w:tcPr>
          <w:p w14:paraId="0616C8D3"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2021</w:t>
            </w:r>
          </w:p>
        </w:tc>
        <w:tc>
          <w:tcPr>
            <w:tcW w:w="1155" w:type="dxa"/>
            <w:tcBorders>
              <w:top w:val="single" w:sz="4" w:space="0" w:color="auto"/>
              <w:left w:val="single" w:sz="4" w:space="0" w:color="auto"/>
              <w:bottom w:val="single" w:sz="4" w:space="0" w:color="auto"/>
              <w:right w:val="single" w:sz="4" w:space="0" w:color="auto"/>
            </w:tcBorders>
            <w:hideMark/>
          </w:tcPr>
          <w:p w14:paraId="3322EEAA"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20211447</w:t>
            </w:r>
          </w:p>
        </w:tc>
        <w:tc>
          <w:tcPr>
            <w:tcW w:w="2311" w:type="dxa"/>
            <w:tcBorders>
              <w:top w:val="single" w:sz="4" w:space="0" w:color="auto"/>
              <w:left w:val="single" w:sz="4" w:space="0" w:color="auto"/>
              <w:bottom w:val="single" w:sz="4" w:space="0" w:color="auto"/>
              <w:right w:val="single" w:sz="4" w:space="0" w:color="auto"/>
            </w:tcBorders>
            <w:noWrap/>
            <w:hideMark/>
          </w:tcPr>
          <w:p w14:paraId="5E2AC972"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Universidad De Nariño</w:t>
            </w:r>
          </w:p>
        </w:tc>
        <w:tc>
          <w:tcPr>
            <w:tcW w:w="2242" w:type="dxa"/>
            <w:tcBorders>
              <w:top w:val="single" w:sz="4" w:space="0" w:color="auto"/>
              <w:left w:val="single" w:sz="4" w:space="0" w:color="auto"/>
              <w:bottom w:val="single" w:sz="4" w:space="0" w:color="auto"/>
              <w:right w:val="single" w:sz="4" w:space="0" w:color="auto"/>
            </w:tcBorders>
            <w:noWrap/>
            <w:hideMark/>
          </w:tcPr>
          <w:p w14:paraId="2A7F0484"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Liceo Integrado de la Universidad de Nariño</w:t>
            </w:r>
          </w:p>
        </w:tc>
        <w:tc>
          <w:tcPr>
            <w:tcW w:w="1025" w:type="dxa"/>
            <w:tcBorders>
              <w:top w:val="single" w:sz="4" w:space="0" w:color="auto"/>
              <w:left w:val="single" w:sz="4" w:space="0" w:color="auto"/>
              <w:bottom w:val="single" w:sz="4" w:space="0" w:color="auto"/>
              <w:right w:val="single" w:sz="4" w:space="0" w:color="auto"/>
            </w:tcBorders>
            <w:noWrap/>
            <w:hideMark/>
          </w:tcPr>
          <w:p w14:paraId="65DCF738"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1,021</w:t>
            </w:r>
          </w:p>
        </w:tc>
        <w:tc>
          <w:tcPr>
            <w:tcW w:w="1025" w:type="dxa"/>
            <w:tcBorders>
              <w:top w:val="single" w:sz="4" w:space="0" w:color="auto"/>
              <w:left w:val="single" w:sz="4" w:space="0" w:color="auto"/>
              <w:bottom w:val="single" w:sz="4" w:space="0" w:color="auto"/>
              <w:right w:val="single" w:sz="4" w:space="0" w:color="auto"/>
            </w:tcBorders>
            <w:noWrap/>
            <w:hideMark/>
          </w:tcPr>
          <w:p w14:paraId="6905132E"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1,011</w:t>
            </w:r>
          </w:p>
        </w:tc>
      </w:tr>
      <w:tr w:rsidR="00273288" w:rsidRPr="00E33DE3" w14:paraId="778FE542" w14:textId="77777777" w:rsidTr="00F9561D">
        <w:trPr>
          <w:trHeight w:val="20"/>
        </w:trPr>
        <w:tc>
          <w:tcPr>
            <w:tcW w:w="1065" w:type="dxa"/>
            <w:tcBorders>
              <w:top w:val="single" w:sz="4" w:space="0" w:color="auto"/>
              <w:left w:val="single" w:sz="4" w:space="0" w:color="auto"/>
              <w:bottom w:val="single" w:sz="4" w:space="0" w:color="auto"/>
              <w:right w:val="single" w:sz="4" w:space="0" w:color="auto"/>
            </w:tcBorders>
            <w:noWrap/>
            <w:hideMark/>
          </w:tcPr>
          <w:p w14:paraId="45366DD6"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2022</w:t>
            </w:r>
          </w:p>
        </w:tc>
        <w:tc>
          <w:tcPr>
            <w:tcW w:w="1155" w:type="dxa"/>
            <w:tcBorders>
              <w:top w:val="single" w:sz="4" w:space="0" w:color="auto"/>
              <w:left w:val="single" w:sz="4" w:space="0" w:color="auto"/>
              <w:bottom w:val="single" w:sz="4" w:space="0" w:color="auto"/>
              <w:right w:val="single" w:sz="4" w:space="0" w:color="auto"/>
            </w:tcBorders>
            <w:hideMark/>
          </w:tcPr>
          <w:p w14:paraId="542087E1"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20221614</w:t>
            </w:r>
          </w:p>
        </w:tc>
        <w:tc>
          <w:tcPr>
            <w:tcW w:w="2311" w:type="dxa"/>
            <w:tcBorders>
              <w:top w:val="single" w:sz="4" w:space="0" w:color="auto"/>
              <w:left w:val="single" w:sz="4" w:space="0" w:color="auto"/>
              <w:bottom w:val="single" w:sz="4" w:space="0" w:color="auto"/>
              <w:right w:val="single" w:sz="4" w:space="0" w:color="auto"/>
            </w:tcBorders>
            <w:noWrap/>
            <w:hideMark/>
          </w:tcPr>
          <w:p w14:paraId="7F09AB1C"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Universidad De Nariño</w:t>
            </w:r>
          </w:p>
        </w:tc>
        <w:tc>
          <w:tcPr>
            <w:tcW w:w="2242" w:type="dxa"/>
            <w:tcBorders>
              <w:top w:val="single" w:sz="4" w:space="0" w:color="auto"/>
              <w:left w:val="single" w:sz="4" w:space="0" w:color="auto"/>
              <w:bottom w:val="single" w:sz="4" w:space="0" w:color="auto"/>
              <w:right w:val="single" w:sz="4" w:space="0" w:color="auto"/>
            </w:tcBorders>
            <w:noWrap/>
            <w:hideMark/>
          </w:tcPr>
          <w:p w14:paraId="30F65259"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Liceo Integrado de la Universidad de Nariño</w:t>
            </w:r>
          </w:p>
        </w:tc>
        <w:tc>
          <w:tcPr>
            <w:tcW w:w="1025" w:type="dxa"/>
            <w:tcBorders>
              <w:top w:val="single" w:sz="4" w:space="0" w:color="auto"/>
              <w:left w:val="single" w:sz="4" w:space="0" w:color="auto"/>
              <w:bottom w:val="single" w:sz="4" w:space="0" w:color="auto"/>
              <w:right w:val="single" w:sz="4" w:space="0" w:color="auto"/>
            </w:tcBorders>
            <w:noWrap/>
            <w:hideMark/>
          </w:tcPr>
          <w:p w14:paraId="74C1FFDD"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1,021</w:t>
            </w:r>
          </w:p>
        </w:tc>
        <w:tc>
          <w:tcPr>
            <w:tcW w:w="1025" w:type="dxa"/>
            <w:tcBorders>
              <w:top w:val="single" w:sz="4" w:space="0" w:color="auto"/>
              <w:left w:val="single" w:sz="4" w:space="0" w:color="auto"/>
              <w:bottom w:val="single" w:sz="4" w:space="0" w:color="auto"/>
              <w:right w:val="single" w:sz="4" w:space="0" w:color="auto"/>
            </w:tcBorders>
            <w:noWrap/>
            <w:hideMark/>
          </w:tcPr>
          <w:p w14:paraId="5181B1D4"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sz w:val="18"/>
                <w:szCs w:val="18"/>
                <w:lang w:val="es-CO" w:eastAsia="es-CO"/>
              </w:rPr>
              <w:t>1,006</w:t>
            </w:r>
          </w:p>
        </w:tc>
      </w:tr>
    </w:tbl>
    <w:p w14:paraId="665B0D9C" w14:textId="77777777" w:rsidR="00273288" w:rsidRPr="00E33DE3" w:rsidRDefault="00273288" w:rsidP="00C65B25">
      <w:pPr>
        <w:jc w:val="center"/>
        <w:rPr>
          <w:rFonts w:ascii="Verdana" w:eastAsia="Arial" w:hAnsi="Verdana" w:cs="Arial"/>
          <w:sz w:val="22"/>
          <w:szCs w:val="22"/>
          <w:lang w:val="es-ES_tradnl"/>
        </w:rPr>
      </w:pPr>
      <w:r w:rsidRPr="00E33DE3">
        <w:rPr>
          <w:rFonts w:ascii="Verdana" w:eastAsia="Arial" w:hAnsi="Verdana" w:cs="Arial"/>
          <w:sz w:val="18"/>
          <w:szCs w:val="18"/>
          <w:lang w:val="es-ES_tradnl"/>
        </w:rPr>
        <w:t>Fuente: Formato Único de Contratación suministrado por el Ministerio de Educación Nacional y Reporte detallado de alumnos (Anexo 6 A) suministrado por la entidad territorial</w:t>
      </w:r>
      <w:r w:rsidRPr="00E33DE3">
        <w:rPr>
          <w:rFonts w:ascii="Verdana" w:eastAsia="Arial" w:hAnsi="Verdana" w:cs="Arial"/>
          <w:sz w:val="22"/>
          <w:szCs w:val="22"/>
          <w:lang w:val="es-ES_tradnl"/>
        </w:rPr>
        <w:t>.</w:t>
      </w:r>
    </w:p>
    <w:p w14:paraId="4E260498" w14:textId="77777777" w:rsidR="00273288" w:rsidRPr="00E33DE3" w:rsidRDefault="00273288" w:rsidP="00C65B25">
      <w:pPr>
        <w:jc w:val="both"/>
        <w:rPr>
          <w:rFonts w:ascii="Verdana" w:eastAsia="Arial" w:hAnsi="Verdana" w:cs="Arial"/>
          <w:sz w:val="22"/>
          <w:szCs w:val="22"/>
          <w:lang w:val="es-ES_tradnl"/>
        </w:rPr>
      </w:pPr>
    </w:p>
    <w:p w14:paraId="238B1CC7" w14:textId="77777777" w:rsidR="00273288" w:rsidRPr="00E33DE3" w:rsidRDefault="00273288" w:rsidP="00C65B25">
      <w:pPr>
        <w:jc w:val="both"/>
        <w:rPr>
          <w:rFonts w:ascii="Verdana" w:eastAsia="Arial" w:hAnsi="Verdana" w:cs="Arial"/>
          <w:sz w:val="22"/>
          <w:szCs w:val="22"/>
          <w:lang w:val="es-ES_tradnl"/>
        </w:rPr>
      </w:pPr>
      <w:r w:rsidRPr="00E33DE3">
        <w:rPr>
          <w:rFonts w:ascii="Verdana" w:eastAsia="Arial" w:hAnsi="Verdana" w:cs="Arial"/>
          <w:sz w:val="22"/>
          <w:szCs w:val="22"/>
          <w:lang w:val="es-ES_tradnl"/>
        </w:rPr>
        <w:t xml:space="preserve">De conformidad con el parágrafo 1 del artículo 2.3.1.3.7.6 del Decreto 1075 de 2015, </w:t>
      </w:r>
      <w:r w:rsidRPr="00E33DE3">
        <w:rPr>
          <w:rFonts w:ascii="Verdana" w:eastAsia="Arial" w:hAnsi="Verdana" w:cs="Arial"/>
          <w:i/>
          <w:sz w:val="22"/>
          <w:szCs w:val="22"/>
          <w:lang w:val="es-ES_tradnl"/>
        </w:rPr>
        <w:t>“P</w:t>
      </w:r>
      <w:r w:rsidRPr="00E33DE3">
        <w:rPr>
          <w:rFonts w:ascii="Verdana" w:hAnsi="Verdana" w:cs="Arial"/>
          <w:i/>
          <w:sz w:val="22"/>
          <w:szCs w:val="22"/>
          <w:lang w:val="es-ES_tradnl"/>
        </w:rPr>
        <w:t xml:space="preserve">ara los contratos de servicio educativo con iglesias y confesiones religiosas, la matrícula se registrará como </w:t>
      </w:r>
      <w:r w:rsidRPr="00E33DE3">
        <w:rPr>
          <w:rFonts w:ascii="Verdana" w:hAnsi="Verdana" w:cs="Arial"/>
          <w:i/>
          <w:iCs/>
          <w:sz w:val="22"/>
          <w:szCs w:val="22"/>
          <w:lang w:val="es-ES_tradnl"/>
        </w:rPr>
        <w:t>"No Contratada"</w:t>
      </w:r>
      <w:r w:rsidRPr="00E33DE3">
        <w:rPr>
          <w:rFonts w:ascii="Verdana" w:hAnsi="Verdana" w:cs="Arial"/>
          <w:i/>
          <w:sz w:val="22"/>
          <w:szCs w:val="22"/>
          <w:lang w:val="es-ES_tradnl"/>
        </w:rPr>
        <w:t xml:space="preserve">, en caso de que el estudiante sea atendido por un docente oficial; si es atendido por un docente contratado, la matrícula se registrará como </w:t>
      </w:r>
      <w:r w:rsidRPr="00E33DE3">
        <w:rPr>
          <w:rFonts w:ascii="Verdana" w:hAnsi="Verdana" w:cs="Arial"/>
          <w:i/>
          <w:iCs/>
          <w:sz w:val="22"/>
          <w:szCs w:val="22"/>
          <w:lang w:val="es-ES_tradnl"/>
        </w:rPr>
        <w:t>"Contratada"</w:t>
      </w:r>
      <w:r w:rsidRPr="00E33DE3">
        <w:rPr>
          <w:rFonts w:ascii="Verdana" w:hAnsi="Verdana" w:cs="Arial"/>
          <w:i/>
          <w:sz w:val="22"/>
          <w:szCs w:val="22"/>
          <w:lang w:val="es-ES_tradnl"/>
        </w:rPr>
        <w:t>. Lo anterior para efectos estadísticos y de seguimiento a la planta de personal docente oficial”</w:t>
      </w:r>
      <w:r w:rsidRPr="00E33DE3">
        <w:rPr>
          <w:rFonts w:ascii="Verdana" w:hAnsi="Verdana" w:cs="Arial"/>
          <w:sz w:val="22"/>
          <w:szCs w:val="22"/>
          <w:lang w:val="es-ES_tradnl"/>
        </w:rPr>
        <w:t>.</w:t>
      </w:r>
    </w:p>
    <w:p w14:paraId="2ADBC4CD" w14:textId="77777777" w:rsidR="00273288" w:rsidRPr="00E33DE3" w:rsidRDefault="00273288" w:rsidP="00C65B25">
      <w:pPr>
        <w:jc w:val="both"/>
        <w:rPr>
          <w:rFonts w:ascii="Verdana" w:eastAsia="Arial" w:hAnsi="Verdana" w:cs="Arial"/>
          <w:sz w:val="22"/>
          <w:szCs w:val="22"/>
          <w:highlight w:val="cyan"/>
          <w:lang w:val="es-ES_tradnl"/>
        </w:rPr>
      </w:pPr>
    </w:p>
    <w:p w14:paraId="4C19C364" w14:textId="77777777" w:rsidR="00273288" w:rsidRPr="00E33DE3" w:rsidRDefault="00273288" w:rsidP="00C65B25">
      <w:pPr>
        <w:jc w:val="both"/>
        <w:rPr>
          <w:rFonts w:ascii="Verdana" w:eastAsia="Arial" w:hAnsi="Verdana" w:cs="Arial"/>
          <w:sz w:val="22"/>
          <w:szCs w:val="22"/>
          <w:lang w:val="es-ES_tradnl"/>
        </w:rPr>
      </w:pPr>
      <w:r w:rsidRPr="00E33DE3">
        <w:rPr>
          <w:rFonts w:ascii="Verdana" w:eastAsia="Arial" w:hAnsi="Verdana" w:cs="Arial"/>
          <w:sz w:val="22"/>
          <w:szCs w:val="22"/>
          <w:lang w:val="es-ES_tradnl"/>
        </w:rPr>
        <w:lastRenderedPageBreak/>
        <w:t>Mediante la suscripción de los Contratos No. 20211447 del 2021 y No. 20221614 del 2022 con la Universidad de Nariño se pactó la atención de 1.021 alumnos en cada vigencia, los cuales se atenderían con docentes vinculados por el contratista. No obstante, el Municipio de Pasto reportó en SIMAT como matrícula contratada 1.011 alumnos para 2021 y 1.006 alumnos para 2022.</w:t>
      </w:r>
    </w:p>
    <w:p w14:paraId="1369A1C8" w14:textId="77777777" w:rsidR="00273288" w:rsidRPr="00E33DE3" w:rsidRDefault="00273288" w:rsidP="00C65B25">
      <w:pPr>
        <w:jc w:val="both"/>
        <w:rPr>
          <w:rFonts w:ascii="Verdana" w:eastAsia="Arial" w:hAnsi="Verdana" w:cs="Arial"/>
          <w:sz w:val="22"/>
          <w:szCs w:val="22"/>
          <w:highlight w:val="cyan"/>
          <w:lang w:val="es-ES_tradnl"/>
        </w:rPr>
      </w:pPr>
    </w:p>
    <w:p w14:paraId="56702FF3" w14:textId="77777777" w:rsidR="00273288" w:rsidRPr="00E33DE3" w:rsidRDefault="00273288" w:rsidP="00C65B25">
      <w:pPr>
        <w:jc w:val="both"/>
        <w:rPr>
          <w:rFonts w:ascii="Verdana" w:eastAsia="Arial" w:hAnsi="Verdana" w:cs="Arial"/>
          <w:sz w:val="22"/>
          <w:szCs w:val="22"/>
          <w:lang w:val="es-ES_tradnl"/>
        </w:rPr>
      </w:pPr>
      <w:r w:rsidRPr="00E33DE3">
        <w:rPr>
          <w:rFonts w:ascii="Verdana" w:eastAsia="Arial" w:hAnsi="Verdana" w:cs="Arial"/>
          <w:sz w:val="22"/>
          <w:szCs w:val="22"/>
          <w:lang w:val="es-ES_tradnl"/>
        </w:rPr>
        <w:t xml:space="preserve">Con estas acciones, la Entidad Territorial vulneró las condiciones de calidad del reporte de información relativa a la contratación del Servicio Educativo, definidas en los artículos 2.3.1.3.7.6 y 2.3.1.3.7.7 del Decreto 1075 de 2015. Así mismo, incumple las obligaciones asignadas a las entidades territoriales certificadas en educación mediante el numeral 7.10 del artículo 7 de la Ley 715 de 2001, relativas a </w:t>
      </w:r>
      <w:r w:rsidRPr="00E33DE3">
        <w:rPr>
          <w:rFonts w:ascii="Verdana" w:eastAsia="Arial" w:hAnsi="Verdana" w:cs="Arial"/>
          <w:i/>
          <w:sz w:val="22"/>
          <w:szCs w:val="22"/>
          <w:lang w:val="es-ES_tradnl"/>
        </w:rPr>
        <w:t>“Administrar el Sistema de Información Educativa Municipal o Distrital y suministrar la información al departamento y a la Nación con la calidad y en la oportunidad que señale el reglamento”.</w:t>
      </w:r>
    </w:p>
    <w:p w14:paraId="28EC6342" w14:textId="77777777" w:rsidR="00273288" w:rsidRPr="00E33DE3" w:rsidRDefault="00273288" w:rsidP="00C65B25">
      <w:pPr>
        <w:jc w:val="both"/>
        <w:rPr>
          <w:rFonts w:ascii="Verdana" w:eastAsia="Arial" w:hAnsi="Verdana" w:cs="Arial"/>
          <w:sz w:val="22"/>
          <w:szCs w:val="22"/>
          <w:highlight w:val="cyan"/>
          <w:lang w:val="es-ES_tradnl"/>
        </w:rPr>
      </w:pPr>
    </w:p>
    <w:p w14:paraId="0FA8969F" w14:textId="77777777" w:rsidR="00273288" w:rsidRPr="00E33DE3" w:rsidRDefault="00273288" w:rsidP="00C65B25">
      <w:pPr>
        <w:jc w:val="both"/>
        <w:rPr>
          <w:rFonts w:ascii="Verdana" w:hAnsi="Verdana" w:cs="Arial"/>
          <w:sz w:val="22"/>
          <w:szCs w:val="22"/>
          <w:lang w:val="es-ES_tradnl"/>
        </w:rPr>
      </w:pPr>
      <w:r w:rsidRPr="00E33DE3">
        <w:rPr>
          <w:rFonts w:ascii="Verdana" w:eastAsia="Calibri" w:hAnsi="Verdana" w:cs="Arial"/>
          <w:b/>
          <w:sz w:val="22"/>
          <w:szCs w:val="22"/>
          <w:lang w:val="es-ES_tradnl" w:eastAsia="en-US"/>
        </w:rPr>
        <w:t xml:space="preserve">Evidencia: </w:t>
      </w:r>
      <w:r w:rsidRPr="00E33DE3">
        <w:rPr>
          <w:rFonts w:ascii="Verdana" w:hAnsi="Verdana" w:cs="Arial"/>
          <w:sz w:val="22"/>
          <w:szCs w:val="22"/>
          <w:lang w:val="es-ES_tradnl"/>
        </w:rPr>
        <w:t>Obra en el expediente el siguiente material probatorio:</w:t>
      </w:r>
    </w:p>
    <w:p w14:paraId="51A71BB7" w14:textId="77777777" w:rsidR="00273288" w:rsidRPr="00E33DE3" w:rsidRDefault="00273288" w:rsidP="00C65B25">
      <w:pPr>
        <w:pStyle w:val="Prrafodelista"/>
        <w:numPr>
          <w:ilvl w:val="0"/>
          <w:numId w:val="28"/>
        </w:numPr>
        <w:ind w:left="284" w:hanging="284"/>
        <w:jc w:val="both"/>
        <w:rPr>
          <w:rFonts w:ascii="Verdana" w:hAnsi="Verdana" w:cs="Arial"/>
          <w:sz w:val="22"/>
          <w:szCs w:val="22"/>
        </w:rPr>
      </w:pPr>
      <w:r w:rsidRPr="00E33DE3">
        <w:rPr>
          <w:rFonts w:ascii="Verdana" w:eastAsia="Calibri" w:hAnsi="Verdana" w:cs="Arial"/>
          <w:sz w:val="22"/>
          <w:szCs w:val="22"/>
          <w:lang w:eastAsia="en-US"/>
        </w:rPr>
        <w:t xml:space="preserve">Anexo </w:t>
      </w:r>
      <w:r w:rsidRPr="00E33DE3">
        <w:rPr>
          <w:rFonts w:ascii="Verdana" w:hAnsi="Verdana" w:cs="Arial"/>
          <w:sz w:val="22"/>
          <w:szCs w:val="22"/>
        </w:rPr>
        <w:t>6A a 30 de noviembre de 2021 remitido por el Municipio de Pasto.</w:t>
      </w:r>
    </w:p>
    <w:p w14:paraId="12DF200A" w14:textId="77777777" w:rsidR="00273288" w:rsidRPr="00E33DE3" w:rsidRDefault="00273288" w:rsidP="00C65B25">
      <w:pPr>
        <w:pStyle w:val="Prrafodelista"/>
        <w:numPr>
          <w:ilvl w:val="0"/>
          <w:numId w:val="28"/>
        </w:numPr>
        <w:ind w:left="284" w:hanging="284"/>
        <w:jc w:val="both"/>
        <w:rPr>
          <w:rFonts w:ascii="Verdana" w:hAnsi="Verdana" w:cs="Arial"/>
          <w:sz w:val="22"/>
          <w:szCs w:val="22"/>
        </w:rPr>
      </w:pPr>
      <w:r w:rsidRPr="00E33DE3">
        <w:rPr>
          <w:rFonts w:ascii="Verdana" w:hAnsi="Verdana" w:cs="Arial"/>
          <w:sz w:val="22"/>
          <w:szCs w:val="22"/>
        </w:rPr>
        <w:t>Anexo 6A a 30 de junio de 2022 remitido por el Municipio de Pasto.</w:t>
      </w:r>
    </w:p>
    <w:p w14:paraId="14DCC9F8" w14:textId="77777777" w:rsidR="00273288" w:rsidRPr="00E33DE3" w:rsidRDefault="00273288" w:rsidP="00C65B25">
      <w:pPr>
        <w:pStyle w:val="Prrafodelista"/>
        <w:numPr>
          <w:ilvl w:val="0"/>
          <w:numId w:val="28"/>
        </w:numPr>
        <w:ind w:left="284" w:hanging="284"/>
        <w:jc w:val="both"/>
        <w:rPr>
          <w:rFonts w:ascii="Verdana" w:hAnsi="Verdana" w:cs="Arial"/>
          <w:sz w:val="22"/>
          <w:szCs w:val="22"/>
        </w:rPr>
      </w:pPr>
      <w:r w:rsidRPr="00E33DE3">
        <w:rPr>
          <w:rFonts w:ascii="Verdana" w:hAnsi="Verdana" w:cs="Arial"/>
          <w:sz w:val="22"/>
          <w:szCs w:val="22"/>
        </w:rPr>
        <w:t xml:space="preserve">Formato Único de Estadísticas de Contratación del Servicio Educativo - FUC 2021 </w:t>
      </w:r>
    </w:p>
    <w:p w14:paraId="753CFA9E" w14:textId="77777777" w:rsidR="00273288" w:rsidRPr="00E33DE3" w:rsidRDefault="00273288" w:rsidP="00C65B25">
      <w:pPr>
        <w:pStyle w:val="Prrafodelista"/>
        <w:numPr>
          <w:ilvl w:val="0"/>
          <w:numId w:val="28"/>
        </w:numPr>
        <w:ind w:left="284" w:hanging="284"/>
        <w:jc w:val="both"/>
        <w:rPr>
          <w:rFonts w:ascii="Verdana" w:hAnsi="Verdana" w:cs="Arial"/>
          <w:sz w:val="22"/>
          <w:szCs w:val="22"/>
        </w:rPr>
      </w:pPr>
      <w:r w:rsidRPr="00E33DE3">
        <w:rPr>
          <w:rFonts w:ascii="Verdana" w:hAnsi="Verdana" w:cs="Arial"/>
          <w:sz w:val="22"/>
          <w:szCs w:val="22"/>
        </w:rPr>
        <w:t xml:space="preserve">Formato Único de Estadísticas de Contratación del Servicio Educativo - FUC 2022 </w:t>
      </w:r>
    </w:p>
    <w:p w14:paraId="3F678333" w14:textId="77777777" w:rsidR="00273288" w:rsidRPr="00E33DE3" w:rsidRDefault="00273288" w:rsidP="00C65B25">
      <w:pPr>
        <w:pStyle w:val="Prrafodelista"/>
        <w:numPr>
          <w:ilvl w:val="0"/>
          <w:numId w:val="28"/>
        </w:numPr>
        <w:ind w:left="284" w:hanging="284"/>
        <w:jc w:val="both"/>
        <w:rPr>
          <w:rFonts w:ascii="Verdana" w:hAnsi="Verdana" w:cs="Arial"/>
          <w:sz w:val="22"/>
          <w:szCs w:val="22"/>
        </w:rPr>
      </w:pPr>
      <w:r w:rsidRPr="00E33DE3">
        <w:rPr>
          <w:rFonts w:ascii="Verdana" w:hAnsi="Verdana" w:cs="Arial"/>
          <w:sz w:val="22"/>
          <w:szCs w:val="22"/>
        </w:rPr>
        <w:t>Contrato No. 20211447 del 25 de marzo del 2021</w:t>
      </w:r>
    </w:p>
    <w:p w14:paraId="0121027D" w14:textId="77777777" w:rsidR="00273288" w:rsidRPr="00E33DE3" w:rsidRDefault="00273288" w:rsidP="00C65B25">
      <w:pPr>
        <w:pStyle w:val="Prrafodelista"/>
        <w:numPr>
          <w:ilvl w:val="0"/>
          <w:numId w:val="28"/>
        </w:numPr>
        <w:ind w:left="284" w:hanging="284"/>
        <w:jc w:val="both"/>
        <w:rPr>
          <w:rFonts w:ascii="Verdana" w:hAnsi="Verdana" w:cs="Arial"/>
          <w:sz w:val="22"/>
          <w:szCs w:val="22"/>
        </w:rPr>
      </w:pPr>
      <w:r w:rsidRPr="00E33DE3">
        <w:rPr>
          <w:rFonts w:ascii="Verdana" w:hAnsi="Verdana" w:cs="Arial"/>
          <w:sz w:val="22"/>
          <w:szCs w:val="22"/>
        </w:rPr>
        <w:t>Contrato</w:t>
      </w:r>
      <w:r w:rsidRPr="00E33DE3">
        <w:rPr>
          <w:rFonts w:ascii="Verdana" w:eastAsia="Arial" w:hAnsi="Verdana" w:cs="Arial"/>
          <w:sz w:val="22"/>
          <w:szCs w:val="22"/>
        </w:rPr>
        <w:t xml:space="preserve"> No. 20221614 del 29 de junio de 2022.</w:t>
      </w:r>
    </w:p>
    <w:p w14:paraId="6A692968" w14:textId="77777777" w:rsidR="00273288" w:rsidRPr="00E33DE3" w:rsidRDefault="00273288" w:rsidP="00C65B25">
      <w:pPr>
        <w:jc w:val="both"/>
        <w:rPr>
          <w:rFonts w:ascii="Verdana" w:hAnsi="Verdana" w:cs="Arial"/>
          <w:sz w:val="22"/>
          <w:szCs w:val="22"/>
        </w:rPr>
      </w:pPr>
    </w:p>
    <w:p w14:paraId="5F667D3B" w14:textId="77777777" w:rsidR="00273288" w:rsidRPr="00E33DE3" w:rsidRDefault="00273288" w:rsidP="00C65B25">
      <w:pPr>
        <w:pStyle w:val="Ttulo3"/>
        <w:numPr>
          <w:ilvl w:val="3"/>
          <w:numId w:val="32"/>
        </w:numPr>
        <w:spacing w:before="0"/>
        <w:ind w:left="426" w:hanging="426"/>
        <w:jc w:val="both"/>
        <w:rPr>
          <w:rFonts w:ascii="Verdana" w:hAnsi="Verdana"/>
          <w:b/>
          <w:bCs/>
          <w:color w:val="auto"/>
          <w:sz w:val="22"/>
          <w:szCs w:val="22"/>
        </w:rPr>
      </w:pPr>
      <w:r w:rsidRPr="00E33DE3">
        <w:rPr>
          <w:rFonts w:ascii="Verdana" w:hAnsi="Verdana"/>
          <w:b/>
          <w:bCs/>
          <w:color w:val="auto"/>
          <w:sz w:val="22"/>
          <w:szCs w:val="22"/>
        </w:rPr>
        <w:t>Inconsistencias en el reporte de información CUIPO para la vigencia 2022</w:t>
      </w:r>
    </w:p>
    <w:p w14:paraId="79DF2ECD" w14:textId="77777777" w:rsidR="00273288" w:rsidRPr="00E33DE3" w:rsidRDefault="00273288" w:rsidP="00C65B25">
      <w:pPr>
        <w:pStyle w:val="CONPESTexto"/>
        <w:spacing w:before="0" w:after="0" w:line="240" w:lineRule="auto"/>
        <w:ind w:firstLine="0"/>
        <w:rPr>
          <w:rFonts w:ascii="Verdana" w:hAnsi="Verdana" w:cs="Arial"/>
          <w:szCs w:val="22"/>
          <w:lang w:val="es-MX"/>
        </w:rPr>
      </w:pPr>
    </w:p>
    <w:p w14:paraId="02135DAC" w14:textId="77777777" w:rsidR="00273288" w:rsidRPr="00E33DE3" w:rsidRDefault="00273288" w:rsidP="00C65B25">
      <w:pPr>
        <w:pStyle w:val="CONPESTexto"/>
        <w:spacing w:before="0" w:after="0" w:line="240" w:lineRule="auto"/>
        <w:ind w:firstLine="0"/>
        <w:rPr>
          <w:rFonts w:ascii="Verdana" w:hAnsi="Verdana" w:cs="Arial"/>
          <w:szCs w:val="22"/>
          <w:lang w:val="es-MX"/>
        </w:rPr>
      </w:pPr>
      <w:r w:rsidRPr="00E33DE3">
        <w:rPr>
          <w:rFonts w:ascii="Verdana" w:hAnsi="Verdana" w:cs="Arial"/>
          <w:szCs w:val="22"/>
          <w:lang w:val="es-MX"/>
        </w:rPr>
        <w:t>La remisión de información financiera con criterios de calidad y suficiencia es un deber de las entidades territoriales. Acorde a lo dispuesto en el artículo 308 de la Ley 2294 de 2023 que modificó el artículo 188 de la Ley 1753 de 2015, es deber de las entidades territoriales el reporte de información financiera mediante los formatos indicados por la normativa. De esta manera, la remisión de información “incompleta o errónea” constituye un evento de riesgo en el marco del numeral 1 del artículo 9 del Decreto 028 de 2008.</w:t>
      </w:r>
    </w:p>
    <w:p w14:paraId="3BFD31E1" w14:textId="77777777" w:rsidR="00273288" w:rsidRPr="00E33DE3" w:rsidRDefault="00273288" w:rsidP="00C65B25">
      <w:pPr>
        <w:pStyle w:val="CONPESTexto"/>
        <w:spacing w:before="0" w:after="0" w:line="240" w:lineRule="auto"/>
        <w:ind w:firstLine="0"/>
        <w:rPr>
          <w:rFonts w:ascii="Verdana" w:hAnsi="Verdana" w:cs="Arial"/>
          <w:szCs w:val="22"/>
          <w:lang w:val="es-MX"/>
        </w:rPr>
      </w:pPr>
    </w:p>
    <w:p w14:paraId="7B6F4686" w14:textId="77777777" w:rsidR="00273288" w:rsidRPr="00E33DE3" w:rsidRDefault="00273288" w:rsidP="00C65B25">
      <w:pPr>
        <w:pStyle w:val="CONPESTexto"/>
        <w:spacing w:before="0" w:after="0" w:line="240" w:lineRule="auto"/>
        <w:ind w:firstLine="0"/>
        <w:rPr>
          <w:rFonts w:ascii="Verdana" w:hAnsi="Verdana" w:cs="Arial"/>
          <w:szCs w:val="22"/>
          <w:lang w:val="es-MX"/>
        </w:rPr>
      </w:pPr>
      <w:r w:rsidRPr="00E33DE3">
        <w:rPr>
          <w:rFonts w:ascii="Verdana" w:hAnsi="Verdana" w:cs="Arial"/>
          <w:szCs w:val="22"/>
          <w:lang w:val="es-MX"/>
        </w:rPr>
        <w:t xml:space="preserve">Al respecto, se encontró que la información financiera remitida por la entidad para la vigencia 2022 carece de la calidad necesaria para los objetivos de la auditoría ejercida por esta dirección. Respecto al reporte de la Categoría Única de Información del Presupuesto Ordinario (CUIPO) para dicha vigencia se estableció que se efectuaron compromisos por un total de </w:t>
      </w:r>
      <w:r w:rsidR="00FB3CC3" w:rsidRPr="00E33DE3">
        <w:rPr>
          <w:rFonts w:ascii="Verdana" w:hAnsi="Verdana" w:cs="Arial"/>
          <w:szCs w:val="22"/>
          <w:lang w:val="es-MX"/>
        </w:rPr>
        <w:t>$</w:t>
      </w:r>
      <w:r w:rsidRPr="00E33DE3">
        <w:rPr>
          <w:rFonts w:ascii="Verdana" w:hAnsi="Verdana" w:cs="Arial"/>
          <w:szCs w:val="22"/>
          <w:lang w:val="es-MX"/>
        </w:rPr>
        <w:t>2.639 millones que reporta</w:t>
      </w:r>
      <w:r w:rsidR="00301DB3" w:rsidRPr="00E33DE3">
        <w:rPr>
          <w:rFonts w:ascii="Verdana" w:hAnsi="Verdana" w:cs="Arial"/>
          <w:szCs w:val="22"/>
          <w:lang w:val="es-MX"/>
        </w:rPr>
        <w:t>ro</w:t>
      </w:r>
      <w:r w:rsidRPr="00E33DE3">
        <w:rPr>
          <w:rFonts w:ascii="Verdana" w:hAnsi="Verdana" w:cs="Arial"/>
          <w:szCs w:val="22"/>
          <w:lang w:val="es-MX"/>
        </w:rPr>
        <w:t xml:space="preserve">n en las categorías </w:t>
      </w:r>
      <w:r w:rsidRPr="00E33DE3">
        <w:rPr>
          <w:rFonts w:ascii="Verdana" w:hAnsi="Verdana" w:cs="Arial"/>
          <w:i/>
          <w:iCs/>
          <w:szCs w:val="22"/>
          <w:lang w:val="es-MX"/>
        </w:rPr>
        <w:t>detalle sectorial</w:t>
      </w:r>
      <w:r w:rsidRPr="00E33DE3">
        <w:rPr>
          <w:rFonts w:ascii="Verdana" w:hAnsi="Verdana" w:cs="Arial"/>
          <w:szCs w:val="22"/>
          <w:lang w:val="es-MX"/>
        </w:rPr>
        <w:t xml:space="preserve">, </w:t>
      </w:r>
      <w:r w:rsidRPr="00E33DE3">
        <w:rPr>
          <w:rFonts w:ascii="Verdana" w:hAnsi="Verdana" w:cs="Arial"/>
          <w:i/>
          <w:iCs/>
          <w:szCs w:val="22"/>
          <w:lang w:val="es-MX"/>
        </w:rPr>
        <w:t>producto MGA</w:t>
      </w:r>
      <w:r w:rsidRPr="00E33DE3">
        <w:rPr>
          <w:rFonts w:ascii="Verdana" w:hAnsi="Verdana" w:cs="Arial"/>
          <w:szCs w:val="22"/>
          <w:lang w:val="es-MX"/>
        </w:rPr>
        <w:t xml:space="preserve"> y la </w:t>
      </w:r>
      <w:r w:rsidRPr="00E33DE3">
        <w:rPr>
          <w:rFonts w:ascii="Verdana" w:hAnsi="Verdana" w:cs="Arial"/>
          <w:i/>
          <w:iCs/>
          <w:szCs w:val="22"/>
          <w:lang w:val="es-MX"/>
        </w:rPr>
        <w:t>Clasificación Central de Productos</w:t>
      </w:r>
      <w:r w:rsidRPr="00E33DE3">
        <w:rPr>
          <w:rFonts w:ascii="Verdana" w:hAnsi="Verdana" w:cs="Arial"/>
          <w:szCs w:val="22"/>
          <w:lang w:val="es-MX"/>
        </w:rPr>
        <w:t xml:space="preserve"> (CPC) en la categoría de “No Aplica”. </w:t>
      </w:r>
    </w:p>
    <w:p w14:paraId="76F185F3" w14:textId="77777777" w:rsidR="00273288" w:rsidRPr="00E33DE3" w:rsidRDefault="00273288" w:rsidP="00C65B25">
      <w:pPr>
        <w:pStyle w:val="CONPESTexto"/>
        <w:spacing w:before="0" w:after="0" w:line="240" w:lineRule="auto"/>
        <w:ind w:firstLine="0"/>
        <w:rPr>
          <w:rFonts w:ascii="Verdana" w:hAnsi="Verdana" w:cs="Arial"/>
          <w:szCs w:val="22"/>
          <w:lang w:val="es-MX"/>
        </w:rPr>
      </w:pPr>
    </w:p>
    <w:p w14:paraId="2AACC479" w14:textId="77777777" w:rsidR="00273288" w:rsidRPr="00E33DE3" w:rsidRDefault="00273288" w:rsidP="00C65B25">
      <w:pPr>
        <w:pStyle w:val="CONPESTexto"/>
        <w:spacing w:before="0" w:after="0" w:line="240" w:lineRule="auto"/>
        <w:ind w:firstLine="0"/>
        <w:rPr>
          <w:rFonts w:ascii="Verdana" w:hAnsi="Verdana" w:cs="Arial"/>
          <w:szCs w:val="22"/>
          <w:lang w:val="es-MX"/>
        </w:rPr>
      </w:pPr>
      <w:r w:rsidRPr="00E33DE3">
        <w:rPr>
          <w:rFonts w:ascii="Verdana" w:hAnsi="Verdana" w:cs="Arial"/>
          <w:szCs w:val="22"/>
          <w:lang w:val="es-MX"/>
        </w:rPr>
        <w:lastRenderedPageBreak/>
        <w:t>De acuerdo con la categoría “Nombre” se encontró que las ejecuciones realizadas con dichas características podrían corresponder a temas variados como aportes patronales, construcción de carreteras, bonificaciones o entidades territoriales distintas de participaciones y compensaciones. Siendo así, dada la baja calidad de la información financiera reportada por la entidad no fue posible para esta dirección la verificación de la destinación de dichos recursos ni a qué tipo de funcionarios se pagaban dichos aportes patronales.</w:t>
      </w:r>
    </w:p>
    <w:p w14:paraId="40FA1FE9" w14:textId="77777777" w:rsidR="00273288" w:rsidRPr="00E33DE3" w:rsidRDefault="00273288" w:rsidP="00C65B25">
      <w:pPr>
        <w:pStyle w:val="CONPESTexto"/>
        <w:spacing w:before="0" w:after="0" w:line="240" w:lineRule="auto"/>
        <w:ind w:firstLine="0"/>
        <w:rPr>
          <w:rFonts w:ascii="Verdana" w:hAnsi="Verdana" w:cs="Arial"/>
          <w:szCs w:val="22"/>
          <w:lang w:val="es-MX"/>
        </w:rPr>
      </w:pPr>
    </w:p>
    <w:p w14:paraId="56A71232" w14:textId="77777777" w:rsidR="00273288" w:rsidRPr="00E33DE3" w:rsidRDefault="00273288" w:rsidP="00C65B25">
      <w:pPr>
        <w:pStyle w:val="CONPESTexto"/>
        <w:spacing w:before="0" w:after="0" w:line="240" w:lineRule="auto"/>
        <w:ind w:firstLine="0"/>
        <w:rPr>
          <w:rFonts w:ascii="Verdana" w:hAnsi="Verdana" w:cs="Arial"/>
          <w:szCs w:val="22"/>
          <w:lang w:val="es-MX"/>
        </w:rPr>
      </w:pPr>
      <w:r w:rsidRPr="00E33DE3">
        <w:rPr>
          <w:rFonts w:ascii="Verdana" w:hAnsi="Verdana" w:cs="Arial"/>
          <w:szCs w:val="22"/>
          <w:lang w:val="es-MX"/>
        </w:rPr>
        <w:t xml:space="preserve">Por otra parte, se encontró que la entidad territorial reportó información inconsistente por concepto de horas extras, dominicales, festivos y recargos del personal administrativo. Si bien en el reporte CUIPO se señala que dicha erogación generó compromisos que ascendieron a $2.658 millones, una vez realizada la verificación de la información financiera remitida por la Entidad Territorial al Ministerio de Educación, el monto de dichas horas extras fue de únicamente $1.212 millones. De esta manera se encontró que la Entidad Territorial reportó como gasto administrativo por horas extras, dominicales, festivos y recargos el total de las horas extra sumadas del personal administrativo y el personal docente, siendo este último concepto por un valor de $1.446 millones. Así mismo, si bien se reportaron en CUIPO un total de gastos por concepto de sueldo de </w:t>
      </w:r>
      <w:r w:rsidR="00FB3CC3" w:rsidRPr="00E33DE3">
        <w:rPr>
          <w:rFonts w:ascii="Verdana" w:hAnsi="Verdana" w:cs="Arial"/>
          <w:szCs w:val="22"/>
          <w:lang w:val="es-MX"/>
        </w:rPr>
        <w:t>$</w:t>
      </w:r>
      <w:r w:rsidRPr="00E33DE3">
        <w:rPr>
          <w:rFonts w:ascii="Verdana" w:hAnsi="Verdana" w:cs="Arial"/>
          <w:szCs w:val="22"/>
          <w:lang w:val="es-MX"/>
        </w:rPr>
        <w:t>10.345 millones, en la información financiera de la entidad se reportó un total de $11.704 millones, tal como se puede apreciar a continuación:</w:t>
      </w:r>
    </w:p>
    <w:p w14:paraId="6271FF39" w14:textId="77777777" w:rsidR="00273288" w:rsidRPr="00E33DE3" w:rsidRDefault="00273288" w:rsidP="00C65B25">
      <w:pPr>
        <w:pStyle w:val="CONPESTexto"/>
        <w:spacing w:before="0" w:after="0" w:line="240" w:lineRule="auto"/>
        <w:ind w:firstLine="0"/>
        <w:rPr>
          <w:rFonts w:ascii="Verdana" w:hAnsi="Verdana" w:cs="Arial"/>
          <w:lang w:val="es-MX"/>
        </w:rPr>
      </w:pPr>
    </w:p>
    <w:tbl>
      <w:tblPr>
        <w:tblW w:w="8994" w:type="dxa"/>
        <w:tblLayout w:type="fixed"/>
        <w:tblLook w:val="06A0" w:firstRow="1" w:lastRow="0" w:firstColumn="1" w:lastColumn="0" w:noHBand="1" w:noVBand="1"/>
      </w:tblPr>
      <w:tblGrid>
        <w:gridCol w:w="1283"/>
        <w:gridCol w:w="1560"/>
        <w:gridCol w:w="1515"/>
        <w:gridCol w:w="1605"/>
        <w:gridCol w:w="1608"/>
        <w:gridCol w:w="1423"/>
      </w:tblGrid>
      <w:tr w:rsidR="00273288" w:rsidRPr="00E33DE3" w14:paraId="581E0E04" w14:textId="77777777" w:rsidTr="00301DB3">
        <w:trPr>
          <w:trHeight w:val="20"/>
          <w:tblHeader/>
        </w:trPr>
        <w:tc>
          <w:tcPr>
            <w:tcW w:w="899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8C41"/>
            <w:tcMar>
              <w:top w:w="15" w:type="dxa"/>
              <w:left w:w="15" w:type="dxa"/>
              <w:bottom w:w="0" w:type="dxa"/>
              <w:right w:w="15" w:type="dxa"/>
            </w:tcMar>
            <w:vAlign w:val="bottom"/>
            <w:hideMark/>
          </w:tcPr>
          <w:p w14:paraId="4A591F99" w14:textId="77777777" w:rsidR="00273288" w:rsidRPr="00E33DE3" w:rsidRDefault="00273288" w:rsidP="00C65B25">
            <w:pPr>
              <w:jc w:val="center"/>
              <w:rPr>
                <w:rFonts w:ascii="Verdana" w:eastAsia="Verdana" w:hAnsi="Verdana" w:cs="Verdana"/>
                <w:b/>
                <w:bCs/>
                <w:color w:val="FFFFFF" w:themeColor="background1"/>
                <w:sz w:val="18"/>
                <w:szCs w:val="18"/>
              </w:rPr>
            </w:pPr>
            <w:r w:rsidRPr="00E33DE3">
              <w:rPr>
                <w:rFonts w:ascii="Verdana" w:eastAsia="Verdana" w:hAnsi="Verdana" w:cs="Verdana"/>
                <w:b/>
                <w:bCs/>
                <w:color w:val="FFFFFF" w:themeColor="background1"/>
                <w:sz w:val="18"/>
                <w:szCs w:val="18"/>
              </w:rPr>
              <w:t>TABLA 10. CONCEPTOS DE GASTOS ADMINISTRATIVOS (MILLONES DE $)</w:t>
            </w:r>
          </w:p>
        </w:tc>
      </w:tr>
      <w:tr w:rsidR="00273288" w:rsidRPr="00E33DE3" w14:paraId="6E8EC892" w14:textId="77777777" w:rsidTr="00301DB3">
        <w:trPr>
          <w:trHeight w:val="20"/>
          <w:tblHeader/>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EADA"/>
            <w:tcMar>
              <w:top w:w="15" w:type="dxa"/>
              <w:left w:w="15" w:type="dxa"/>
              <w:bottom w:w="0" w:type="dxa"/>
              <w:right w:w="15" w:type="dxa"/>
            </w:tcMar>
            <w:vAlign w:val="center"/>
            <w:hideMark/>
          </w:tcPr>
          <w:p w14:paraId="140C9CB4"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b/>
                <w:bCs/>
                <w:color w:val="000000" w:themeColor="text1"/>
                <w:sz w:val="18"/>
                <w:szCs w:val="18"/>
              </w:rPr>
              <w:t>Concepto</w:t>
            </w:r>
            <w:r w:rsidRPr="00E33DE3">
              <w:rPr>
                <w:rFonts w:ascii="Verdana" w:eastAsia="Verdana" w:hAnsi="Verdana" w:cs="Verdana"/>
                <w:color w:val="000000" w:themeColor="text1"/>
                <w:sz w:val="18"/>
                <w:szCs w:val="18"/>
              </w:rPr>
              <w:t xml:space="preserve"> </w:t>
            </w:r>
          </w:p>
        </w:tc>
        <w:tc>
          <w:tcPr>
            <w:tcW w:w="1560" w:type="dxa"/>
            <w:tcBorders>
              <w:top w:val="nil"/>
              <w:left w:val="single" w:sz="4" w:space="0" w:color="000000" w:themeColor="text1"/>
              <w:bottom w:val="single" w:sz="4" w:space="0" w:color="000000" w:themeColor="text1"/>
              <w:right w:val="single" w:sz="4" w:space="0" w:color="000000" w:themeColor="text1"/>
            </w:tcBorders>
            <w:shd w:val="clear" w:color="auto" w:fill="F1EADA"/>
            <w:tcMar>
              <w:top w:w="15" w:type="dxa"/>
              <w:left w:w="15" w:type="dxa"/>
              <w:bottom w:w="0" w:type="dxa"/>
              <w:right w:w="15" w:type="dxa"/>
            </w:tcMar>
            <w:vAlign w:val="center"/>
            <w:hideMark/>
          </w:tcPr>
          <w:p w14:paraId="42E4526C"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b/>
                <w:bCs/>
                <w:color w:val="000000" w:themeColor="text1"/>
                <w:sz w:val="18"/>
                <w:szCs w:val="18"/>
              </w:rPr>
              <w:t>Instituciones Educativas Municipales y Centros Educativos Municipales</w:t>
            </w:r>
            <w:r w:rsidRPr="00E33DE3">
              <w:rPr>
                <w:rFonts w:ascii="Verdana" w:eastAsia="Verdana" w:hAnsi="Verdana" w:cs="Verdana"/>
                <w:color w:val="000000" w:themeColor="text1"/>
                <w:sz w:val="18"/>
                <w:szCs w:val="18"/>
              </w:rPr>
              <w:t xml:space="preserve"> </w:t>
            </w:r>
          </w:p>
        </w:tc>
        <w:tc>
          <w:tcPr>
            <w:tcW w:w="1515" w:type="dxa"/>
            <w:tcBorders>
              <w:top w:val="nil"/>
              <w:left w:val="single" w:sz="4" w:space="0" w:color="000000" w:themeColor="text1"/>
              <w:bottom w:val="single" w:sz="4" w:space="0" w:color="000000" w:themeColor="text1"/>
              <w:right w:val="single" w:sz="4" w:space="0" w:color="000000" w:themeColor="text1"/>
            </w:tcBorders>
            <w:shd w:val="clear" w:color="auto" w:fill="F1EADA"/>
            <w:tcMar>
              <w:top w:w="15" w:type="dxa"/>
              <w:left w:w="15" w:type="dxa"/>
              <w:bottom w:w="0" w:type="dxa"/>
              <w:right w:w="15" w:type="dxa"/>
            </w:tcMar>
            <w:vAlign w:val="center"/>
            <w:hideMark/>
          </w:tcPr>
          <w:p w14:paraId="4C3AD971"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b/>
                <w:bCs/>
                <w:color w:val="000000" w:themeColor="text1"/>
                <w:sz w:val="18"/>
                <w:szCs w:val="18"/>
              </w:rPr>
              <w:t>Secretaría de Educación Municipal</w:t>
            </w:r>
            <w:r w:rsidRPr="00E33DE3">
              <w:rPr>
                <w:rFonts w:ascii="Verdana" w:eastAsia="Verdana" w:hAnsi="Verdana" w:cs="Verdana"/>
                <w:color w:val="000000" w:themeColor="text1"/>
                <w:sz w:val="18"/>
                <w:szCs w:val="18"/>
              </w:rPr>
              <w:t xml:space="preserve"> </w:t>
            </w:r>
          </w:p>
        </w:tc>
        <w:tc>
          <w:tcPr>
            <w:tcW w:w="1605" w:type="dxa"/>
            <w:tcBorders>
              <w:top w:val="nil"/>
              <w:left w:val="single" w:sz="4" w:space="0" w:color="000000" w:themeColor="text1"/>
              <w:bottom w:val="single" w:sz="4" w:space="0" w:color="000000" w:themeColor="text1"/>
              <w:right w:val="single" w:sz="4" w:space="0" w:color="000000" w:themeColor="text1"/>
            </w:tcBorders>
            <w:shd w:val="clear" w:color="auto" w:fill="F1EADA"/>
            <w:tcMar>
              <w:top w:w="15" w:type="dxa"/>
              <w:left w:w="15" w:type="dxa"/>
              <w:bottom w:w="0" w:type="dxa"/>
              <w:right w:w="15" w:type="dxa"/>
            </w:tcMar>
            <w:vAlign w:val="center"/>
            <w:hideMark/>
          </w:tcPr>
          <w:p w14:paraId="08B4A696"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b/>
                <w:bCs/>
                <w:color w:val="000000" w:themeColor="text1"/>
                <w:sz w:val="18"/>
                <w:szCs w:val="18"/>
              </w:rPr>
              <w:t>Total Gasto Administrativo reportado por la entidad</w:t>
            </w:r>
            <w:r w:rsidRPr="00E33DE3">
              <w:rPr>
                <w:rFonts w:ascii="Verdana" w:eastAsia="Verdana" w:hAnsi="Verdana" w:cs="Verdana"/>
                <w:color w:val="000000" w:themeColor="text1"/>
                <w:sz w:val="18"/>
                <w:szCs w:val="18"/>
              </w:rPr>
              <w:t xml:space="preserve"> </w:t>
            </w:r>
          </w:p>
        </w:tc>
        <w:tc>
          <w:tcPr>
            <w:tcW w:w="1608" w:type="dxa"/>
            <w:tcBorders>
              <w:top w:val="nil"/>
              <w:left w:val="single" w:sz="4" w:space="0" w:color="000000" w:themeColor="text1"/>
              <w:bottom w:val="single" w:sz="4" w:space="0" w:color="000000" w:themeColor="text1"/>
              <w:right w:val="single" w:sz="4" w:space="0" w:color="000000" w:themeColor="text1"/>
            </w:tcBorders>
            <w:shd w:val="clear" w:color="auto" w:fill="F1EADA"/>
            <w:tcMar>
              <w:top w:w="15" w:type="dxa"/>
              <w:left w:w="15" w:type="dxa"/>
              <w:bottom w:w="0" w:type="dxa"/>
              <w:right w:w="15" w:type="dxa"/>
            </w:tcMar>
            <w:vAlign w:val="center"/>
            <w:hideMark/>
          </w:tcPr>
          <w:p w14:paraId="15677680"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b/>
                <w:bCs/>
                <w:color w:val="000000" w:themeColor="text1"/>
                <w:sz w:val="18"/>
                <w:szCs w:val="18"/>
              </w:rPr>
              <w:t>Reportado en CUIPO</w:t>
            </w:r>
            <w:r w:rsidRPr="00E33DE3">
              <w:rPr>
                <w:rFonts w:ascii="Verdana" w:eastAsia="Verdana" w:hAnsi="Verdana" w:cs="Verdana"/>
                <w:color w:val="000000" w:themeColor="text1"/>
                <w:sz w:val="18"/>
                <w:szCs w:val="18"/>
              </w:rPr>
              <w:t xml:space="preserve"> </w:t>
            </w:r>
          </w:p>
        </w:tc>
        <w:tc>
          <w:tcPr>
            <w:tcW w:w="1423" w:type="dxa"/>
            <w:tcBorders>
              <w:top w:val="nil"/>
              <w:left w:val="single" w:sz="4" w:space="0" w:color="000000" w:themeColor="text1"/>
              <w:bottom w:val="single" w:sz="4" w:space="0" w:color="000000" w:themeColor="text1"/>
              <w:right w:val="single" w:sz="4" w:space="0" w:color="000000" w:themeColor="text1"/>
            </w:tcBorders>
            <w:shd w:val="clear" w:color="auto" w:fill="F1EADA"/>
            <w:tcMar>
              <w:top w:w="15" w:type="dxa"/>
              <w:left w:w="15" w:type="dxa"/>
              <w:bottom w:w="0" w:type="dxa"/>
              <w:right w:w="15" w:type="dxa"/>
            </w:tcMar>
            <w:vAlign w:val="center"/>
            <w:hideMark/>
          </w:tcPr>
          <w:p w14:paraId="3D39D435"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b/>
                <w:bCs/>
                <w:color w:val="000000" w:themeColor="text1"/>
                <w:sz w:val="18"/>
                <w:szCs w:val="18"/>
              </w:rPr>
              <w:t>Diferencia</w:t>
            </w:r>
            <w:r w:rsidRPr="00E33DE3">
              <w:rPr>
                <w:rFonts w:ascii="Verdana" w:eastAsia="Verdana" w:hAnsi="Verdana" w:cs="Verdana"/>
                <w:color w:val="000000" w:themeColor="text1"/>
                <w:sz w:val="18"/>
                <w:szCs w:val="18"/>
              </w:rPr>
              <w:t xml:space="preserve"> </w:t>
            </w:r>
          </w:p>
        </w:tc>
      </w:tr>
      <w:tr w:rsidR="00301DB3" w:rsidRPr="00E33DE3" w14:paraId="2E42E857" w14:textId="77777777" w:rsidTr="00301DB3">
        <w:trPr>
          <w:trHeight w:val="20"/>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76B188A4" w14:textId="77777777" w:rsidR="00301DB3" w:rsidRPr="00E33DE3" w:rsidRDefault="00301DB3"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Sueldo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3D3E24F"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9.841</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29DA560"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1.863</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4DE21F4"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11.704</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8C94B75"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10.346</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D609BB9"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1.358</w:t>
            </w:r>
          </w:p>
        </w:tc>
      </w:tr>
      <w:tr w:rsidR="00301DB3" w:rsidRPr="00E33DE3" w14:paraId="5767EA16" w14:textId="77777777" w:rsidTr="00301DB3">
        <w:trPr>
          <w:trHeight w:val="20"/>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57D82D3E" w14:textId="77777777" w:rsidR="00301DB3" w:rsidRPr="00E33DE3" w:rsidRDefault="00301DB3"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Horas extras, dominicales, festivos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B4C82FC"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1.212</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149C0C1"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0</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574A9B1"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1.212</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79ED5A0"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2.658</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3762B4D"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-1.446</w:t>
            </w:r>
          </w:p>
        </w:tc>
      </w:tr>
      <w:tr w:rsidR="00301DB3" w:rsidRPr="00E33DE3" w14:paraId="1421AFD9" w14:textId="77777777" w:rsidTr="00301DB3">
        <w:trPr>
          <w:trHeight w:val="20"/>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488C21E9" w14:textId="77777777" w:rsidR="00301DB3" w:rsidRPr="00E33DE3" w:rsidRDefault="00301DB3"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Aportes Cesantías privados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2FDD245"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189</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E7866C1"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18</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0C0AAABF"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207</w:t>
            </w:r>
          </w:p>
        </w:tc>
        <w:tc>
          <w:tcPr>
            <w:tcW w:w="1608" w:type="dxa"/>
            <w:vMerge w:val="restart"/>
            <w:tcBorders>
              <w:top w:val="single" w:sz="4" w:space="0" w:color="000000" w:themeColor="text1"/>
              <w:left w:val="single" w:sz="4" w:space="0" w:color="000000" w:themeColor="text1"/>
              <w:bottom w:val="single" w:sz="2" w:space="0" w:color="000000" w:themeColor="text1"/>
              <w:right w:val="single" w:sz="4" w:space="0" w:color="000000" w:themeColor="text1"/>
            </w:tcBorders>
            <w:tcMar>
              <w:top w:w="15" w:type="dxa"/>
              <w:left w:w="15" w:type="dxa"/>
              <w:bottom w:w="0" w:type="dxa"/>
              <w:right w:w="15" w:type="dxa"/>
            </w:tcMar>
            <w:vAlign w:val="center"/>
            <w:hideMark/>
          </w:tcPr>
          <w:p w14:paraId="10451072"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2.085</w:t>
            </w:r>
          </w:p>
        </w:tc>
        <w:tc>
          <w:tcPr>
            <w:tcW w:w="1423" w:type="dxa"/>
            <w:vMerge w:val="restart"/>
            <w:tcBorders>
              <w:top w:val="single" w:sz="4" w:space="0" w:color="000000" w:themeColor="text1"/>
              <w:left w:val="single" w:sz="4" w:space="0" w:color="000000" w:themeColor="text1"/>
              <w:bottom w:val="single" w:sz="2" w:space="0" w:color="000000" w:themeColor="text1"/>
              <w:right w:val="single" w:sz="4" w:space="0" w:color="000000" w:themeColor="text1"/>
            </w:tcBorders>
            <w:tcMar>
              <w:top w:w="15" w:type="dxa"/>
              <w:left w:w="15" w:type="dxa"/>
              <w:bottom w:w="0" w:type="dxa"/>
              <w:right w:w="15" w:type="dxa"/>
            </w:tcMar>
            <w:vAlign w:val="center"/>
            <w:hideMark/>
          </w:tcPr>
          <w:p w14:paraId="44949B96"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0</w:t>
            </w:r>
          </w:p>
        </w:tc>
      </w:tr>
      <w:tr w:rsidR="00301DB3" w:rsidRPr="00E33DE3" w14:paraId="2425AC7C" w14:textId="77777777" w:rsidTr="00301DB3">
        <w:trPr>
          <w:trHeight w:val="20"/>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6B63CFF3" w14:textId="77777777" w:rsidR="00301DB3" w:rsidRPr="00E33DE3" w:rsidRDefault="00301DB3"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Aportes Cesantías públicos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F2D9F5A"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489</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447261F"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19</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88E58C9"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508</w:t>
            </w:r>
          </w:p>
        </w:tc>
        <w:tc>
          <w:tcPr>
            <w:tcW w:w="1608" w:type="dxa"/>
            <w:vMerge/>
            <w:tcBorders>
              <w:top w:val="single" w:sz="4" w:space="0" w:color="000000" w:themeColor="text1"/>
              <w:left w:val="single" w:sz="4" w:space="0" w:color="000000" w:themeColor="text1"/>
              <w:bottom w:val="single" w:sz="2" w:space="0" w:color="000000" w:themeColor="text1"/>
              <w:right w:val="single" w:sz="4" w:space="0" w:color="000000" w:themeColor="text1"/>
            </w:tcBorders>
            <w:vAlign w:val="center"/>
            <w:hideMark/>
          </w:tcPr>
          <w:p w14:paraId="07F11BF2" w14:textId="77777777" w:rsidR="00301DB3" w:rsidRPr="00E33DE3" w:rsidRDefault="00301DB3" w:rsidP="00C65B25">
            <w:pPr>
              <w:rPr>
                <w:rFonts w:ascii="Verdana" w:eastAsia="Verdana" w:hAnsi="Verdana" w:cs="Verdana"/>
                <w:color w:val="000000" w:themeColor="text1"/>
                <w:sz w:val="18"/>
                <w:szCs w:val="18"/>
              </w:rPr>
            </w:pPr>
          </w:p>
        </w:tc>
        <w:tc>
          <w:tcPr>
            <w:tcW w:w="1423" w:type="dxa"/>
            <w:vMerge/>
            <w:tcBorders>
              <w:top w:val="single" w:sz="4" w:space="0" w:color="000000" w:themeColor="text1"/>
              <w:left w:val="single" w:sz="4" w:space="0" w:color="000000" w:themeColor="text1"/>
              <w:bottom w:val="single" w:sz="2" w:space="0" w:color="000000" w:themeColor="text1"/>
              <w:right w:val="single" w:sz="4" w:space="0" w:color="000000" w:themeColor="text1"/>
            </w:tcBorders>
            <w:vAlign w:val="center"/>
            <w:hideMark/>
          </w:tcPr>
          <w:p w14:paraId="47C9CF62" w14:textId="77777777" w:rsidR="00301DB3" w:rsidRPr="00E33DE3" w:rsidRDefault="00301DB3" w:rsidP="00C65B25">
            <w:pPr>
              <w:rPr>
                <w:rFonts w:ascii="Verdana" w:eastAsia="Verdana" w:hAnsi="Verdana" w:cs="Verdana"/>
                <w:color w:val="000000" w:themeColor="text1"/>
                <w:sz w:val="18"/>
                <w:szCs w:val="18"/>
              </w:rPr>
            </w:pPr>
          </w:p>
        </w:tc>
      </w:tr>
      <w:tr w:rsidR="00301DB3" w:rsidRPr="00E33DE3" w14:paraId="53A4A10E" w14:textId="77777777" w:rsidTr="00301DB3">
        <w:trPr>
          <w:trHeight w:val="20"/>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5456C845" w14:textId="77777777" w:rsidR="00301DB3" w:rsidRPr="00E33DE3" w:rsidRDefault="00301DB3"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Retroactivos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204DD3E3"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0</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4C6769E"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27</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2CC16C5B"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27</w:t>
            </w:r>
          </w:p>
        </w:tc>
        <w:tc>
          <w:tcPr>
            <w:tcW w:w="1608" w:type="dxa"/>
            <w:vMerge/>
            <w:tcBorders>
              <w:top w:val="single" w:sz="4" w:space="0" w:color="000000" w:themeColor="text1"/>
              <w:left w:val="single" w:sz="4" w:space="0" w:color="000000" w:themeColor="text1"/>
              <w:bottom w:val="single" w:sz="2" w:space="0" w:color="000000" w:themeColor="text1"/>
              <w:right w:val="single" w:sz="4" w:space="0" w:color="000000" w:themeColor="text1"/>
            </w:tcBorders>
            <w:vAlign w:val="center"/>
            <w:hideMark/>
          </w:tcPr>
          <w:p w14:paraId="1366BA8D" w14:textId="77777777" w:rsidR="00301DB3" w:rsidRPr="00E33DE3" w:rsidRDefault="00301DB3" w:rsidP="00C65B25">
            <w:pPr>
              <w:rPr>
                <w:rFonts w:ascii="Verdana" w:eastAsia="Verdana" w:hAnsi="Verdana" w:cs="Verdana"/>
                <w:color w:val="000000" w:themeColor="text1"/>
                <w:sz w:val="18"/>
                <w:szCs w:val="18"/>
              </w:rPr>
            </w:pPr>
          </w:p>
        </w:tc>
        <w:tc>
          <w:tcPr>
            <w:tcW w:w="1423" w:type="dxa"/>
            <w:vMerge/>
            <w:tcBorders>
              <w:top w:val="single" w:sz="4" w:space="0" w:color="000000" w:themeColor="text1"/>
              <w:left w:val="single" w:sz="4" w:space="0" w:color="000000" w:themeColor="text1"/>
              <w:bottom w:val="single" w:sz="2" w:space="0" w:color="000000" w:themeColor="text1"/>
              <w:right w:val="single" w:sz="4" w:space="0" w:color="000000" w:themeColor="text1"/>
            </w:tcBorders>
            <w:vAlign w:val="center"/>
            <w:hideMark/>
          </w:tcPr>
          <w:p w14:paraId="670F5E61" w14:textId="77777777" w:rsidR="00301DB3" w:rsidRPr="00E33DE3" w:rsidRDefault="00301DB3" w:rsidP="00C65B25">
            <w:pPr>
              <w:rPr>
                <w:rFonts w:ascii="Verdana" w:eastAsia="Verdana" w:hAnsi="Verdana" w:cs="Verdana"/>
                <w:color w:val="000000" w:themeColor="text1"/>
                <w:sz w:val="18"/>
                <w:szCs w:val="18"/>
              </w:rPr>
            </w:pPr>
          </w:p>
        </w:tc>
      </w:tr>
      <w:tr w:rsidR="00301DB3" w:rsidRPr="00E33DE3" w14:paraId="1841E704" w14:textId="77777777" w:rsidTr="00301DB3">
        <w:trPr>
          <w:trHeight w:val="20"/>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6DC36C8D" w14:textId="77777777" w:rsidR="00301DB3" w:rsidRPr="00E33DE3" w:rsidRDefault="00301DB3"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Interés Cesantías privados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D284E96"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15</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0E5BC9F4"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25F5A0C"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17</w:t>
            </w:r>
          </w:p>
        </w:tc>
        <w:tc>
          <w:tcPr>
            <w:tcW w:w="1608" w:type="dxa"/>
            <w:vMerge/>
            <w:tcBorders>
              <w:top w:val="single" w:sz="4" w:space="0" w:color="000000" w:themeColor="text1"/>
              <w:left w:val="single" w:sz="4" w:space="0" w:color="000000" w:themeColor="text1"/>
              <w:bottom w:val="single" w:sz="2" w:space="0" w:color="000000" w:themeColor="text1"/>
              <w:right w:val="single" w:sz="4" w:space="0" w:color="000000" w:themeColor="text1"/>
            </w:tcBorders>
            <w:vAlign w:val="center"/>
            <w:hideMark/>
          </w:tcPr>
          <w:p w14:paraId="4F0E7858" w14:textId="77777777" w:rsidR="00301DB3" w:rsidRPr="00E33DE3" w:rsidRDefault="00301DB3" w:rsidP="00C65B25">
            <w:pPr>
              <w:rPr>
                <w:rFonts w:ascii="Verdana" w:eastAsia="Verdana" w:hAnsi="Verdana" w:cs="Verdana"/>
                <w:color w:val="000000" w:themeColor="text1"/>
                <w:sz w:val="18"/>
                <w:szCs w:val="18"/>
              </w:rPr>
            </w:pPr>
          </w:p>
        </w:tc>
        <w:tc>
          <w:tcPr>
            <w:tcW w:w="1423" w:type="dxa"/>
            <w:vMerge/>
            <w:tcBorders>
              <w:top w:val="single" w:sz="4" w:space="0" w:color="000000" w:themeColor="text1"/>
              <w:left w:val="single" w:sz="4" w:space="0" w:color="000000" w:themeColor="text1"/>
              <w:bottom w:val="single" w:sz="2" w:space="0" w:color="000000" w:themeColor="text1"/>
              <w:right w:val="single" w:sz="4" w:space="0" w:color="000000" w:themeColor="text1"/>
            </w:tcBorders>
            <w:vAlign w:val="center"/>
            <w:hideMark/>
          </w:tcPr>
          <w:p w14:paraId="792B96B7" w14:textId="77777777" w:rsidR="00301DB3" w:rsidRPr="00E33DE3" w:rsidRDefault="00301DB3" w:rsidP="00C65B25">
            <w:pPr>
              <w:rPr>
                <w:rFonts w:ascii="Verdana" w:eastAsia="Verdana" w:hAnsi="Verdana" w:cs="Verdana"/>
                <w:color w:val="000000" w:themeColor="text1"/>
                <w:sz w:val="18"/>
                <w:szCs w:val="18"/>
              </w:rPr>
            </w:pPr>
          </w:p>
        </w:tc>
      </w:tr>
      <w:tr w:rsidR="00301DB3" w:rsidRPr="00E33DE3" w14:paraId="28BA260B" w14:textId="77777777" w:rsidTr="00301DB3">
        <w:trPr>
          <w:trHeight w:val="20"/>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334833BC" w14:textId="77777777" w:rsidR="00301DB3" w:rsidRPr="00E33DE3" w:rsidRDefault="00301DB3"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Interés Cesantías públicos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3F57E5F"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90</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2BFE02DE"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9</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AC0B7F8"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99</w:t>
            </w:r>
          </w:p>
        </w:tc>
        <w:tc>
          <w:tcPr>
            <w:tcW w:w="1608" w:type="dxa"/>
            <w:vMerge/>
            <w:tcBorders>
              <w:top w:val="single" w:sz="4" w:space="0" w:color="000000" w:themeColor="text1"/>
              <w:left w:val="single" w:sz="4" w:space="0" w:color="000000" w:themeColor="text1"/>
              <w:bottom w:val="single" w:sz="2" w:space="0" w:color="000000" w:themeColor="text1"/>
              <w:right w:val="single" w:sz="4" w:space="0" w:color="000000" w:themeColor="text1"/>
            </w:tcBorders>
            <w:vAlign w:val="center"/>
            <w:hideMark/>
          </w:tcPr>
          <w:p w14:paraId="5E5E7D35" w14:textId="77777777" w:rsidR="00301DB3" w:rsidRPr="00E33DE3" w:rsidRDefault="00301DB3" w:rsidP="00C65B25">
            <w:pPr>
              <w:rPr>
                <w:rFonts w:ascii="Verdana" w:eastAsia="Verdana" w:hAnsi="Verdana" w:cs="Verdana"/>
                <w:color w:val="000000" w:themeColor="text1"/>
                <w:sz w:val="18"/>
                <w:szCs w:val="18"/>
              </w:rPr>
            </w:pPr>
          </w:p>
        </w:tc>
        <w:tc>
          <w:tcPr>
            <w:tcW w:w="1423" w:type="dxa"/>
            <w:vMerge/>
            <w:tcBorders>
              <w:top w:val="single" w:sz="4" w:space="0" w:color="000000" w:themeColor="text1"/>
              <w:left w:val="single" w:sz="4" w:space="0" w:color="000000" w:themeColor="text1"/>
              <w:bottom w:val="single" w:sz="2" w:space="0" w:color="000000" w:themeColor="text1"/>
              <w:right w:val="single" w:sz="4" w:space="0" w:color="000000" w:themeColor="text1"/>
            </w:tcBorders>
            <w:vAlign w:val="center"/>
            <w:hideMark/>
          </w:tcPr>
          <w:p w14:paraId="69F64B78" w14:textId="77777777" w:rsidR="00301DB3" w:rsidRPr="00E33DE3" w:rsidRDefault="00301DB3" w:rsidP="00C65B25">
            <w:pPr>
              <w:rPr>
                <w:rFonts w:ascii="Verdana" w:eastAsia="Verdana" w:hAnsi="Verdana" w:cs="Verdana"/>
                <w:color w:val="000000" w:themeColor="text1"/>
                <w:sz w:val="18"/>
                <w:szCs w:val="18"/>
              </w:rPr>
            </w:pPr>
          </w:p>
        </w:tc>
      </w:tr>
      <w:tr w:rsidR="00301DB3" w:rsidRPr="00E33DE3" w14:paraId="0365E3E9" w14:textId="77777777" w:rsidTr="00301DB3">
        <w:trPr>
          <w:trHeight w:val="20"/>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0852399C" w14:textId="77777777" w:rsidR="00301DB3" w:rsidRPr="00E33DE3" w:rsidRDefault="00301DB3"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lastRenderedPageBreak/>
              <w:t xml:space="preserve">Provisión cesantías públicos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5578BF55"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1.085</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450F96C"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142</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017D5A09"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1.227</w:t>
            </w:r>
          </w:p>
        </w:tc>
        <w:tc>
          <w:tcPr>
            <w:tcW w:w="1608" w:type="dxa"/>
            <w:vMerge/>
            <w:tcBorders>
              <w:top w:val="single" w:sz="4" w:space="0" w:color="000000" w:themeColor="text1"/>
              <w:left w:val="single" w:sz="4" w:space="0" w:color="000000" w:themeColor="text1"/>
              <w:bottom w:val="single" w:sz="2" w:space="0" w:color="000000" w:themeColor="text1"/>
              <w:right w:val="single" w:sz="4" w:space="0" w:color="000000" w:themeColor="text1"/>
            </w:tcBorders>
            <w:vAlign w:val="center"/>
            <w:hideMark/>
          </w:tcPr>
          <w:p w14:paraId="40F3CEC8" w14:textId="77777777" w:rsidR="00301DB3" w:rsidRPr="00E33DE3" w:rsidRDefault="00301DB3" w:rsidP="00C65B25">
            <w:pPr>
              <w:rPr>
                <w:rFonts w:ascii="Verdana" w:eastAsia="Verdana" w:hAnsi="Verdana" w:cs="Verdana"/>
                <w:color w:val="000000" w:themeColor="text1"/>
                <w:sz w:val="18"/>
                <w:szCs w:val="18"/>
              </w:rPr>
            </w:pPr>
          </w:p>
        </w:tc>
        <w:tc>
          <w:tcPr>
            <w:tcW w:w="1423" w:type="dxa"/>
            <w:vMerge/>
            <w:tcBorders>
              <w:top w:val="single" w:sz="4" w:space="0" w:color="000000" w:themeColor="text1"/>
              <w:left w:val="single" w:sz="4" w:space="0" w:color="000000" w:themeColor="text1"/>
              <w:bottom w:val="single" w:sz="2" w:space="0" w:color="000000" w:themeColor="text1"/>
              <w:right w:val="single" w:sz="4" w:space="0" w:color="000000" w:themeColor="text1"/>
            </w:tcBorders>
            <w:vAlign w:val="center"/>
            <w:hideMark/>
          </w:tcPr>
          <w:p w14:paraId="64509B62" w14:textId="77777777" w:rsidR="00301DB3" w:rsidRPr="00E33DE3" w:rsidRDefault="00301DB3" w:rsidP="00C65B25">
            <w:pPr>
              <w:rPr>
                <w:rFonts w:ascii="Verdana" w:eastAsia="Verdana" w:hAnsi="Verdana" w:cs="Verdana"/>
                <w:color w:val="000000" w:themeColor="text1"/>
                <w:sz w:val="18"/>
                <w:szCs w:val="18"/>
              </w:rPr>
            </w:pPr>
          </w:p>
        </w:tc>
      </w:tr>
      <w:tr w:rsidR="00301DB3" w:rsidRPr="00E33DE3" w14:paraId="4A35D5A6" w14:textId="77777777" w:rsidTr="00301DB3">
        <w:trPr>
          <w:trHeight w:val="20"/>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76E504EF" w14:textId="77777777" w:rsidR="00301DB3" w:rsidRPr="00E33DE3" w:rsidRDefault="00301DB3"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Aportes Pensión privados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AFB33DE"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422</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2201ACFC"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69</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555F126"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491</w:t>
            </w:r>
          </w:p>
        </w:tc>
        <w:tc>
          <w:tcPr>
            <w:tcW w:w="1608" w:type="dxa"/>
            <w:vMerge w:val="restart"/>
            <w:tcBorders>
              <w:top w:val="single" w:sz="4" w:space="0" w:color="000000" w:themeColor="text1"/>
              <w:left w:val="single" w:sz="4" w:space="0" w:color="000000" w:themeColor="text1"/>
              <w:bottom w:val="single" w:sz="2" w:space="0" w:color="000000" w:themeColor="text1"/>
              <w:right w:val="single" w:sz="4" w:space="0" w:color="000000" w:themeColor="text1"/>
            </w:tcBorders>
            <w:tcMar>
              <w:top w:w="15" w:type="dxa"/>
              <w:left w:w="15" w:type="dxa"/>
              <w:bottom w:w="0" w:type="dxa"/>
              <w:right w:w="15" w:type="dxa"/>
            </w:tcMar>
            <w:vAlign w:val="center"/>
            <w:hideMark/>
          </w:tcPr>
          <w:p w14:paraId="3D112216"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1.611</w:t>
            </w:r>
          </w:p>
        </w:tc>
        <w:tc>
          <w:tcPr>
            <w:tcW w:w="1423" w:type="dxa"/>
            <w:vMerge w:val="restart"/>
            <w:tcBorders>
              <w:top w:val="single" w:sz="4" w:space="0" w:color="000000" w:themeColor="text1"/>
              <w:left w:val="single" w:sz="4" w:space="0" w:color="000000" w:themeColor="text1"/>
              <w:bottom w:val="single" w:sz="2" w:space="0" w:color="000000" w:themeColor="text1"/>
              <w:right w:val="single" w:sz="4" w:space="0" w:color="000000" w:themeColor="text1"/>
            </w:tcBorders>
            <w:tcMar>
              <w:top w:w="15" w:type="dxa"/>
              <w:left w:w="15" w:type="dxa"/>
              <w:bottom w:w="0" w:type="dxa"/>
              <w:right w:w="15" w:type="dxa"/>
            </w:tcMar>
            <w:vAlign w:val="center"/>
            <w:hideMark/>
          </w:tcPr>
          <w:p w14:paraId="55557351"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0</w:t>
            </w:r>
          </w:p>
        </w:tc>
      </w:tr>
      <w:tr w:rsidR="00301DB3" w:rsidRPr="00E33DE3" w14:paraId="141EF926" w14:textId="77777777" w:rsidTr="00301DB3">
        <w:trPr>
          <w:trHeight w:val="20"/>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0E521860" w14:textId="77777777" w:rsidR="00301DB3" w:rsidRPr="00E33DE3" w:rsidRDefault="00301DB3"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Aportes Pensión públicos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E7DD0E5"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959</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BC3DFF8"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161</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47413D2"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1.120</w:t>
            </w:r>
          </w:p>
        </w:tc>
        <w:tc>
          <w:tcPr>
            <w:tcW w:w="1608" w:type="dxa"/>
            <w:vMerge/>
            <w:tcBorders>
              <w:top w:val="single" w:sz="4" w:space="0" w:color="000000" w:themeColor="text1"/>
              <w:left w:val="single" w:sz="4" w:space="0" w:color="000000" w:themeColor="text1"/>
              <w:bottom w:val="single" w:sz="2" w:space="0" w:color="000000" w:themeColor="text1"/>
              <w:right w:val="single" w:sz="4" w:space="0" w:color="000000" w:themeColor="text1"/>
            </w:tcBorders>
            <w:vAlign w:val="center"/>
            <w:hideMark/>
          </w:tcPr>
          <w:p w14:paraId="54293A40" w14:textId="77777777" w:rsidR="00301DB3" w:rsidRPr="00E33DE3" w:rsidRDefault="00301DB3" w:rsidP="00C65B25">
            <w:pPr>
              <w:rPr>
                <w:rFonts w:ascii="Verdana" w:eastAsia="Verdana" w:hAnsi="Verdana" w:cs="Verdana"/>
                <w:color w:val="000000" w:themeColor="text1"/>
                <w:sz w:val="18"/>
                <w:szCs w:val="18"/>
              </w:rPr>
            </w:pPr>
          </w:p>
        </w:tc>
        <w:tc>
          <w:tcPr>
            <w:tcW w:w="1423" w:type="dxa"/>
            <w:vMerge/>
            <w:tcBorders>
              <w:top w:val="single" w:sz="4" w:space="0" w:color="000000" w:themeColor="text1"/>
              <w:left w:val="single" w:sz="4" w:space="0" w:color="000000" w:themeColor="text1"/>
              <w:bottom w:val="single" w:sz="2" w:space="0" w:color="000000" w:themeColor="text1"/>
              <w:right w:val="single" w:sz="4" w:space="0" w:color="000000" w:themeColor="text1"/>
            </w:tcBorders>
            <w:vAlign w:val="center"/>
            <w:hideMark/>
          </w:tcPr>
          <w:p w14:paraId="4CAC96B8" w14:textId="77777777" w:rsidR="00301DB3" w:rsidRPr="00E33DE3" w:rsidRDefault="00301DB3" w:rsidP="00C65B25">
            <w:pPr>
              <w:rPr>
                <w:rFonts w:ascii="Verdana" w:eastAsia="Verdana" w:hAnsi="Verdana" w:cs="Verdana"/>
                <w:color w:val="000000" w:themeColor="text1"/>
                <w:sz w:val="18"/>
                <w:szCs w:val="18"/>
              </w:rPr>
            </w:pPr>
          </w:p>
        </w:tc>
      </w:tr>
      <w:tr w:rsidR="00301DB3" w:rsidRPr="00E33DE3" w14:paraId="7674375A" w14:textId="77777777" w:rsidTr="00301DB3">
        <w:trPr>
          <w:trHeight w:val="20"/>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0348D44A" w14:textId="77777777" w:rsidR="00301DB3" w:rsidRPr="00E33DE3" w:rsidRDefault="00301DB3"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Aportes Salud privados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C04D82D"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645</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00E60029"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103</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2A0C5CB"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748</w:t>
            </w:r>
          </w:p>
        </w:tc>
        <w:tc>
          <w:tcPr>
            <w:tcW w:w="1608" w:type="dxa"/>
            <w:vMerge w:val="restart"/>
            <w:tcBorders>
              <w:top w:val="single" w:sz="4" w:space="0" w:color="000000" w:themeColor="text1"/>
              <w:left w:val="single" w:sz="4" w:space="0" w:color="000000" w:themeColor="text1"/>
              <w:bottom w:val="single" w:sz="2" w:space="0" w:color="000000" w:themeColor="text1"/>
              <w:right w:val="single" w:sz="4" w:space="0" w:color="000000" w:themeColor="text1"/>
            </w:tcBorders>
            <w:tcMar>
              <w:top w:w="15" w:type="dxa"/>
              <w:left w:w="15" w:type="dxa"/>
              <w:bottom w:w="0" w:type="dxa"/>
              <w:right w:w="15" w:type="dxa"/>
            </w:tcMar>
            <w:vAlign w:val="center"/>
            <w:hideMark/>
          </w:tcPr>
          <w:p w14:paraId="3CD0A642"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1.141</w:t>
            </w:r>
          </w:p>
        </w:tc>
        <w:tc>
          <w:tcPr>
            <w:tcW w:w="1423" w:type="dxa"/>
            <w:vMerge w:val="restart"/>
            <w:tcBorders>
              <w:top w:val="single" w:sz="4" w:space="0" w:color="000000" w:themeColor="text1"/>
              <w:left w:val="single" w:sz="4" w:space="0" w:color="000000" w:themeColor="text1"/>
              <w:bottom w:val="single" w:sz="2" w:space="0" w:color="000000" w:themeColor="text1"/>
              <w:right w:val="single" w:sz="4" w:space="0" w:color="000000" w:themeColor="text1"/>
            </w:tcBorders>
            <w:tcMar>
              <w:top w:w="15" w:type="dxa"/>
              <w:left w:w="15" w:type="dxa"/>
              <w:bottom w:w="0" w:type="dxa"/>
              <w:right w:w="15" w:type="dxa"/>
            </w:tcMar>
            <w:vAlign w:val="center"/>
            <w:hideMark/>
          </w:tcPr>
          <w:p w14:paraId="2B870915"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0</w:t>
            </w:r>
          </w:p>
        </w:tc>
      </w:tr>
      <w:tr w:rsidR="00301DB3" w:rsidRPr="00E33DE3" w14:paraId="5F49E0B0" w14:textId="77777777" w:rsidTr="00301DB3">
        <w:trPr>
          <w:trHeight w:val="20"/>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637C77E5" w14:textId="77777777" w:rsidR="00301DB3" w:rsidRPr="00E33DE3" w:rsidRDefault="00301DB3"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Aportes Salud públicos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910844D"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333</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9B05E55"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60</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0E1FACFD"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393</w:t>
            </w:r>
          </w:p>
        </w:tc>
        <w:tc>
          <w:tcPr>
            <w:tcW w:w="1608" w:type="dxa"/>
            <w:vMerge/>
            <w:tcBorders>
              <w:top w:val="single" w:sz="4" w:space="0" w:color="000000" w:themeColor="text1"/>
              <w:left w:val="single" w:sz="4" w:space="0" w:color="000000" w:themeColor="text1"/>
              <w:bottom w:val="single" w:sz="2" w:space="0" w:color="000000" w:themeColor="text1"/>
              <w:right w:val="single" w:sz="4" w:space="0" w:color="000000" w:themeColor="text1"/>
            </w:tcBorders>
            <w:vAlign w:val="center"/>
            <w:hideMark/>
          </w:tcPr>
          <w:p w14:paraId="703C0BAC" w14:textId="77777777" w:rsidR="00301DB3" w:rsidRPr="00E33DE3" w:rsidRDefault="00301DB3" w:rsidP="00C65B25">
            <w:pPr>
              <w:rPr>
                <w:rFonts w:ascii="Verdana" w:eastAsia="Verdana" w:hAnsi="Verdana" w:cs="Verdana"/>
                <w:color w:val="000000" w:themeColor="text1"/>
                <w:sz w:val="18"/>
                <w:szCs w:val="18"/>
              </w:rPr>
            </w:pPr>
          </w:p>
        </w:tc>
        <w:tc>
          <w:tcPr>
            <w:tcW w:w="1423" w:type="dxa"/>
            <w:vMerge/>
            <w:tcBorders>
              <w:top w:val="single" w:sz="4" w:space="0" w:color="000000" w:themeColor="text1"/>
              <w:left w:val="single" w:sz="4" w:space="0" w:color="000000" w:themeColor="text1"/>
              <w:bottom w:val="single" w:sz="2" w:space="0" w:color="000000" w:themeColor="text1"/>
              <w:right w:val="single" w:sz="4" w:space="0" w:color="000000" w:themeColor="text1"/>
            </w:tcBorders>
            <w:vAlign w:val="center"/>
            <w:hideMark/>
          </w:tcPr>
          <w:p w14:paraId="4A98B44E" w14:textId="77777777" w:rsidR="00301DB3" w:rsidRPr="00E33DE3" w:rsidRDefault="00301DB3" w:rsidP="00C65B25">
            <w:pPr>
              <w:rPr>
                <w:rFonts w:ascii="Verdana" w:eastAsia="Verdana" w:hAnsi="Verdana" w:cs="Verdana"/>
                <w:color w:val="000000" w:themeColor="text1"/>
                <w:sz w:val="18"/>
                <w:szCs w:val="18"/>
              </w:rPr>
            </w:pPr>
          </w:p>
        </w:tc>
      </w:tr>
      <w:tr w:rsidR="00301DB3" w:rsidRPr="00E33DE3" w14:paraId="7FFB03EF" w14:textId="77777777" w:rsidTr="00301DB3">
        <w:trPr>
          <w:trHeight w:val="20"/>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303D9D4D" w14:textId="77777777" w:rsidR="00301DB3" w:rsidRPr="00E33DE3" w:rsidRDefault="00301DB3"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Auxilio de transporte y conectividad</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6C852E3"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435</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0E20A5FC"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8</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58C6E05"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443</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7657581"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443</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A59BED7"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0</w:t>
            </w:r>
          </w:p>
        </w:tc>
      </w:tr>
      <w:tr w:rsidR="00301DB3" w:rsidRPr="00E33DE3" w14:paraId="0FF9BAC6" w14:textId="77777777" w:rsidTr="00301DB3">
        <w:trPr>
          <w:trHeight w:val="20"/>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5BD2F31D" w14:textId="77777777" w:rsidR="00301DB3" w:rsidRPr="00E33DE3" w:rsidRDefault="00301DB3"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Bonificación por servicios prestados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6C59326"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380</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24AAFD10"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55</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EBB03A3"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435</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7876039"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435</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F836D02"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0</w:t>
            </w:r>
          </w:p>
        </w:tc>
      </w:tr>
      <w:tr w:rsidR="00301DB3" w:rsidRPr="00E33DE3" w14:paraId="030C8FCC" w14:textId="77777777" w:rsidTr="00301DB3">
        <w:trPr>
          <w:trHeight w:val="20"/>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7A7EF79F" w14:textId="77777777" w:rsidR="00301DB3" w:rsidRPr="00E33DE3" w:rsidRDefault="00301DB3"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Caja de compensación familiar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3EE89B7"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553</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21263488"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78</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51BA1368"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631</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A8759FD"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631</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5943D9D"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0</w:t>
            </w:r>
          </w:p>
        </w:tc>
      </w:tr>
      <w:tr w:rsidR="00301DB3" w:rsidRPr="00E33DE3" w14:paraId="653C3FFC" w14:textId="77777777" w:rsidTr="00301DB3">
        <w:trPr>
          <w:trHeight w:val="20"/>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13F53DD5" w14:textId="77777777" w:rsidR="00301DB3" w:rsidRPr="00E33DE3" w:rsidRDefault="00301DB3"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Aportes a la ESAP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251DB1D"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69</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594FC3FF"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11</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41EED05"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79</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177BB6D"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79</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95DF993"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0</w:t>
            </w:r>
          </w:p>
        </w:tc>
      </w:tr>
      <w:tr w:rsidR="00301DB3" w:rsidRPr="00E33DE3" w14:paraId="419D1488" w14:textId="77777777" w:rsidTr="00301DB3">
        <w:trPr>
          <w:trHeight w:val="20"/>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536FA09B" w14:textId="77777777" w:rsidR="00301DB3" w:rsidRPr="00E33DE3" w:rsidRDefault="00301DB3"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Aportes a Escuelas industriales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C713006"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137</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D4C4E98"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21</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36FCCCD"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158</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3109510"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158</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E335051"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0</w:t>
            </w:r>
          </w:p>
        </w:tc>
      </w:tr>
      <w:tr w:rsidR="00301DB3" w:rsidRPr="00E33DE3" w14:paraId="29DAC587" w14:textId="77777777" w:rsidTr="00301DB3">
        <w:trPr>
          <w:trHeight w:val="20"/>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42298ED5" w14:textId="77777777" w:rsidR="00301DB3" w:rsidRPr="00E33DE3" w:rsidRDefault="00301DB3"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Aportes a ICBF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F594AA8"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411</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2F920199"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61</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0F541A02"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471</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287686E2"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471</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62162DE"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0</w:t>
            </w:r>
          </w:p>
        </w:tc>
      </w:tr>
      <w:tr w:rsidR="00301DB3" w:rsidRPr="00E33DE3" w14:paraId="0FF76B48" w14:textId="77777777" w:rsidTr="00301DB3">
        <w:trPr>
          <w:trHeight w:val="20"/>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48D88E94" w14:textId="77777777" w:rsidR="00301DB3" w:rsidRPr="00E33DE3" w:rsidRDefault="00301DB3"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Aportes al SENA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6E2A8FF"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69</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07A0153"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11</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539199F4"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79</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3CC0673"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79</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5203755"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0</w:t>
            </w:r>
          </w:p>
        </w:tc>
      </w:tr>
      <w:tr w:rsidR="00301DB3" w:rsidRPr="00E33DE3" w14:paraId="7C19B426" w14:textId="77777777" w:rsidTr="00301DB3">
        <w:trPr>
          <w:trHeight w:val="20"/>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21DB73DD" w14:textId="77777777" w:rsidR="00301DB3" w:rsidRPr="00E33DE3" w:rsidRDefault="00301DB3"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Subsidio de alimentación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AF89C6E"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317</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2E961C2D"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6</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FC3B9B2"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323</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22B7C938"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323</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FAF1DDD"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0</w:t>
            </w:r>
          </w:p>
        </w:tc>
      </w:tr>
      <w:tr w:rsidR="00301DB3" w:rsidRPr="00E33DE3" w14:paraId="0498B78B" w14:textId="77777777" w:rsidTr="00301DB3">
        <w:trPr>
          <w:trHeight w:val="20"/>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0121023B" w14:textId="77777777" w:rsidR="00301DB3" w:rsidRPr="00E33DE3" w:rsidRDefault="00301DB3"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Prima de navidad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A5F3E9D"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973</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2F1FB2E"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187</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83DF976"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1.160</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C981754"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1.160</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1C3EE45"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0</w:t>
            </w:r>
          </w:p>
        </w:tc>
      </w:tr>
      <w:tr w:rsidR="00301DB3" w:rsidRPr="00E33DE3" w14:paraId="6130FF4D" w14:textId="77777777" w:rsidTr="00301DB3">
        <w:trPr>
          <w:trHeight w:val="20"/>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71C60751" w14:textId="77777777" w:rsidR="00301DB3" w:rsidRPr="00E33DE3" w:rsidRDefault="00301DB3"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Prima de vacaciones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551394A1"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494</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B39B509"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93</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FE2FE3A"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587</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23FB688"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587</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14A79D7"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0</w:t>
            </w:r>
          </w:p>
        </w:tc>
      </w:tr>
      <w:tr w:rsidR="00301DB3" w:rsidRPr="00E33DE3" w14:paraId="46DB871A" w14:textId="77777777" w:rsidTr="00301DB3">
        <w:trPr>
          <w:trHeight w:val="20"/>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2FBF10C7" w14:textId="77777777" w:rsidR="00301DB3" w:rsidRPr="00E33DE3" w:rsidRDefault="00301DB3"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Prima de servicios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FF37A09"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468</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A9D79A5"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80</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65088A2"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548</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2A967297"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548</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8B6C61F"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0</w:t>
            </w:r>
          </w:p>
        </w:tc>
      </w:tr>
      <w:tr w:rsidR="00301DB3" w:rsidRPr="00E33DE3" w14:paraId="55DA8ADB" w14:textId="77777777" w:rsidTr="00301DB3">
        <w:trPr>
          <w:trHeight w:val="20"/>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EDAC33D" w14:textId="77777777" w:rsidR="00301DB3" w:rsidRPr="00E33DE3" w:rsidRDefault="00301DB3"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Prima técnica no salarial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5980F059"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0</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2916378"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9</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5EA1C3F7"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9</w:t>
            </w:r>
          </w:p>
        </w:tc>
        <w:tc>
          <w:tcPr>
            <w:tcW w:w="1608" w:type="dxa"/>
            <w:vMerge w:val="restart"/>
            <w:tcBorders>
              <w:top w:val="single" w:sz="4" w:space="0" w:color="000000" w:themeColor="text1"/>
              <w:left w:val="single" w:sz="4" w:space="0" w:color="000000" w:themeColor="text1"/>
              <w:bottom w:val="single" w:sz="2" w:space="0" w:color="000000" w:themeColor="text1"/>
              <w:right w:val="single" w:sz="4" w:space="0" w:color="000000" w:themeColor="text1"/>
            </w:tcBorders>
            <w:tcMar>
              <w:top w:w="15" w:type="dxa"/>
              <w:left w:w="15" w:type="dxa"/>
              <w:bottom w:w="0" w:type="dxa"/>
              <w:right w:w="15" w:type="dxa"/>
            </w:tcMar>
            <w:vAlign w:val="center"/>
            <w:hideMark/>
          </w:tcPr>
          <w:p w14:paraId="7EE7BE9B"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929</w:t>
            </w:r>
          </w:p>
        </w:tc>
        <w:tc>
          <w:tcPr>
            <w:tcW w:w="1423" w:type="dxa"/>
            <w:vMerge w:val="restart"/>
            <w:tcBorders>
              <w:top w:val="single" w:sz="4" w:space="0" w:color="000000" w:themeColor="text1"/>
              <w:left w:val="single" w:sz="4" w:space="0" w:color="000000" w:themeColor="text1"/>
              <w:bottom w:val="single" w:sz="2" w:space="0" w:color="000000" w:themeColor="text1"/>
              <w:right w:val="single" w:sz="4" w:space="0" w:color="000000" w:themeColor="text1"/>
            </w:tcBorders>
            <w:tcMar>
              <w:top w:w="15" w:type="dxa"/>
              <w:left w:w="15" w:type="dxa"/>
              <w:bottom w:w="0" w:type="dxa"/>
              <w:right w:w="15" w:type="dxa"/>
            </w:tcMar>
            <w:vAlign w:val="center"/>
            <w:hideMark/>
          </w:tcPr>
          <w:p w14:paraId="1B884562"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0</w:t>
            </w:r>
          </w:p>
        </w:tc>
      </w:tr>
      <w:tr w:rsidR="00301DB3" w:rsidRPr="00E33DE3" w14:paraId="2F4B37AC" w14:textId="77777777" w:rsidTr="00301DB3">
        <w:trPr>
          <w:trHeight w:val="20"/>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3C0DCD9F" w14:textId="77777777" w:rsidR="00301DB3" w:rsidRPr="00E33DE3" w:rsidRDefault="00301DB3"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Prima técnica salarial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8963356"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913</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53C5DA2"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8</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7E0DF33"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920</w:t>
            </w:r>
          </w:p>
        </w:tc>
        <w:tc>
          <w:tcPr>
            <w:tcW w:w="1608" w:type="dxa"/>
            <w:vMerge/>
            <w:tcBorders>
              <w:top w:val="single" w:sz="4" w:space="0" w:color="000000" w:themeColor="text1"/>
              <w:left w:val="single" w:sz="4" w:space="0" w:color="000000" w:themeColor="text1"/>
              <w:bottom w:val="single" w:sz="2" w:space="0" w:color="000000" w:themeColor="text1"/>
              <w:right w:val="single" w:sz="4" w:space="0" w:color="000000" w:themeColor="text1"/>
            </w:tcBorders>
            <w:vAlign w:val="center"/>
            <w:hideMark/>
          </w:tcPr>
          <w:p w14:paraId="38DF8F14" w14:textId="77777777" w:rsidR="00301DB3" w:rsidRPr="00E33DE3" w:rsidRDefault="00301DB3" w:rsidP="00C65B25">
            <w:pPr>
              <w:rPr>
                <w:rFonts w:ascii="Verdana" w:eastAsia="Verdana" w:hAnsi="Verdana" w:cs="Verdana"/>
                <w:color w:val="000000" w:themeColor="text1"/>
                <w:sz w:val="18"/>
                <w:szCs w:val="18"/>
              </w:rPr>
            </w:pPr>
          </w:p>
        </w:tc>
        <w:tc>
          <w:tcPr>
            <w:tcW w:w="1423" w:type="dxa"/>
            <w:vMerge/>
            <w:tcBorders>
              <w:top w:val="single" w:sz="4" w:space="0" w:color="000000" w:themeColor="text1"/>
              <w:left w:val="single" w:sz="4" w:space="0" w:color="000000" w:themeColor="text1"/>
              <w:bottom w:val="single" w:sz="2" w:space="0" w:color="000000" w:themeColor="text1"/>
              <w:right w:val="single" w:sz="4" w:space="0" w:color="000000" w:themeColor="text1"/>
            </w:tcBorders>
            <w:vAlign w:val="center"/>
            <w:hideMark/>
          </w:tcPr>
          <w:p w14:paraId="7380CD27" w14:textId="77777777" w:rsidR="00301DB3" w:rsidRPr="00E33DE3" w:rsidRDefault="00301DB3" w:rsidP="00C65B25">
            <w:pPr>
              <w:rPr>
                <w:rFonts w:ascii="Verdana" w:eastAsia="Verdana" w:hAnsi="Verdana" w:cs="Verdana"/>
                <w:color w:val="000000" w:themeColor="text1"/>
                <w:sz w:val="18"/>
                <w:szCs w:val="18"/>
              </w:rPr>
            </w:pPr>
          </w:p>
        </w:tc>
      </w:tr>
      <w:tr w:rsidR="00301DB3" w:rsidRPr="00E33DE3" w14:paraId="5AFE092F" w14:textId="77777777" w:rsidTr="00301DB3">
        <w:trPr>
          <w:trHeight w:val="20"/>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73A3878A" w14:textId="77777777" w:rsidR="00301DB3" w:rsidRPr="00E33DE3" w:rsidRDefault="00301DB3"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lastRenderedPageBreak/>
              <w:t xml:space="preserve">Bonificación de Recreación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393B2F7"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56</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445950F"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12</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C74266E"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68</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EF33CD4"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68</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4715607"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0</w:t>
            </w:r>
          </w:p>
        </w:tc>
      </w:tr>
      <w:tr w:rsidR="00301DB3" w:rsidRPr="00E33DE3" w14:paraId="31C9345C" w14:textId="77777777" w:rsidTr="00301DB3">
        <w:trPr>
          <w:trHeight w:val="20"/>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5EB32438" w14:textId="77777777" w:rsidR="00301DB3" w:rsidRPr="00E33DE3" w:rsidRDefault="00301DB3"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Riesgos profesionales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9815183"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57</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120C7EA"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9</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1A20DC3"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66</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0F6BCB2"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66</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04B1BDC0"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0</w:t>
            </w:r>
          </w:p>
        </w:tc>
      </w:tr>
      <w:tr w:rsidR="00301DB3" w:rsidRPr="00E33DE3" w14:paraId="4B17C372" w14:textId="77777777" w:rsidTr="00301DB3">
        <w:trPr>
          <w:trHeight w:val="20"/>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0EEA7D73" w14:textId="77777777" w:rsidR="00301DB3" w:rsidRPr="00E33DE3" w:rsidRDefault="00301DB3"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rPr>
              <w:t xml:space="preserve">Indemnización por Vacaciones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54DB57F4"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75</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DCA07CD"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24</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A9A2D59"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99</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7CA7C23"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99</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E090529" w14:textId="77777777" w:rsidR="00301DB3" w:rsidRPr="00E33DE3" w:rsidRDefault="00301DB3" w:rsidP="00C65B25">
            <w:pPr>
              <w:jc w:val="center"/>
              <w:rPr>
                <w:rFonts w:ascii="Verdana" w:eastAsia="Verdana" w:hAnsi="Verdana" w:cs="Verdana"/>
                <w:color w:val="000000" w:themeColor="text1"/>
                <w:sz w:val="18"/>
                <w:szCs w:val="18"/>
              </w:rPr>
            </w:pPr>
            <w:r w:rsidRPr="00E33DE3">
              <w:rPr>
                <w:rFonts w:ascii="Verdana" w:hAnsi="Verdana"/>
                <w:color w:val="000000"/>
                <w:sz w:val="18"/>
                <w:szCs w:val="18"/>
              </w:rPr>
              <w:t>0</w:t>
            </w:r>
          </w:p>
        </w:tc>
      </w:tr>
      <w:tr w:rsidR="00301DB3" w:rsidRPr="00E33DE3" w14:paraId="3FF47484" w14:textId="77777777" w:rsidTr="00301DB3">
        <w:trPr>
          <w:trHeight w:val="20"/>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8C41"/>
            <w:tcMar>
              <w:top w:w="15" w:type="dxa"/>
              <w:left w:w="15" w:type="dxa"/>
              <w:bottom w:w="0" w:type="dxa"/>
              <w:right w:w="15" w:type="dxa"/>
            </w:tcMar>
            <w:vAlign w:val="bottom"/>
            <w:hideMark/>
          </w:tcPr>
          <w:p w14:paraId="69B1C62D" w14:textId="77777777" w:rsidR="00301DB3" w:rsidRPr="00E33DE3" w:rsidRDefault="00301DB3" w:rsidP="00C65B25">
            <w:pPr>
              <w:rPr>
                <w:rFonts w:ascii="Verdana" w:eastAsia="Verdana" w:hAnsi="Verdana" w:cs="Verdana"/>
                <w:b/>
                <w:bCs/>
                <w:color w:val="FFFFFF" w:themeColor="background1"/>
                <w:sz w:val="18"/>
                <w:szCs w:val="18"/>
              </w:rPr>
            </w:pPr>
            <w:r w:rsidRPr="00E33DE3">
              <w:rPr>
                <w:rFonts w:ascii="Verdana" w:eastAsia="Verdana" w:hAnsi="Verdana" w:cs="Verdana"/>
                <w:b/>
                <w:bCs/>
                <w:color w:val="FFFFFF" w:themeColor="background1"/>
                <w:sz w:val="18"/>
                <w:szCs w:val="18"/>
              </w:rPr>
              <w:t>Total general</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8C41"/>
            <w:tcMar>
              <w:top w:w="15" w:type="dxa"/>
              <w:left w:w="15" w:type="dxa"/>
              <w:bottom w:w="0" w:type="dxa"/>
              <w:right w:w="15" w:type="dxa"/>
            </w:tcMar>
            <w:vAlign w:val="center"/>
            <w:hideMark/>
          </w:tcPr>
          <w:p w14:paraId="640C9D6A" w14:textId="77777777" w:rsidR="00301DB3" w:rsidRPr="00E33DE3" w:rsidRDefault="00301DB3" w:rsidP="00C65B25">
            <w:pPr>
              <w:jc w:val="center"/>
              <w:rPr>
                <w:rFonts w:ascii="Verdana" w:eastAsia="Verdana" w:hAnsi="Verdana" w:cs="Verdana"/>
                <w:b/>
                <w:bCs/>
                <w:color w:val="FFFFFF" w:themeColor="background1"/>
                <w:sz w:val="16"/>
                <w:szCs w:val="16"/>
              </w:rPr>
            </w:pPr>
            <w:r w:rsidRPr="00E33DE3">
              <w:rPr>
                <w:rFonts w:ascii="Verdana" w:hAnsi="Verdana"/>
                <w:b/>
                <w:bCs/>
                <w:color w:val="FFFFFF"/>
                <w:sz w:val="16"/>
                <w:szCs w:val="16"/>
              </w:rPr>
              <w:t>20.685</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8C41"/>
            <w:tcMar>
              <w:top w:w="15" w:type="dxa"/>
              <w:left w:w="15" w:type="dxa"/>
              <w:bottom w:w="0" w:type="dxa"/>
              <w:right w:w="15" w:type="dxa"/>
            </w:tcMar>
            <w:vAlign w:val="center"/>
            <w:hideMark/>
          </w:tcPr>
          <w:p w14:paraId="52FFC904" w14:textId="77777777" w:rsidR="00301DB3" w:rsidRPr="00E33DE3" w:rsidRDefault="00301DB3" w:rsidP="00C65B25">
            <w:pPr>
              <w:jc w:val="center"/>
              <w:rPr>
                <w:rFonts w:ascii="Verdana" w:eastAsia="Verdana" w:hAnsi="Verdana" w:cs="Verdana"/>
                <w:b/>
                <w:bCs/>
                <w:color w:val="FFFFFF" w:themeColor="background1"/>
                <w:sz w:val="16"/>
                <w:szCs w:val="16"/>
              </w:rPr>
            </w:pPr>
            <w:r w:rsidRPr="00E33DE3">
              <w:rPr>
                <w:rFonts w:ascii="Verdana" w:hAnsi="Verdana"/>
                <w:b/>
                <w:bCs/>
                <w:color w:val="FFFFFF"/>
                <w:sz w:val="16"/>
                <w:szCs w:val="16"/>
              </w:rPr>
              <w:t>3.145</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8C41"/>
            <w:tcMar>
              <w:top w:w="15" w:type="dxa"/>
              <w:left w:w="15" w:type="dxa"/>
              <w:bottom w:w="0" w:type="dxa"/>
              <w:right w:w="15" w:type="dxa"/>
            </w:tcMar>
            <w:vAlign w:val="center"/>
            <w:hideMark/>
          </w:tcPr>
          <w:p w14:paraId="39CF92AB" w14:textId="77777777" w:rsidR="00301DB3" w:rsidRPr="00E33DE3" w:rsidRDefault="00301DB3" w:rsidP="00C65B25">
            <w:pPr>
              <w:jc w:val="center"/>
              <w:rPr>
                <w:rFonts w:ascii="Verdana" w:eastAsia="Verdana" w:hAnsi="Verdana" w:cs="Verdana"/>
                <w:b/>
                <w:bCs/>
                <w:color w:val="FFFFFF" w:themeColor="background1"/>
                <w:sz w:val="16"/>
                <w:szCs w:val="16"/>
              </w:rPr>
            </w:pPr>
            <w:r w:rsidRPr="00E33DE3">
              <w:rPr>
                <w:rFonts w:ascii="Verdana" w:hAnsi="Verdana"/>
                <w:b/>
                <w:bCs/>
                <w:color w:val="FFFFFF"/>
                <w:sz w:val="16"/>
                <w:szCs w:val="16"/>
              </w:rPr>
              <w:t>23.830</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8C41"/>
            <w:tcMar>
              <w:top w:w="15" w:type="dxa"/>
              <w:left w:w="15" w:type="dxa"/>
              <w:bottom w:w="0" w:type="dxa"/>
              <w:right w:w="15" w:type="dxa"/>
            </w:tcMar>
            <w:vAlign w:val="center"/>
            <w:hideMark/>
          </w:tcPr>
          <w:p w14:paraId="6B3A7965" w14:textId="77777777" w:rsidR="00301DB3" w:rsidRPr="00E33DE3" w:rsidRDefault="00301DB3" w:rsidP="00C65B25">
            <w:pPr>
              <w:jc w:val="center"/>
              <w:rPr>
                <w:rFonts w:ascii="Verdana" w:eastAsia="Verdana" w:hAnsi="Verdana" w:cs="Verdana"/>
                <w:b/>
                <w:bCs/>
                <w:color w:val="FFFFFF" w:themeColor="background1"/>
                <w:sz w:val="16"/>
                <w:szCs w:val="16"/>
              </w:rPr>
            </w:pPr>
            <w:r w:rsidRPr="00E33DE3">
              <w:rPr>
                <w:rFonts w:ascii="Verdana" w:hAnsi="Verdana"/>
                <w:b/>
                <w:bCs/>
                <w:color w:val="FFFFFF"/>
                <w:sz w:val="16"/>
                <w:szCs w:val="16"/>
              </w:rPr>
              <w:t>23.918</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8C41"/>
            <w:tcMar>
              <w:top w:w="15" w:type="dxa"/>
              <w:left w:w="15" w:type="dxa"/>
              <w:bottom w:w="0" w:type="dxa"/>
              <w:right w:w="15" w:type="dxa"/>
            </w:tcMar>
            <w:vAlign w:val="center"/>
            <w:hideMark/>
          </w:tcPr>
          <w:p w14:paraId="3D4FF846" w14:textId="77777777" w:rsidR="00301DB3" w:rsidRPr="00E33DE3" w:rsidRDefault="00301DB3" w:rsidP="00C65B25">
            <w:pPr>
              <w:jc w:val="center"/>
              <w:rPr>
                <w:rFonts w:ascii="Verdana" w:eastAsia="Verdana" w:hAnsi="Verdana" w:cs="Verdana"/>
                <w:b/>
                <w:bCs/>
                <w:color w:val="FFFFFF" w:themeColor="background1"/>
                <w:sz w:val="16"/>
                <w:szCs w:val="16"/>
              </w:rPr>
            </w:pPr>
            <w:r w:rsidRPr="00E33DE3">
              <w:rPr>
                <w:rFonts w:ascii="Verdana" w:hAnsi="Verdana"/>
                <w:b/>
                <w:bCs/>
                <w:color w:val="FFFFFF"/>
                <w:sz w:val="16"/>
                <w:szCs w:val="16"/>
              </w:rPr>
              <w:t>-88</w:t>
            </w:r>
          </w:p>
        </w:tc>
      </w:tr>
    </w:tbl>
    <w:p w14:paraId="2026B2B0" w14:textId="77777777" w:rsidR="00273288" w:rsidRPr="00E33DE3" w:rsidRDefault="00273288" w:rsidP="00C65B25">
      <w:pPr>
        <w:pStyle w:val="CONPESTexto"/>
        <w:spacing w:before="0" w:after="0" w:line="240" w:lineRule="auto"/>
        <w:ind w:firstLine="0"/>
        <w:jc w:val="center"/>
        <w:rPr>
          <w:rFonts w:ascii="Verdana" w:hAnsi="Verdana" w:cs="Arial"/>
          <w:sz w:val="18"/>
          <w:szCs w:val="18"/>
          <w:lang w:val="es-MX"/>
        </w:rPr>
      </w:pPr>
      <w:r w:rsidRPr="00E33DE3">
        <w:rPr>
          <w:rFonts w:ascii="Verdana" w:hAnsi="Verdana" w:cs="Arial"/>
          <w:sz w:val="18"/>
          <w:szCs w:val="18"/>
          <w:lang w:val="es-MX"/>
        </w:rPr>
        <w:t>Fuente: Reporte CUIPO de la entidad territorial e información suministrada por el MEN de las ejecuciones presupuestales reportadas por la Entidad Territorial de la vigencia 2022.</w:t>
      </w:r>
    </w:p>
    <w:p w14:paraId="07A1CF66" w14:textId="77777777" w:rsidR="00273288" w:rsidRPr="00E33DE3" w:rsidRDefault="00273288" w:rsidP="00C65B25">
      <w:pPr>
        <w:pStyle w:val="CONPESTexto"/>
        <w:spacing w:before="0" w:after="0" w:line="240" w:lineRule="auto"/>
        <w:ind w:firstLine="0"/>
        <w:rPr>
          <w:rFonts w:ascii="Verdana" w:hAnsi="Verdana" w:cs="Arial"/>
          <w:szCs w:val="22"/>
          <w:lang w:val="es-MX"/>
        </w:rPr>
      </w:pPr>
    </w:p>
    <w:p w14:paraId="659E3E24" w14:textId="77777777" w:rsidR="00273288" w:rsidRPr="00E33DE3" w:rsidRDefault="00273288" w:rsidP="00C65B25">
      <w:pPr>
        <w:pStyle w:val="CONPESTexto"/>
        <w:spacing w:before="0" w:after="0" w:line="240" w:lineRule="auto"/>
        <w:ind w:firstLine="0"/>
        <w:rPr>
          <w:rFonts w:ascii="Verdana" w:hAnsi="Verdana" w:cs="Arial"/>
          <w:szCs w:val="22"/>
          <w:lang w:val="es-MX"/>
        </w:rPr>
      </w:pPr>
      <w:r w:rsidRPr="00E33DE3">
        <w:rPr>
          <w:rFonts w:ascii="Verdana" w:hAnsi="Verdana" w:cs="Arial"/>
          <w:szCs w:val="22"/>
          <w:lang w:val="es-MX"/>
        </w:rPr>
        <w:t>Este tipo de inconsistencias impiden evaluar de forma fidedigna el monto total al que ascendieron los gastos administrativos de los que trata el artículo 31 de la Ley 1176 de 2007 debido a fallas en el reporte de la información por parte de la Entidad Territorial.</w:t>
      </w:r>
    </w:p>
    <w:p w14:paraId="02C2CCDD" w14:textId="77777777" w:rsidR="00273288" w:rsidRPr="00E33DE3" w:rsidRDefault="00273288" w:rsidP="00C65B25">
      <w:pPr>
        <w:jc w:val="both"/>
        <w:rPr>
          <w:rFonts w:ascii="Verdana" w:eastAsia="Calibri" w:hAnsi="Verdana" w:cs="Arial"/>
          <w:sz w:val="22"/>
          <w:szCs w:val="22"/>
          <w:lang w:val="es-CO" w:eastAsia="en-US"/>
        </w:rPr>
      </w:pPr>
    </w:p>
    <w:p w14:paraId="0639EF57" w14:textId="77777777" w:rsidR="00273288" w:rsidRPr="00E33DE3" w:rsidRDefault="00273288" w:rsidP="00C65B25">
      <w:pPr>
        <w:jc w:val="both"/>
        <w:rPr>
          <w:rFonts w:ascii="Verdana" w:eastAsia="Calibri" w:hAnsi="Verdana" w:cs="Arial"/>
          <w:sz w:val="22"/>
          <w:szCs w:val="22"/>
          <w:lang w:val="es-CO" w:eastAsia="en-US"/>
        </w:rPr>
      </w:pPr>
      <w:r w:rsidRPr="00E33DE3">
        <w:rPr>
          <w:rFonts w:ascii="Verdana" w:eastAsia="Calibri" w:hAnsi="Verdana" w:cs="Arial"/>
          <w:b/>
          <w:bCs/>
          <w:sz w:val="22"/>
          <w:szCs w:val="22"/>
          <w:lang w:val="es-CO" w:eastAsia="en-US"/>
        </w:rPr>
        <w:t>Evidencia:</w:t>
      </w:r>
      <w:r w:rsidRPr="00E33DE3">
        <w:rPr>
          <w:rFonts w:ascii="Verdana" w:eastAsia="Calibri" w:hAnsi="Verdana" w:cs="Arial"/>
          <w:sz w:val="22"/>
          <w:szCs w:val="22"/>
          <w:lang w:val="es-CO" w:eastAsia="en-US"/>
        </w:rPr>
        <w:t xml:space="preserve"> Obra en el expediente el siguiente material probatorio:</w:t>
      </w:r>
    </w:p>
    <w:p w14:paraId="779F80CC" w14:textId="77777777" w:rsidR="00273288" w:rsidRPr="00E33DE3" w:rsidRDefault="00273288" w:rsidP="00C65B25">
      <w:pPr>
        <w:jc w:val="both"/>
        <w:rPr>
          <w:rFonts w:ascii="Verdana" w:eastAsia="Calibri" w:hAnsi="Verdana" w:cs="Arial"/>
          <w:sz w:val="22"/>
          <w:szCs w:val="22"/>
          <w:lang w:val="es-CO" w:eastAsia="en-US"/>
        </w:rPr>
      </w:pPr>
      <w:r w:rsidRPr="00E33DE3">
        <w:rPr>
          <w:rFonts w:ascii="Verdana" w:eastAsia="Calibri" w:hAnsi="Verdana" w:cs="Arial"/>
          <w:sz w:val="22"/>
          <w:szCs w:val="22"/>
          <w:lang w:val="es-CO" w:eastAsia="en-US"/>
        </w:rPr>
        <w:t>- Ejecución presupuestal de gastos a corte 31 de diciembre de 2022 remitida por el Municipio de Pasto al Ministerio de Educación Nacional.</w:t>
      </w:r>
    </w:p>
    <w:p w14:paraId="3D1CF8AD"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Reporte de la Categoría Única de Información Presupuestal Ordinaria diciembre-diciembre de 2022.</w:t>
      </w:r>
    </w:p>
    <w:p w14:paraId="1B7CE908" w14:textId="77777777" w:rsidR="00273288" w:rsidRPr="00E33DE3" w:rsidRDefault="00273288" w:rsidP="00C65B25">
      <w:pPr>
        <w:jc w:val="both"/>
        <w:rPr>
          <w:rFonts w:ascii="Verdana" w:hAnsi="Verdana" w:cs="Arial"/>
          <w:sz w:val="22"/>
          <w:szCs w:val="22"/>
        </w:rPr>
      </w:pPr>
    </w:p>
    <w:p w14:paraId="220485C4" w14:textId="77777777" w:rsidR="00273288" w:rsidRPr="00E33DE3" w:rsidRDefault="00273288" w:rsidP="00C65B25">
      <w:pPr>
        <w:pStyle w:val="Ttulo1"/>
        <w:spacing w:before="0"/>
        <w:rPr>
          <w:rFonts w:ascii="Verdana" w:hAnsi="Verdana"/>
          <w:szCs w:val="22"/>
          <w:lang w:val="es-CO"/>
        </w:rPr>
      </w:pPr>
      <w:r w:rsidRPr="00E33DE3">
        <w:rPr>
          <w:rFonts w:ascii="Verdana" w:hAnsi="Verdana"/>
          <w:szCs w:val="22"/>
          <w:lang w:val="es-CO"/>
        </w:rPr>
        <w:t>EVENTO DE RIESGO 9.4. “Cambio en la destinación de los recursos”.</w:t>
      </w:r>
    </w:p>
    <w:p w14:paraId="228C69FA" w14:textId="77777777" w:rsidR="00273288" w:rsidRPr="00E33DE3" w:rsidRDefault="00273288" w:rsidP="00C65B25">
      <w:pPr>
        <w:jc w:val="both"/>
        <w:rPr>
          <w:rFonts w:ascii="Verdana" w:hAnsi="Verdana" w:cs="Arial"/>
          <w:sz w:val="22"/>
          <w:szCs w:val="22"/>
          <w:lang w:val="es-CO"/>
        </w:rPr>
      </w:pPr>
    </w:p>
    <w:p w14:paraId="7FCA5104" w14:textId="77777777" w:rsidR="00273288" w:rsidRPr="00E33DE3" w:rsidRDefault="00273288" w:rsidP="00C65B25">
      <w:pPr>
        <w:pStyle w:val="Ttulo3"/>
        <w:numPr>
          <w:ilvl w:val="0"/>
          <w:numId w:val="45"/>
        </w:numPr>
        <w:spacing w:before="0"/>
        <w:ind w:left="426" w:hanging="426"/>
        <w:jc w:val="both"/>
        <w:rPr>
          <w:rFonts w:ascii="Verdana" w:hAnsi="Verdana"/>
          <w:b/>
          <w:bCs/>
          <w:color w:val="auto"/>
          <w:sz w:val="22"/>
          <w:szCs w:val="22"/>
        </w:rPr>
      </w:pPr>
      <w:r w:rsidRPr="00E33DE3">
        <w:rPr>
          <w:rFonts w:ascii="Verdana" w:hAnsi="Verdana"/>
          <w:b/>
          <w:bCs/>
          <w:color w:val="auto"/>
          <w:sz w:val="22"/>
          <w:szCs w:val="22"/>
        </w:rPr>
        <w:t>Los relacionados con prima de antigüedad detectados a través de ejecuciones presupuestales</w:t>
      </w:r>
    </w:p>
    <w:p w14:paraId="0F93054F" w14:textId="77777777" w:rsidR="00273288" w:rsidRPr="00E33DE3" w:rsidRDefault="00273288" w:rsidP="00C65B25">
      <w:pPr>
        <w:autoSpaceDE w:val="0"/>
        <w:autoSpaceDN w:val="0"/>
        <w:adjustRightInd w:val="0"/>
        <w:jc w:val="both"/>
        <w:rPr>
          <w:rFonts w:ascii="Verdana" w:hAnsi="Verdana" w:cs="Arial"/>
          <w:bCs/>
          <w:sz w:val="22"/>
          <w:szCs w:val="22"/>
          <w:lang w:val="es-ES_tradnl"/>
        </w:rPr>
      </w:pPr>
    </w:p>
    <w:p w14:paraId="163F6F1C" w14:textId="77777777" w:rsidR="00273288" w:rsidRPr="00E33DE3" w:rsidRDefault="00C65B25" w:rsidP="00C65B25">
      <w:pPr>
        <w:autoSpaceDE w:val="0"/>
        <w:autoSpaceDN w:val="0"/>
        <w:adjustRightInd w:val="0"/>
        <w:jc w:val="both"/>
        <w:rPr>
          <w:rFonts w:ascii="Verdana" w:hAnsi="Verdana" w:cs="Arial"/>
          <w:sz w:val="22"/>
          <w:szCs w:val="22"/>
        </w:rPr>
      </w:pPr>
      <w:r w:rsidRPr="00E33DE3">
        <w:rPr>
          <w:rFonts w:ascii="Verdana" w:hAnsi="Verdana" w:cs="Arial"/>
          <w:sz w:val="22"/>
          <w:szCs w:val="22"/>
        </w:rPr>
        <w:t xml:space="preserve">De </w:t>
      </w:r>
      <w:r w:rsidR="00273288" w:rsidRPr="00E33DE3">
        <w:rPr>
          <w:rFonts w:ascii="Verdana" w:hAnsi="Verdana" w:cs="Arial"/>
          <w:sz w:val="22"/>
          <w:szCs w:val="22"/>
        </w:rPr>
        <w:t xml:space="preserve">acuerdo con el concepto 031911 de 2021 del Departamento Administrativo de la Función Pública (DAFP), en concordancia con la sentencia 25 de marzo de 1992, expediente N4351 de 1992, dicha prima se origina </w:t>
      </w:r>
      <w:r w:rsidR="00F66848" w:rsidRPr="00E33DE3">
        <w:rPr>
          <w:rFonts w:ascii="Verdana" w:hAnsi="Verdana" w:cs="Arial"/>
          <w:sz w:val="22"/>
          <w:szCs w:val="22"/>
        </w:rPr>
        <w:t>debido a</w:t>
      </w:r>
      <w:r w:rsidR="00273288" w:rsidRPr="00E33DE3">
        <w:rPr>
          <w:rFonts w:ascii="Verdana" w:hAnsi="Verdana" w:cs="Arial"/>
          <w:sz w:val="22"/>
          <w:szCs w:val="22"/>
        </w:rPr>
        <w:t xml:space="preserve"> la permanencia del empleado en el servicio. Al respecto, se argumentó en el concepto mencionado que la normativa establecida en los artículos 49 y 97 del Decreto 1042 de 1978 dispuso que el derecho las primas de antigüedad establecidas en el Decreto 540 de 1977 recaía en aquellos servidores vinculados a la rama ejecutiva del orden nacional antes del 1 de abril de 1977. Por su parte, el artículo 9 del Decreto salarial 304 de 2020 señaló que el incremento salarial anteriormente descrito se continuará recibiendo por parte de dichos funcionarios, reajustándose al mismo ritmo de su asignación básica. De esta manera, el DAFP concluye que “</w:t>
      </w:r>
      <w:r w:rsidR="00273288" w:rsidRPr="00E33DE3">
        <w:rPr>
          <w:rFonts w:ascii="Verdana" w:hAnsi="Verdana" w:cs="Arial"/>
          <w:i/>
          <w:iCs/>
          <w:sz w:val="22"/>
          <w:szCs w:val="22"/>
        </w:rPr>
        <w:t xml:space="preserve">solo tienen derecho al incremento de salario por </w:t>
      </w:r>
      <w:r w:rsidR="00273288" w:rsidRPr="00E33DE3">
        <w:rPr>
          <w:rFonts w:ascii="Verdana" w:hAnsi="Verdana" w:cs="Arial"/>
          <w:i/>
          <w:iCs/>
          <w:sz w:val="22"/>
          <w:szCs w:val="22"/>
        </w:rPr>
        <w:lastRenderedPageBreak/>
        <w:t>antigüedad quienes se hayan vinculado en entidades de la Rama Ejecutiva del orden nacional con anterioridad al 01 de abril de 1977.</w:t>
      </w:r>
      <w:r w:rsidR="00273288" w:rsidRPr="00E33DE3">
        <w:rPr>
          <w:rFonts w:ascii="Verdana" w:hAnsi="Verdana" w:cs="Arial"/>
          <w:sz w:val="22"/>
          <w:szCs w:val="22"/>
        </w:rPr>
        <w:t xml:space="preserve">” </w:t>
      </w:r>
    </w:p>
    <w:p w14:paraId="1A963C9F" w14:textId="77777777" w:rsidR="00273288" w:rsidRPr="00E33DE3" w:rsidRDefault="00273288" w:rsidP="00C65B25">
      <w:pPr>
        <w:autoSpaceDE w:val="0"/>
        <w:autoSpaceDN w:val="0"/>
        <w:adjustRightInd w:val="0"/>
        <w:jc w:val="both"/>
        <w:rPr>
          <w:rFonts w:ascii="Verdana" w:hAnsi="Verdana" w:cs="Arial"/>
          <w:bCs/>
          <w:sz w:val="22"/>
          <w:szCs w:val="22"/>
          <w:lang w:val="es-ES_tradnl"/>
        </w:rPr>
      </w:pPr>
    </w:p>
    <w:p w14:paraId="10A06320" w14:textId="77777777" w:rsidR="00C65B25" w:rsidRPr="00E33DE3" w:rsidRDefault="00C65B25" w:rsidP="00C65B25">
      <w:pPr>
        <w:autoSpaceDE w:val="0"/>
        <w:autoSpaceDN w:val="0"/>
        <w:adjustRightInd w:val="0"/>
        <w:jc w:val="both"/>
        <w:rPr>
          <w:rFonts w:ascii="Verdana" w:hAnsi="Verdana" w:cs="Arial"/>
          <w:sz w:val="22"/>
          <w:szCs w:val="22"/>
        </w:rPr>
      </w:pPr>
      <w:r w:rsidRPr="00E33DE3">
        <w:rPr>
          <w:rFonts w:ascii="Verdana" w:hAnsi="Verdana" w:cs="Arial"/>
          <w:sz w:val="22"/>
          <w:szCs w:val="22"/>
        </w:rPr>
        <w:t xml:space="preserve">En relación con el pago de incrementos por antigüedad identificado en las ejecuciones presupuestales de gastos durante la auditoría, se solicitó a la entidad territorial enviar un listado del personal al cual se le está reconociendo este incremento, en el cual se debía incluir: documento del tercero, nombre, fecha de inclusión de este en la planta del municipio y valor del incremento reconocido por cada vigencia. </w:t>
      </w:r>
    </w:p>
    <w:p w14:paraId="74078169" w14:textId="77777777" w:rsidR="00C65B25" w:rsidRPr="00E33DE3" w:rsidRDefault="00C65B25" w:rsidP="00C65B25">
      <w:pPr>
        <w:autoSpaceDE w:val="0"/>
        <w:autoSpaceDN w:val="0"/>
        <w:adjustRightInd w:val="0"/>
        <w:jc w:val="both"/>
        <w:rPr>
          <w:rFonts w:ascii="Verdana" w:hAnsi="Verdana" w:cs="Arial"/>
          <w:sz w:val="22"/>
          <w:szCs w:val="22"/>
        </w:rPr>
      </w:pPr>
    </w:p>
    <w:p w14:paraId="5EFCA196" w14:textId="77777777" w:rsidR="00273288" w:rsidRPr="00E33DE3" w:rsidRDefault="00273288" w:rsidP="00C65B25">
      <w:pPr>
        <w:autoSpaceDE w:val="0"/>
        <w:autoSpaceDN w:val="0"/>
        <w:adjustRightInd w:val="0"/>
        <w:jc w:val="both"/>
        <w:rPr>
          <w:rFonts w:ascii="Verdana" w:hAnsi="Verdana" w:cs="Arial"/>
          <w:bCs/>
          <w:sz w:val="22"/>
          <w:szCs w:val="22"/>
          <w:lang w:val="es-ES_tradnl"/>
        </w:rPr>
      </w:pPr>
      <w:r w:rsidRPr="00E33DE3">
        <w:rPr>
          <w:rFonts w:ascii="Verdana" w:hAnsi="Verdana" w:cs="Arial"/>
          <w:bCs/>
          <w:sz w:val="22"/>
          <w:szCs w:val="22"/>
          <w:lang w:val="es-ES_tradnl"/>
        </w:rPr>
        <w:t xml:space="preserve">Así, de acuerdo con la información suministrada por la administración municipal, a 20 funcionarios se les está pagado este incremento; 9 de estos ingresaron a la planta del municipio con una fecha posterior al 01 de abril de 1977, como se puede observar en la siguiente tabla (cifras en pesos): </w:t>
      </w:r>
    </w:p>
    <w:p w14:paraId="1CCFEEDB" w14:textId="77777777" w:rsidR="00273288" w:rsidRPr="00E33DE3" w:rsidRDefault="00273288" w:rsidP="00C65B25">
      <w:pPr>
        <w:autoSpaceDE w:val="0"/>
        <w:autoSpaceDN w:val="0"/>
        <w:adjustRightInd w:val="0"/>
        <w:jc w:val="both"/>
        <w:rPr>
          <w:rFonts w:ascii="Verdana" w:hAnsi="Verdana" w:cs="Arial"/>
          <w:bCs/>
          <w:sz w:val="22"/>
          <w:szCs w:val="22"/>
          <w:lang w:val="es-ES_tradnl"/>
        </w:rPr>
      </w:pPr>
    </w:p>
    <w:tbl>
      <w:tblPr>
        <w:tblW w:w="8649" w:type="dxa"/>
        <w:tblCellMar>
          <w:left w:w="70" w:type="dxa"/>
          <w:right w:w="70" w:type="dxa"/>
        </w:tblCellMar>
        <w:tblLook w:val="04A0" w:firstRow="1" w:lastRow="0" w:firstColumn="1" w:lastColumn="0" w:noHBand="0" w:noVBand="1"/>
      </w:tblPr>
      <w:tblGrid>
        <w:gridCol w:w="1291"/>
        <w:gridCol w:w="2356"/>
        <w:gridCol w:w="1483"/>
        <w:gridCol w:w="1648"/>
        <w:gridCol w:w="1871"/>
      </w:tblGrid>
      <w:tr w:rsidR="00273288" w:rsidRPr="00E33DE3" w14:paraId="7255A288" w14:textId="77777777" w:rsidTr="00273288">
        <w:trPr>
          <w:trHeight w:val="20"/>
          <w:tblHeader/>
        </w:trPr>
        <w:tc>
          <w:tcPr>
            <w:tcW w:w="8649" w:type="dxa"/>
            <w:gridSpan w:val="5"/>
            <w:tcBorders>
              <w:top w:val="single" w:sz="8" w:space="0" w:color="auto"/>
              <w:left w:val="single" w:sz="8" w:space="0" w:color="auto"/>
              <w:bottom w:val="nil"/>
              <w:right w:val="single" w:sz="8" w:space="0" w:color="000000" w:themeColor="text1"/>
            </w:tcBorders>
            <w:shd w:val="clear" w:color="auto" w:fill="B48C41"/>
            <w:vAlign w:val="center"/>
            <w:hideMark/>
          </w:tcPr>
          <w:p w14:paraId="700B0898"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eastAsia="es-CO"/>
              </w:rPr>
              <w:t>TABLA 11. FUNCIONARIOS CON INCREMENTO POR ANTIGÜEDAD</w:t>
            </w:r>
          </w:p>
        </w:tc>
      </w:tr>
      <w:tr w:rsidR="00273288" w:rsidRPr="00E33DE3" w14:paraId="44EAE980" w14:textId="77777777" w:rsidTr="00273288">
        <w:trPr>
          <w:trHeight w:val="20"/>
          <w:tblHeader/>
        </w:trPr>
        <w:tc>
          <w:tcPr>
            <w:tcW w:w="1092" w:type="dxa"/>
            <w:tcBorders>
              <w:top w:val="single" w:sz="4" w:space="0" w:color="auto"/>
              <w:left w:val="single" w:sz="8" w:space="0" w:color="auto"/>
              <w:bottom w:val="single" w:sz="4" w:space="0" w:color="auto"/>
              <w:right w:val="single" w:sz="4" w:space="0" w:color="auto"/>
            </w:tcBorders>
            <w:shd w:val="clear" w:color="auto" w:fill="F1EADA"/>
            <w:vAlign w:val="center"/>
            <w:hideMark/>
          </w:tcPr>
          <w:p w14:paraId="5A492A39" w14:textId="77777777" w:rsidR="00273288" w:rsidRPr="00E33DE3" w:rsidRDefault="00273288" w:rsidP="00C65B25">
            <w:pPr>
              <w:jc w:val="center"/>
              <w:rPr>
                <w:rFonts w:ascii="Verdana" w:eastAsia="Times New Roman" w:hAnsi="Verdana" w:cs="Arial"/>
                <w:b/>
                <w:bCs/>
                <w:color w:val="000000"/>
                <w:sz w:val="18"/>
                <w:szCs w:val="18"/>
                <w:lang w:val="es-CO" w:eastAsia="es-CO"/>
              </w:rPr>
            </w:pPr>
            <w:r w:rsidRPr="00E33DE3">
              <w:rPr>
                <w:rFonts w:ascii="Verdana" w:eastAsia="Times New Roman" w:hAnsi="Verdana" w:cs="Arial"/>
                <w:b/>
                <w:bCs/>
                <w:color w:val="000000" w:themeColor="text1"/>
                <w:sz w:val="18"/>
                <w:szCs w:val="18"/>
                <w:lang w:val="es-CO" w:eastAsia="es-CO"/>
              </w:rPr>
              <w:t>Documento</w:t>
            </w:r>
          </w:p>
        </w:tc>
        <w:tc>
          <w:tcPr>
            <w:tcW w:w="2555" w:type="dxa"/>
            <w:tcBorders>
              <w:top w:val="single" w:sz="4" w:space="0" w:color="auto"/>
              <w:left w:val="nil"/>
              <w:bottom w:val="single" w:sz="4" w:space="0" w:color="auto"/>
              <w:right w:val="single" w:sz="4" w:space="0" w:color="auto"/>
            </w:tcBorders>
            <w:shd w:val="clear" w:color="auto" w:fill="F1EADA"/>
            <w:vAlign w:val="center"/>
            <w:hideMark/>
          </w:tcPr>
          <w:p w14:paraId="43E5BF6C" w14:textId="77777777" w:rsidR="00273288" w:rsidRPr="00E33DE3" w:rsidRDefault="00273288" w:rsidP="00C65B25">
            <w:pPr>
              <w:jc w:val="center"/>
              <w:rPr>
                <w:rFonts w:ascii="Verdana" w:eastAsia="Times New Roman" w:hAnsi="Verdana" w:cs="Arial"/>
                <w:b/>
                <w:bCs/>
                <w:color w:val="000000"/>
                <w:sz w:val="18"/>
                <w:szCs w:val="18"/>
                <w:lang w:val="es-CO" w:eastAsia="es-CO"/>
              </w:rPr>
            </w:pPr>
            <w:r w:rsidRPr="00E33DE3">
              <w:rPr>
                <w:rFonts w:ascii="Verdana" w:eastAsia="Times New Roman" w:hAnsi="Verdana" w:cs="Arial"/>
                <w:b/>
                <w:bCs/>
                <w:color w:val="000000" w:themeColor="text1"/>
                <w:sz w:val="18"/>
                <w:szCs w:val="18"/>
                <w:lang w:val="es-CO" w:eastAsia="es-CO"/>
              </w:rPr>
              <w:t>Empleado</w:t>
            </w:r>
          </w:p>
        </w:tc>
        <w:tc>
          <w:tcPr>
            <w:tcW w:w="1481" w:type="dxa"/>
            <w:tcBorders>
              <w:top w:val="single" w:sz="4" w:space="0" w:color="auto"/>
              <w:left w:val="nil"/>
              <w:bottom w:val="single" w:sz="4" w:space="0" w:color="auto"/>
              <w:right w:val="single" w:sz="4" w:space="0" w:color="auto"/>
            </w:tcBorders>
            <w:shd w:val="clear" w:color="auto" w:fill="F1EADA"/>
            <w:vAlign w:val="center"/>
            <w:hideMark/>
          </w:tcPr>
          <w:p w14:paraId="5FED6F98" w14:textId="77777777" w:rsidR="00273288" w:rsidRPr="00E33DE3" w:rsidRDefault="00273288" w:rsidP="00C65B25">
            <w:pPr>
              <w:jc w:val="center"/>
              <w:rPr>
                <w:rFonts w:ascii="Verdana" w:eastAsia="Times New Roman" w:hAnsi="Verdana" w:cs="Arial"/>
                <w:b/>
                <w:bCs/>
                <w:color w:val="000000"/>
                <w:sz w:val="18"/>
                <w:szCs w:val="18"/>
                <w:lang w:val="es-CO" w:eastAsia="es-CO"/>
              </w:rPr>
            </w:pPr>
            <w:r w:rsidRPr="00E33DE3">
              <w:rPr>
                <w:rFonts w:ascii="Verdana" w:eastAsia="Times New Roman" w:hAnsi="Verdana" w:cs="Arial"/>
                <w:b/>
                <w:bCs/>
                <w:color w:val="000000" w:themeColor="text1"/>
                <w:sz w:val="18"/>
                <w:szCs w:val="18"/>
                <w:lang w:val="es-CO" w:eastAsia="es-CO"/>
              </w:rPr>
              <w:t>FECHA DE INGREESO</w:t>
            </w:r>
          </w:p>
        </w:tc>
        <w:tc>
          <w:tcPr>
            <w:tcW w:w="1648" w:type="dxa"/>
            <w:tcBorders>
              <w:top w:val="single" w:sz="4" w:space="0" w:color="auto"/>
              <w:left w:val="nil"/>
              <w:bottom w:val="single" w:sz="4" w:space="0" w:color="auto"/>
              <w:right w:val="single" w:sz="4" w:space="0" w:color="auto"/>
            </w:tcBorders>
            <w:shd w:val="clear" w:color="auto" w:fill="F1EADA"/>
            <w:vAlign w:val="center"/>
            <w:hideMark/>
          </w:tcPr>
          <w:p w14:paraId="32DF007F" w14:textId="77777777" w:rsidR="00273288" w:rsidRPr="00E33DE3" w:rsidRDefault="00273288" w:rsidP="00C65B25">
            <w:pPr>
              <w:jc w:val="center"/>
              <w:rPr>
                <w:rFonts w:ascii="Verdana" w:eastAsia="Times New Roman" w:hAnsi="Verdana" w:cs="Arial"/>
                <w:b/>
                <w:bCs/>
                <w:sz w:val="18"/>
                <w:szCs w:val="18"/>
                <w:lang w:val="es-CO" w:eastAsia="es-CO"/>
              </w:rPr>
            </w:pPr>
            <w:r w:rsidRPr="00E33DE3">
              <w:rPr>
                <w:rFonts w:ascii="Verdana" w:eastAsia="Times New Roman" w:hAnsi="Verdana" w:cs="Arial"/>
                <w:b/>
                <w:bCs/>
                <w:sz w:val="18"/>
                <w:szCs w:val="18"/>
                <w:lang w:val="es-CO" w:eastAsia="es-CO"/>
              </w:rPr>
              <w:t>valor cancelado por</w:t>
            </w:r>
            <w:r w:rsidRPr="00E33DE3">
              <w:rPr>
                <w:rFonts w:ascii="Verdana" w:hAnsi="Verdana"/>
              </w:rPr>
              <w:br/>
            </w:r>
            <w:r w:rsidRPr="00E33DE3">
              <w:rPr>
                <w:rFonts w:ascii="Verdana" w:eastAsia="Times New Roman" w:hAnsi="Verdana" w:cs="Arial"/>
                <w:b/>
                <w:bCs/>
                <w:sz w:val="18"/>
                <w:szCs w:val="18"/>
                <w:lang w:val="es-CO" w:eastAsia="es-CO"/>
              </w:rPr>
              <w:t>mes año 2021</w:t>
            </w:r>
          </w:p>
        </w:tc>
        <w:tc>
          <w:tcPr>
            <w:tcW w:w="1870" w:type="dxa"/>
            <w:tcBorders>
              <w:top w:val="single" w:sz="4" w:space="0" w:color="auto"/>
              <w:left w:val="nil"/>
              <w:bottom w:val="single" w:sz="4" w:space="0" w:color="auto"/>
              <w:right w:val="single" w:sz="8" w:space="0" w:color="auto"/>
            </w:tcBorders>
            <w:shd w:val="clear" w:color="auto" w:fill="F1EADA"/>
            <w:vAlign w:val="center"/>
            <w:hideMark/>
          </w:tcPr>
          <w:p w14:paraId="3022DFA7" w14:textId="77777777" w:rsidR="00273288" w:rsidRPr="00E33DE3" w:rsidRDefault="00273288" w:rsidP="00C65B25">
            <w:pPr>
              <w:jc w:val="center"/>
              <w:rPr>
                <w:rFonts w:ascii="Verdana" w:eastAsia="Times New Roman" w:hAnsi="Verdana" w:cs="Arial"/>
                <w:b/>
                <w:bCs/>
                <w:sz w:val="18"/>
                <w:szCs w:val="18"/>
                <w:lang w:val="es-CO" w:eastAsia="es-CO"/>
              </w:rPr>
            </w:pPr>
            <w:r w:rsidRPr="00E33DE3">
              <w:rPr>
                <w:rFonts w:ascii="Verdana" w:eastAsia="Times New Roman" w:hAnsi="Verdana" w:cs="Arial"/>
                <w:b/>
                <w:bCs/>
                <w:sz w:val="18"/>
                <w:szCs w:val="18"/>
                <w:lang w:val="es-CO" w:eastAsia="es-CO"/>
              </w:rPr>
              <w:t>valor cancelado por</w:t>
            </w:r>
            <w:r w:rsidRPr="00E33DE3">
              <w:rPr>
                <w:rFonts w:ascii="Verdana" w:hAnsi="Verdana"/>
              </w:rPr>
              <w:br/>
            </w:r>
            <w:r w:rsidRPr="00E33DE3">
              <w:rPr>
                <w:rFonts w:ascii="Verdana" w:eastAsia="Times New Roman" w:hAnsi="Verdana" w:cs="Arial"/>
                <w:b/>
                <w:bCs/>
                <w:sz w:val="18"/>
                <w:szCs w:val="18"/>
                <w:lang w:val="es-CO" w:eastAsia="es-CO"/>
              </w:rPr>
              <w:t>mes año 2022</w:t>
            </w:r>
          </w:p>
        </w:tc>
      </w:tr>
      <w:tr w:rsidR="00273288" w:rsidRPr="00E33DE3" w14:paraId="3F13E8BB" w14:textId="77777777" w:rsidTr="00273288">
        <w:trPr>
          <w:trHeight w:val="20"/>
        </w:trPr>
        <w:tc>
          <w:tcPr>
            <w:tcW w:w="1092" w:type="dxa"/>
            <w:tcBorders>
              <w:top w:val="nil"/>
              <w:left w:val="single" w:sz="8" w:space="0" w:color="auto"/>
              <w:bottom w:val="single" w:sz="4" w:space="0" w:color="auto"/>
              <w:right w:val="single" w:sz="4" w:space="0" w:color="auto"/>
            </w:tcBorders>
            <w:noWrap/>
            <w:hideMark/>
          </w:tcPr>
          <w:p w14:paraId="030CB98E"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12964897</w:t>
            </w:r>
          </w:p>
        </w:tc>
        <w:tc>
          <w:tcPr>
            <w:tcW w:w="2555" w:type="dxa"/>
            <w:tcBorders>
              <w:top w:val="nil"/>
              <w:left w:val="nil"/>
              <w:bottom w:val="single" w:sz="4" w:space="0" w:color="auto"/>
              <w:right w:val="single" w:sz="4" w:space="0" w:color="auto"/>
            </w:tcBorders>
            <w:hideMark/>
          </w:tcPr>
          <w:p w14:paraId="1A373F33" w14:textId="77777777" w:rsidR="00273288" w:rsidRPr="00E33DE3" w:rsidRDefault="00273288" w:rsidP="00C65B25">
            <w:pPr>
              <w:jc w:val="center"/>
              <w:rPr>
                <w:rFonts w:ascii="Verdana" w:eastAsia="Times New Roman" w:hAnsi="Verdana" w:cs="Arial"/>
                <w:sz w:val="18"/>
                <w:szCs w:val="18"/>
                <w:lang w:val="es-CO" w:eastAsia="es-CO"/>
              </w:rPr>
            </w:pPr>
            <w:r w:rsidRPr="00E33DE3">
              <w:rPr>
                <w:rFonts w:ascii="Verdana" w:eastAsia="Times New Roman" w:hAnsi="Verdana" w:cs="Arial"/>
                <w:sz w:val="18"/>
                <w:szCs w:val="18"/>
                <w:lang w:val="es-CO" w:eastAsia="es-CO"/>
              </w:rPr>
              <w:t>JOJOA LUIS HERNANDO</w:t>
            </w:r>
          </w:p>
        </w:tc>
        <w:tc>
          <w:tcPr>
            <w:tcW w:w="1481" w:type="dxa"/>
            <w:tcBorders>
              <w:top w:val="nil"/>
              <w:left w:val="nil"/>
              <w:bottom w:val="single" w:sz="4" w:space="0" w:color="auto"/>
              <w:right w:val="single" w:sz="4" w:space="0" w:color="auto"/>
            </w:tcBorders>
            <w:noWrap/>
            <w:hideMark/>
          </w:tcPr>
          <w:p w14:paraId="54804D5D"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1/02/1978</w:t>
            </w:r>
          </w:p>
        </w:tc>
        <w:tc>
          <w:tcPr>
            <w:tcW w:w="1648" w:type="dxa"/>
            <w:tcBorders>
              <w:top w:val="nil"/>
              <w:left w:val="nil"/>
              <w:bottom w:val="single" w:sz="4" w:space="0" w:color="auto"/>
              <w:right w:val="single" w:sz="4" w:space="0" w:color="auto"/>
            </w:tcBorders>
            <w:noWrap/>
            <w:hideMark/>
          </w:tcPr>
          <w:p w14:paraId="5924BE5A"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121.891</w:t>
            </w:r>
          </w:p>
        </w:tc>
        <w:tc>
          <w:tcPr>
            <w:tcW w:w="1870" w:type="dxa"/>
            <w:tcBorders>
              <w:top w:val="nil"/>
              <w:left w:val="nil"/>
              <w:bottom w:val="single" w:sz="4" w:space="0" w:color="auto"/>
              <w:right w:val="single" w:sz="8" w:space="0" w:color="auto"/>
            </w:tcBorders>
            <w:noWrap/>
            <w:hideMark/>
          </w:tcPr>
          <w:p w14:paraId="71A76D2A"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134.080</w:t>
            </w:r>
          </w:p>
        </w:tc>
      </w:tr>
      <w:tr w:rsidR="00273288" w:rsidRPr="00E33DE3" w14:paraId="25E9A10E" w14:textId="77777777" w:rsidTr="00273288">
        <w:trPr>
          <w:trHeight w:val="20"/>
        </w:trPr>
        <w:tc>
          <w:tcPr>
            <w:tcW w:w="1092" w:type="dxa"/>
            <w:tcBorders>
              <w:top w:val="nil"/>
              <w:left w:val="single" w:sz="8" w:space="0" w:color="auto"/>
              <w:bottom w:val="single" w:sz="4" w:space="0" w:color="auto"/>
              <w:right w:val="single" w:sz="4" w:space="0" w:color="auto"/>
            </w:tcBorders>
            <w:noWrap/>
            <w:hideMark/>
          </w:tcPr>
          <w:p w14:paraId="79D42D2A"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12966914</w:t>
            </w:r>
          </w:p>
        </w:tc>
        <w:tc>
          <w:tcPr>
            <w:tcW w:w="2555" w:type="dxa"/>
            <w:tcBorders>
              <w:top w:val="nil"/>
              <w:left w:val="nil"/>
              <w:bottom w:val="single" w:sz="4" w:space="0" w:color="auto"/>
              <w:right w:val="single" w:sz="4" w:space="0" w:color="auto"/>
            </w:tcBorders>
            <w:hideMark/>
          </w:tcPr>
          <w:p w14:paraId="5BD59F4A" w14:textId="77777777" w:rsidR="00273288" w:rsidRPr="00E33DE3" w:rsidRDefault="00273288" w:rsidP="00C65B25">
            <w:pPr>
              <w:jc w:val="center"/>
              <w:rPr>
                <w:rFonts w:ascii="Verdana" w:eastAsia="Times New Roman" w:hAnsi="Verdana" w:cs="Arial"/>
                <w:sz w:val="18"/>
                <w:szCs w:val="18"/>
                <w:lang w:val="es-CO" w:eastAsia="es-CO"/>
              </w:rPr>
            </w:pPr>
            <w:r w:rsidRPr="00E33DE3">
              <w:rPr>
                <w:rFonts w:ascii="Verdana" w:eastAsia="Times New Roman" w:hAnsi="Verdana" w:cs="Arial"/>
                <w:sz w:val="18"/>
                <w:szCs w:val="18"/>
                <w:lang w:val="es-CO" w:eastAsia="es-CO"/>
              </w:rPr>
              <w:t>PENA QUIJANO PLINIO EFRAIN</w:t>
            </w:r>
          </w:p>
        </w:tc>
        <w:tc>
          <w:tcPr>
            <w:tcW w:w="1481" w:type="dxa"/>
            <w:tcBorders>
              <w:top w:val="nil"/>
              <w:left w:val="nil"/>
              <w:bottom w:val="single" w:sz="4" w:space="0" w:color="auto"/>
              <w:right w:val="single" w:sz="4" w:space="0" w:color="auto"/>
            </w:tcBorders>
            <w:noWrap/>
            <w:hideMark/>
          </w:tcPr>
          <w:p w14:paraId="2D4CBD9D"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14/06/1977</w:t>
            </w:r>
          </w:p>
        </w:tc>
        <w:tc>
          <w:tcPr>
            <w:tcW w:w="1648" w:type="dxa"/>
            <w:tcBorders>
              <w:top w:val="nil"/>
              <w:left w:val="nil"/>
              <w:bottom w:val="single" w:sz="4" w:space="0" w:color="auto"/>
              <w:right w:val="single" w:sz="4" w:space="0" w:color="auto"/>
            </w:tcBorders>
            <w:noWrap/>
            <w:hideMark/>
          </w:tcPr>
          <w:p w14:paraId="741300CE"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93.814</w:t>
            </w:r>
          </w:p>
        </w:tc>
        <w:tc>
          <w:tcPr>
            <w:tcW w:w="1870" w:type="dxa"/>
            <w:tcBorders>
              <w:top w:val="nil"/>
              <w:left w:val="nil"/>
              <w:bottom w:val="single" w:sz="4" w:space="0" w:color="auto"/>
              <w:right w:val="single" w:sz="8" w:space="0" w:color="auto"/>
            </w:tcBorders>
            <w:noWrap/>
            <w:hideMark/>
          </w:tcPr>
          <w:p w14:paraId="1812D7B3"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103.195</w:t>
            </w:r>
          </w:p>
        </w:tc>
      </w:tr>
      <w:tr w:rsidR="00273288" w:rsidRPr="00E33DE3" w14:paraId="04651CEC" w14:textId="77777777" w:rsidTr="00273288">
        <w:trPr>
          <w:trHeight w:val="20"/>
        </w:trPr>
        <w:tc>
          <w:tcPr>
            <w:tcW w:w="1092" w:type="dxa"/>
            <w:tcBorders>
              <w:top w:val="nil"/>
              <w:left w:val="single" w:sz="8" w:space="0" w:color="auto"/>
              <w:bottom w:val="single" w:sz="4" w:space="0" w:color="auto"/>
              <w:right w:val="single" w:sz="4" w:space="0" w:color="auto"/>
            </w:tcBorders>
            <w:noWrap/>
            <w:hideMark/>
          </w:tcPr>
          <w:p w14:paraId="0ED46450"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12969621</w:t>
            </w:r>
          </w:p>
        </w:tc>
        <w:tc>
          <w:tcPr>
            <w:tcW w:w="2555" w:type="dxa"/>
            <w:tcBorders>
              <w:top w:val="nil"/>
              <w:left w:val="nil"/>
              <w:bottom w:val="single" w:sz="4" w:space="0" w:color="auto"/>
              <w:right w:val="single" w:sz="4" w:space="0" w:color="auto"/>
            </w:tcBorders>
            <w:hideMark/>
          </w:tcPr>
          <w:p w14:paraId="05191CD2" w14:textId="77777777" w:rsidR="00273288" w:rsidRPr="00E33DE3" w:rsidRDefault="00273288" w:rsidP="00C65B25">
            <w:pPr>
              <w:jc w:val="center"/>
              <w:rPr>
                <w:rFonts w:ascii="Verdana" w:eastAsia="Times New Roman" w:hAnsi="Verdana" w:cs="Arial"/>
                <w:sz w:val="18"/>
                <w:szCs w:val="18"/>
                <w:lang w:val="es-CO" w:eastAsia="es-CO"/>
              </w:rPr>
            </w:pPr>
            <w:r w:rsidRPr="00E33DE3">
              <w:rPr>
                <w:rFonts w:ascii="Verdana" w:eastAsia="Times New Roman" w:hAnsi="Verdana" w:cs="Arial"/>
                <w:sz w:val="18"/>
                <w:szCs w:val="18"/>
                <w:lang w:val="es-CO" w:eastAsia="es-CO"/>
              </w:rPr>
              <w:t>ENRIQUEZ HURTADO SEGUNDO AURELIANO</w:t>
            </w:r>
          </w:p>
        </w:tc>
        <w:tc>
          <w:tcPr>
            <w:tcW w:w="1481" w:type="dxa"/>
            <w:tcBorders>
              <w:top w:val="nil"/>
              <w:left w:val="nil"/>
              <w:bottom w:val="single" w:sz="4" w:space="0" w:color="auto"/>
              <w:right w:val="single" w:sz="4" w:space="0" w:color="auto"/>
            </w:tcBorders>
            <w:noWrap/>
            <w:hideMark/>
          </w:tcPr>
          <w:p w14:paraId="2F7349E8"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13/04/1978</w:t>
            </w:r>
          </w:p>
        </w:tc>
        <w:tc>
          <w:tcPr>
            <w:tcW w:w="1648" w:type="dxa"/>
            <w:tcBorders>
              <w:top w:val="nil"/>
              <w:left w:val="nil"/>
              <w:bottom w:val="single" w:sz="4" w:space="0" w:color="auto"/>
              <w:right w:val="single" w:sz="4" w:space="0" w:color="auto"/>
            </w:tcBorders>
            <w:noWrap/>
            <w:hideMark/>
          </w:tcPr>
          <w:p w14:paraId="74E703CC"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121.891</w:t>
            </w:r>
          </w:p>
        </w:tc>
        <w:tc>
          <w:tcPr>
            <w:tcW w:w="1870" w:type="dxa"/>
            <w:tcBorders>
              <w:top w:val="nil"/>
              <w:left w:val="nil"/>
              <w:bottom w:val="single" w:sz="4" w:space="0" w:color="auto"/>
              <w:right w:val="single" w:sz="8" w:space="0" w:color="auto"/>
            </w:tcBorders>
            <w:noWrap/>
            <w:hideMark/>
          </w:tcPr>
          <w:p w14:paraId="5D89A3FE"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134.080</w:t>
            </w:r>
          </w:p>
        </w:tc>
      </w:tr>
      <w:tr w:rsidR="00273288" w:rsidRPr="00E33DE3" w14:paraId="2821CB6E" w14:textId="77777777" w:rsidTr="00273288">
        <w:trPr>
          <w:trHeight w:val="20"/>
        </w:trPr>
        <w:tc>
          <w:tcPr>
            <w:tcW w:w="1092" w:type="dxa"/>
            <w:tcBorders>
              <w:top w:val="nil"/>
              <w:left w:val="single" w:sz="8" w:space="0" w:color="auto"/>
              <w:bottom w:val="single" w:sz="4" w:space="0" w:color="auto"/>
              <w:right w:val="single" w:sz="4" w:space="0" w:color="auto"/>
            </w:tcBorders>
            <w:noWrap/>
            <w:hideMark/>
          </w:tcPr>
          <w:p w14:paraId="36132E73"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30704638</w:t>
            </w:r>
          </w:p>
        </w:tc>
        <w:tc>
          <w:tcPr>
            <w:tcW w:w="2555" w:type="dxa"/>
            <w:tcBorders>
              <w:top w:val="nil"/>
              <w:left w:val="nil"/>
              <w:bottom w:val="single" w:sz="4" w:space="0" w:color="auto"/>
              <w:right w:val="single" w:sz="4" w:space="0" w:color="auto"/>
            </w:tcBorders>
            <w:hideMark/>
          </w:tcPr>
          <w:p w14:paraId="18E9CBC5" w14:textId="77777777" w:rsidR="00273288" w:rsidRPr="00E33DE3" w:rsidRDefault="00273288" w:rsidP="00C65B25">
            <w:pPr>
              <w:jc w:val="center"/>
              <w:rPr>
                <w:rFonts w:ascii="Verdana" w:eastAsia="Times New Roman" w:hAnsi="Verdana" w:cs="Arial"/>
                <w:sz w:val="18"/>
                <w:szCs w:val="18"/>
                <w:lang w:val="es-CO" w:eastAsia="es-CO"/>
              </w:rPr>
            </w:pPr>
            <w:r w:rsidRPr="00E33DE3">
              <w:rPr>
                <w:rFonts w:ascii="Verdana" w:eastAsia="Times New Roman" w:hAnsi="Verdana" w:cs="Arial"/>
                <w:sz w:val="18"/>
                <w:szCs w:val="18"/>
                <w:lang w:val="es-CO" w:eastAsia="es-CO"/>
              </w:rPr>
              <w:t>SANTACRUZ DE LA ROSA ALICIA DEL ROSARIO</w:t>
            </w:r>
          </w:p>
        </w:tc>
        <w:tc>
          <w:tcPr>
            <w:tcW w:w="1481" w:type="dxa"/>
            <w:tcBorders>
              <w:top w:val="nil"/>
              <w:left w:val="nil"/>
              <w:bottom w:val="single" w:sz="4" w:space="0" w:color="auto"/>
              <w:right w:val="single" w:sz="4" w:space="0" w:color="auto"/>
            </w:tcBorders>
            <w:noWrap/>
            <w:hideMark/>
          </w:tcPr>
          <w:p w14:paraId="5C3AFDCF"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1/01/1978</w:t>
            </w:r>
          </w:p>
        </w:tc>
        <w:tc>
          <w:tcPr>
            <w:tcW w:w="1648" w:type="dxa"/>
            <w:tcBorders>
              <w:top w:val="nil"/>
              <w:left w:val="nil"/>
              <w:bottom w:val="single" w:sz="4" w:space="0" w:color="auto"/>
              <w:right w:val="single" w:sz="4" w:space="0" w:color="auto"/>
            </w:tcBorders>
            <w:noWrap/>
            <w:hideMark/>
          </w:tcPr>
          <w:p w14:paraId="5E27E5B5"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44.691</w:t>
            </w:r>
          </w:p>
        </w:tc>
        <w:tc>
          <w:tcPr>
            <w:tcW w:w="1870" w:type="dxa"/>
            <w:tcBorders>
              <w:top w:val="nil"/>
              <w:left w:val="nil"/>
              <w:bottom w:val="single" w:sz="4" w:space="0" w:color="auto"/>
              <w:right w:val="single" w:sz="8" w:space="0" w:color="auto"/>
            </w:tcBorders>
            <w:noWrap/>
            <w:hideMark/>
          </w:tcPr>
          <w:p w14:paraId="3BA44618"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184.352</w:t>
            </w:r>
          </w:p>
        </w:tc>
      </w:tr>
      <w:tr w:rsidR="00273288" w:rsidRPr="00E33DE3" w14:paraId="27057AA8" w14:textId="77777777" w:rsidTr="00273288">
        <w:trPr>
          <w:trHeight w:val="20"/>
        </w:trPr>
        <w:tc>
          <w:tcPr>
            <w:tcW w:w="1092" w:type="dxa"/>
            <w:tcBorders>
              <w:top w:val="nil"/>
              <w:left w:val="single" w:sz="8" w:space="0" w:color="auto"/>
              <w:bottom w:val="single" w:sz="4" w:space="0" w:color="auto"/>
              <w:right w:val="single" w:sz="4" w:space="0" w:color="auto"/>
            </w:tcBorders>
            <w:noWrap/>
            <w:hideMark/>
          </w:tcPr>
          <w:p w14:paraId="33860418"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30705959</w:t>
            </w:r>
          </w:p>
        </w:tc>
        <w:tc>
          <w:tcPr>
            <w:tcW w:w="2555" w:type="dxa"/>
            <w:tcBorders>
              <w:top w:val="nil"/>
              <w:left w:val="nil"/>
              <w:bottom w:val="single" w:sz="4" w:space="0" w:color="auto"/>
              <w:right w:val="single" w:sz="4" w:space="0" w:color="auto"/>
            </w:tcBorders>
            <w:hideMark/>
          </w:tcPr>
          <w:p w14:paraId="3757CAFC" w14:textId="77777777" w:rsidR="00273288" w:rsidRPr="00E33DE3" w:rsidRDefault="00273288" w:rsidP="00C65B25">
            <w:pPr>
              <w:jc w:val="center"/>
              <w:rPr>
                <w:rFonts w:ascii="Verdana" w:eastAsia="Times New Roman" w:hAnsi="Verdana" w:cs="Arial"/>
                <w:sz w:val="18"/>
                <w:szCs w:val="18"/>
                <w:lang w:val="es-CO" w:eastAsia="es-CO"/>
              </w:rPr>
            </w:pPr>
            <w:r w:rsidRPr="00E33DE3">
              <w:rPr>
                <w:rFonts w:ascii="Verdana" w:eastAsia="Times New Roman" w:hAnsi="Verdana" w:cs="Arial"/>
                <w:sz w:val="18"/>
                <w:szCs w:val="18"/>
                <w:lang w:val="es-CO" w:eastAsia="es-CO"/>
              </w:rPr>
              <w:t>TORRES DE IBARRA ILIA DEL SOCORRO</w:t>
            </w:r>
          </w:p>
        </w:tc>
        <w:tc>
          <w:tcPr>
            <w:tcW w:w="1481" w:type="dxa"/>
            <w:tcBorders>
              <w:top w:val="nil"/>
              <w:left w:val="nil"/>
              <w:bottom w:val="single" w:sz="4" w:space="0" w:color="auto"/>
              <w:right w:val="single" w:sz="4" w:space="0" w:color="auto"/>
            </w:tcBorders>
            <w:noWrap/>
            <w:hideMark/>
          </w:tcPr>
          <w:p w14:paraId="3E12FD37"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30/05/1977</w:t>
            </w:r>
          </w:p>
        </w:tc>
        <w:tc>
          <w:tcPr>
            <w:tcW w:w="1648" w:type="dxa"/>
            <w:tcBorders>
              <w:top w:val="nil"/>
              <w:left w:val="nil"/>
              <w:bottom w:val="single" w:sz="4" w:space="0" w:color="auto"/>
              <w:right w:val="single" w:sz="4" w:space="0" w:color="auto"/>
            </w:tcBorders>
            <w:noWrap/>
            <w:hideMark/>
          </w:tcPr>
          <w:p w14:paraId="7988EE62"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141.002</w:t>
            </w:r>
          </w:p>
        </w:tc>
        <w:tc>
          <w:tcPr>
            <w:tcW w:w="1870" w:type="dxa"/>
            <w:tcBorders>
              <w:top w:val="nil"/>
              <w:left w:val="nil"/>
              <w:bottom w:val="single" w:sz="4" w:space="0" w:color="auto"/>
              <w:right w:val="single" w:sz="8" w:space="0" w:color="auto"/>
            </w:tcBorders>
            <w:noWrap/>
            <w:hideMark/>
          </w:tcPr>
          <w:p w14:paraId="152E29C7"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155.102</w:t>
            </w:r>
          </w:p>
        </w:tc>
      </w:tr>
      <w:tr w:rsidR="00273288" w:rsidRPr="00E33DE3" w14:paraId="43A2A63B" w14:textId="77777777" w:rsidTr="00273288">
        <w:trPr>
          <w:trHeight w:val="20"/>
        </w:trPr>
        <w:tc>
          <w:tcPr>
            <w:tcW w:w="1092" w:type="dxa"/>
            <w:tcBorders>
              <w:top w:val="nil"/>
              <w:left w:val="single" w:sz="8" w:space="0" w:color="auto"/>
              <w:bottom w:val="single" w:sz="4" w:space="0" w:color="auto"/>
              <w:right w:val="single" w:sz="4" w:space="0" w:color="auto"/>
            </w:tcBorders>
            <w:noWrap/>
            <w:hideMark/>
          </w:tcPr>
          <w:p w14:paraId="183F3DD3"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30706306</w:t>
            </w:r>
          </w:p>
        </w:tc>
        <w:tc>
          <w:tcPr>
            <w:tcW w:w="2555" w:type="dxa"/>
            <w:tcBorders>
              <w:top w:val="nil"/>
              <w:left w:val="nil"/>
              <w:bottom w:val="single" w:sz="4" w:space="0" w:color="auto"/>
              <w:right w:val="single" w:sz="4" w:space="0" w:color="auto"/>
            </w:tcBorders>
            <w:hideMark/>
          </w:tcPr>
          <w:p w14:paraId="4D33835F" w14:textId="77777777" w:rsidR="00273288" w:rsidRPr="00E33DE3" w:rsidRDefault="00273288" w:rsidP="00C65B25">
            <w:pPr>
              <w:jc w:val="center"/>
              <w:rPr>
                <w:rFonts w:ascii="Verdana" w:eastAsia="Times New Roman" w:hAnsi="Verdana" w:cs="Arial"/>
                <w:sz w:val="18"/>
                <w:szCs w:val="18"/>
                <w:lang w:val="es-CO" w:eastAsia="es-CO"/>
              </w:rPr>
            </w:pPr>
            <w:r w:rsidRPr="00E33DE3">
              <w:rPr>
                <w:rFonts w:ascii="Verdana" w:eastAsia="Times New Roman" w:hAnsi="Verdana" w:cs="Arial"/>
                <w:sz w:val="18"/>
                <w:szCs w:val="18"/>
                <w:lang w:val="es-CO" w:eastAsia="es-CO"/>
              </w:rPr>
              <w:t>JURADO CARMEN CECILIA</w:t>
            </w:r>
          </w:p>
        </w:tc>
        <w:tc>
          <w:tcPr>
            <w:tcW w:w="1481" w:type="dxa"/>
            <w:tcBorders>
              <w:top w:val="nil"/>
              <w:left w:val="nil"/>
              <w:bottom w:val="single" w:sz="4" w:space="0" w:color="auto"/>
              <w:right w:val="single" w:sz="4" w:space="0" w:color="auto"/>
            </w:tcBorders>
            <w:noWrap/>
            <w:hideMark/>
          </w:tcPr>
          <w:p w14:paraId="4C43A46F"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16/04/1977</w:t>
            </w:r>
          </w:p>
        </w:tc>
        <w:tc>
          <w:tcPr>
            <w:tcW w:w="1648" w:type="dxa"/>
            <w:tcBorders>
              <w:top w:val="nil"/>
              <w:left w:val="nil"/>
              <w:bottom w:val="single" w:sz="4" w:space="0" w:color="auto"/>
              <w:right w:val="single" w:sz="4" w:space="0" w:color="auto"/>
            </w:tcBorders>
            <w:noWrap/>
            <w:hideMark/>
          </w:tcPr>
          <w:p w14:paraId="5A0816C1"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188.168</w:t>
            </w:r>
          </w:p>
        </w:tc>
        <w:tc>
          <w:tcPr>
            <w:tcW w:w="1870" w:type="dxa"/>
            <w:tcBorders>
              <w:top w:val="nil"/>
              <w:left w:val="nil"/>
              <w:bottom w:val="single" w:sz="4" w:space="0" w:color="auto"/>
              <w:right w:val="single" w:sz="8" w:space="0" w:color="auto"/>
            </w:tcBorders>
            <w:noWrap/>
            <w:hideMark/>
          </w:tcPr>
          <w:p w14:paraId="035DE18E"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206.985</w:t>
            </w:r>
          </w:p>
        </w:tc>
      </w:tr>
      <w:tr w:rsidR="00273288" w:rsidRPr="00E33DE3" w14:paraId="6F495D0B" w14:textId="77777777" w:rsidTr="00273288">
        <w:trPr>
          <w:trHeight w:val="20"/>
        </w:trPr>
        <w:tc>
          <w:tcPr>
            <w:tcW w:w="1092" w:type="dxa"/>
            <w:tcBorders>
              <w:top w:val="nil"/>
              <w:left w:val="single" w:sz="8" w:space="0" w:color="auto"/>
              <w:bottom w:val="single" w:sz="4" w:space="0" w:color="auto"/>
              <w:right w:val="single" w:sz="4" w:space="0" w:color="auto"/>
            </w:tcBorders>
            <w:noWrap/>
            <w:hideMark/>
          </w:tcPr>
          <w:p w14:paraId="51CFEE43"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30712606</w:t>
            </w:r>
          </w:p>
        </w:tc>
        <w:tc>
          <w:tcPr>
            <w:tcW w:w="2555" w:type="dxa"/>
            <w:tcBorders>
              <w:top w:val="nil"/>
              <w:left w:val="nil"/>
              <w:bottom w:val="single" w:sz="4" w:space="0" w:color="auto"/>
              <w:right w:val="single" w:sz="4" w:space="0" w:color="auto"/>
            </w:tcBorders>
            <w:hideMark/>
          </w:tcPr>
          <w:p w14:paraId="30F46F76" w14:textId="77777777" w:rsidR="00273288" w:rsidRPr="00E33DE3" w:rsidRDefault="00273288" w:rsidP="00C65B25">
            <w:pPr>
              <w:jc w:val="center"/>
              <w:rPr>
                <w:rFonts w:ascii="Verdana" w:eastAsia="Times New Roman" w:hAnsi="Verdana" w:cs="Arial"/>
                <w:sz w:val="18"/>
                <w:szCs w:val="18"/>
                <w:lang w:val="es-CO" w:eastAsia="es-CO"/>
              </w:rPr>
            </w:pPr>
            <w:r w:rsidRPr="00E33DE3">
              <w:rPr>
                <w:rFonts w:ascii="Verdana" w:eastAsia="Times New Roman" w:hAnsi="Verdana" w:cs="Arial"/>
                <w:sz w:val="18"/>
                <w:szCs w:val="18"/>
                <w:lang w:val="es-CO" w:eastAsia="es-CO"/>
              </w:rPr>
              <w:t>OJEDA TOBAR ARGENIS FRANCISCA</w:t>
            </w:r>
          </w:p>
        </w:tc>
        <w:tc>
          <w:tcPr>
            <w:tcW w:w="1481" w:type="dxa"/>
            <w:tcBorders>
              <w:top w:val="nil"/>
              <w:left w:val="nil"/>
              <w:bottom w:val="single" w:sz="4" w:space="0" w:color="auto"/>
              <w:right w:val="single" w:sz="4" w:space="0" w:color="auto"/>
            </w:tcBorders>
            <w:noWrap/>
            <w:hideMark/>
          </w:tcPr>
          <w:p w14:paraId="2C64C3A8"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1/01/1978</w:t>
            </w:r>
          </w:p>
        </w:tc>
        <w:tc>
          <w:tcPr>
            <w:tcW w:w="1648" w:type="dxa"/>
            <w:tcBorders>
              <w:top w:val="nil"/>
              <w:left w:val="nil"/>
              <w:bottom w:val="single" w:sz="4" w:space="0" w:color="auto"/>
              <w:right w:val="single" w:sz="4" w:space="0" w:color="auto"/>
            </w:tcBorders>
            <w:noWrap/>
            <w:hideMark/>
          </w:tcPr>
          <w:p w14:paraId="30B2C9F1"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170.243</w:t>
            </w:r>
          </w:p>
        </w:tc>
        <w:tc>
          <w:tcPr>
            <w:tcW w:w="1870" w:type="dxa"/>
            <w:tcBorders>
              <w:top w:val="nil"/>
              <w:left w:val="nil"/>
              <w:bottom w:val="single" w:sz="4" w:space="0" w:color="auto"/>
              <w:right w:val="single" w:sz="8" w:space="0" w:color="auto"/>
            </w:tcBorders>
            <w:noWrap/>
            <w:hideMark/>
          </w:tcPr>
          <w:p w14:paraId="55F9E815"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187.267</w:t>
            </w:r>
          </w:p>
        </w:tc>
      </w:tr>
      <w:tr w:rsidR="00273288" w:rsidRPr="00E33DE3" w14:paraId="5D4ABCC6" w14:textId="77777777" w:rsidTr="00273288">
        <w:trPr>
          <w:trHeight w:val="20"/>
        </w:trPr>
        <w:tc>
          <w:tcPr>
            <w:tcW w:w="1092" w:type="dxa"/>
            <w:tcBorders>
              <w:top w:val="nil"/>
              <w:left w:val="single" w:sz="8" w:space="0" w:color="auto"/>
              <w:bottom w:val="single" w:sz="4" w:space="0" w:color="auto"/>
              <w:right w:val="single" w:sz="4" w:space="0" w:color="auto"/>
            </w:tcBorders>
            <w:noWrap/>
            <w:hideMark/>
          </w:tcPr>
          <w:p w14:paraId="6C837304"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30713044</w:t>
            </w:r>
          </w:p>
        </w:tc>
        <w:tc>
          <w:tcPr>
            <w:tcW w:w="2555" w:type="dxa"/>
            <w:tcBorders>
              <w:top w:val="nil"/>
              <w:left w:val="nil"/>
              <w:bottom w:val="single" w:sz="4" w:space="0" w:color="auto"/>
              <w:right w:val="single" w:sz="4" w:space="0" w:color="auto"/>
            </w:tcBorders>
            <w:hideMark/>
          </w:tcPr>
          <w:p w14:paraId="09E062C2" w14:textId="77777777" w:rsidR="00273288" w:rsidRPr="00E33DE3" w:rsidRDefault="00273288" w:rsidP="00C65B25">
            <w:pPr>
              <w:jc w:val="center"/>
              <w:rPr>
                <w:rFonts w:ascii="Verdana" w:eastAsia="Times New Roman" w:hAnsi="Verdana" w:cs="Arial"/>
                <w:sz w:val="18"/>
                <w:szCs w:val="18"/>
                <w:lang w:val="es-CO" w:eastAsia="es-CO"/>
              </w:rPr>
            </w:pPr>
            <w:r w:rsidRPr="00E33DE3">
              <w:rPr>
                <w:rFonts w:ascii="Verdana" w:eastAsia="Times New Roman" w:hAnsi="Verdana" w:cs="Arial"/>
                <w:sz w:val="18"/>
                <w:szCs w:val="18"/>
                <w:lang w:val="es-CO" w:eastAsia="es-CO"/>
              </w:rPr>
              <w:t>ERASO ROSERO CECILIA DEL CARMEN</w:t>
            </w:r>
          </w:p>
        </w:tc>
        <w:tc>
          <w:tcPr>
            <w:tcW w:w="1481" w:type="dxa"/>
            <w:tcBorders>
              <w:top w:val="nil"/>
              <w:left w:val="nil"/>
              <w:bottom w:val="single" w:sz="4" w:space="0" w:color="auto"/>
              <w:right w:val="single" w:sz="4" w:space="0" w:color="auto"/>
            </w:tcBorders>
            <w:noWrap/>
            <w:hideMark/>
          </w:tcPr>
          <w:p w14:paraId="00395B29"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10/05/1977</w:t>
            </w:r>
          </w:p>
        </w:tc>
        <w:tc>
          <w:tcPr>
            <w:tcW w:w="1648" w:type="dxa"/>
            <w:tcBorders>
              <w:top w:val="nil"/>
              <w:left w:val="nil"/>
              <w:bottom w:val="single" w:sz="4" w:space="0" w:color="auto"/>
              <w:right w:val="single" w:sz="4" w:space="0" w:color="auto"/>
            </w:tcBorders>
            <w:noWrap/>
            <w:hideMark/>
          </w:tcPr>
          <w:p w14:paraId="336AED97"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171.756</w:t>
            </w:r>
          </w:p>
        </w:tc>
        <w:tc>
          <w:tcPr>
            <w:tcW w:w="1870" w:type="dxa"/>
            <w:tcBorders>
              <w:top w:val="nil"/>
              <w:left w:val="nil"/>
              <w:bottom w:val="single" w:sz="4" w:space="0" w:color="auto"/>
              <w:right w:val="single" w:sz="8" w:space="0" w:color="auto"/>
            </w:tcBorders>
            <w:noWrap/>
            <w:hideMark/>
          </w:tcPr>
          <w:p w14:paraId="28298E74"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188.932</w:t>
            </w:r>
          </w:p>
        </w:tc>
      </w:tr>
      <w:tr w:rsidR="00273288" w:rsidRPr="00E33DE3" w14:paraId="0C7A77F1" w14:textId="77777777" w:rsidTr="00273288">
        <w:trPr>
          <w:trHeight w:val="20"/>
        </w:trPr>
        <w:tc>
          <w:tcPr>
            <w:tcW w:w="1092" w:type="dxa"/>
            <w:tcBorders>
              <w:top w:val="nil"/>
              <w:left w:val="single" w:sz="8" w:space="0" w:color="auto"/>
              <w:bottom w:val="single" w:sz="4" w:space="0" w:color="auto"/>
              <w:right w:val="single" w:sz="4" w:space="0" w:color="auto"/>
            </w:tcBorders>
            <w:noWrap/>
            <w:hideMark/>
          </w:tcPr>
          <w:p w14:paraId="1738E075"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34536929</w:t>
            </w:r>
          </w:p>
        </w:tc>
        <w:tc>
          <w:tcPr>
            <w:tcW w:w="2555" w:type="dxa"/>
            <w:tcBorders>
              <w:top w:val="nil"/>
              <w:left w:val="nil"/>
              <w:bottom w:val="single" w:sz="4" w:space="0" w:color="auto"/>
              <w:right w:val="single" w:sz="4" w:space="0" w:color="auto"/>
            </w:tcBorders>
            <w:hideMark/>
          </w:tcPr>
          <w:p w14:paraId="7C07AAE3" w14:textId="77777777" w:rsidR="00273288" w:rsidRPr="00E33DE3" w:rsidRDefault="00273288" w:rsidP="00C65B25">
            <w:pPr>
              <w:jc w:val="center"/>
              <w:rPr>
                <w:rFonts w:ascii="Verdana" w:eastAsia="Times New Roman" w:hAnsi="Verdana" w:cs="Arial"/>
                <w:sz w:val="18"/>
                <w:szCs w:val="18"/>
                <w:lang w:val="es-CO" w:eastAsia="es-CO"/>
              </w:rPr>
            </w:pPr>
            <w:r w:rsidRPr="00E33DE3">
              <w:rPr>
                <w:rFonts w:ascii="Verdana" w:eastAsia="Times New Roman" w:hAnsi="Verdana" w:cs="Arial"/>
                <w:sz w:val="18"/>
                <w:szCs w:val="18"/>
                <w:lang w:val="es-CO" w:eastAsia="es-CO"/>
              </w:rPr>
              <w:t>LOZANO LASSO MARIA RAQUEL</w:t>
            </w:r>
          </w:p>
        </w:tc>
        <w:tc>
          <w:tcPr>
            <w:tcW w:w="1481" w:type="dxa"/>
            <w:tcBorders>
              <w:top w:val="nil"/>
              <w:left w:val="nil"/>
              <w:bottom w:val="single" w:sz="4" w:space="0" w:color="auto"/>
              <w:right w:val="single" w:sz="4" w:space="0" w:color="auto"/>
            </w:tcBorders>
            <w:noWrap/>
            <w:hideMark/>
          </w:tcPr>
          <w:p w14:paraId="4D33C41E"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1/01/1978</w:t>
            </w:r>
          </w:p>
        </w:tc>
        <w:tc>
          <w:tcPr>
            <w:tcW w:w="1648" w:type="dxa"/>
            <w:tcBorders>
              <w:top w:val="nil"/>
              <w:left w:val="nil"/>
              <w:bottom w:val="single" w:sz="4" w:space="0" w:color="auto"/>
              <w:right w:val="single" w:sz="4" w:space="0" w:color="auto"/>
            </w:tcBorders>
            <w:noWrap/>
            <w:hideMark/>
          </w:tcPr>
          <w:p w14:paraId="55F7A444"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171.756</w:t>
            </w:r>
          </w:p>
        </w:tc>
        <w:tc>
          <w:tcPr>
            <w:tcW w:w="1870" w:type="dxa"/>
            <w:tcBorders>
              <w:top w:val="nil"/>
              <w:left w:val="nil"/>
              <w:bottom w:val="single" w:sz="4" w:space="0" w:color="auto"/>
              <w:right w:val="single" w:sz="8" w:space="0" w:color="auto"/>
            </w:tcBorders>
            <w:noWrap/>
            <w:hideMark/>
          </w:tcPr>
          <w:p w14:paraId="186597BA"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188.932</w:t>
            </w:r>
          </w:p>
        </w:tc>
      </w:tr>
      <w:tr w:rsidR="00273288" w:rsidRPr="00E33DE3" w14:paraId="64FE0733" w14:textId="77777777" w:rsidTr="00273288">
        <w:trPr>
          <w:trHeight w:val="20"/>
        </w:trPr>
        <w:tc>
          <w:tcPr>
            <w:tcW w:w="5130" w:type="dxa"/>
            <w:gridSpan w:val="3"/>
            <w:tcBorders>
              <w:top w:val="single" w:sz="8" w:space="0" w:color="auto"/>
              <w:left w:val="single" w:sz="8" w:space="0" w:color="auto"/>
              <w:bottom w:val="nil"/>
              <w:right w:val="nil"/>
            </w:tcBorders>
            <w:shd w:val="clear" w:color="auto" w:fill="B48C41"/>
            <w:hideMark/>
          </w:tcPr>
          <w:p w14:paraId="515802F6"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TOTAL CANCELADO POR MES</w:t>
            </w:r>
          </w:p>
        </w:tc>
        <w:tc>
          <w:tcPr>
            <w:tcW w:w="1648" w:type="dxa"/>
            <w:tcBorders>
              <w:top w:val="nil"/>
              <w:left w:val="single" w:sz="4" w:space="0" w:color="auto"/>
              <w:bottom w:val="single" w:sz="8" w:space="0" w:color="auto"/>
              <w:right w:val="single" w:sz="4" w:space="0" w:color="auto"/>
            </w:tcBorders>
            <w:shd w:val="clear" w:color="auto" w:fill="B48C41"/>
            <w:hideMark/>
          </w:tcPr>
          <w:p w14:paraId="387669DD"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1.225.212</w:t>
            </w:r>
          </w:p>
        </w:tc>
        <w:tc>
          <w:tcPr>
            <w:tcW w:w="1870" w:type="dxa"/>
            <w:tcBorders>
              <w:top w:val="nil"/>
              <w:left w:val="nil"/>
              <w:bottom w:val="single" w:sz="8" w:space="0" w:color="auto"/>
              <w:right w:val="single" w:sz="4" w:space="0" w:color="auto"/>
            </w:tcBorders>
            <w:shd w:val="clear" w:color="auto" w:fill="B48C41"/>
            <w:hideMark/>
          </w:tcPr>
          <w:p w14:paraId="31C81C9A"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1.482.925</w:t>
            </w:r>
          </w:p>
        </w:tc>
      </w:tr>
      <w:tr w:rsidR="00273288" w:rsidRPr="00E33DE3" w14:paraId="59F6A5A7" w14:textId="77777777" w:rsidTr="00273288">
        <w:trPr>
          <w:trHeight w:val="20"/>
        </w:trPr>
        <w:tc>
          <w:tcPr>
            <w:tcW w:w="5130" w:type="dxa"/>
            <w:gridSpan w:val="3"/>
            <w:tcBorders>
              <w:top w:val="single" w:sz="8" w:space="0" w:color="auto"/>
              <w:left w:val="single" w:sz="8" w:space="0" w:color="auto"/>
              <w:bottom w:val="nil"/>
              <w:right w:val="nil"/>
            </w:tcBorders>
            <w:shd w:val="clear" w:color="auto" w:fill="B48C41"/>
            <w:hideMark/>
          </w:tcPr>
          <w:p w14:paraId="006725C5"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TOTAL CANCELADO POR AÑO</w:t>
            </w:r>
          </w:p>
        </w:tc>
        <w:tc>
          <w:tcPr>
            <w:tcW w:w="1648" w:type="dxa"/>
            <w:tcBorders>
              <w:top w:val="single" w:sz="4" w:space="0" w:color="auto"/>
              <w:left w:val="single" w:sz="4" w:space="0" w:color="auto"/>
              <w:bottom w:val="single" w:sz="8" w:space="0" w:color="auto"/>
              <w:right w:val="single" w:sz="4" w:space="0" w:color="auto"/>
            </w:tcBorders>
            <w:shd w:val="clear" w:color="auto" w:fill="B48C41"/>
            <w:hideMark/>
          </w:tcPr>
          <w:p w14:paraId="10209BCF"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14.702.544</w:t>
            </w:r>
          </w:p>
        </w:tc>
        <w:tc>
          <w:tcPr>
            <w:tcW w:w="1870" w:type="dxa"/>
            <w:tcBorders>
              <w:top w:val="single" w:sz="4" w:space="0" w:color="auto"/>
              <w:left w:val="nil"/>
              <w:bottom w:val="single" w:sz="8" w:space="0" w:color="auto"/>
              <w:right w:val="single" w:sz="4" w:space="0" w:color="auto"/>
            </w:tcBorders>
            <w:shd w:val="clear" w:color="auto" w:fill="B48C41"/>
            <w:hideMark/>
          </w:tcPr>
          <w:p w14:paraId="4E06123E"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17.795.100</w:t>
            </w:r>
          </w:p>
        </w:tc>
      </w:tr>
    </w:tbl>
    <w:p w14:paraId="663DCE82" w14:textId="77777777" w:rsidR="00273288" w:rsidRPr="00E33DE3" w:rsidRDefault="00273288" w:rsidP="00C65B25">
      <w:pPr>
        <w:autoSpaceDE w:val="0"/>
        <w:autoSpaceDN w:val="0"/>
        <w:adjustRightInd w:val="0"/>
        <w:jc w:val="center"/>
        <w:rPr>
          <w:rFonts w:ascii="Verdana" w:hAnsi="Verdana" w:cs="Arial"/>
          <w:sz w:val="18"/>
          <w:szCs w:val="18"/>
        </w:rPr>
      </w:pPr>
      <w:r w:rsidRPr="00E33DE3">
        <w:rPr>
          <w:rFonts w:ascii="Verdana" w:hAnsi="Verdana" w:cs="Arial"/>
          <w:sz w:val="18"/>
          <w:szCs w:val="18"/>
        </w:rPr>
        <w:t>Fuente: Cálculos DAF con base a la información enviada por la Entidad Territorial mediante radicado No. 1-2022-093498 de 2022.</w:t>
      </w:r>
    </w:p>
    <w:p w14:paraId="6C283F12" w14:textId="77777777" w:rsidR="00273288" w:rsidRPr="00E33DE3" w:rsidRDefault="00273288" w:rsidP="00C65B25">
      <w:pPr>
        <w:autoSpaceDE w:val="0"/>
        <w:autoSpaceDN w:val="0"/>
        <w:adjustRightInd w:val="0"/>
        <w:jc w:val="both"/>
        <w:rPr>
          <w:rFonts w:ascii="Verdana" w:hAnsi="Verdana" w:cs="Arial"/>
          <w:bCs/>
          <w:sz w:val="22"/>
          <w:szCs w:val="22"/>
          <w:lang w:val="es-CO"/>
        </w:rPr>
      </w:pPr>
    </w:p>
    <w:p w14:paraId="5F087A51" w14:textId="77777777" w:rsidR="00273288" w:rsidRPr="00E33DE3" w:rsidRDefault="00273288" w:rsidP="00C65B25">
      <w:pPr>
        <w:autoSpaceDE w:val="0"/>
        <w:autoSpaceDN w:val="0"/>
        <w:adjustRightInd w:val="0"/>
        <w:jc w:val="both"/>
        <w:rPr>
          <w:rFonts w:ascii="Verdana" w:hAnsi="Verdana" w:cs="Arial"/>
          <w:bCs/>
          <w:sz w:val="22"/>
          <w:szCs w:val="22"/>
          <w:lang w:val="es-ES_tradnl"/>
        </w:rPr>
      </w:pPr>
      <w:r w:rsidRPr="00E33DE3">
        <w:rPr>
          <w:rFonts w:ascii="Verdana" w:hAnsi="Verdana" w:cs="Arial"/>
          <w:bCs/>
          <w:sz w:val="22"/>
          <w:szCs w:val="22"/>
          <w:lang w:val="es-ES_tradnl"/>
        </w:rPr>
        <w:t xml:space="preserve">Por lo anterior, para las vigencias 2021 y 2022 la Entidad Territorial no debió pagar el total de $32.498.000 pesos por concepto de incremento de antigüedad, pues tales trabajadores presuntamente no poseían el derecho. </w:t>
      </w:r>
    </w:p>
    <w:p w14:paraId="63495B1A" w14:textId="77777777" w:rsidR="00273288" w:rsidRPr="00E33DE3" w:rsidRDefault="00273288" w:rsidP="00C65B25">
      <w:pPr>
        <w:jc w:val="both"/>
        <w:rPr>
          <w:rFonts w:ascii="Verdana" w:eastAsia="Times New Roman" w:hAnsi="Verdana" w:cs="Arial"/>
          <w:color w:val="000000"/>
          <w:sz w:val="22"/>
          <w:szCs w:val="22"/>
          <w:lang w:val="es-ES_tradnl" w:eastAsia="es-CO"/>
        </w:rPr>
      </w:pPr>
    </w:p>
    <w:p w14:paraId="1038E0F2" w14:textId="77777777" w:rsidR="00273288" w:rsidRPr="00E33DE3" w:rsidRDefault="00273288" w:rsidP="00C65B25">
      <w:pPr>
        <w:pStyle w:val="Ttulo3"/>
        <w:numPr>
          <w:ilvl w:val="0"/>
          <w:numId w:val="45"/>
        </w:numPr>
        <w:spacing w:before="0"/>
        <w:ind w:left="426" w:hanging="426"/>
        <w:jc w:val="both"/>
        <w:rPr>
          <w:rFonts w:ascii="Verdana" w:hAnsi="Verdana"/>
          <w:b/>
          <w:bCs/>
          <w:color w:val="auto"/>
          <w:sz w:val="22"/>
          <w:szCs w:val="22"/>
        </w:rPr>
      </w:pPr>
      <w:r w:rsidRPr="00E33DE3">
        <w:rPr>
          <w:rFonts w:ascii="Verdana" w:hAnsi="Verdana"/>
          <w:b/>
          <w:bCs/>
          <w:color w:val="auto"/>
          <w:sz w:val="22"/>
          <w:szCs w:val="22"/>
        </w:rPr>
        <w:t xml:space="preserve">Inadecuado uso de los excedentes del Sistema General de Participaciones- Educación. </w:t>
      </w:r>
    </w:p>
    <w:p w14:paraId="711A57FD" w14:textId="77777777" w:rsidR="00273288" w:rsidRPr="00E33DE3" w:rsidRDefault="00273288" w:rsidP="00C65B25">
      <w:pPr>
        <w:jc w:val="both"/>
        <w:rPr>
          <w:rFonts w:ascii="Verdana" w:hAnsi="Verdana"/>
          <w:sz w:val="22"/>
          <w:szCs w:val="22"/>
          <w:lang w:eastAsia="en-US"/>
        </w:rPr>
      </w:pPr>
    </w:p>
    <w:p w14:paraId="1AAE67F8" w14:textId="77777777" w:rsidR="00273288" w:rsidRPr="00E33DE3" w:rsidRDefault="00273288" w:rsidP="00C65B25">
      <w:pPr>
        <w:jc w:val="both"/>
        <w:rPr>
          <w:rFonts w:ascii="Verdana" w:eastAsia="Times New Roman" w:hAnsi="Verdana" w:cs="Arial"/>
          <w:sz w:val="22"/>
          <w:szCs w:val="22"/>
          <w:lang w:val="es-CO"/>
        </w:rPr>
      </w:pPr>
      <w:r w:rsidRPr="00E33DE3">
        <w:rPr>
          <w:rFonts w:ascii="Verdana" w:eastAsia="Times New Roman" w:hAnsi="Verdana" w:cs="Arial"/>
          <w:sz w:val="22"/>
          <w:szCs w:val="22"/>
          <w:lang w:val="es-CO"/>
        </w:rPr>
        <w:lastRenderedPageBreak/>
        <w:t xml:space="preserve">En virtud del artículo 148 de la Ley 1450 de 2011 sólo las deudas originadas del reconocimiento de los costos del servicio educativo que tengan fundamento constitucional y legal pueden financiarse con recursos del superávit de la participación del SGP - Educación, previa validación y certificación por parte del Ministerio de Educación </w:t>
      </w:r>
      <w:r w:rsidRPr="00E33DE3">
        <w:rPr>
          <w:rFonts w:ascii="Verdana" w:eastAsia="Calibri" w:hAnsi="Verdana" w:cs="Arial"/>
          <w:bCs/>
          <w:sz w:val="22"/>
          <w:szCs w:val="22"/>
          <w:lang w:val="es-CO" w:eastAsia="en-US"/>
        </w:rPr>
        <w:t>Nacional</w:t>
      </w:r>
      <w:r w:rsidRPr="00E33DE3">
        <w:rPr>
          <w:rFonts w:ascii="Verdana" w:eastAsia="Times New Roman" w:hAnsi="Verdana" w:cs="Arial"/>
          <w:sz w:val="22"/>
          <w:szCs w:val="22"/>
          <w:lang w:val="es-CO"/>
        </w:rPr>
        <w:t xml:space="preserve">. </w:t>
      </w:r>
    </w:p>
    <w:p w14:paraId="2FD74DAA" w14:textId="77777777" w:rsidR="00273288" w:rsidRPr="00E33DE3" w:rsidRDefault="00273288" w:rsidP="00C65B25">
      <w:pPr>
        <w:jc w:val="both"/>
        <w:rPr>
          <w:rFonts w:ascii="Verdana" w:eastAsia="Times New Roman" w:hAnsi="Verdana" w:cs="Arial"/>
          <w:sz w:val="22"/>
          <w:szCs w:val="22"/>
          <w:lang w:val="es-CO"/>
        </w:rPr>
      </w:pPr>
    </w:p>
    <w:p w14:paraId="71CB51EA" w14:textId="77777777" w:rsidR="00273288" w:rsidRPr="00E33DE3" w:rsidRDefault="00273288" w:rsidP="00C65B25">
      <w:pPr>
        <w:jc w:val="both"/>
        <w:rPr>
          <w:rFonts w:ascii="Verdana" w:eastAsia="Times New Roman" w:hAnsi="Verdana" w:cs="Arial"/>
          <w:sz w:val="22"/>
          <w:szCs w:val="22"/>
          <w:lang w:val="es-CO"/>
        </w:rPr>
      </w:pPr>
      <w:r w:rsidRPr="00E33DE3">
        <w:rPr>
          <w:rFonts w:ascii="Verdana" w:eastAsia="Times New Roman" w:hAnsi="Verdana" w:cs="Arial"/>
          <w:sz w:val="22"/>
          <w:szCs w:val="22"/>
          <w:lang w:val="es-CO"/>
        </w:rPr>
        <w:t>Las ejecuciones presupuestales de las vigencias 2018, 2019, 2022 y 2023, permiten entrever el uso inadecuado de los excedentes del SGP- Educación, como se especifica en la siguiente tabla:</w:t>
      </w:r>
    </w:p>
    <w:p w14:paraId="20127213" w14:textId="77777777" w:rsidR="00273288" w:rsidRPr="00E33DE3" w:rsidRDefault="00273288" w:rsidP="00C65B25">
      <w:pPr>
        <w:jc w:val="both"/>
        <w:rPr>
          <w:rFonts w:ascii="Verdana" w:eastAsia="Times New Roman" w:hAnsi="Verdana" w:cs="Arial"/>
          <w:sz w:val="22"/>
          <w:szCs w:val="22"/>
          <w:lang w:val="es-CO"/>
        </w:rPr>
      </w:pPr>
      <w:r w:rsidRPr="00E33DE3">
        <w:rPr>
          <w:rFonts w:ascii="Verdana" w:eastAsia="Times New Roman" w:hAnsi="Verdana" w:cs="Arial"/>
          <w:sz w:val="22"/>
          <w:szCs w:val="22"/>
          <w:lang w:val="es-CO"/>
        </w:rPr>
        <w:t xml:space="preserve"> </w:t>
      </w:r>
    </w:p>
    <w:tbl>
      <w:tblPr>
        <w:tblW w:w="5000" w:type="pct"/>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14"/>
        <w:gridCol w:w="4693"/>
        <w:gridCol w:w="2415"/>
      </w:tblGrid>
      <w:tr w:rsidR="00273288" w:rsidRPr="00E33DE3" w14:paraId="1B4560DC" w14:textId="77777777" w:rsidTr="00013BDE">
        <w:trPr>
          <w:trHeight w:val="15"/>
          <w:jc w:val="center"/>
        </w:trPr>
        <w:tc>
          <w:tcPr>
            <w:tcW w:w="5000" w:type="pct"/>
            <w:gridSpan w:val="3"/>
            <w:tcBorders>
              <w:top w:val="single" w:sz="6" w:space="0" w:color="auto"/>
              <w:left w:val="single" w:sz="6" w:space="0" w:color="auto"/>
              <w:bottom w:val="single" w:sz="6" w:space="0" w:color="auto"/>
              <w:right w:val="single" w:sz="6" w:space="0" w:color="000000" w:themeColor="text1"/>
            </w:tcBorders>
            <w:shd w:val="clear" w:color="auto" w:fill="B48C41"/>
            <w:tcMar>
              <w:top w:w="0" w:type="dxa"/>
              <w:left w:w="60" w:type="dxa"/>
              <w:bottom w:w="0" w:type="dxa"/>
              <w:right w:w="60" w:type="dxa"/>
            </w:tcMar>
            <w:vAlign w:val="center"/>
            <w:hideMark/>
          </w:tcPr>
          <w:p w14:paraId="7EAF0450" w14:textId="77777777" w:rsidR="00273288" w:rsidRPr="00E33DE3" w:rsidRDefault="00273288" w:rsidP="00C65B25">
            <w:pPr>
              <w:jc w:val="center"/>
              <w:rPr>
                <w:rFonts w:ascii="Verdana" w:eastAsia="Verdana" w:hAnsi="Verdana" w:cs="Verdana"/>
                <w:color w:val="FFFFFF" w:themeColor="background1"/>
                <w:sz w:val="18"/>
                <w:szCs w:val="18"/>
              </w:rPr>
            </w:pPr>
            <w:r w:rsidRPr="00E33DE3">
              <w:rPr>
                <w:rFonts w:ascii="Verdana" w:eastAsia="Verdana" w:hAnsi="Verdana" w:cs="Verdana"/>
                <w:b/>
                <w:bCs/>
                <w:color w:val="FFFFFF" w:themeColor="background1"/>
                <w:sz w:val="18"/>
                <w:szCs w:val="18"/>
                <w:lang w:val="es-CO"/>
              </w:rPr>
              <w:t>Tabla 12. Gastos financiados con excedentes del SGP-Educación</w:t>
            </w:r>
          </w:p>
        </w:tc>
      </w:tr>
      <w:tr w:rsidR="00273288" w:rsidRPr="00E33DE3" w14:paraId="03791937" w14:textId="77777777" w:rsidTr="00013BDE">
        <w:trPr>
          <w:trHeight w:val="15"/>
          <w:jc w:val="center"/>
        </w:trPr>
        <w:tc>
          <w:tcPr>
            <w:tcW w:w="5000" w:type="pct"/>
            <w:gridSpan w:val="3"/>
            <w:tcBorders>
              <w:top w:val="single" w:sz="6" w:space="0" w:color="auto"/>
              <w:left w:val="single" w:sz="6" w:space="0" w:color="auto"/>
              <w:bottom w:val="single" w:sz="6" w:space="0" w:color="auto"/>
              <w:right w:val="single" w:sz="6" w:space="0" w:color="000000" w:themeColor="text1"/>
            </w:tcBorders>
            <w:shd w:val="clear" w:color="auto" w:fill="B48C41"/>
            <w:tcMar>
              <w:top w:w="0" w:type="dxa"/>
              <w:left w:w="60" w:type="dxa"/>
              <w:bottom w:w="0" w:type="dxa"/>
              <w:right w:w="60" w:type="dxa"/>
            </w:tcMar>
            <w:vAlign w:val="center"/>
            <w:hideMark/>
          </w:tcPr>
          <w:p w14:paraId="4FA18BB2" w14:textId="77777777" w:rsidR="00273288" w:rsidRPr="00E33DE3" w:rsidRDefault="00273288" w:rsidP="00C65B25">
            <w:pPr>
              <w:jc w:val="center"/>
              <w:rPr>
                <w:rFonts w:ascii="Verdana" w:eastAsia="Verdana" w:hAnsi="Verdana" w:cs="Verdana"/>
                <w:color w:val="FFFFFF" w:themeColor="background1"/>
                <w:sz w:val="18"/>
                <w:szCs w:val="18"/>
              </w:rPr>
            </w:pPr>
            <w:r w:rsidRPr="00E33DE3">
              <w:rPr>
                <w:rFonts w:ascii="Verdana" w:eastAsia="Verdana" w:hAnsi="Verdana" w:cs="Verdana"/>
                <w:b/>
                <w:bCs/>
                <w:color w:val="FFFFFF" w:themeColor="background1"/>
                <w:sz w:val="18"/>
                <w:szCs w:val="18"/>
                <w:lang w:val="es-CO"/>
              </w:rPr>
              <w:t>(Cifras en millones de pesos)</w:t>
            </w:r>
          </w:p>
        </w:tc>
      </w:tr>
      <w:tr w:rsidR="00273288" w:rsidRPr="00E33DE3" w14:paraId="7F35F60E" w14:textId="77777777" w:rsidTr="00013BDE">
        <w:trPr>
          <w:trHeight w:val="15"/>
          <w:jc w:val="center"/>
        </w:trPr>
        <w:tc>
          <w:tcPr>
            <w:tcW w:w="971" w:type="pct"/>
            <w:tcBorders>
              <w:top w:val="single" w:sz="6" w:space="0" w:color="auto"/>
              <w:left w:val="single" w:sz="6" w:space="0" w:color="auto"/>
              <w:bottom w:val="single" w:sz="6" w:space="0" w:color="auto"/>
              <w:right w:val="single" w:sz="6" w:space="0" w:color="000000" w:themeColor="text1"/>
            </w:tcBorders>
            <w:shd w:val="clear" w:color="auto" w:fill="F1EADA"/>
            <w:tcMar>
              <w:top w:w="0" w:type="dxa"/>
              <w:left w:w="60" w:type="dxa"/>
              <w:bottom w:w="0" w:type="dxa"/>
              <w:right w:w="60" w:type="dxa"/>
            </w:tcMar>
            <w:vAlign w:val="center"/>
            <w:hideMark/>
          </w:tcPr>
          <w:p w14:paraId="57C8F585"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b/>
                <w:bCs/>
                <w:color w:val="000000" w:themeColor="text1"/>
                <w:sz w:val="18"/>
                <w:szCs w:val="18"/>
                <w:lang w:val="es-CO"/>
              </w:rPr>
              <w:t>Vigencia</w:t>
            </w:r>
          </w:p>
        </w:tc>
        <w:tc>
          <w:tcPr>
            <w:tcW w:w="2660" w:type="pct"/>
            <w:tcBorders>
              <w:top w:val="single" w:sz="6" w:space="0" w:color="auto"/>
              <w:left w:val="single" w:sz="6" w:space="0" w:color="auto"/>
              <w:bottom w:val="single" w:sz="6" w:space="0" w:color="auto"/>
              <w:right w:val="single" w:sz="6" w:space="0" w:color="auto"/>
            </w:tcBorders>
            <w:shd w:val="clear" w:color="auto" w:fill="F1EADA"/>
            <w:tcMar>
              <w:top w:w="0" w:type="dxa"/>
              <w:left w:w="60" w:type="dxa"/>
              <w:bottom w:w="0" w:type="dxa"/>
              <w:right w:w="60" w:type="dxa"/>
            </w:tcMar>
            <w:vAlign w:val="center"/>
            <w:hideMark/>
          </w:tcPr>
          <w:p w14:paraId="537FE567"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b/>
                <w:bCs/>
                <w:color w:val="000000" w:themeColor="text1"/>
                <w:sz w:val="18"/>
                <w:szCs w:val="18"/>
                <w:lang w:val="es-CO"/>
              </w:rPr>
              <w:t>Concepto</w:t>
            </w:r>
          </w:p>
        </w:tc>
        <w:tc>
          <w:tcPr>
            <w:tcW w:w="1369" w:type="pct"/>
            <w:tcBorders>
              <w:top w:val="single" w:sz="6" w:space="0" w:color="auto"/>
              <w:left w:val="single" w:sz="6" w:space="0" w:color="auto"/>
              <w:bottom w:val="single" w:sz="6" w:space="0" w:color="auto"/>
              <w:right w:val="single" w:sz="6" w:space="0" w:color="000000" w:themeColor="text1"/>
            </w:tcBorders>
            <w:shd w:val="clear" w:color="auto" w:fill="F1EADA"/>
            <w:tcMar>
              <w:top w:w="0" w:type="dxa"/>
              <w:left w:w="60" w:type="dxa"/>
              <w:bottom w:w="0" w:type="dxa"/>
              <w:right w:w="60" w:type="dxa"/>
            </w:tcMar>
            <w:vAlign w:val="center"/>
            <w:hideMark/>
          </w:tcPr>
          <w:p w14:paraId="6C908472"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b/>
                <w:bCs/>
                <w:color w:val="000000" w:themeColor="text1"/>
                <w:sz w:val="18"/>
                <w:szCs w:val="18"/>
                <w:lang w:val="es-CO"/>
              </w:rPr>
              <w:t>Valor Compromisos</w:t>
            </w:r>
          </w:p>
        </w:tc>
      </w:tr>
      <w:tr w:rsidR="00273288" w:rsidRPr="00E33DE3" w14:paraId="3EF431D4" w14:textId="77777777" w:rsidTr="00013BDE">
        <w:trPr>
          <w:trHeight w:val="15"/>
          <w:jc w:val="center"/>
        </w:trPr>
        <w:tc>
          <w:tcPr>
            <w:tcW w:w="971"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542D85F9"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n-US"/>
              </w:rPr>
              <w:t>2018</w:t>
            </w:r>
          </w:p>
        </w:tc>
        <w:tc>
          <w:tcPr>
            <w:tcW w:w="2660"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hideMark/>
          </w:tcPr>
          <w:p w14:paraId="71798A47"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Sueldo Personal Docente</w:t>
            </w:r>
          </w:p>
        </w:tc>
        <w:tc>
          <w:tcPr>
            <w:tcW w:w="1369"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5EBACA6A"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1.445</w:t>
            </w:r>
          </w:p>
        </w:tc>
      </w:tr>
      <w:tr w:rsidR="00273288" w:rsidRPr="00E33DE3" w14:paraId="48D1A04C" w14:textId="77777777" w:rsidTr="00013BDE">
        <w:trPr>
          <w:trHeight w:val="15"/>
          <w:jc w:val="center"/>
        </w:trPr>
        <w:tc>
          <w:tcPr>
            <w:tcW w:w="971"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39286C61"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n-US"/>
              </w:rPr>
              <w:t>2018</w:t>
            </w:r>
          </w:p>
        </w:tc>
        <w:tc>
          <w:tcPr>
            <w:tcW w:w="2660"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hideMark/>
          </w:tcPr>
          <w:p w14:paraId="5ED2A153"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Costos derivados del Mejoramiento de la Calidad</w:t>
            </w:r>
          </w:p>
        </w:tc>
        <w:tc>
          <w:tcPr>
            <w:tcW w:w="1369"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5183D00F"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1.252</w:t>
            </w:r>
          </w:p>
        </w:tc>
      </w:tr>
      <w:tr w:rsidR="00273288" w:rsidRPr="00E33DE3" w14:paraId="117755D6" w14:textId="77777777" w:rsidTr="00013BDE">
        <w:trPr>
          <w:trHeight w:val="15"/>
          <w:jc w:val="center"/>
        </w:trPr>
        <w:tc>
          <w:tcPr>
            <w:tcW w:w="971"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2CFF5D13"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n-US"/>
              </w:rPr>
              <w:t>2018</w:t>
            </w:r>
          </w:p>
        </w:tc>
        <w:tc>
          <w:tcPr>
            <w:tcW w:w="2660"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hideMark/>
          </w:tcPr>
          <w:p w14:paraId="5BA27718"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Estímulos Dcto. 1171/04 Zonas de Difícil Acceso</w:t>
            </w:r>
          </w:p>
        </w:tc>
        <w:tc>
          <w:tcPr>
            <w:tcW w:w="1369"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02BFC1B8"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300</w:t>
            </w:r>
          </w:p>
        </w:tc>
      </w:tr>
      <w:tr w:rsidR="00273288" w:rsidRPr="00E33DE3" w14:paraId="445BF0A8" w14:textId="77777777" w:rsidTr="00013BDE">
        <w:trPr>
          <w:trHeight w:val="15"/>
          <w:jc w:val="center"/>
        </w:trPr>
        <w:tc>
          <w:tcPr>
            <w:tcW w:w="971"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2A24A9BE"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n-US"/>
              </w:rPr>
              <w:t>2018</w:t>
            </w:r>
          </w:p>
        </w:tc>
        <w:tc>
          <w:tcPr>
            <w:tcW w:w="2660"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hideMark/>
          </w:tcPr>
          <w:p w14:paraId="5B90B4F0"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Bonificación docentes G14 Decreto 2565 de 2015</w:t>
            </w:r>
          </w:p>
        </w:tc>
        <w:tc>
          <w:tcPr>
            <w:tcW w:w="1369"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597A5000"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22</w:t>
            </w:r>
          </w:p>
        </w:tc>
      </w:tr>
      <w:tr w:rsidR="00273288" w:rsidRPr="00E33DE3" w14:paraId="140046CF" w14:textId="77777777" w:rsidTr="00013BDE">
        <w:trPr>
          <w:trHeight w:val="15"/>
          <w:jc w:val="center"/>
        </w:trPr>
        <w:tc>
          <w:tcPr>
            <w:tcW w:w="971"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162C4303"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n-US"/>
              </w:rPr>
              <w:t>2018</w:t>
            </w:r>
          </w:p>
        </w:tc>
        <w:tc>
          <w:tcPr>
            <w:tcW w:w="2660"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hideMark/>
          </w:tcPr>
          <w:p w14:paraId="3B1385BC"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Bonificación Mensual Docentes</w:t>
            </w:r>
          </w:p>
        </w:tc>
        <w:tc>
          <w:tcPr>
            <w:tcW w:w="1369"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76FE4740"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500</w:t>
            </w:r>
          </w:p>
        </w:tc>
      </w:tr>
      <w:tr w:rsidR="00273288" w:rsidRPr="00E33DE3" w14:paraId="7D838CA5" w14:textId="77777777" w:rsidTr="00013BDE">
        <w:trPr>
          <w:trHeight w:val="15"/>
          <w:jc w:val="center"/>
        </w:trPr>
        <w:tc>
          <w:tcPr>
            <w:tcW w:w="971"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69A91DAE"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n-US"/>
              </w:rPr>
              <w:t>2018</w:t>
            </w:r>
          </w:p>
        </w:tc>
        <w:tc>
          <w:tcPr>
            <w:tcW w:w="2660"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hideMark/>
          </w:tcPr>
          <w:p w14:paraId="17E49C0B"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Estímulos Dcto. 1171/04 Zonas de Difícil Acceso</w:t>
            </w:r>
          </w:p>
        </w:tc>
        <w:tc>
          <w:tcPr>
            <w:tcW w:w="1369"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384300D4"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16</w:t>
            </w:r>
          </w:p>
        </w:tc>
      </w:tr>
      <w:tr w:rsidR="00273288" w:rsidRPr="00E33DE3" w14:paraId="022D17B8" w14:textId="77777777" w:rsidTr="00013BDE">
        <w:trPr>
          <w:trHeight w:val="15"/>
          <w:jc w:val="center"/>
        </w:trPr>
        <w:tc>
          <w:tcPr>
            <w:tcW w:w="971"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3AB788A8"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n-US"/>
              </w:rPr>
              <w:t>2018</w:t>
            </w:r>
          </w:p>
        </w:tc>
        <w:tc>
          <w:tcPr>
            <w:tcW w:w="2660"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hideMark/>
          </w:tcPr>
          <w:p w14:paraId="2E027278"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Bonificación Mensual Docentes</w:t>
            </w:r>
          </w:p>
        </w:tc>
        <w:tc>
          <w:tcPr>
            <w:tcW w:w="1369"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2EEE2C7A"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46</w:t>
            </w:r>
          </w:p>
        </w:tc>
      </w:tr>
      <w:tr w:rsidR="00273288" w:rsidRPr="00E33DE3" w14:paraId="09568BBD" w14:textId="77777777" w:rsidTr="00013BDE">
        <w:trPr>
          <w:trHeight w:val="15"/>
          <w:jc w:val="center"/>
        </w:trPr>
        <w:tc>
          <w:tcPr>
            <w:tcW w:w="971"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16F3A7B1"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n-US"/>
              </w:rPr>
              <w:t>2018</w:t>
            </w:r>
          </w:p>
        </w:tc>
        <w:tc>
          <w:tcPr>
            <w:tcW w:w="2660"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hideMark/>
          </w:tcPr>
          <w:p w14:paraId="1C74ED79"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Compra de equipos de cómputo para los E.E.</w:t>
            </w:r>
          </w:p>
        </w:tc>
        <w:tc>
          <w:tcPr>
            <w:tcW w:w="1369"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4CC6FFF7"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19</w:t>
            </w:r>
          </w:p>
        </w:tc>
      </w:tr>
      <w:tr w:rsidR="00273288" w:rsidRPr="00E33DE3" w14:paraId="748B5DF2" w14:textId="77777777" w:rsidTr="00013BDE">
        <w:trPr>
          <w:trHeight w:val="15"/>
          <w:jc w:val="center"/>
        </w:trPr>
        <w:tc>
          <w:tcPr>
            <w:tcW w:w="971"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583B7F71"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n-US"/>
              </w:rPr>
              <w:t>2018</w:t>
            </w:r>
          </w:p>
        </w:tc>
        <w:tc>
          <w:tcPr>
            <w:tcW w:w="2660"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hideMark/>
          </w:tcPr>
          <w:p w14:paraId="7D94EB36"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Modelos Educativos Flexibles</w:t>
            </w:r>
          </w:p>
        </w:tc>
        <w:tc>
          <w:tcPr>
            <w:tcW w:w="1369"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55107CAA"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80</w:t>
            </w:r>
          </w:p>
        </w:tc>
      </w:tr>
      <w:tr w:rsidR="00273288" w:rsidRPr="00E33DE3" w14:paraId="5F61677D" w14:textId="77777777" w:rsidTr="00013BDE">
        <w:trPr>
          <w:trHeight w:val="15"/>
          <w:jc w:val="center"/>
        </w:trPr>
        <w:tc>
          <w:tcPr>
            <w:tcW w:w="971"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21A0051A"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n-US"/>
              </w:rPr>
              <w:t>2018</w:t>
            </w:r>
          </w:p>
        </w:tc>
        <w:tc>
          <w:tcPr>
            <w:tcW w:w="2660"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hideMark/>
          </w:tcPr>
          <w:p w14:paraId="12F07769"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Educación rural – PER</w:t>
            </w:r>
          </w:p>
        </w:tc>
        <w:tc>
          <w:tcPr>
            <w:tcW w:w="1369"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2E21BD21"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92</w:t>
            </w:r>
          </w:p>
        </w:tc>
      </w:tr>
      <w:tr w:rsidR="00273288" w:rsidRPr="00E33DE3" w14:paraId="7D903C17" w14:textId="77777777" w:rsidTr="00013BDE">
        <w:trPr>
          <w:trHeight w:val="15"/>
          <w:jc w:val="center"/>
        </w:trPr>
        <w:tc>
          <w:tcPr>
            <w:tcW w:w="971"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36CC11B5"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n-US"/>
              </w:rPr>
              <w:t>2018</w:t>
            </w:r>
          </w:p>
        </w:tc>
        <w:tc>
          <w:tcPr>
            <w:tcW w:w="2660"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hideMark/>
          </w:tcPr>
          <w:p w14:paraId="4DD02ACA"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Dotación institucional de material y medios pedagógicos para el aprendizaje</w:t>
            </w:r>
          </w:p>
        </w:tc>
        <w:tc>
          <w:tcPr>
            <w:tcW w:w="1369"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46065FA6"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155</w:t>
            </w:r>
          </w:p>
        </w:tc>
      </w:tr>
      <w:tr w:rsidR="00273288" w:rsidRPr="00E33DE3" w14:paraId="7E0455BC" w14:textId="77777777" w:rsidTr="00013BDE">
        <w:trPr>
          <w:trHeight w:val="15"/>
          <w:jc w:val="center"/>
        </w:trPr>
        <w:tc>
          <w:tcPr>
            <w:tcW w:w="971"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215E47ED"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n-US"/>
              </w:rPr>
              <w:t>2018</w:t>
            </w:r>
          </w:p>
        </w:tc>
        <w:tc>
          <w:tcPr>
            <w:tcW w:w="2660"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hideMark/>
          </w:tcPr>
          <w:p w14:paraId="38FA1575"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Construcción, Ampliación y Adecuación Infraestructura Educativa</w:t>
            </w:r>
          </w:p>
        </w:tc>
        <w:tc>
          <w:tcPr>
            <w:tcW w:w="1369"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6D15F27B"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58</w:t>
            </w:r>
          </w:p>
        </w:tc>
      </w:tr>
      <w:tr w:rsidR="00273288" w:rsidRPr="00E33DE3" w14:paraId="72B3999D" w14:textId="77777777" w:rsidTr="00013BDE">
        <w:trPr>
          <w:trHeight w:val="15"/>
          <w:jc w:val="center"/>
        </w:trPr>
        <w:tc>
          <w:tcPr>
            <w:tcW w:w="971"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075A13A6"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n-US"/>
              </w:rPr>
              <w:t>2019</w:t>
            </w:r>
          </w:p>
        </w:tc>
        <w:tc>
          <w:tcPr>
            <w:tcW w:w="2660"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hideMark/>
          </w:tcPr>
          <w:p w14:paraId="25B06EA5"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Sueldo Personal Docente</w:t>
            </w:r>
          </w:p>
        </w:tc>
        <w:tc>
          <w:tcPr>
            <w:tcW w:w="1369"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7C917147"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2.090</w:t>
            </w:r>
          </w:p>
        </w:tc>
      </w:tr>
      <w:tr w:rsidR="00273288" w:rsidRPr="00E33DE3" w14:paraId="762D86B7" w14:textId="77777777" w:rsidTr="00013BDE">
        <w:trPr>
          <w:trHeight w:val="15"/>
          <w:jc w:val="center"/>
        </w:trPr>
        <w:tc>
          <w:tcPr>
            <w:tcW w:w="971"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6F1920BB"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n-US"/>
              </w:rPr>
              <w:t>2019</w:t>
            </w:r>
          </w:p>
        </w:tc>
        <w:tc>
          <w:tcPr>
            <w:tcW w:w="2660"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hideMark/>
          </w:tcPr>
          <w:p w14:paraId="32099A26"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Estímulos Dcto. 1171/04 ZDA Docentes</w:t>
            </w:r>
          </w:p>
        </w:tc>
        <w:tc>
          <w:tcPr>
            <w:tcW w:w="1369"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356B7328"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87</w:t>
            </w:r>
          </w:p>
        </w:tc>
      </w:tr>
      <w:tr w:rsidR="00273288" w:rsidRPr="00E33DE3" w14:paraId="63A445BF" w14:textId="77777777" w:rsidTr="00013BDE">
        <w:trPr>
          <w:trHeight w:val="15"/>
          <w:jc w:val="center"/>
        </w:trPr>
        <w:tc>
          <w:tcPr>
            <w:tcW w:w="971"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4B961BBB"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n-US"/>
              </w:rPr>
              <w:t>2019</w:t>
            </w:r>
          </w:p>
        </w:tc>
        <w:tc>
          <w:tcPr>
            <w:tcW w:w="2660"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tcPr>
          <w:p w14:paraId="58B2BB82" w14:textId="77777777" w:rsidR="00273288" w:rsidRPr="00E33DE3" w:rsidRDefault="00273288" w:rsidP="00C65B25">
            <w:pPr>
              <w:rPr>
                <w:rFonts w:ascii="Verdana" w:hAnsi="Verdana"/>
                <w:sz w:val="18"/>
                <w:szCs w:val="18"/>
              </w:rPr>
            </w:pPr>
          </w:p>
        </w:tc>
        <w:tc>
          <w:tcPr>
            <w:tcW w:w="1369"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5BD05D9D"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77</w:t>
            </w:r>
          </w:p>
        </w:tc>
      </w:tr>
      <w:tr w:rsidR="00273288" w:rsidRPr="00E33DE3" w14:paraId="53EC93D7" w14:textId="77777777" w:rsidTr="00013BDE">
        <w:trPr>
          <w:trHeight w:val="15"/>
          <w:jc w:val="center"/>
        </w:trPr>
        <w:tc>
          <w:tcPr>
            <w:tcW w:w="971"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301497F0"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n-US"/>
              </w:rPr>
              <w:t>2019</w:t>
            </w:r>
          </w:p>
        </w:tc>
        <w:tc>
          <w:tcPr>
            <w:tcW w:w="2660"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hideMark/>
          </w:tcPr>
          <w:p w14:paraId="2115AD14"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Servicios Públicos Energía, Alumbrado Eléctrico</w:t>
            </w:r>
          </w:p>
        </w:tc>
        <w:tc>
          <w:tcPr>
            <w:tcW w:w="1369"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579D9867"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208</w:t>
            </w:r>
          </w:p>
        </w:tc>
      </w:tr>
      <w:tr w:rsidR="00273288" w:rsidRPr="00E33DE3" w14:paraId="317C0718" w14:textId="77777777" w:rsidTr="00013BDE">
        <w:trPr>
          <w:trHeight w:val="15"/>
          <w:jc w:val="center"/>
        </w:trPr>
        <w:tc>
          <w:tcPr>
            <w:tcW w:w="971"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35F07294"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n-US"/>
              </w:rPr>
              <w:t>2019</w:t>
            </w:r>
          </w:p>
        </w:tc>
        <w:tc>
          <w:tcPr>
            <w:tcW w:w="2660"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hideMark/>
          </w:tcPr>
          <w:p w14:paraId="64685894"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Servicios Públicos Acueducto, Alcantarillado, Aseo</w:t>
            </w:r>
          </w:p>
        </w:tc>
        <w:tc>
          <w:tcPr>
            <w:tcW w:w="1369"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121B042E"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137</w:t>
            </w:r>
          </w:p>
        </w:tc>
      </w:tr>
      <w:tr w:rsidR="00273288" w:rsidRPr="00E33DE3" w14:paraId="4ACB3CAB" w14:textId="77777777" w:rsidTr="00013BDE">
        <w:trPr>
          <w:trHeight w:val="15"/>
          <w:jc w:val="center"/>
        </w:trPr>
        <w:tc>
          <w:tcPr>
            <w:tcW w:w="971"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7E28E7E6"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n-US"/>
              </w:rPr>
              <w:t>2019</w:t>
            </w:r>
          </w:p>
        </w:tc>
        <w:tc>
          <w:tcPr>
            <w:tcW w:w="2660"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hideMark/>
          </w:tcPr>
          <w:p w14:paraId="02556E00"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Dotación institucional de material y medios pedagógicos para el aprendizaje</w:t>
            </w:r>
          </w:p>
        </w:tc>
        <w:tc>
          <w:tcPr>
            <w:tcW w:w="1369"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hideMark/>
          </w:tcPr>
          <w:p w14:paraId="2269AAD4"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155</w:t>
            </w:r>
          </w:p>
        </w:tc>
      </w:tr>
      <w:tr w:rsidR="00273288" w:rsidRPr="00E33DE3" w14:paraId="08473564" w14:textId="77777777" w:rsidTr="00013BDE">
        <w:trPr>
          <w:trHeight w:val="15"/>
          <w:jc w:val="center"/>
        </w:trPr>
        <w:tc>
          <w:tcPr>
            <w:tcW w:w="971" w:type="pct"/>
            <w:tcBorders>
              <w:top w:val="single" w:sz="6" w:space="0" w:color="auto"/>
              <w:left w:val="single" w:sz="6" w:space="0" w:color="auto"/>
              <w:bottom w:val="single" w:sz="8" w:space="0" w:color="000000" w:themeColor="text1"/>
              <w:right w:val="single" w:sz="6" w:space="0" w:color="auto"/>
            </w:tcBorders>
            <w:tcMar>
              <w:top w:w="0" w:type="dxa"/>
              <w:left w:w="60" w:type="dxa"/>
              <w:bottom w:w="0" w:type="dxa"/>
              <w:right w:w="60" w:type="dxa"/>
            </w:tcMar>
            <w:vAlign w:val="center"/>
            <w:hideMark/>
          </w:tcPr>
          <w:p w14:paraId="71E338B2"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n-US"/>
              </w:rPr>
              <w:t>2019</w:t>
            </w:r>
          </w:p>
        </w:tc>
        <w:tc>
          <w:tcPr>
            <w:tcW w:w="2660" w:type="pct"/>
            <w:tcBorders>
              <w:top w:val="single" w:sz="6" w:space="0" w:color="auto"/>
              <w:left w:val="single" w:sz="6" w:space="0" w:color="auto"/>
              <w:bottom w:val="single" w:sz="8" w:space="0" w:color="000000" w:themeColor="text1"/>
              <w:right w:val="single" w:sz="6" w:space="0" w:color="auto"/>
            </w:tcBorders>
            <w:tcMar>
              <w:top w:w="0" w:type="dxa"/>
              <w:left w:w="60" w:type="dxa"/>
              <w:bottom w:w="0" w:type="dxa"/>
              <w:right w:w="60" w:type="dxa"/>
            </w:tcMar>
            <w:hideMark/>
          </w:tcPr>
          <w:p w14:paraId="3502F6EE"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Proyectos de asistencia técnica</w:t>
            </w:r>
          </w:p>
        </w:tc>
        <w:tc>
          <w:tcPr>
            <w:tcW w:w="1369" w:type="pct"/>
            <w:tcBorders>
              <w:top w:val="single" w:sz="6" w:space="0" w:color="auto"/>
              <w:left w:val="single" w:sz="6" w:space="0" w:color="auto"/>
              <w:bottom w:val="single" w:sz="8" w:space="0" w:color="000000" w:themeColor="text1"/>
              <w:right w:val="single" w:sz="6" w:space="0" w:color="auto"/>
            </w:tcBorders>
            <w:tcMar>
              <w:top w:w="0" w:type="dxa"/>
              <w:left w:w="60" w:type="dxa"/>
              <w:bottom w:w="0" w:type="dxa"/>
              <w:right w:w="60" w:type="dxa"/>
            </w:tcMar>
            <w:vAlign w:val="center"/>
            <w:hideMark/>
          </w:tcPr>
          <w:p w14:paraId="4DC7E273"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103</w:t>
            </w:r>
          </w:p>
        </w:tc>
      </w:tr>
      <w:tr w:rsidR="00273288" w:rsidRPr="00E33DE3" w14:paraId="17BB881B" w14:textId="77777777" w:rsidTr="00013BDE">
        <w:trPr>
          <w:trHeight w:val="15"/>
          <w:jc w:val="center"/>
        </w:trPr>
        <w:tc>
          <w:tcPr>
            <w:tcW w:w="9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60" w:type="dxa"/>
              <w:bottom w:w="0" w:type="dxa"/>
              <w:right w:w="60" w:type="dxa"/>
            </w:tcMar>
            <w:vAlign w:val="center"/>
            <w:hideMark/>
          </w:tcPr>
          <w:p w14:paraId="2ED7E81D"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n-US"/>
              </w:rPr>
              <w:t>2019</w:t>
            </w:r>
          </w:p>
        </w:tc>
        <w:tc>
          <w:tcPr>
            <w:tcW w:w="26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60" w:type="dxa"/>
              <w:bottom w:w="0" w:type="dxa"/>
              <w:right w:w="60" w:type="dxa"/>
            </w:tcMar>
            <w:hideMark/>
          </w:tcPr>
          <w:p w14:paraId="2BF06F83"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Transporte escolar</w:t>
            </w:r>
          </w:p>
        </w:tc>
        <w:tc>
          <w:tcPr>
            <w:tcW w:w="1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60" w:type="dxa"/>
              <w:bottom w:w="0" w:type="dxa"/>
              <w:right w:w="60" w:type="dxa"/>
            </w:tcMar>
            <w:vAlign w:val="center"/>
            <w:hideMark/>
          </w:tcPr>
          <w:p w14:paraId="41F2B94D"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n-US"/>
              </w:rPr>
              <w:t>378</w:t>
            </w:r>
          </w:p>
        </w:tc>
      </w:tr>
      <w:tr w:rsidR="00273288" w:rsidRPr="00E33DE3" w14:paraId="36DC254D" w14:textId="77777777" w:rsidTr="00013BDE">
        <w:trPr>
          <w:trHeight w:val="15"/>
          <w:jc w:val="center"/>
        </w:trPr>
        <w:tc>
          <w:tcPr>
            <w:tcW w:w="9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60" w:type="dxa"/>
              <w:bottom w:w="0" w:type="dxa"/>
              <w:right w:w="60" w:type="dxa"/>
            </w:tcMar>
            <w:vAlign w:val="center"/>
            <w:hideMark/>
          </w:tcPr>
          <w:p w14:paraId="10613214"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n-US"/>
              </w:rPr>
              <w:t>2022</w:t>
            </w:r>
          </w:p>
        </w:tc>
        <w:tc>
          <w:tcPr>
            <w:tcW w:w="26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60" w:type="dxa"/>
              <w:bottom w:w="0" w:type="dxa"/>
              <w:right w:w="60" w:type="dxa"/>
            </w:tcMar>
            <w:hideMark/>
          </w:tcPr>
          <w:p w14:paraId="7BCADA91"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Gastos de inspección y vigilancia</w:t>
            </w:r>
          </w:p>
        </w:tc>
        <w:tc>
          <w:tcPr>
            <w:tcW w:w="1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60" w:type="dxa"/>
              <w:bottom w:w="0" w:type="dxa"/>
              <w:right w:w="60" w:type="dxa"/>
            </w:tcMar>
            <w:vAlign w:val="center"/>
            <w:hideMark/>
          </w:tcPr>
          <w:p w14:paraId="302FDA72"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n-US"/>
              </w:rPr>
              <w:t>4.375</w:t>
            </w:r>
          </w:p>
        </w:tc>
      </w:tr>
      <w:tr w:rsidR="00273288" w:rsidRPr="00E33DE3" w14:paraId="41FA09B1" w14:textId="77777777" w:rsidTr="00013BDE">
        <w:trPr>
          <w:trHeight w:val="15"/>
          <w:jc w:val="center"/>
        </w:trPr>
        <w:tc>
          <w:tcPr>
            <w:tcW w:w="9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60" w:type="dxa"/>
              <w:bottom w:w="0" w:type="dxa"/>
              <w:right w:w="60" w:type="dxa"/>
            </w:tcMar>
            <w:vAlign w:val="center"/>
            <w:hideMark/>
          </w:tcPr>
          <w:p w14:paraId="368FC54D"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n-US"/>
              </w:rPr>
              <w:t>2023</w:t>
            </w:r>
          </w:p>
        </w:tc>
        <w:tc>
          <w:tcPr>
            <w:tcW w:w="26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60" w:type="dxa"/>
              <w:bottom w:w="0" w:type="dxa"/>
              <w:right w:w="60" w:type="dxa"/>
            </w:tcMar>
            <w:hideMark/>
          </w:tcPr>
          <w:p w14:paraId="4490FC01"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Servicio de apoyo para el fortalecimiento a escuelas de padres</w:t>
            </w:r>
          </w:p>
        </w:tc>
        <w:tc>
          <w:tcPr>
            <w:tcW w:w="1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60" w:type="dxa"/>
              <w:bottom w:w="0" w:type="dxa"/>
              <w:right w:w="60" w:type="dxa"/>
            </w:tcMar>
            <w:vAlign w:val="center"/>
            <w:hideMark/>
          </w:tcPr>
          <w:p w14:paraId="092094D3"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n-US"/>
              </w:rPr>
              <w:t>20</w:t>
            </w:r>
          </w:p>
        </w:tc>
      </w:tr>
      <w:tr w:rsidR="00273288" w:rsidRPr="00E33DE3" w14:paraId="3CBBFF89" w14:textId="77777777" w:rsidTr="00013BDE">
        <w:trPr>
          <w:trHeight w:val="15"/>
          <w:jc w:val="center"/>
        </w:trPr>
        <w:tc>
          <w:tcPr>
            <w:tcW w:w="9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60" w:type="dxa"/>
              <w:bottom w:w="0" w:type="dxa"/>
              <w:right w:w="60" w:type="dxa"/>
            </w:tcMar>
            <w:vAlign w:val="center"/>
            <w:hideMark/>
          </w:tcPr>
          <w:p w14:paraId="30529721"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n-US"/>
              </w:rPr>
              <w:t>2023</w:t>
            </w:r>
          </w:p>
        </w:tc>
        <w:tc>
          <w:tcPr>
            <w:tcW w:w="26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60" w:type="dxa"/>
              <w:bottom w:w="0" w:type="dxa"/>
              <w:right w:w="60" w:type="dxa"/>
            </w:tcMar>
            <w:hideMark/>
          </w:tcPr>
          <w:p w14:paraId="6B7C9FEE" w14:textId="77777777" w:rsidR="00273288" w:rsidRPr="00E33DE3" w:rsidRDefault="00273288" w:rsidP="00C65B25">
            <w:pP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s-CO"/>
              </w:rPr>
              <w:t>Documentos normativos 2201004</w:t>
            </w:r>
          </w:p>
        </w:tc>
        <w:tc>
          <w:tcPr>
            <w:tcW w:w="1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60" w:type="dxa"/>
              <w:bottom w:w="0" w:type="dxa"/>
              <w:right w:w="60" w:type="dxa"/>
            </w:tcMar>
            <w:vAlign w:val="center"/>
            <w:hideMark/>
          </w:tcPr>
          <w:p w14:paraId="27107096" w14:textId="77777777" w:rsidR="00273288" w:rsidRPr="00E33DE3" w:rsidRDefault="00273288" w:rsidP="00C65B25">
            <w:pPr>
              <w:jc w:val="center"/>
              <w:rPr>
                <w:rFonts w:ascii="Verdana" w:eastAsia="Verdana" w:hAnsi="Verdana" w:cs="Verdana"/>
                <w:color w:val="000000" w:themeColor="text1"/>
                <w:sz w:val="18"/>
                <w:szCs w:val="18"/>
              </w:rPr>
            </w:pPr>
            <w:r w:rsidRPr="00E33DE3">
              <w:rPr>
                <w:rFonts w:ascii="Verdana" w:eastAsia="Verdana" w:hAnsi="Verdana" w:cs="Verdana"/>
                <w:color w:val="000000" w:themeColor="text1"/>
                <w:sz w:val="18"/>
                <w:szCs w:val="18"/>
                <w:lang w:val="en-US"/>
              </w:rPr>
              <w:t>5</w:t>
            </w:r>
          </w:p>
        </w:tc>
      </w:tr>
      <w:tr w:rsidR="00273288" w:rsidRPr="00E33DE3" w14:paraId="2436AC49" w14:textId="77777777" w:rsidTr="00013BDE">
        <w:trPr>
          <w:trHeight w:val="15"/>
          <w:jc w:val="center"/>
        </w:trPr>
        <w:tc>
          <w:tcPr>
            <w:tcW w:w="3631" w:type="pct"/>
            <w:gridSpan w:val="2"/>
            <w:tcBorders>
              <w:top w:val="single" w:sz="6" w:space="0" w:color="auto"/>
              <w:left w:val="single" w:sz="6" w:space="0" w:color="auto"/>
              <w:bottom w:val="single" w:sz="6" w:space="0" w:color="auto"/>
              <w:right w:val="single" w:sz="6" w:space="0" w:color="000000" w:themeColor="text1"/>
            </w:tcBorders>
            <w:shd w:val="clear" w:color="auto" w:fill="B48C41"/>
            <w:tcMar>
              <w:top w:w="0" w:type="dxa"/>
              <w:left w:w="60" w:type="dxa"/>
              <w:bottom w:w="0" w:type="dxa"/>
              <w:right w:w="60" w:type="dxa"/>
            </w:tcMar>
            <w:vAlign w:val="center"/>
            <w:hideMark/>
          </w:tcPr>
          <w:p w14:paraId="13470AD5" w14:textId="77777777" w:rsidR="00273288" w:rsidRPr="00E33DE3" w:rsidRDefault="00273288" w:rsidP="00C65B25">
            <w:pPr>
              <w:jc w:val="center"/>
              <w:rPr>
                <w:rFonts w:ascii="Verdana" w:eastAsia="Verdana" w:hAnsi="Verdana" w:cs="Verdana"/>
                <w:color w:val="FFFFFF" w:themeColor="background1"/>
                <w:sz w:val="18"/>
                <w:szCs w:val="18"/>
              </w:rPr>
            </w:pPr>
            <w:r w:rsidRPr="00E33DE3">
              <w:rPr>
                <w:rFonts w:ascii="Verdana" w:eastAsia="Verdana" w:hAnsi="Verdana" w:cs="Verdana"/>
                <w:b/>
                <w:bCs/>
                <w:color w:val="FFFFFF" w:themeColor="background1"/>
                <w:sz w:val="18"/>
                <w:szCs w:val="18"/>
                <w:lang w:val="en-US"/>
              </w:rPr>
              <w:t>TOTAL</w:t>
            </w:r>
          </w:p>
        </w:tc>
        <w:tc>
          <w:tcPr>
            <w:tcW w:w="1369" w:type="pct"/>
            <w:tcBorders>
              <w:top w:val="single" w:sz="6" w:space="0" w:color="auto"/>
              <w:left w:val="nil"/>
              <w:bottom w:val="single" w:sz="6" w:space="0" w:color="auto"/>
              <w:right w:val="single" w:sz="6" w:space="0" w:color="auto"/>
            </w:tcBorders>
            <w:shd w:val="clear" w:color="auto" w:fill="B48C41"/>
            <w:tcMar>
              <w:top w:w="0" w:type="dxa"/>
              <w:left w:w="60" w:type="dxa"/>
              <w:bottom w:w="0" w:type="dxa"/>
              <w:right w:w="60" w:type="dxa"/>
            </w:tcMar>
            <w:vAlign w:val="center"/>
            <w:hideMark/>
          </w:tcPr>
          <w:p w14:paraId="27773B9D" w14:textId="77777777" w:rsidR="00273288" w:rsidRPr="00E33DE3" w:rsidRDefault="00273288" w:rsidP="00C65B25">
            <w:pPr>
              <w:jc w:val="center"/>
              <w:rPr>
                <w:rFonts w:ascii="Verdana" w:eastAsia="Verdana" w:hAnsi="Verdana" w:cs="Verdana"/>
                <w:color w:val="FFFFFF" w:themeColor="background1"/>
                <w:sz w:val="18"/>
                <w:szCs w:val="18"/>
              </w:rPr>
            </w:pPr>
            <w:r w:rsidRPr="00E33DE3">
              <w:rPr>
                <w:rFonts w:ascii="Verdana" w:eastAsia="Verdana" w:hAnsi="Verdana" w:cs="Verdana"/>
                <w:b/>
                <w:bCs/>
                <w:color w:val="FFFFFF" w:themeColor="background1"/>
                <w:sz w:val="18"/>
                <w:szCs w:val="18"/>
                <w:lang w:val="en-US"/>
              </w:rPr>
              <w:t>11.620</w:t>
            </w:r>
          </w:p>
        </w:tc>
      </w:tr>
    </w:tbl>
    <w:p w14:paraId="607C337A" w14:textId="77777777" w:rsidR="00273288" w:rsidRPr="00E33DE3" w:rsidRDefault="00273288" w:rsidP="00C65B25">
      <w:pPr>
        <w:jc w:val="center"/>
        <w:rPr>
          <w:rFonts w:ascii="Verdana" w:eastAsia="Calibri" w:hAnsi="Verdana" w:cs="Arial"/>
          <w:sz w:val="18"/>
          <w:szCs w:val="18"/>
          <w:lang w:eastAsia="en-US"/>
        </w:rPr>
      </w:pPr>
      <w:r w:rsidRPr="00E33DE3">
        <w:rPr>
          <w:rFonts w:ascii="Verdana" w:eastAsia="Calibri" w:hAnsi="Verdana" w:cs="Arial"/>
          <w:sz w:val="18"/>
          <w:szCs w:val="18"/>
          <w:lang w:eastAsia="en-US"/>
        </w:rPr>
        <w:t>Fuente: elaboración propia con base a las ejecuciones presupuestales enviadas por la entidad territorial y/o su reporte en FUT-CUIPO.</w:t>
      </w:r>
    </w:p>
    <w:p w14:paraId="17CFA9B0" w14:textId="77777777" w:rsidR="00273288" w:rsidRPr="00E33DE3" w:rsidRDefault="00273288" w:rsidP="00C65B25">
      <w:pPr>
        <w:jc w:val="both"/>
        <w:rPr>
          <w:rFonts w:ascii="Verdana" w:eastAsia="Calibri" w:hAnsi="Verdana" w:cs="Arial"/>
          <w:sz w:val="22"/>
          <w:szCs w:val="22"/>
          <w:lang w:val="es-ES_tradnl" w:eastAsia="en-US"/>
        </w:rPr>
      </w:pPr>
    </w:p>
    <w:p w14:paraId="14AD7AAA" w14:textId="77777777" w:rsidR="00273288" w:rsidRPr="00E33DE3" w:rsidRDefault="00273288" w:rsidP="00C65B25">
      <w:pPr>
        <w:jc w:val="both"/>
        <w:rPr>
          <w:rFonts w:ascii="Verdana" w:eastAsia="Calibri" w:hAnsi="Verdana" w:cs="Arial"/>
          <w:sz w:val="22"/>
          <w:szCs w:val="22"/>
          <w:lang w:eastAsia="en-US"/>
        </w:rPr>
      </w:pPr>
      <w:r w:rsidRPr="00E33DE3">
        <w:rPr>
          <w:rFonts w:ascii="Verdana" w:eastAsia="Calibri" w:hAnsi="Verdana" w:cs="Arial"/>
          <w:sz w:val="22"/>
          <w:szCs w:val="22"/>
          <w:lang w:eastAsia="en-US"/>
        </w:rPr>
        <w:t>Así, los $11.6</w:t>
      </w:r>
      <w:r w:rsidR="00B4695D" w:rsidRPr="00E33DE3">
        <w:rPr>
          <w:rFonts w:ascii="Verdana" w:eastAsia="Calibri" w:hAnsi="Verdana" w:cs="Arial"/>
          <w:sz w:val="22"/>
          <w:szCs w:val="22"/>
          <w:lang w:eastAsia="en-US"/>
        </w:rPr>
        <w:t>20</w:t>
      </w:r>
      <w:r w:rsidRPr="00E33DE3">
        <w:rPr>
          <w:rFonts w:ascii="Verdana" w:eastAsia="Calibri" w:hAnsi="Verdana" w:cs="Arial"/>
          <w:sz w:val="22"/>
          <w:szCs w:val="22"/>
          <w:lang w:eastAsia="en-US"/>
        </w:rPr>
        <w:t xml:space="preserve"> millones relacionados en la tabla anterior se desagregan en: $3.985 millones del 2018, $3.235 millones del 2019, 4.375 millones del 2022 y </w:t>
      </w:r>
      <w:r w:rsidR="00E818E0">
        <w:rPr>
          <w:rFonts w:ascii="Verdana" w:eastAsia="Calibri" w:hAnsi="Verdana" w:cs="Arial"/>
          <w:sz w:val="22"/>
          <w:szCs w:val="22"/>
          <w:lang w:eastAsia="en-US"/>
        </w:rPr>
        <w:t>$</w:t>
      </w:r>
      <w:r w:rsidRPr="00E33DE3">
        <w:rPr>
          <w:rFonts w:ascii="Verdana" w:eastAsia="Calibri" w:hAnsi="Verdana" w:cs="Arial"/>
          <w:sz w:val="22"/>
          <w:szCs w:val="22"/>
          <w:lang w:eastAsia="en-US"/>
        </w:rPr>
        <w:t xml:space="preserve">25 millones de 2023. Frente a la vigencia 2019, es importante resaltar que el superávit certificado por tesorería para el año 2018 ($2.254 millones) es tenido en cuenta en su totalidad por el Ministerio de Educación Nacional como fuente </w:t>
      </w:r>
      <w:r w:rsidRPr="00E33DE3">
        <w:rPr>
          <w:rFonts w:ascii="Verdana" w:eastAsia="Calibri" w:hAnsi="Verdana" w:cs="Arial"/>
          <w:sz w:val="22"/>
          <w:szCs w:val="22"/>
          <w:lang w:eastAsia="en-US"/>
        </w:rPr>
        <w:lastRenderedPageBreak/>
        <w:t xml:space="preserve">para financiar el cierre de esta vigencia, según oficio con número de radicado 2019-EE-169368 del 4 de noviembre del mismo año. Sin embargo, los compromisos financiados en esa vigencia (2019) con esta fuente fueron de $3.235 millones, es decir $981 millones más de lo autorizado. </w:t>
      </w:r>
    </w:p>
    <w:p w14:paraId="5E47884C" w14:textId="77777777" w:rsidR="00273288" w:rsidRPr="00E33DE3" w:rsidRDefault="00273288" w:rsidP="00C65B25">
      <w:pPr>
        <w:jc w:val="both"/>
        <w:rPr>
          <w:rFonts w:ascii="Verdana" w:eastAsia="Verdana" w:hAnsi="Verdana" w:cs="Verdana"/>
          <w:sz w:val="22"/>
          <w:szCs w:val="22"/>
          <w:lang w:eastAsia="en-US"/>
        </w:rPr>
      </w:pPr>
    </w:p>
    <w:p w14:paraId="7944C2D1" w14:textId="77777777" w:rsidR="00273288" w:rsidRPr="00E33DE3" w:rsidRDefault="00273288" w:rsidP="00C65B25">
      <w:pPr>
        <w:jc w:val="both"/>
        <w:rPr>
          <w:rFonts w:ascii="Verdana" w:eastAsia="Calibri" w:hAnsi="Verdana" w:cs="Arial"/>
          <w:sz w:val="22"/>
          <w:szCs w:val="22"/>
          <w:lang w:eastAsia="en-US"/>
        </w:rPr>
      </w:pPr>
      <w:r w:rsidRPr="00E33DE3">
        <w:rPr>
          <w:rFonts w:ascii="Verdana" w:eastAsia="Verdana" w:hAnsi="Verdana" w:cs="Verdana"/>
          <w:sz w:val="22"/>
          <w:szCs w:val="22"/>
          <w:lang w:eastAsia="en-US"/>
        </w:rPr>
        <w:t xml:space="preserve">Respecto a la vigencia 2022 cabe señalar que los recursos provenientes de excedentes de la cuenta SGP-Calidad por matrícula oficial no pueden ser empleados para labores relativas a gastos de inspección y vigilancia pues dichas erogaciones tienen una naturaleza de gasto administrativo. Así mismo, se evidenció que la entidad territorial reportó en sus ejecuciones gastos relativos a “Servicio de apoyo para el fortalecimiento de escuelas de padres” y “Documentos normativos 2201004” no financiables por dicha partida. </w:t>
      </w:r>
      <w:r w:rsidRPr="00E33DE3">
        <w:rPr>
          <w:rFonts w:ascii="Verdana" w:eastAsia="Calibri" w:hAnsi="Verdana" w:cs="Arial"/>
          <w:sz w:val="22"/>
          <w:szCs w:val="22"/>
          <w:lang w:eastAsia="en-US"/>
        </w:rPr>
        <w:t>Por lo anterior, la entidad territorial deberá reinvertir en el sector, por este hallazgo relativo al uso de los recursos del balance por $11.620 millones con recursos diferentes al Sistema General de Participaciones a partir de la notificación de la medida a aplicar.</w:t>
      </w:r>
    </w:p>
    <w:p w14:paraId="5DF2CBC1" w14:textId="77777777" w:rsidR="00273288" w:rsidRPr="00E33DE3" w:rsidRDefault="00273288" w:rsidP="00C65B25">
      <w:pPr>
        <w:jc w:val="both"/>
        <w:rPr>
          <w:rFonts w:ascii="Verdana" w:eastAsia="Calibri" w:hAnsi="Verdana" w:cs="Arial"/>
          <w:sz w:val="22"/>
          <w:szCs w:val="22"/>
          <w:lang w:val="es-ES_tradnl" w:eastAsia="en-US"/>
        </w:rPr>
      </w:pPr>
    </w:p>
    <w:p w14:paraId="467F8075" w14:textId="77777777" w:rsidR="00273288" w:rsidRPr="00E33DE3" w:rsidRDefault="00273288" w:rsidP="00C65B25">
      <w:pPr>
        <w:jc w:val="both"/>
        <w:rPr>
          <w:rFonts w:ascii="Verdana" w:eastAsia="Calibri" w:hAnsi="Verdana" w:cs="Arial"/>
          <w:sz w:val="22"/>
          <w:szCs w:val="22"/>
          <w:lang w:val="es-ES_tradnl" w:eastAsia="en-US"/>
        </w:rPr>
      </w:pPr>
      <w:r w:rsidRPr="00E33DE3">
        <w:rPr>
          <w:rFonts w:ascii="Verdana" w:eastAsia="Calibri" w:hAnsi="Verdana" w:cs="Arial"/>
          <w:b/>
          <w:sz w:val="22"/>
          <w:szCs w:val="22"/>
          <w:lang w:val="es-ES_tradnl" w:eastAsia="en-US"/>
        </w:rPr>
        <w:t xml:space="preserve">Evidencia: </w:t>
      </w:r>
      <w:r w:rsidRPr="00E33DE3">
        <w:rPr>
          <w:rFonts w:ascii="Verdana" w:eastAsia="Calibri" w:hAnsi="Verdana" w:cs="Arial"/>
          <w:sz w:val="22"/>
          <w:szCs w:val="22"/>
          <w:lang w:val="es-ES_tradnl" w:eastAsia="en-US"/>
        </w:rPr>
        <w:t xml:space="preserve">Obra en el expediente el siguiente material probatorio: </w:t>
      </w:r>
    </w:p>
    <w:p w14:paraId="246FDE13"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 xml:space="preserve">Ejecución Presupuestal Gastos vigencia 2018. </w:t>
      </w:r>
    </w:p>
    <w:p w14:paraId="72A74302"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 xml:space="preserve">Ejecución Presupuestal Gastos vigencia 2019. </w:t>
      </w:r>
    </w:p>
    <w:p w14:paraId="15C2A834" w14:textId="77777777" w:rsidR="00273288" w:rsidRPr="00E33DE3" w:rsidRDefault="00273288" w:rsidP="00C65B25">
      <w:pPr>
        <w:pStyle w:val="Prrafodelista"/>
        <w:numPr>
          <w:ilvl w:val="0"/>
          <w:numId w:val="28"/>
        </w:numPr>
        <w:ind w:left="284" w:hanging="284"/>
        <w:jc w:val="both"/>
        <w:rPr>
          <w:rFonts w:ascii="Verdana" w:hAnsi="Verdana" w:cs="Arial"/>
          <w:sz w:val="22"/>
          <w:szCs w:val="22"/>
          <w:lang w:val="es-ES_tradnl"/>
        </w:rPr>
      </w:pPr>
      <w:r w:rsidRPr="00E33DE3">
        <w:rPr>
          <w:rFonts w:ascii="Verdana" w:eastAsia="Calibri" w:hAnsi="Verdana" w:cs="Arial"/>
          <w:sz w:val="22"/>
          <w:szCs w:val="22"/>
          <w:lang w:eastAsia="en-US"/>
        </w:rPr>
        <w:t xml:space="preserve">Oficio con número de radicado 2019-EE-169368 del 4 de noviembre del 2019 del Ministerio de Educación Nacional. </w:t>
      </w:r>
    </w:p>
    <w:p w14:paraId="67BB8BC2"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eastAsia="en-US"/>
        </w:rPr>
      </w:pPr>
      <w:r w:rsidRPr="00E33DE3">
        <w:rPr>
          <w:rFonts w:ascii="Verdana" w:eastAsia="Calibri" w:hAnsi="Verdana" w:cs="Arial"/>
          <w:sz w:val="22"/>
          <w:szCs w:val="22"/>
          <w:lang w:eastAsia="en-US"/>
        </w:rPr>
        <w:t>Ejecución Presupuestal Gastos vigencia 2022</w:t>
      </w:r>
    </w:p>
    <w:p w14:paraId="20ED8C83"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eastAsia="en-US"/>
        </w:rPr>
      </w:pPr>
      <w:r w:rsidRPr="00E33DE3">
        <w:rPr>
          <w:rFonts w:ascii="Verdana" w:eastAsia="Calibri" w:hAnsi="Verdana" w:cs="Arial"/>
          <w:sz w:val="22"/>
          <w:szCs w:val="22"/>
          <w:lang w:eastAsia="en-US"/>
        </w:rPr>
        <w:t>Ejecución Presupuestal Gastos vigencia 2023 reportada en CUIPO</w:t>
      </w:r>
    </w:p>
    <w:p w14:paraId="54343ACE" w14:textId="77777777" w:rsidR="00273288" w:rsidRPr="00E33DE3" w:rsidRDefault="00273288" w:rsidP="00C65B25">
      <w:pPr>
        <w:jc w:val="both"/>
        <w:rPr>
          <w:rFonts w:ascii="Verdana" w:hAnsi="Verdana" w:cs="Arial"/>
          <w:sz w:val="22"/>
          <w:szCs w:val="22"/>
          <w:lang w:val="es-ES_tradnl"/>
        </w:rPr>
      </w:pPr>
    </w:p>
    <w:p w14:paraId="72C0DA08" w14:textId="77777777" w:rsidR="00273288" w:rsidRPr="00E33DE3" w:rsidRDefault="00273288" w:rsidP="00C65B25">
      <w:pPr>
        <w:pStyle w:val="Ttulo3"/>
        <w:numPr>
          <w:ilvl w:val="0"/>
          <w:numId w:val="45"/>
        </w:numPr>
        <w:spacing w:before="0"/>
        <w:ind w:left="426" w:hanging="426"/>
        <w:jc w:val="both"/>
        <w:rPr>
          <w:rFonts w:ascii="Verdana" w:hAnsi="Verdana"/>
          <w:b/>
          <w:bCs/>
          <w:color w:val="auto"/>
          <w:sz w:val="22"/>
          <w:szCs w:val="22"/>
        </w:rPr>
      </w:pPr>
      <w:r w:rsidRPr="00E33DE3">
        <w:rPr>
          <w:rFonts w:ascii="Verdana" w:hAnsi="Verdana"/>
          <w:b/>
          <w:bCs/>
          <w:color w:val="auto"/>
          <w:sz w:val="22"/>
          <w:szCs w:val="22"/>
        </w:rPr>
        <w:t>Contratación del servicio educativo y NEE superando el valor de la tipología.</w:t>
      </w:r>
    </w:p>
    <w:p w14:paraId="6B796601" w14:textId="77777777" w:rsidR="00273288" w:rsidRPr="00E33DE3" w:rsidRDefault="00273288" w:rsidP="00C65B25">
      <w:pPr>
        <w:rPr>
          <w:rFonts w:ascii="Verdana" w:hAnsi="Verdana"/>
          <w:sz w:val="22"/>
          <w:szCs w:val="22"/>
          <w:lang w:val="es-CO"/>
        </w:rPr>
      </w:pPr>
    </w:p>
    <w:p w14:paraId="2B4B335E"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El artículo 27 de la ley 715 de 2001 establece el mandato para la prestación del servicio público educativo, así:</w:t>
      </w:r>
    </w:p>
    <w:p w14:paraId="7EFE727D" w14:textId="77777777" w:rsidR="00273288" w:rsidRPr="00E33DE3" w:rsidRDefault="00273288" w:rsidP="00C65B25">
      <w:pPr>
        <w:jc w:val="both"/>
        <w:rPr>
          <w:rFonts w:ascii="Verdana" w:hAnsi="Verdana" w:cs="Arial"/>
          <w:sz w:val="22"/>
          <w:szCs w:val="22"/>
        </w:rPr>
      </w:pPr>
    </w:p>
    <w:p w14:paraId="027B2158" w14:textId="77777777" w:rsidR="00273288" w:rsidRPr="00E33DE3" w:rsidRDefault="00273288" w:rsidP="00C65B25">
      <w:pPr>
        <w:ind w:left="567"/>
        <w:jc w:val="both"/>
        <w:rPr>
          <w:rFonts w:ascii="Verdana" w:hAnsi="Verdana" w:cs="Arial"/>
          <w:i/>
          <w:sz w:val="22"/>
          <w:szCs w:val="22"/>
        </w:rPr>
      </w:pPr>
      <w:r w:rsidRPr="00E33DE3">
        <w:rPr>
          <w:rFonts w:ascii="Verdana" w:hAnsi="Verdana" w:cs="Arial"/>
          <w:i/>
          <w:sz w:val="22"/>
          <w:szCs w:val="22"/>
        </w:rPr>
        <w:t>“Prestación del Servicio Educativo: Los Departamentos, Distritos y Municipios certificados, prestarán el servicio público de la educación a través del Sistema Educativo Oficial.</w:t>
      </w:r>
    </w:p>
    <w:p w14:paraId="48BAF13A" w14:textId="77777777" w:rsidR="00273288" w:rsidRPr="00E33DE3" w:rsidRDefault="00273288" w:rsidP="00C65B25">
      <w:pPr>
        <w:ind w:left="567"/>
        <w:jc w:val="both"/>
        <w:rPr>
          <w:rFonts w:ascii="Verdana" w:hAnsi="Verdana" w:cs="Arial"/>
          <w:i/>
          <w:sz w:val="22"/>
          <w:szCs w:val="22"/>
        </w:rPr>
      </w:pPr>
    </w:p>
    <w:p w14:paraId="46C52A1F" w14:textId="77777777" w:rsidR="00273288" w:rsidRPr="00E33DE3" w:rsidRDefault="00273288" w:rsidP="00C65B25">
      <w:pPr>
        <w:ind w:left="567"/>
        <w:jc w:val="both"/>
        <w:rPr>
          <w:rFonts w:ascii="Verdana" w:hAnsi="Verdana" w:cs="Arial"/>
          <w:sz w:val="22"/>
          <w:szCs w:val="22"/>
        </w:rPr>
      </w:pPr>
      <w:r w:rsidRPr="00E33DE3">
        <w:rPr>
          <w:rFonts w:ascii="Verdana" w:hAnsi="Verdana" w:cs="Arial"/>
          <w:i/>
          <w:sz w:val="22"/>
          <w:szCs w:val="22"/>
        </w:rPr>
        <w:t xml:space="preserve">Solamente en donde se demuestre insuficiencia o limitaciones en las instituciones educativas del Sistema Educativo Oficial podrá contratarse la prestación del servicio educativo con entidades sin ánimo de lucro, estatales o entidades educativas particulares cuando no sean suficientes las anteriores, que cuenten con una reconocida trayectoria e idoneidad, sin detrimento de velar por la cobertura e infraestructura en los servicios educativos estatales. El valor de la prestación del servicio financiado con recursos del sistema general de participaciones no puede ser superior a la asignación por estudiante, definido por la Nación. Cuando el valor sea </w:t>
      </w:r>
      <w:r w:rsidRPr="00E33DE3">
        <w:rPr>
          <w:rFonts w:ascii="Verdana" w:hAnsi="Verdana" w:cs="Arial"/>
          <w:i/>
          <w:sz w:val="22"/>
          <w:szCs w:val="22"/>
        </w:rPr>
        <w:lastRenderedPageBreak/>
        <w:t>superior, el excedente se pagará con recursos propios de la entidad territorial, con las restricciones señaladas en la presente ley.</w:t>
      </w:r>
    </w:p>
    <w:p w14:paraId="14EDAEE5" w14:textId="77777777" w:rsidR="00273288" w:rsidRPr="00E33DE3" w:rsidRDefault="00273288" w:rsidP="00C65B25">
      <w:pPr>
        <w:jc w:val="both"/>
        <w:rPr>
          <w:rFonts w:ascii="Verdana" w:hAnsi="Verdana" w:cs="Arial"/>
          <w:sz w:val="22"/>
          <w:szCs w:val="22"/>
        </w:rPr>
      </w:pPr>
    </w:p>
    <w:p w14:paraId="7D5B538A"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xml:space="preserve">En el mismo sentido, el artículo 2.3.1.3.9.4 del Decreto 1075 de 2015 estableció la fórmula de cálculo del valor de los contratos interadministrativos para la prestación del servicio educativo por instituciones de educación superior oficial, como </w:t>
      </w:r>
    </w:p>
    <w:p w14:paraId="33A0D8DC" w14:textId="77777777" w:rsidR="00273288" w:rsidRPr="00E33DE3" w:rsidRDefault="00273288" w:rsidP="00C65B25">
      <w:pPr>
        <w:jc w:val="both"/>
        <w:rPr>
          <w:rFonts w:ascii="Verdana" w:hAnsi="Verdana" w:cs="Arial"/>
          <w:sz w:val="22"/>
          <w:szCs w:val="22"/>
        </w:rPr>
      </w:pPr>
    </w:p>
    <w:p w14:paraId="3CAC2FFC" w14:textId="77777777" w:rsidR="00273288" w:rsidRPr="00E33DE3" w:rsidRDefault="00273288" w:rsidP="00C65B25">
      <w:pPr>
        <w:ind w:left="567"/>
        <w:jc w:val="both"/>
        <w:rPr>
          <w:rFonts w:ascii="Verdana" w:eastAsia="Times New Roman" w:hAnsi="Verdana" w:cs="Arial"/>
          <w:i/>
          <w:sz w:val="22"/>
          <w:szCs w:val="22"/>
          <w:lang w:val="es-CO" w:eastAsia="es-CO"/>
        </w:rPr>
      </w:pPr>
      <w:r w:rsidRPr="00E33DE3">
        <w:rPr>
          <w:rFonts w:ascii="Verdana" w:hAnsi="Verdana" w:cs="Arial"/>
          <w:i/>
          <w:sz w:val="22"/>
          <w:szCs w:val="22"/>
        </w:rPr>
        <w:t>“</w:t>
      </w:r>
      <w:r w:rsidRPr="00E33DE3">
        <w:rPr>
          <w:rFonts w:ascii="Verdana" w:eastAsia="Times New Roman" w:hAnsi="Verdana" w:cs="Arial"/>
          <w:i/>
          <w:sz w:val="22"/>
          <w:szCs w:val="22"/>
          <w:lang w:val="es-CO" w:eastAsia="es-CO"/>
        </w:rPr>
        <w:t xml:space="preserve">el resultado de multiplicar el valor por año lectivo de la canasta educativa contratada y establecida para cada estudiante, por el número total de estudiantes atendidos durante la vigencia del contrato. </w:t>
      </w:r>
    </w:p>
    <w:p w14:paraId="34B9BC00" w14:textId="77777777" w:rsidR="00273288" w:rsidRPr="00E33DE3" w:rsidRDefault="00273288" w:rsidP="00C65B25">
      <w:pPr>
        <w:ind w:left="567"/>
        <w:jc w:val="both"/>
        <w:rPr>
          <w:rFonts w:ascii="Verdana" w:eastAsia="Times New Roman" w:hAnsi="Verdana" w:cs="Arial"/>
          <w:i/>
          <w:sz w:val="22"/>
          <w:szCs w:val="22"/>
          <w:lang w:val="es-CO" w:eastAsia="es-CO"/>
        </w:rPr>
      </w:pPr>
      <w:r w:rsidRPr="00E33DE3">
        <w:rPr>
          <w:rFonts w:ascii="Verdana" w:eastAsia="Times New Roman" w:hAnsi="Verdana" w:cs="Arial"/>
          <w:i/>
          <w:sz w:val="22"/>
          <w:szCs w:val="22"/>
          <w:lang w:val="es-CO" w:eastAsia="es-CO"/>
        </w:rPr>
        <w:t xml:space="preserve"> </w:t>
      </w:r>
    </w:p>
    <w:p w14:paraId="546E2397" w14:textId="77777777" w:rsidR="00273288" w:rsidRPr="00E33DE3" w:rsidRDefault="00273288" w:rsidP="00C65B25">
      <w:pPr>
        <w:ind w:left="567"/>
        <w:jc w:val="both"/>
        <w:rPr>
          <w:rFonts w:ascii="Verdana" w:hAnsi="Verdana" w:cs="Arial"/>
          <w:i/>
          <w:sz w:val="22"/>
          <w:szCs w:val="22"/>
        </w:rPr>
      </w:pPr>
      <w:r w:rsidRPr="00E33DE3">
        <w:rPr>
          <w:rFonts w:ascii="Verdana" w:hAnsi="Verdana" w:cs="Arial"/>
          <w:i/>
          <w:sz w:val="22"/>
          <w:szCs w:val="22"/>
        </w:rPr>
        <w:t xml:space="preserve">La entidad territorial certificada en educación se comprometerá a disponer la matrícula total o parcial a atenderse por la institución de educación superior oficial y el valor de la tipología de población atendida correspondiente a cada uno de los estudiantes a atenderse en virtud del convenio suscrito, incluidos todos los factores que se tengan en cuenta en el cálculo de dicha tipología. No obstante, la respectiva entidad territorial certificada deberá financiar los valores que excedan dicha asignación, utilizando recursos diferentes a los de transferencias de la nación, teniendo en cuenta los bienes y servicios a suministrarse de acuerdo con la canasta educativa contratada y las restricciones señaladas en la ley”. </w:t>
      </w:r>
    </w:p>
    <w:p w14:paraId="20583EA9" w14:textId="77777777" w:rsidR="00273288" w:rsidRPr="00E33DE3" w:rsidRDefault="00273288" w:rsidP="00C65B25">
      <w:pPr>
        <w:tabs>
          <w:tab w:val="left" w:pos="960"/>
        </w:tabs>
        <w:jc w:val="both"/>
        <w:rPr>
          <w:rFonts w:ascii="Verdana" w:eastAsia="Times New Roman" w:hAnsi="Verdana" w:cs="Arial"/>
          <w:sz w:val="22"/>
          <w:szCs w:val="22"/>
          <w:lang w:val="es-CO" w:eastAsia="es-CO"/>
        </w:rPr>
      </w:pPr>
    </w:p>
    <w:p w14:paraId="746894F6" w14:textId="77777777" w:rsidR="00273288" w:rsidRPr="00E33DE3" w:rsidRDefault="00273288" w:rsidP="00C65B25">
      <w:pPr>
        <w:jc w:val="both"/>
        <w:rPr>
          <w:rFonts w:ascii="Verdana" w:eastAsia="Times New Roman" w:hAnsi="Verdana" w:cs="Arial"/>
          <w:sz w:val="22"/>
          <w:szCs w:val="22"/>
          <w:lang w:val="es-CO" w:eastAsia="es-CO"/>
        </w:rPr>
      </w:pPr>
      <w:r w:rsidRPr="00E33DE3">
        <w:rPr>
          <w:rFonts w:ascii="Verdana" w:eastAsia="Times New Roman" w:hAnsi="Verdana" w:cs="Arial"/>
          <w:sz w:val="22"/>
          <w:szCs w:val="22"/>
          <w:lang w:val="es-CO" w:eastAsia="es-CO"/>
        </w:rPr>
        <w:t>Por otro lado, frente a los contratos suscritos para atender a la población con Necesidades Educativas Especiales (NEE), el artículo 2.3.3.5.1.5.4 del mismo cuerpo normativo establece: “</w:t>
      </w:r>
      <w:r w:rsidRPr="00E33DE3">
        <w:rPr>
          <w:rFonts w:ascii="Verdana" w:hAnsi="Verdana" w:cs="Arial"/>
          <w:i/>
          <w:color w:val="000000"/>
          <w:sz w:val="22"/>
          <w:szCs w:val="22"/>
        </w:rPr>
        <w:t xml:space="preserve">de los recursos del Sistema General de Participaciones que la Nación transfiere a las entidades territoriales certificadas, se asignará cada año un porcentaje de la tipología por población atendida para cofinanciar el costo del servicio de apoyo pedagógico a los estudiantes con discapacidad y con capacidades o con talentos excepcionales…” </w:t>
      </w:r>
      <w:r w:rsidRPr="00E33DE3">
        <w:rPr>
          <w:rFonts w:ascii="Verdana" w:hAnsi="Verdana" w:cs="Arial"/>
          <w:color w:val="000000"/>
          <w:sz w:val="22"/>
          <w:szCs w:val="22"/>
        </w:rPr>
        <w:t xml:space="preserve">lo que limita el uso del recurso por este concepto a la tipología aprobada por el Ministerio de Educación Nacional para cada Entidad Territorial. </w:t>
      </w:r>
    </w:p>
    <w:p w14:paraId="6B278AB7" w14:textId="77777777" w:rsidR="00273288" w:rsidRPr="00E33DE3" w:rsidRDefault="00273288" w:rsidP="00C65B25">
      <w:pPr>
        <w:jc w:val="both"/>
        <w:rPr>
          <w:rFonts w:ascii="Verdana" w:eastAsia="Times New Roman" w:hAnsi="Verdana" w:cs="Arial"/>
          <w:sz w:val="22"/>
          <w:szCs w:val="22"/>
          <w:lang w:val="es-CO" w:eastAsia="es-CO"/>
        </w:rPr>
      </w:pPr>
    </w:p>
    <w:p w14:paraId="6701774E"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xml:space="preserve">Sin embargo, el Municipio de Pasto suscribió los contratos interadministrativos No. 20191495 de 2019, 20201849 de 2020 y 20211447 de 2021 con la Universidad de Nariño, para la prestación del servicio educativo de alta calidad a través de su establecimiento educativo, Liceo Integrado de la Universidad de Nariño, por valor total de $2.821 millones en 2019, $2.841 millones en 2020 y $2.841 millones en 2021, para la atención de 1.001 estudiantes en 2019 y 1.021 alumnos en 2020 y 2021. </w:t>
      </w:r>
    </w:p>
    <w:p w14:paraId="3E4AC9AC" w14:textId="77777777" w:rsidR="00273288" w:rsidRPr="00E33DE3" w:rsidRDefault="00273288" w:rsidP="00C65B25">
      <w:pPr>
        <w:jc w:val="both"/>
        <w:rPr>
          <w:rFonts w:ascii="Verdana" w:hAnsi="Verdana" w:cs="Arial"/>
          <w:sz w:val="22"/>
          <w:szCs w:val="22"/>
        </w:rPr>
      </w:pPr>
    </w:p>
    <w:p w14:paraId="56279942"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xml:space="preserve">El valor que se pactó por estudiante para el contrato No. 20191495 de 2019 fue de $2.818.422 y para los contratos No. 20201849 de 2020 y No. 20211447 de 2021 fue de $2.782.644, los cuales superan la tipología para los alumnos de </w:t>
      </w:r>
      <w:r w:rsidRPr="00E33DE3">
        <w:rPr>
          <w:rFonts w:ascii="Verdana" w:hAnsi="Verdana" w:cs="Arial"/>
          <w:sz w:val="22"/>
          <w:szCs w:val="22"/>
        </w:rPr>
        <w:lastRenderedPageBreak/>
        <w:t>primaria del área urbana en las tres vigencias para la Entidad Territorial, así (cifra en pesos):</w:t>
      </w:r>
    </w:p>
    <w:p w14:paraId="482F67A5" w14:textId="77777777" w:rsidR="00273288" w:rsidRPr="00E33DE3" w:rsidRDefault="00273288" w:rsidP="00C65B25">
      <w:pPr>
        <w:jc w:val="both"/>
        <w:rPr>
          <w:rFonts w:ascii="Verdana" w:hAnsi="Verdana" w:cs="Arial"/>
          <w:sz w:val="22"/>
          <w:szCs w:val="22"/>
        </w:rPr>
      </w:pPr>
    </w:p>
    <w:p w14:paraId="5DA809A5" w14:textId="77777777" w:rsidR="00273288" w:rsidRPr="00E33DE3" w:rsidRDefault="00273288" w:rsidP="00C65B25">
      <w:pPr>
        <w:jc w:val="both"/>
        <w:rPr>
          <w:rFonts w:ascii="Verdana" w:hAnsi="Verdana" w:cs="Arial"/>
          <w:sz w:val="22"/>
          <w:szCs w:val="22"/>
        </w:rPr>
      </w:pPr>
    </w:p>
    <w:p w14:paraId="1286DD94" w14:textId="77777777" w:rsidR="00273288" w:rsidRPr="00E33DE3" w:rsidRDefault="00273288" w:rsidP="00C65B25">
      <w:pPr>
        <w:jc w:val="both"/>
        <w:rPr>
          <w:rFonts w:ascii="Verdana" w:hAnsi="Verdana" w:cs="Arial"/>
          <w:sz w:val="22"/>
          <w:szCs w:val="22"/>
        </w:rPr>
      </w:pPr>
    </w:p>
    <w:tbl>
      <w:tblPr>
        <w:tblW w:w="10896" w:type="dxa"/>
        <w:tblInd w:w="-1262" w:type="dxa"/>
        <w:tblCellMar>
          <w:left w:w="70" w:type="dxa"/>
          <w:right w:w="70" w:type="dxa"/>
        </w:tblCellMar>
        <w:tblLook w:val="04A0" w:firstRow="1" w:lastRow="0" w:firstColumn="1" w:lastColumn="0" w:noHBand="0" w:noVBand="1"/>
      </w:tblPr>
      <w:tblGrid>
        <w:gridCol w:w="598"/>
        <w:gridCol w:w="1056"/>
        <w:gridCol w:w="893"/>
        <w:gridCol w:w="791"/>
        <w:gridCol w:w="1019"/>
        <w:gridCol w:w="1081"/>
        <w:gridCol w:w="1072"/>
        <w:gridCol w:w="1365"/>
        <w:gridCol w:w="1080"/>
        <w:gridCol w:w="954"/>
        <w:gridCol w:w="14"/>
        <w:gridCol w:w="1422"/>
      </w:tblGrid>
      <w:tr w:rsidR="00273288" w:rsidRPr="00E33DE3" w14:paraId="5A551B2D" w14:textId="77777777" w:rsidTr="00273288">
        <w:trPr>
          <w:trHeight w:val="557"/>
        </w:trPr>
        <w:tc>
          <w:tcPr>
            <w:tcW w:w="598" w:type="dxa"/>
            <w:tcBorders>
              <w:top w:val="single" w:sz="4" w:space="0" w:color="auto"/>
              <w:left w:val="single" w:sz="4" w:space="0" w:color="auto"/>
              <w:bottom w:val="single" w:sz="4" w:space="0" w:color="auto"/>
              <w:right w:val="single" w:sz="4" w:space="0" w:color="auto"/>
            </w:tcBorders>
            <w:shd w:val="clear" w:color="auto" w:fill="B48C41"/>
            <w:vAlign w:val="center"/>
            <w:hideMark/>
          </w:tcPr>
          <w:p w14:paraId="5AEF3A0D"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Año</w:t>
            </w:r>
          </w:p>
        </w:tc>
        <w:tc>
          <w:tcPr>
            <w:tcW w:w="1056" w:type="dxa"/>
            <w:tcBorders>
              <w:top w:val="single" w:sz="4" w:space="0" w:color="auto"/>
              <w:left w:val="nil"/>
              <w:bottom w:val="single" w:sz="4" w:space="0" w:color="auto"/>
              <w:right w:val="single" w:sz="4" w:space="0" w:color="auto"/>
            </w:tcBorders>
            <w:shd w:val="clear" w:color="auto" w:fill="B48C41"/>
            <w:vAlign w:val="center"/>
            <w:hideMark/>
          </w:tcPr>
          <w:p w14:paraId="2692E2E9"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Contrato</w:t>
            </w:r>
          </w:p>
        </w:tc>
        <w:tc>
          <w:tcPr>
            <w:tcW w:w="893" w:type="dxa"/>
            <w:tcBorders>
              <w:top w:val="single" w:sz="4" w:space="0" w:color="auto"/>
              <w:left w:val="nil"/>
              <w:bottom w:val="single" w:sz="4" w:space="0" w:color="auto"/>
              <w:right w:val="single" w:sz="4" w:space="0" w:color="auto"/>
            </w:tcBorders>
            <w:shd w:val="clear" w:color="auto" w:fill="B48C41"/>
            <w:vAlign w:val="center"/>
            <w:hideMark/>
          </w:tcPr>
          <w:p w14:paraId="6C17C47B"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Nivel</w:t>
            </w:r>
          </w:p>
        </w:tc>
        <w:tc>
          <w:tcPr>
            <w:tcW w:w="791" w:type="dxa"/>
            <w:tcBorders>
              <w:top w:val="single" w:sz="4" w:space="0" w:color="auto"/>
              <w:left w:val="nil"/>
              <w:bottom w:val="single" w:sz="4" w:space="0" w:color="auto"/>
              <w:right w:val="single" w:sz="4" w:space="0" w:color="auto"/>
            </w:tcBorders>
            <w:shd w:val="clear" w:color="auto" w:fill="B48C41"/>
            <w:vAlign w:val="center"/>
            <w:hideMark/>
          </w:tcPr>
          <w:p w14:paraId="66D99998"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Zona</w:t>
            </w:r>
          </w:p>
        </w:tc>
        <w:tc>
          <w:tcPr>
            <w:tcW w:w="1019" w:type="dxa"/>
            <w:tcBorders>
              <w:top w:val="single" w:sz="4" w:space="0" w:color="auto"/>
              <w:left w:val="nil"/>
              <w:bottom w:val="single" w:sz="4" w:space="0" w:color="auto"/>
              <w:right w:val="single" w:sz="4" w:space="0" w:color="auto"/>
            </w:tcBorders>
            <w:shd w:val="clear" w:color="auto" w:fill="B48C41"/>
            <w:vAlign w:val="center"/>
            <w:hideMark/>
          </w:tcPr>
          <w:p w14:paraId="44E6403F"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Alumnos</w:t>
            </w:r>
          </w:p>
        </w:tc>
        <w:tc>
          <w:tcPr>
            <w:tcW w:w="1081" w:type="dxa"/>
            <w:tcBorders>
              <w:top w:val="single" w:sz="4" w:space="0" w:color="auto"/>
              <w:left w:val="nil"/>
              <w:bottom w:val="single" w:sz="4" w:space="0" w:color="auto"/>
              <w:right w:val="single" w:sz="4" w:space="0" w:color="auto"/>
            </w:tcBorders>
            <w:shd w:val="clear" w:color="auto" w:fill="B48C41"/>
            <w:vAlign w:val="center"/>
            <w:hideMark/>
          </w:tcPr>
          <w:p w14:paraId="503B9D88"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sz w:val="18"/>
                <w:szCs w:val="18"/>
                <w:lang w:val="es-CO" w:eastAsia="es-CO"/>
              </w:rPr>
              <w:t>Per cápita contrato</w:t>
            </w:r>
            <w:r w:rsidRPr="00E33DE3">
              <w:rPr>
                <w:rStyle w:val="Refdenotaalpie"/>
                <w:rFonts w:ascii="Verdana" w:eastAsia="Times New Roman" w:hAnsi="Verdana" w:cs="Arial"/>
                <w:b/>
                <w:bCs/>
                <w:color w:val="FFFFFF"/>
                <w:sz w:val="18"/>
                <w:szCs w:val="18"/>
                <w:lang w:val="es-CO" w:eastAsia="es-CO"/>
              </w:rPr>
              <w:footnoteReference w:id="5"/>
            </w:r>
          </w:p>
        </w:tc>
        <w:tc>
          <w:tcPr>
            <w:tcW w:w="1072" w:type="dxa"/>
            <w:tcBorders>
              <w:top w:val="single" w:sz="4" w:space="0" w:color="auto"/>
              <w:left w:val="nil"/>
              <w:bottom w:val="single" w:sz="4" w:space="0" w:color="auto"/>
              <w:right w:val="single" w:sz="4" w:space="0" w:color="auto"/>
            </w:tcBorders>
            <w:shd w:val="clear" w:color="auto" w:fill="B48C41"/>
            <w:vAlign w:val="center"/>
            <w:hideMark/>
          </w:tcPr>
          <w:p w14:paraId="1A1752C9"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Valor tipología</w:t>
            </w:r>
          </w:p>
        </w:tc>
        <w:tc>
          <w:tcPr>
            <w:tcW w:w="1365" w:type="dxa"/>
            <w:tcBorders>
              <w:top w:val="single" w:sz="4" w:space="0" w:color="auto"/>
              <w:left w:val="nil"/>
              <w:bottom w:val="single" w:sz="4" w:space="0" w:color="auto"/>
              <w:right w:val="single" w:sz="4" w:space="0" w:color="auto"/>
            </w:tcBorders>
            <w:shd w:val="clear" w:color="auto" w:fill="B48C41"/>
            <w:vAlign w:val="center"/>
            <w:hideMark/>
          </w:tcPr>
          <w:p w14:paraId="0BCF9D79" w14:textId="77777777" w:rsidR="00273288" w:rsidRPr="00E33DE3" w:rsidRDefault="00273288" w:rsidP="00C65B25">
            <w:pP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Documento de Distribución</w:t>
            </w:r>
          </w:p>
        </w:tc>
        <w:tc>
          <w:tcPr>
            <w:tcW w:w="1080" w:type="dxa"/>
            <w:tcBorders>
              <w:top w:val="single" w:sz="4" w:space="0" w:color="auto"/>
              <w:left w:val="nil"/>
              <w:bottom w:val="single" w:sz="4" w:space="0" w:color="auto"/>
              <w:right w:val="single" w:sz="4" w:space="0" w:color="auto"/>
            </w:tcBorders>
            <w:shd w:val="clear" w:color="auto" w:fill="B48C41"/>
            <w:noWrap/>
            <w:vAlign w:val="center"/>
            <w:hideMark/>
          </w:tcPr>
          <w:p w14:paraId="36D8E421" w14:textId="77777777" w:rsidR="00273288" w:rsidRPr="00E33DE3" w:rsidRDefault="00273288" w:rsidP="00C65B25">
            <w:pP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Situación</w:t>
            </w:r>
          </w:p>
        </w:tc>
        <w:tc>
          <w:tcPr>
            <w:tcW w:w="954" w:type="dxa"/>
            <w:tcBorders>
              <w:top w:val="single" w:sz="4" w:space="0" w:color="auto"/>
              <w:left w:val="nil"/>
              <w:bottom w:val="single" w:sz="4" w:space="0" w:color="auto"/>
              <w:right w:val="single" w:sz="4" w:space="0" w:color="auto"/>
            </w:tcBorders>
            <w:shd w:val="clear" w:color="auto" w:fill="B48C41"/>
            <w:vAlign w:val="center"/>
            <w:hideMark/>
          </w:tcPr>
          <w:p w14:paraId="39B4902B"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Valor de exceso por persona</w:t>
            </w:r>
          </w:p>
        </w:tc>
        <w:tc>
          <w:tcPr>
            <w:tcW w:w="987" w:type="dxa"/>
            <w:gridSpan w:val="2"/>
            <w:tcBorders>
              <w:top w:val="single" w:sz="4" w:space="0" w:color="auto"/>
              <w:left w:val="nil"/>
              <w:bottom w:val="single" w:sz="4" w:space="0" w:color="auto"/>
              <w:right w:val="single" w:sz="4" w:space="0" w:color="auto"/>
            </w:tcBorders>
            <w:shd w:val="clear" w:color="auto" w:fill="B48C41"/>
            <w:vAlign w:val="center"/>
            <w:hideMark/>
          </w:tcPr>
          <w:p w14:paraId="5F0B94B7"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Valor Exceso Contrato</w:t>
            </w:r>
          </w:p>
        </w:tc>
      </w:tr>
      <w:tr w:rsidR="00273288" w:rsidRPr="00E33DE3" w14:paraId="4F8EDF42" w14:textId="77777777" w:rsidTr="00273288">
        <w:trPr>
          <w:trHeight w:val="557"/>
        </w:trPr>
        <w:tc>
          <w:tcPr>
            <w:tcW w:w="598" w:type="dxa"/>
            <w:tcBorders>
              <w:top w:val="nil"/>
              <w:left w:val="single" w:sz="4" w:space="0" w:color="auto"/>
              <w:bottom w:val="single" w:sz="4" w:space="0" w:color="auto"/>
              <w:right w:val="single" w:sz="4" w:space="0" w:color="auto"/>
            </w:tcBorders>
            <w:vAlign w:val="center"/>
            <w:hideMark/>
          </w:tcPr>
          <w:p w14:paraId="0E00805E"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2019</w:t>
            </w:r>
          </w:p>
        </w:tc>
        <w:tc>
          <w:tcPr>
            <w:tcW w:w="1056" w:type="dxa"/>
            <w:tcBorders>
              <w:top w:val="nil"/>
              <w:left w:val="nil"/>
              <w:bottom w:val="single" w:sz="4" w:space="0" w:color="auto"/>
              <w:right w:val="single" w:sz="4" w:space="0" w:color="auto"/>
            </w:tcBorders>
            <w:vAlign w:val="center"/>
            <w:hideMark/>
          </w:tcPr>
          <w:p w14:paraId="444942A8"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20191495</w:t>
            </w:r>
          </w:p>
        </w:tc>
        <w:tc>
          <w:tcPr>
            <w:tcW w:w="893" w:type="dxa"/>
            <w:tcBorders>
              <w:top w:val="nil"/>
              <w:left w:val="nil"/>
              <w:bottom w:val="single" w:sz="4" w:space="0" w:color="auto"/>
              <w:right w:val="single" w:sz="4" w:space="0" w:color="auto"/>
            </w:tcBorders>
            <w:vAlign w:val="center"/>
            <w:hideMark/>
          </w:tcPr>
          <w:p w14:paraId="498EFCD3"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Primaria</w:t>
            </w:r>
          </w:p>
        </w:tc>
        <w:tc>
          <w:tcPr>
            <w:tcW w:w="791" w:type="dxa"/>
            <w:tcBorders>
              <w:top w:val="nil"/>
              <w:left w:val="nil"/>
              <w:bottom w:val="single" w:sz="4" w:space="0" w:color="auto"/>
              <w:right w:val="single" w:sz="4" w:space="0" w:color="auto"/>
            </w:tcBorders>
            <w:vAlign w:val="center"/>
            <w:hideMark/>
          </w:tcPr>
          <w:p w14:paraId="0D8603AC"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Urbana</w:t>
            </w:r>
          </w:p>
        </w:tc>
        <w:tc>
          <w:tcPr>
            <w:tcW w:w="1019" w:type="dxa"/>
            <w:tcBorders>
              <w:top w:val="nil"/>
              <w:left w:val="nil"/>
              <w:bottom w:val="single" w:sz="4" w:space="0" w:color="auto"/>
              <w:right w:val="single" w:sz="4" w:space="0" w:color="auto"/>
            </w:tcBorders>
            <w:vAlign w:val="center"/>
            <w:hideMark/>
          </w:tcPr>
          <w:p w14:paraId="694788DE"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271</w:t>
            </w:r>
          </w:p>
        </w:tc>
        <w:tc>
          <w:tcPr>
            <w:tcW w:w="1081" w:type="dxa"/>
            <w:tcBorders>
              <w:top w:val="nil"/>
              <w:left w:val="nil"/>
              <w:bottom w:val="single" w:sz="4" w:space="0" w:color="auto"/>
              <w:right w:val="single" w:sz="4" w:space="0" w:color="auto"/>
            </w:tcBorders>
            <w:noWrap/>
            <w:vAlign w:val="center"/>
            <w:hideMark/>
          </w:tcPr>
          <w:p w14:paraId="785A8D01"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sz w:val="18"/>
                <w:szCs w:val="18"/>
                <w:lang w:eastAsia="es-CO"/>
              </w:rPr>
              <w:t>2.818.422</w:t>
            </w:r>
          </w:p>
        </w:tc>
        <w:tc>
          <w:tcPr>
            <w:tcW w:w="1072" w:type="dxa"/>
            <w:tcBorders>
              <w:top w:val="nil"/>
              <w:left w:val="nil"/>
              <w:bottom w:val="single" w:sz="4" w:space="0" w:color="auto"/>
              <w:right w:val="single" w:sz="4" w:space="0" w:color="auto"/>
            </w:tcBorders>
            <w:noWrap/>
            <w:vAlign w:val="center"/>
            <w:hideMark/>
          </w:tcPr>
          <w:p w14:paraId="44E04FD5"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sz w:val="18"/>
                <w:szCs w:val="18"/>
                <w:lang w:eastAsia="es-CO"/>
              </w:rPr>
              <w:t>2.579.171</w:t>
            </w:r>
          </w:p>
        </w:tc>
        <w:tc>
          <w:tcPr>
            <w:tcW w:w="1365" w:type="dxa"/>
            <w:tcBorders>
              <w:top w:val="nil"/>
              <w:left w:val="nil"/>
              <w:bottom w:val="single" w:sz="4" w:space="0" w:color="auto"/>
              <w:right w:val="single" w:sz="4" w:space="0" w:color="auto"/>
            </w:tcBorders>
            <w:noWrap/>
            <w:vAlign w:val="center"/>
            <w:hideMark/>
          </w:tcPr>
          <w:p w14:paraId="6C636A94"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 xml:space="preserve"> SGP-34-2019 </w:t>
            </w:r>
          </w:p>
        </w:tc>
        <w:tc>
          <w:tcPr>
            <w:tcW w:w="1080" w:type="dxa"/>
            <w:tcBorders>
              <w:top w:val="nil"/>
              <w:left w:val="nil"/>
              <w:bottom w:val="single" w:sz="4" w:space="0" w:color="auto"/>
              <w:right w:val="single" w:sz="4" w:space="0" w:color="auto"/>
            </w:tcBorders>
            <w:noWrap/>
            <w:vAlign w:val="center"/>
            <w:hideMark/>
          </w:tcPr>
          <w:p w14:paraId="3CFCA58E"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Excede</w:t>
            </w:r>
          </w:p>
        </w:tc>
        <w:tc>
          <w:tcPr>
            <w:tcW w:w="954" w:type="dxa"/>
            <w:tcBorders>
              <w:top w:val="nil"/>
              <w:left w:val="nil"/>
              <w:bottom w:val="single" w:sz="4" w:space="0" w:color="auto"/>
              <w:right w:val="single" w:sz="4" w:space="0" w:color="auto"/>
            </w:tcBorders>
            <w:noWrap/>
            <w:vAlign w:val="center"/>
            <w:hideMark/>
          </w:tcPr>
          <w:p w14:paraId="436800BE"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239.251</w:t>
            </w:r>
          </w:p>
        </w:tc>
        <w:tc>
          <w:tcPr>
            <w:tcW w:w="987" w:type="dxa"/>
            <w:gridSpan w:val="2"/>
            <w:tcBorders>
              <w:top w:val="nil"/>
              <w:left w:val="nil"/>
              <w:bottom w:val="single" w:sz="4" w:space="0" w:color="auto"/>
              <w:right w:val="single" w:sz="4" w:space="0" w:color="auto"/>
            </w:tcBorders>
            <w:noWrap/>
            <w:vAlign w:val="center"/>
            <w:hideMark/>
          </w:tcPr>
          <w:p w14:paraId="07F14FCB" w14:textId="77777777" w:rsidR="00273288" w:rsidRPr="00E33DE3" w:rsidRDefault="00273288" w:rsidP="00C65B25">
            <w:pPr>
              <w:jc w:val="right"/>
              <w:rPr>
                <w:rFonts w:ascii="Verdana" w:eastAsia="Times New Roman" w:hAnsi="Verdana" w:cs="Arial"/>
                <w:color w:val="000000"/>
                <w:sz w:val="18"/>
                <w:szCs w:val="18"/>
                <w:highlight w:val="yellow"/>
                <w:lang w:val="es-CO" w:eastAsia="es-CO"/>
              </w:rPr>
            </w:pPr>
            <w:r w:rsidRPr="00E33DE3">
              <w:rPr>
                <w:rFonts w:ascii="Verdana" w:eastAsia="Times New Roman" w:hAnsi="Verdana" w:cs="Arial"/>
                <w:color w:val="000000" w:themeColor="text1"/>
                <w:sz w:val="18"/>
                <w:szCs w:val="18"/>
                <w:lang w:val="es-CO" w:eastAsia="es-CO"/>
              </w:rPr>
              <w:t>64.837.021</w:t>
            </w:r>
          </w:p>
        </w:tc>
      </w:tr>
      <w:tr w:rsidR="00273288" w:rsidRPr="00E33DE3" w14:paraId="46DB803C" w14:textId="77777777" w:rsidTr="00273288">
        <w:trPr>
          <w:trHeight w:val="557"/>
        </w:trPr>
        <w:tc>
          <w:tcPr>
            <w:tcW w:w="598" w:type="dxa"/>
            <w:tcBorders>
              <w:top w:val="nil"/>
              <w:left w:val="single" w:sz="4" w:space="0" w:color="auto"/>
              <w:bottom w:val="single" w:sz="4" w:space="0" w:color="auto"/>
              <w:right w:val="single" w:sz="4" w:space="0" w:color="auto"/>
            </w:tcBorders>
            <w:vAlign w:val="center"/>
            <w:hideMark/>
          </w:tcPr>
          <w:p w14:paraId="3717CFE1"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2020</w:t>
            </w:r>
          </w:p>
        </w:tc>
        <w:tc>
          <w:tcPr>
            <w:tcW w:w="1056" w:type="dxa"/>
            <w:tcBorders>
              <w:top w:val="nil"/>
              <w:left w:val="nil"/>
              <w:bottom w:val="single" w:sz="4" w:space="0" w:color="auto"/>
              <w:right w:val="single" w:sz="4" w:space="0" w:color="auto"/>
            </w:tcBorders>
            <w:vAlign w:val="center"/>
            <w:hideMark/>
          </w:tcPr>
          <w:p w14:paraId="278EA99B"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20201849</w:t>
            </w:r>
          </w:p>
        </w:tc>
        <w:tc>
          <w:tcPr>
            <w:tcW w:w="893" w:type="dxa"/>
            <w:tcBorders>
              <w:top w:val="nil"/>
              <w:left w:val="nil"/>
              <w:bottom w:val="single" w:sz="4" w:space="0" w:color="auto"/>
              <w:right w:val="single" w:sz="4" w:space="0" w:color="auto"/>
            </w:tcBorders>
            <w:vAlign w:val="center"/>
            <w:hideMark/>
          </w:tcPr>
          <w:p w14:paraId="270D61FF"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Primaria</w:t>
            </w:r>
          </w:p>
        </w:tc>
        <w:tc>
          <w:tcPr>
            <w:tcW w:w="791" w:type="dxa"/>
            <w:tcBorders>
              <w:top w:val="nil"/>
              <w:left w:val="nil"/>
              <w:bottom w:val="single" w:sz="4" w:space="0" w:color="auto"/>
              <w:right w:val="single" w:sz="4" w:space="0" w:color="auto"/>
            </w:tcBorders>
            <w:vAlign w:val="center"/>
            <w:hideMark/>
          </w:tcPr>
          <w:p w14:paraId="47754070"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 xml:space="preserve">Urbana </w:t>
            </w:r>
          </w:p>
        </w:tc>
        <w:tc>
          <w:tcPr>
            <w:tcW w:w="1019" w:type="dxa"/>
            <w:tcBorders>
              <w:top w:val="nil"/>
              <w:left w:val="nil"/>
              <w:bottom w:val="single" w:sz="4" w:space="0" w:color="auto"/>
              <w:right w:val="single" w:sz="4" w:space="0" w:color="auto"/>
            </w:tcBorders>
            <w:vAlign w:val="center"/>
            <w:hideMark/>
          </w:tcPr>
          <w:p w14:paraId="7835E97E"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269</w:t>
            </w:r>
          </w:p>
        </w:tc>
        <w:tc>
          <w:tcPr>
            <w:tcW w:w="1081" w:type="dxa"/>
            <w:tcBorders>
              <w:top w:val="nil"/>
              <w:left w:val="nil"/>
              <w:bottom w:val="single" w:sz="4" w:space="0" w:color="auto"/>
              <w:right w:val="single" w:sz="4" w:space="0" w:color="auto"/>
            </w:tcBorders>
            <w:noWrap/>
            <w:vAlign w:val="center"/>
            <w:hideMark/>
          </w:tcPr>
          <w:p w14:paraId="474B7AB0"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sz w:val="18"/>
                <w:szCs w:val="18"/>
                <w:lang w:eastAsia="es-CO"/>
              </w:rPr>
              <w:t>2.782.644</w:t>
            </w:r>
          </w:p>
        </w:tc>
        <w:tc>
          <w:tcPr>
            <w:tcW w:w="1072" w:type="dxa"/>
            <w:tcBorders>
              <w:top w:val="nil"/>
              <w:left w:val="nil"/>
              <w:bottom w:val="single" w:sz="4" w:space="0" w:color="auto"/>
              <w:right w:val="single" w:sz="4" w:space="0" w:color="auto"/>
            </w:tcBorders>
            <w:noWrap/>
            <w:vAlign w:val="center"/>
            <w:hideMark/>
          </w:tcPr>
          <w:p w14:paraId="35AE8BC7"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sz w:val="18"/>
                <w:szCs w:val="18"/>
                <w:lang w:eastAsia="es-CO"/>
              </w:rPr>
              <w:t>2.579.171</w:t>
            </w:r>
          </w:p>
        </w:tc>
        <w:tc>
          <w:tcPr>
            <w:tcW w:w="1365" w:type="dxa"/>
            <w:tcBorders>
              <w:top w:val="nil"/>
              <w:left w:val="nil"/>
              <w:bottom w:val="single" w:sz="4" w:space="0" w:color="auto"/>
              <w:right w:val="single" w:sz="4" w:space="0" w:color="auto"/>
            </w:tcBorders>
            <w:noWrap/>
            <w:vAlign w:val="center"/>
            <w:hideMark/>
          </w:tcPr>
          <w:p w14:paraId="043522F8"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 xml:space="preserve"> SGP-40-2020 </w:t>
            </w:r>
          </w:p>
        </w:tc>
        <w:tc>
          <w:tcPr>
            <w:tcW w:w="1080" w:type="dxa"/>
            <w:tcBorders>
              <w:top w:val="nil"/>
              <w:left w:val="nil"/>
              <w:bottom w:val="single" w:sz="4" w:space="0" w:color="auto"/>
              <w:right w:val="single" w:sz="4" w:space="0" w:color="auto"/>
            </w:tcBorders>
            <w:noWrap/>
            <w:vAlign w:val="center"/>
            <w:hideMark/>
          </w:tcPr>
          <w:p w14:paraId="058B3720"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Excede</w:t>
            </w:r>
          </w:p>
        </w:tc>
        <w:tc>
          <w:tcPr>
            <w:tcW w:w="954" w:type="dxa"/>
            <w:tcBorders>
              <w:top w:val="nil"/>
              <w:left w:val="nil"/>
              <w:bottom w:val="single" w:sz="4" w:space="0" w:color="auto"/>
              <w:right w:val="single" w:sz="4" w:space="0" w:color="auto"/>
            </w:tcBorders>
            <w:noWrap/>
            <w:vAlign w:val="center"/>
            <w:hideMark/>
          </w:tcPr>
          <w:p w14:paraId="48CE6E7D"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203.473</w:t>
            </w:r>
          </w:p>
        </w:tc>
        <w:tc>
          <w:tcPr>
            <w:tcW w:w="987" w:type="dxa"/>
            <w:gridSpan w:val="2"/>
            <w:tcBorders>
              <w:top w:val="nil"/>
              <w:left w:val="nil"/>
              <w:bottom w:val="single" w:sz="4" w:space="0" w:color="auto"/>
              <w:right w:val="single" w:sz="4" w:space="0" w:color="auto"/>
            </w:tcBorders>
            <w:noWrap/>
            <w:vAlign w:val="center"/>
            <w:hideMark/>
          </w:tcPr>
          <w:p w14:paraId="32717D2A"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54.734.237</w:t>
            </w:r>
          </w:p>
        </w:tc>
      </w:tr>
      <w:tr w:rsidR="00273288" w:rsidRPr="00E33DE3" w14:paraId="53BEC2BB" w14:textId="77777777" w:rsidTr="00273288">
        <w:trPr>
          <w:trHeight w:val="557"/>
        </w:trPr>
        <w:tc>
          <w:tcPr>
            <w:tcW w:w="598" w:type="dxa"/>
            <w:tcBorders>
              <w:top w:val="nil"/>
              <w:left w:val="single" w:sz="4" w:space="0" w:color="auto"/>
              <w:bottom w:val="single" w:sz="4" w:space="0" w:color="auto"/>
              <w:right w:val="single" w:sz="4" w:space="0" w:color="auto"/>
            </w:tcBorders>
            <w:vAlign w:val="center"/>
            <w:hideMark/>
          </w:tcPr>
          <w:p w14:paraId="6DD35EAD"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2021</w:t>
            </w:r>
          </w:p>
        </w:tc>
        <w:tc>
          <w:tcPr>
            <w:tcW w:w="1056" w:type="dxa"/>
            <w:tcBorders>
              <w:top w:val="nil"/>
              <w:left w:val="nil"/>
              <w:bottom w:val="single" w:sz="4" w:space="0" w:color="auto"/>
              <w:right w:val="single" w:sz="4" w:space="0" w:color="auto"/>
            </w:tcBorders>
            <w:vAlign w:val="center"/>
            <w:hideMark/>
          </w:tcPr>
          <w:p w14:paraId="60E40DBA"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20211447</w:t>
            </w:r>
          </w:p>
        </w:tc>
        <w:tc>
          <w:tcPr>
            <w:tcW w:w="893" w:type="dxa"/>
            <w:tcBorders>
              <w:top w:val="nil"/>
              <w:left w:val="nil"/>
              <w:bottom w:val="single" w:sz="4" w:space="0" w:color="auto"/>
              <w:right w:val="single" w:sz="4" w:space="0" w:color="auto"/>
            </w:tcBorders>
            <w:vAlign w:val="center"/>
            <w:hideMark/>
          </w:tcPr>
          <w:p w14:paraId="27EF9494"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Primaria</w:t>
            </w:r>
          </w:p>
        </w:tc>
        <w:tc>
          <w:tcPr>
            <w:tcW w:w="791" w:type="dxa"/>
            <w:tcBorders>
              <w:top w:val="nil"/>
              <w:left w:val="nil"/>
              <w:bottom w:val="single" w:sz="4" w:space="0" w:color="auto"/>
              <w:right w:val="single" w:sz="4" w:space="0" w:color="auto"/>
            </w:tcBorders>
            <w:vAlign w:val="center"/>
            <w:hideMark/>
          </w:tcPr>
          <w:p w14:paraId="2D23BCD8"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 xml:space="preserve">Urbana </w:t>
            </w:r>
          </w:p>
        </w:tc>
        <w:tc>
          <w:tcPr>
            <w:tcW w:w="1019" w:type="dxa"/>
            <w:tcBorders>
              <w:top w:val="nil"/>
              <w:left w:val="nil"/>
              <w:bottom w:val="single" w:sz="4" w:space="0" w:color="auto"/>
              <w:right w:val="single" w:sz="4" w:space="0" w:color="auto"/>
            </w:tcBorders>
            <w:vAlign w:val="center"/>
            <w:hideMark/>
          </w:tcPr>
          <w:p w14:paraId="4F108475"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258</w:t>
            </w:r>
          </w:p>
        </w:tc>
        <w:tc>
          <w:tcPr>
            <w:tcW w:w="1081" w:type="dxa"/>
            <w:tcBorders>
              <w:top w:val="nil"/>
              <w:left w:val="nil"/>
              <w:bottom w:val="single" w:sz="4" w:space="0" w:color="auto"/>
              <w:right w:val="single" w:sz="4" w:space="0" w:color="auto"/>
            </w:tcBorders>
            <w:noWrap/>
            <w:vAlign w:val="center"/>
            <w:hideMark/>
          </w:tcPr>
          <w:p w14:paraId="47B65C1D"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eastAsia="es-CO"/>
              </w:rPr>
              <w:t>2.782.644</w:t>
            </w:r>
          </w:p>
        </w:tc>
        <w:tc>
          <w:tcPr>
            <w:tcW w:w="1072" w:type="dxa"/>
            <w:tcBorders>
              <w:top w:val="nil"/>
              <w:left w:val="nil"/>
              <w:bottom w:val="single" w:sz="4" w:space="0" w:color="auto"/>
              <w:right w:val="single" w:sz="4" w:space="0" w:color="auto"/>
            </w:tcBorders>
            <w:noWrap/>
            <w:vAlign w:val="center"/>
            <w:hideMark/>
          </w:tcPr>
          <w:p w14:paraId="39F895AF"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eastAsia="es-CO"/>
              </w:rPr>
              <w:t>2.579.171</w:t>
            </w:r>
          </w:p>
        </w:tc>
        <w:tc>
          <w:tcPr>
            <w:tcW w:w="1365" w:type="dxa"/>
            <w:tcBorders>
              <w:top w:val="nil"/>
              <w:left w:val="nil"/>
              <w:bottom w:val="single" w:sz="4" w:space="0" w:color="auto"/>
              <w:right w:val="single" w:sz="4" w:space="0" w:color="auto"/>
            </w:tcBorders>
            <w:noWrap/>
            <w:vAlign w:val="center"/>
            <w:hideMark/>
          </w:tcPr>
          <w:p w14:paraId="1093298D"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 xml:space="preserve"> SGP-53-2021 </w:t>
            </w:r>
          </w:p>
        </w:tc>
        <w:tc>
          <w:tcPr>
            <w:tcW w:w="1080" w:type="dxa"/>
            <w:tcBorders>
              <w:top w:val="nil"/>
              <w:left w:val="nil"/>
              <w:bottom w:val="single" w:sz="4" w:space="0" w:color="auto"/>
              <w:right w:val="single" w:sz="4" w:space="0" w:color="auto"/>
            </w:tcBorders>
            <w:noWrap/>
            <w:vAlign w:val="center"/>
            <w:hideMark/>
          </w:tcPr>
          <w:p w14:paraId="78ADCAEE"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Excede</w:t>
            </w:r>
          </w:p>
        </w:tc>
        <w:tc>
          <w:tcPr>
            <w:tcW w:w="954" w:type="dxa"/>
            <w:tcBorders>
              <w:top w:val="nil"/>
              <w:left w:val="nil"/>
              <w:bottom w:val="single" w:sz="4" w:space="0" w:color="auto"/>
              <w:right w:val="single" w:sz="4" w:space="0" w:color="auto"/>
            </w:tcBorders>
            <w:noWrap/>
            <w:vAlign w:val="center"/>
            <w:hideMark/>
          </w:tcPr>
          <w:p w14:paraId="3E4EFBF4"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203.473</w:t>
            </w:r>
          </w:p>
        </w:tc>
        <w:tc>
          <w:tcPr>
            <w:tcW w:w="987" w:type="dxa"/>
            <w:gridSpan w:val="2"/>
            <w:tcBorders>
              <w:top w:val="nil"/>
              <w:left w:val="nil"/>
              <w:bottom w:val="single" w:sz="4" w:space="0" w:color="auto"/>
              <w:right w:val="single" w:sz="4" w:space="0" w:color="auto"/>
            </w:tcBorders>
            <w:noWrap/>
            <w:vAlign w:val="center"/>
            <w:hideMark/>
          </w:tcPr>
          <w:p w14:paraId="7724A444"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52.496.034</w:t>
            </w:r>
          </w:p>
        </w:tc>
      </w:tr>
      <w:tr w:rsidR="00273288" w:rsidRPr="00E33DE3" w14:paraId="2ADC1209" w14:textId="77777777" w:rsidTr="00273288">
        <w:trPr>
          <w:trHeight w:val="157"/>
        </w:trPr>
        <w:tc>
          <w:tcPr>
            <w:tcW w:w="9923" w:type="dxa"/>
            <w:gridSpan w:val="11"/>
            <w:tcBorders>
              <w:top w:val="single" w:sz="4" w:space="0" w:color="auto"/>
              <w:left w:val="single" w:sz="4" w:space="0" w:color="auto"/>
              <w:bottom w:val="single" w:sz="4" w:space="0" w:color="auto"/>
              <w:right w:val="single" w:sz="4" w:space="0" w:color="auto"/>
            </w:tcBorders>
            <w:shd w:val="clear" w:color="auto" w:fill="B48C41"/>
            <w:noWrap/>
            <w:vAlign w:val="center"/>
            <w:hideMark/>
          </w:tcPr>
          <w:p w14:paraId="58416DDA"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TOTAL</w:t>
            </w:r>
          </w:p>
        </w:tc>
        <w:tc>
          <w:tcPr>
            <w:tcW w:w="973" w:type="dxa"/>
            <w:tcBorders>
              <w:top w:val="nil"/>
              <w:left w:val="single" w:sz="4" w:space="0" w:color="auto"/>
              <w:bottom w:val="single" w:sz="4" w:space="0" w:color="auto"/>
              <w:right w:val="single" w:sz="4" w:space="0" w:color="auto"/>
            </w:tcBorders>
            <w:shd w:val="clear" w:color="auto" w:fill="B48C41"/>
            <w:vAlign w:val="center"/>
            <w:hideMark/>
          </w:tcPr>
          <w:p w14:paraId="61202FF1" w14:textId="77777777" w:rsidR="00273288" w:rsidRPr="00E33DE3" w:rsidRDefault="00273288" w:rsidP="00C65B25">
            <w:pPr>
              <w:jc w:val="right"/>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 xml:space="preserve"> 172.067.292 </w:t>
            </w:r>
          </w:p>
        </w:tc>
      </w:tr>
    </w:tbl>
    <w:p w14:paraId="57ACA2CF" w14:textId="77777777" w:rsidR="00273288" w:rsidRPr="00E33DE3" w:rsidRDefault="00273288" w:rsidP="00C65B25">
      <w:pPr>
        <w:jc w:val="center"/>
        <w:rPr>
          <w:rFonts w:ascii="Verdana" w:hAnsi="Verdana" w:cs="Arial"/>
          <w:sz w:val="18"/>
          <w:szCs w:val="18"/>
        </w:rPr>
      </w:pPr>
      <w:r w:rsidRPr="00E33DE3">
        <w:rPr>
          <w:rFonts w:ascii="Verdana" w:hAnsi="Verdana" w:cs="Arial"/>
          <w:sz w:val="18"/>
          <w:szCs w:val="18"/>
        </w:rPr>
        <w:t>Fuente: elaboración propia con información reportada en FUC.</w:t>
      </w:r>
    </w:p>
    <w:p w14:paraId="14EEBA3D" w14:textId="77777777" w:rsidR="00273288" w:rsidRPr="00E33DE3" w:rsidRDefault="00273288" w:rsidP="00C65B25">
      <w:pPr>
        <w:jc w:val="both"/>
        <w:rPr>
          <w:rFonts w:ascii="Verdana" w:hAnsi="Verdana" w:cs="Arial"/>
          <w:sz w:val="22"/>
          <w:szCs w:val="22"/>
        </w:rPr>
      </w:pPr>
    </w:p>
    <w:p w14:paraId="256B843D"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xml:space="preserve">Ahora bien, con base en el anexo 6A se determinó que el Municipio atendió bajo la modalidad de contratación para la prestación del servicio educativo a 281 estudiantes de 1º a 5º en la vigencia 2019 en el Liceo Integrado de la Universidad de Nariño, mediante el contrato No. 20191495 de 2019; así, teniendo en cuenta que el valor máximo de la tipología para primaria era de $2.579.171 pesos y el valor contratado por alumno en el mismo año fue de por $2.818.422 pesos, se evidencia que este último supera la tipología asignada para dicho nivel en $239.251 pesos por estudiante, es decir, se presentó un sobrecosto de </w:t>
      </w:r>
      <w:r w:rsidRPr="00E33DE3">
        <w:rPr>
          <w:rFonts w:ascii="Verdana" w:hAnsi="Verdana" w:cs="Arial"/>
          <w:sz w:val="22"/>
          <w:szCs w:val="22"/>
          <w:shd w:val="clear" w:color="auto" w:fill="FFFFFF" w:themeFill="background1"/>
        </w:rPr>
        <w:t>$67.229.521 pesos, valor que debió s</w:t>
      </w:r>
      <w:r w:rsidRPr="00E33DE3">
        <w:rPr>
          <w:rFonts w:ascii="Verdana" w:hAnsi="Verdana" w:cs="Arial"/>
          <w:sz w:val="22"/>
          <w:szCs w:val="22"/>
        </w:rPr>
        <w:t>er financiado con recursos propios del Municipio en la vigencia 2019.</w:t>
      </w:r>
    </w:p>
    <w:p w14:paraId="28BCD5FA" w14:textId="77777777" w:rsidR="00273288" w:rsidRPr="00E33DE3" w:rsidRDefault="00273288" w:rsidP="00C65B25">
      <w:pPr>
        <w:jc w:val="both"/>
        <w:rPr>
          <w:rFonts w:ascii="Verdana" w:hAnsi="Verdana" w:cs="Arial"/>
          <w:sz w:val="22"/>
          <w:szCs w:val="22"/>
        </w:rPr>
      </w:pPr>
    </w:p>
    <w:p w14:paraId="6F69AC0A"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xml:space="preserve">De conformidad con la ejecución presupuestal suministrada por la Entidad Territorial y la información reportada en la categoría de Gastos de Inversión del FUT, no se evidencian compromisos en el rubro de contratación del servicio con cargo a fuentes distintas al Sistema General de Participaciones, salvo por $412 millones para contratación de jóvenes y adultos en 2019 y $219 millones para administración del servicio en 2020. No obstante, los registros presupuestales que amparan los referidos contratos se expidieron con cargo al SGP – Educación. Así, la entidad territorial deberá reinvertir en el sector educativo los $67 millones mencionados en el párrafo anterior. </w:t>
      </w:r>
    </w:p>
    <w:p w14:paraId="43F9DBC4" w14:textId="77777777" w:rsidR="00273288" w:rsidRPr="00E33DE3" w:rsidRDefault="00273288" w:rsidP="00C65B25">
      <w:pPr>
        <w:jc w:val="both"/>
        <w:rPr>
          <w:rFonts w:ascii="Verdana" w:hAnsi="Verdana" w:cs="Arial"/>
          <w:sz w:val="22"/>
          <w:szCs w:val="22"/>
        </w:rPr>
      </w:pPr>
    </w:p>
    <w:p w14:paraId="6370C9D7"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xml:space="preserve">Para la vigencia 2020, el valor pactado a pagar por alumno en el contrato No. 20201849 ($2.782.644 pesos) fue superior a la tipología asignada para el nivel de primaria ($2.579.171 pesos) en $203.473 por estudiante, por lo que el </w:t>
      </w:r>
      <w:r w:rsidRPr="00E33DE3">
        <w:rPr>
          <w:rFonts w:ascii="Verdana" w:hAnsi="Verdana" w:cs="Arial"/>
          <w:sz w:val="22"/>
          <w:szCs w:val="22"/>
        </w:rPr>
        <w:lastRenderedPageBreak/>
        <w:t xml:space="preserve">sobrecosto ascendió a $54.734.120 pesos, pues dada la revisión del proceso contractual en SECOP no se encontraron documentos que sugirieran un descuento en el mismo y/o modificación a lo pactado. </w:t>
      </w:r>
    </w:p>
    <w:p w14:paraId="78FC1C90" w14:textId="77777777" w:rsidR="00273288" w:rsidRPr="00E33DE3" w:rsidRDefault="00273288" w:rsidP="00C65B25">
      <w:pPr>
        <w:jc w:val="both"/>
        <w:rPr>
          <w:rFonts w:ascii="Verdana" w:hAnsi="Verdana" w:cs="Arial"/>
          <w:sz w:val="22"/>
          <w:szCs w:val="22"/>
        </w:rPr>
      </w:pPr>
    </w:p>
    <w:p w14:paraId="7AE0A9E2"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Así mismo, para la vigencia 2021, el valor pactado a pagar por alumno en el contrato No. 20211447 fue superior a la tipología asignada para el nivel de primaria en $203.473 por estudiante, por lo que el sobrecosto del contrato fue de $52.496.034, los cuales, sumados al sobrecosto del contrato No. 20191495 de 2019 por $67.229.521 y al sobrecosto del contrato No. 20201849 del 2020 por $54.734.120 da un total de $174.459.675 pesos que debe restituir el Municipio de Pasto realizando inversiones con fuentes diferentes al SGP, en gastos diferentes a nómina y gasto administrativo..</w:t>
      </w:r>
    </w:p>
    <w:p w14:paraId="17E240C2" w14:textId="77777777" w:rsidR="00273288" w:rsidRPr="00E33DE3" w:rsidRDefault="00273288" w:rsidP="00C65B25">
      <w:pPr>
        <w:jc w:val="both"/>
        <w:rPr>
          <w:rFonts w:ascii="Verdana" w:hAnsi="Verdana" w:cs="Arial"/>
          <w:sz w:val="22"/>
          <w:szCs w:val="22"/>
        </w:rPr>
      </w:pPr>
    </w:p>
    <w:p w14:paraId="5DDB1D7A" w14:textId="77777777" w:rsidR="00273288" w:rsidRPr="00E33DE3" w:rsidRDefault="00273288" w:rsidP="00C65B25">
      <w:pPr>
        <w:pStyle w:val="Sinespaciado"/>
        <w:jc w:val="both"/>
        <w:rPr>
          <w:rFonts w:ascii="Verdana" w:hAnsi="Verdana" w:cs="Arial"/>
        </w:rPr>
      </w:pPr>
      <w:r w:rsidRPr="00E33DE3">
        <w:rPr>
          <w:rFonts w:ascii="Verdana" w:hAnsi="Verdana" w:cs="Arial"/>
        </w:rPr>
        <w:t xml:space="preserve">Adicionalmente, esta problemática también se evidencia en los contratos de prestación de servicio educativo para estudiantes adultos con Necesidades Educativas Especiales suscritos por el Municipio de Pasto con la Fundación Huellas para la Vida durante las vigencias 2018 – 2022, en los cuales se observó un reiterado exceso en el valor límite de la tipología por estudiante o adulto atendido de acuerdo con los documentos de distribución SGP-24-2018, SGP-34-2019, SGP-40-2020, SGP-53-2021 y SGP-63-2022 como se detalla a continuación (cifras en pesos): </w:t>
      </w:r>
    </w:p>
    <w:p w14:paraId="3A06CAB4" w14:textId="77777777" w:rsidR="00273288" w:rsidRPr="00E33DE3" w:rsidRDefault="00273288" w:rsidP="00C65B25">
      <w:pPr>
        <w:pStyle w:val="Sinespaciado"/>
        <w:jc w:val="both"/>
        <w:rPr>
          <w:rFonts w:ascii="Verdana" w:hAnsi="Verdana" w:cs="Arial"/>
        </w:rPr>
      </w:pPr>
    </w:p>
    <w:tbl>
      <w:tblPr>
        <w:tblW w:w="5948" w:type="pct"/>
        <w:tblInd w:w="-861" w:type="dxa"/>
        <w:tblCellMar>
          <w:left w:w="70" w:type="dxa"/>
          <w:right w:w="70" w:type="dxa"/>
        </w:tblCellMar>
        <w:tblLook w:val="04A0" w:firstRow="1" w:lastRow="0" w:firstColumn="1" w:lastColumn="0" w:noHBand="0" w:noVBand="1"/>
      </w:tblPr>
      <w:tblGrid>
        <w:gridCol w:w="1957"/>
        <w:gridCol w:w="1389"/>
        <w:gridCol w:w="1364"/>
        <w:gridCol w:w="1387"/>
        <w:gridCol w:w="1418"/>
        <w:gridCol w:w="1414"/>
        <w:gridCol w:w="1561"/>
      </w:tblGrid>
      <w:tr w:rsidR="00B4695D" w:rsidRPr="00E33DE3" w14:paraId="42F81047" w14:textId="77777777" w:rsidTr="00B4695D">
        <w:trPr>
          <w:trHeight w:val="17"/>
          <w:tblHeader/>
        </w:trPr>
        <w:tc>
          <w:tcPr>
            <w:tcW w:w="933" w:type="pct"/>
            <w:tcBorders>
              <w:top w:val="single" w:sz="8" w:space="0" w:color="auto"/>
              <w:left w:val="single" w:sz="8" w:space="0" w:color="auto"/>
              <w:bottom w:val="single" w:sz="4" w:space="0" w:color="auto"/>
              <w:right w:val="single" w:sz="8" w:space="0" w:color="auto"/>
            </w:tcBorders>
            <w:shd w:val="clear" w:color="auto" w:fill="B48C41"/>
            <w:noWrap/>
            <w:vAlign w:val="center"/>
            <w:hideMark/>
          </w:tcPr>
          <w:p w14:paraId="319B3F1F" w14:textId="77777777" w:rsidR="00273288" w:rsidRPr="00E33DE3" w:rsidRDefault="00273288" w:rsidP="00C65B25">
            <w:pP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Año</w:t>
            </w:r>
          </w:p>
        </w:tc>
        <w:tc>
          <w:tcPr>
            <w:tcW w:w="1312" w:type="pct"/>
            <w:gridSpan w:val="2"/>
            <w:tcBorders>
              <w:top w:val="single" w:sz="8" w:space="0" w:color="auto"/>
              <w:left w:val="nil"/>
              <w:bottom w:val="single" w:sz="4" w:space="0" w:color="auto"/>
              <w:right w:val="single" w:sz="8" w:space="0" w:color="000000" w:themeColor="text1"/>
            </w:tcBorders>
            <w:shd w:val="clear" w:color="auto" w:fill="B48C41"/>
            <w:noWrap/>
            <w:vAlign w:val="center"/>
            <w:hideMark/>
          </w:tcPr>
          <w:p w14:paraId="2BD15909"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2018</w:t>
            </w:r>
          </w:p>
        </w:tc>
        <w:tc>
          <w:tcPr>
            <w:tcW w:w="1337" w:type="pct"/>
            <w:gridSpan w:val="2"/>
            <w:tcBorders>
              <w:top w:val="single" w:sz="8" w:space="0" w:color="auto"/>
              <w:left w:val="nil"/>
              <w:bottom w:val="single" w:sz="4" w:space="0" w:color="auto"/>
              <w:right w:val="single" w:sz="8" w:space="0" w:color="000000" w:themeColor="text1"/>
            </w:tcBorders>
            <w:shd w:val="clear" w:color="auto" w:fill="B48C41"/>
            <w:noWrap/>
            <w:vAlign w:val="center"/>
            <w:hideMark/>
          </w:tcPr>
          <w:p w14:paraId="195180C5"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2020</w:t>
            </w:r>
          </w:p>
        </w:tc>
        <w:tc>
          <w:tcPr>
            <w:tcW w:w="674" w:type="pct"/>
            <w:tcBorders>
              <w:top w:val="single" w:sz="8" w:space="0" w:color="auto"/>
              <w:left w:val="nil"/>
              <w:bottom w:val="single" w:sz="4" w:space="0" w:color="auto"/>
              <w:right w:val="single" w:sz="8" w:space="0" w:color="auto"/>
            </w:tcBorders>
            <w:shd w:val="clear" w:color="auto" w:fill="B48C41"/>
            <w:noWrap/>
            <w:vAlign w:val="center"/>
            <w:hideMark/>
          </w:tcPr>
          <w:p w14:paraId="66C5B884"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2022</w:t>
            </w:r>
          </w:p>
        </w:tc>
        <w:tc>
          <w:tcPr>
            <w:tcW w:w="744" w:type="pct"/>
            <w:tcBorders>
              <w:top w:val="single" w:sz="8" w:space="0" w:color="auto"/>
              <w:left w:val="nil"/>
              <w:bottom w:val="single" w:sz="4" w:space="0" w:color="auto"/>
              <w:right w:val="single" w:sz="8" w:space="0" w:color="auto"/>
            </w:tcBorders>
            <w:shd w:val="clear" w:color="auto" w:fill="B48C41"/>
            <w:noWrap/>
            <w:vAlign w:val="center"/>
            <w:hideMark/>
          </w:tcPr>
          <w:p w14:paraId="4A448D93"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TOTAL</w:t>
            </w:r>
          </w:p>
        </w:tc>
      </w:tr>
      <w:tr w:rsidR="00B4695D" w:rsidRPr="00E33DE3" w14:paraId="5B82324E" w14:textId="77777777" w:rsidTr="00B4695D">
        <w:trPr>
          <w:trHeight w:val="17"/>
        </w:trPr>
        <w:tc>
          <w:tcPr>
            <w:tcW w:w="933" w:type="pct"/>
            <w:tcBorders>
              <w:top w:val="nil"/>
              <w:left w:val="single" w:sz="8" w:space="0" w:color="auto"/>
              <w:bottom w:val="single" w:sz="4" w:space="0" w:color="auto"/>
              <w:right w:val="single" w:sz="8" w:space="0" w:color="auto"/>
            </w:tcBorders>
            <w:shd w:val="clear" w:color="auto" w:fill="B48C41"/>
            <w:noWrap/>
            <w:vAlign w:val="center"/>
            <w:hideMark/>
          </w:tcPr>
          <w:p w14:paraId="41953F65" w14:textId="77777777" w:rsidR="00273288" w:rsidRPr="00E33DE3" w:rsidRDefault="00273288" w:rsidP="00C65B25">
            <w:pP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Contrato No.</w:t>
            </w:r>
          </w:p>
        </w:tc>
        <w:tc>
          <w:tcPr>
            <w:tcW w:w="662" w:type="pct"/>
            <w:tcBorders>
              <w:top w:val="nil"/>
              <w:left w:val="nil"/>
              <w:bottom w:val="single" w:sz="4" w:space="0" w:color="auto"/>
              <w:right w:val="single" w:sz="4" w:space="0" w:color="auto"/>
            </w:tcBorders>
            <w:noWrap/>
            <w:vAlign w:val="center"/>
            <w:hideMark/>
          </w:tcPr>
          <w:p w14:paraId="15ADEA19"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20181406</w:t>
            </w:r>
          </w:p>
        </w:tc>
        <w:tc>
          <w:tcPr>
            <w:tcW w:w="650" w:type="pct"/>
            <w:tcBorders>
              <w:top w:val="nil"/>
              <w:left w:val="nil"/>
              <w:bottom w:val="single" w:sz="4" w:space="0" w:color="auto"/>
              <w:right w:val="single" w:sz="8" w:space="0" w:color="auto"/>
            </w:tcBorders>
            <w:noWrap/>
            <w:vAlign w:val="center"/>
            <w:hideMark/>
          </w:tcPr>
          <w:p w14:paraId="4BFA83D8"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20191339</w:t>
            </w:r>
          </w:p>
        </w:tc>
        <w:tc>
          <w:tcPr>
            <w:tcW w:w="661" w:type="pct"/>
            <w:tcBorders>
              <w:top w:val="nil"/>
              <w:left w:val="nil"/>
              <w:bottom w:val="single" w:sz="4" w:space="0" w:color="auto"/>
              <w:right w:val="single" w:sz="4" w:space="0" w:color="auto"/>
            </w:tcBorders>
            <w:noWrap/>
            <w:vAlign w:val="center"/>
            <w:hideMark/>
          </w:tcPr>
          <w:p w14:paraId="64A0C93D"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20200728</w:t>
            </w:r>
          </w:p>
        </w:tc>
        <w:tc>
          <w:tcPr>
            <w:tcW w:w="676" w:type="pct"/>
            <w:tcBorders>
              <w:top w:val="nil"/>
              <w:left w:val="nil"/>
              <w:bottom w:val="single" w:sz="4" w:space="0" w:color="auto"/>
              <w:right w:val="single" w:sz="8" w:space="0" w:color="auto"/>
            </w:tcBorders>
            <w:noWrap/>
            <w:vAlign w:val="center"/>
            <w:hideMark/>
          </w:tcPr>
          <w:p w14:paraId="075505DA"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20211328</w:t>
            </w:r>
          </w:p>
        </w:tc>
        <w:tc>
          <w:tcPr>
            <w:tcW w:w="674" w:type="pct"/>
            <w:tcBorders>
              <w:top w:val="nil"/>
              <w:left w:val="nil"/>
              <w:bottom w:val="single" w:sz="4" w:space="0" w:color="auto"/>
              <w:right w:val="single" w:sz="8" w:space="0" w:color="auto"/>
            </w:tcBorders>
            <w:noWrap/>
            <w:vAlign w:val="center"/>
            <w:hideMark/>
          </w:tcPr>
          <w:p w14:paraId="63CE23C1"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20221380</w:t>
            </w:r>
          </w:p>
        </w:tc>
        <w:tc>
          <w:tcPr>
            <w:tcW w:w="744" w:type="pct"/>
            <w:tcBorders>
              <w:top w:val="nil"/>
              <w:left w:val="nil"/>
              <w:bottom w:val="single" w:sz="4" w:space="0" w:color="auto"/>
              <w:right w:val="single" w:sz="8" w:space="0" w:color="auto"/>
            </w:tcBorders>
            <w:noWrap/>
            <w:vAlign w:val="center"/>
            <w:hideMark/>
          </w:tcPr>
          <w:p w14:paraId="763E9FB7"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 </w:t>
            </w:r>
          </w:p>
        </w:tc>
      </w:tr>
      <w:tr w:rsidR="00B4695D" w:rsidRPr="00E33DE3" w14:paraId="02D5EE00" w14:textId="77777777" w:rsidTr="00B4695D">
        <w:trPr>
          <w:trHeight w:val="17"/>
        </w:trPr>
        <w:tc>
          <w:tcPr>
            <w:tcW w:w="933" w:type="pct"/>
            <w:tcBorders>
              <w:top w:val="nil"/>
              <w:left w:val="single" w:sz="8" w:space="0" w:color="auto"/>
              <w:bottom w:val="single" w:sz="4" w:space="0" w:color="auto"/>
              <w:right w:val="single" w:sz="8" w:space="0" w:color="auto"/>
            </w:tcBorders>
            <w:shd w:val="clear" w:color="auto" w:fill="B48C41"/>
            <w:noWrap/>
            <w:vAlign w:val="center"/>
            <w:hideMark/>
          </w:tcPr>
          <w:p w14:paraId="2CD0B9DF" w14:textId="77777777" w:rsidR="00273288" w:rsidRPr="00E33DE3" w:rsidRDefault="00273288" w:rsidP="00C65B25">
            <w:pP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Valor Contrato</w:t>
            </w:r>
          </w:p>
        </w:tc>
        <w:tc>
          <w:tcPr>
            <w:tcW w:w="662" w:type="pct"/>
            <w:tcBorders>
              <w:top w:val="nil"/>
              <w:left w:val="nil"/>
              <w:bottom w:val="single" w:sz="4" w:space="0" w:color="auto"/>
              <w:right w:val="single" w:sz="4" w:space="0" w:color="auto"/>
            </w:tcBorders>
            <w:vAlign w:val="center"/>
            <w:hideMark/>
          </w:tcPr>
          <w:p w14:paraId="5E776A30"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247.942.512</w:t>
            </w:r>
          </w:p>
        </w:tc>
        <w:tc>
          <w:tcPr>
            <w:tcW w:w="650" w:type="pct"/>
            <w:tcBorders>
              <w:top w:val="nil"/>
              <w:left w:val="single" w:sz="8" w:space="0" w:color="auto"/>
              <w:bottom w:val="single" w:sz="4" w:space="0" w:color="auto"/>
              <w:right w:val="single" w:sz="4" w:space="0" w:color="auto"/>
            </w:tcBorders>
            <w:vAlign w:val="center"/>
            <w:hideMark/>
          </w:tcPr>
          <w:p w14:paraId="2631ACE6"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257.860.213</w:t>
            </w:r>
          </w:p>
        </w:tc>
        <w:tc>
          <w:tcPr>
            <w:tcW w:w="661" w:type="pct"/>
            <w:tcBorders>
              <w:top w:val="nil"/>
              <w:left w:val="single" w:sz="8" w:space="0" w:color="auto"/>
              <w:bottom w:val="single" w:sz="4" w:space="0" w:color="auto"/>
              <w:right w:val="single" w:sz="4" w:space="0" w:color="auto"/>
            </w:tcBorders>
            <w:vAlign w:val="center"/>
            <w:hideMark/>
          </w:tcPr>
          <w:p w14:paraId="5AC2B7E3"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278.489.030</w:t>
            </w:r>
          </w:p>
        </w:tc>
        <w:tc>
          <w:tcPr>
            <w:tcW w:w="676" w:type="pct"/>
            <w:tcBorders>
              <w:top w:val="nil"/>
              <w:left w:val="single" w:sz="8" w:space="0" w:color="auto"/>
              <w:bottom w:val="single" w:sz="4" w:space="0" w:color="auto"/>
              <w:right w:val="single" w:sz="4" w:space="0" w:color="auto"/>
            </w:tcBorders>
            <w:vAlign w:val="center"/>
            <w:hideMark/>
          </w:tcPr>
          <w:p w14:paraId="7B15727A"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315.659.271</w:t>
            </w:r>
          </w:p>
        </w:tc>
        <w:tc>
          <w:tcPr>
            <w:tcW w:w="674" w:type="pct"/>
            <w:tcBorders>
              <w:top w:val="nil"/>
              <w:left w:val="single" w:sz="8" w:space="0" w:color="auto"/>
              <w:bottom w:val="single" w:sz="4" w:space="0" w:color="auto"/>
              <w:right w:val="single" w:sz="4" w:space="0" w:color="auto"/>
            </w:tcBorders>
            <w:vAlign w:val="center"/>
            <w:hideMark/>
          </w:tcPr>
          <w:p w14:paraId="00D5AB8F"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272.198.372</w:t>
            </w:r>
          </w:p>
        </w:tc>
        <w:tc>
          <w:tcPr>
            <w:tcW w:w="744" w:type="pct"/>
            <w:tcBorders>
              <w:top w:val="nil"/>
              <w:left w:val="single" w:sz="8" w:space="0" w:color="auto"/>
              <w:bottom w:val="single" w:sz="4" w:space="0" w:color="auto"/>
              <w:right w:val="single" w:sz="4" w:space="0" w:color="auto"/>
            </w:tcBorders>
            <w:vAlign w:val="center"/>
            <w:hideMark/>
          </w:tcPr>
          <w:p w14:paraId="20233C88"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1.372.149.398</w:t>
            </w:r>
          </w:p>
        </w:tc>
      </w:tr>
      <w:tr w:rsidR="00B4695D" w:rsidRPr="00E33DE3" w14:paraId="526C0FE9" w14:textId="77777777" w:rsidTr="00B4695D">
        <w:trPr>
          <w:trHeight w:val="17"/>
        </w:trPr>
        <w:tc>
          <w:tcPr>
            <w:tcW w:w="933" w:type="pct"/>
            <w:tcBorders>
              <w:top w:val="nil"/>
              <w:left w:val="single" w:sz="8" w:space="0" w:color="auto"/>
              <w:bottom w:val="single" w:sz="4" w:space="0" w:color="auto"/>
              <w:right w:val="single" w:sz="8" w:space="0" w:color="auto"/>
            </w:tcBorders>
            <w:shd w:val="clear" w:color="auto" w:fill="B48C41"/>
            <w:noWrap/>
            <w:vAlign w:val="center"/>
            <w:hideMark/>
          </w:tcPr>
          <w:p w14:paraId="641824A4" w14:textId="77777777" w:rsidR="00273288" w:rsidRPr="00E33DE3" w:rsidRDefault="00273288" w:rsidP="00C65B25">
            <w:pP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Tiempo (meses)</w:t>
            </w:r>
          </w:p>
        </w:tc>
        <w:tc>
          <w:tcPr>
            <w:tcW w:w="662" w:type="pct"/>
            <w:tcBorders>
              <w:top w:val="nil"/>
              <w:left w:val="nil"/>
              <w:bottom w:val="single" w:sz="4" w:space="0" w:color="auto"/>
              <w:right w:val="single" w:sz="4" w:space="0" w:color="auto"/>
            </w:tcBorders>
            <w:noWrap/>
            <w:vAlign w:val="center"/>
            <w:hideMark/>
          </w:tcPr>
          <w:p w14:paraId="0D429757"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10,5</w:t>
            </w:r>
          </w:p>
        </w:tc>
        <w:tc>
          <w:tcPr>
            <w:tcW w:w="650" w:type="pct"/>
            <w:tcBorders>
              <w:top w:val="nil"/>
              <w:left w:val="nil"/>
              <w:bottom w:val="single" w:sz="4" w:space="0" w:color="auto"/>
              <w:right w:val="single" w:sz="8" w:space="0" w:color="auto"/>
            </w:tcBorders>
            <w:noWrap/>
            <w:vAlign w:val="center"/>
            <w:hideMark/>
          </w:tcPr>
          <w:p w14:paraId="4EB498AE"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10</w:t>
            </w:r>
          </w:p>
        </w:tc>
        <w:tc>
          <w:tcPr>
            <w:tcW w:w="661" w:type="pct"/>
            <w:tcBorders>
              <w:top w:val="nil"/>
              <w:left w:val="nil"/>
              <w:bottom w:val="single" w:sz="4" w:space="0" w:color="auto"/>
              <w:right w:val="single" w:sz="4" w:space="0" w:color="auto"/>
            </w:tcBorders>
            <w:noWrap/>
            <w:vAlign w:val="center"/>
            <w:hideMark/>
          </w:tcPr>
          <w:p w14:paraId="01522E45"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11</w:t>
            </w:r>
          </w:p>
        </w:tc>
        <w:tc>
          <w:tcPr>
            <w:tcW w:w="676" w:type="pct"/>
            <w:tcBorders>
              <w:top w:val="nil"/>
              <w:left w:val="nil"/>
              <w:bottom w:val="single" w:sz="4" w:space="0" w:color="auto"/>
              <w:right w:val="single" w:sz="8" w:space="0" w:color="auto"/>
            </w:tcBorders>
            <w:noWrap/>
            <w:vAlign w:val="center"/>
            <w:hideMark/>
          </w:tcPr>
          <w:p w14:paraId="48C5C57D"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10</w:t>
            </w:r>
          </w:p>
        </w:tc>
        <w:tc>
          <w:tcPr>
            <w:tcW w:w="674" w:type="pct"/>
            <w:tcBorders>
              <w:top w:val="nil"/>
              <w:left w:val="nil"/>
              <w:bottom w:val="single" w:sz="4" w:space="0" w:color="auto"/>
              <w:right w:val="single" w:sz="8" w:space="0" w:color="auto"/>
            </w:tcBorders>
            <w:noWrap/>
            <w:vAlign w:val="center"/>
            <w:hideMark/>
          </w:tcPr>
          <w:p w14:paraId="66361DA2"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11</w:t>
            </w:r>
          </w:p>
        </w:tc>
        <w:tc>
          <w:tcPr>
            <w:tcW w:w="744" w:type="pct"/>
            <w:tcBorders>
              <w:top w:val="nil"/>
              <w:left w:val="nil"/>
              <w:bottom w:val="single" w:sz="4" w:space="0" w:color="auto"/>
              <w:right w:val="single" w:sz="8" w:space="0" w:color="auto"/>
            </w:tcBorders>
            <w:noWrap/>
            <w:vAlign w:val="center"/>
            <w:hideMark/>
          </w:tcPr>
          <w:p w14:paraId="451BB142"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10,5</w:t>
            </w:r>
          </w:p>
        </w:tc>
      </w:tr>
      <w:tr w:rsidR="00B4695D" w:rsidRPr="00E33DE3" w14:paraId="7CE82B7D" w14:textId="77777777" w:rsidTr="00B4695D">
        <w:trPr>
          <w:trHeight w:val="17"/>
        </w:trPr>
        <w:tc>
          <w:tcPr>
            <w:tcW w:w="933" w:type="pct"/>
            <w:tcBorders>
              <w:top w:val="nil"/>
              <w:left w:val="single" w:sz="8" w:space="0" w:color="auto"/>
              <w:bottom w:val="single" w:sz="4" w:space="0" w:color="auto"/>
              <w:right w:val="single" w:sz="8" w:space="0" w:color="auto"/>
            </w:tcBorders>
            <w:shd w:val="clear" w:color="auto" w:fill="B48C41"/>
            <w:noWrap/>
            <w:vAlign w:val="center"/>
            <w:hideMark/>
          </w:tcPr>
          <w:p w14:paraId="16AB3CCE" w14:textId="77777777" w:rsidR="00273288" w:rsidRPr="00E33DE3" w:rsidRDefault="00273288" w:rsidP="00C65B25">
            <w:pP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Personas</w:t>
            </w:r>
          </w:p>
        </w:tc>
        <w:tc>
          <w:tcPr>
            <w:tcW w:w="662" w:type="pct"/>
            <w:tcBorders>
              <w:top w:val="nil"/>
              <w:left w:val="nil"/>
              <w:bottom w:val="single" w:sz="4" w:space="0" w:color="auto"/>
              <w:right w:val="single" w:sz="4" w:space="0" w:color="auto"/>
            </w:tcBorders>
            <w:noWrap/>
            <w:vAlign w:val="center"/>
            <w:hideMark/>
          </w:tcPr>
          <w:p w14:paraId="42487889"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103</w:t>
            </w:r>
          </w:p>
        </w:tc>
        <w:tc>
          <w:tcPr>
            <w:tcW w:w="650" w:type="pct"/>
            <w:tcBorders>
              <w:top w:val="nil"/>
              <w:left w:val="nil"/>
              <w:bottom w:val="single" w:sz="4" w:space="0" w:color="auto"/>
              <w:right w:val="single" w:sz="8" w:space="0" w:color="auto"/>
            </w:tcBorders>
            <w:noWrap/>
            <w:vAlign w:val="center"/>
            <w:hideMark/>
          </w:tcPr>
          <w:p w14:paraId="71450778"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103</w:t>
            </w:r>
          </w:p>
        </w:tc>
        <w:tc>
          <w:tcPr>
            <w:tcW w:w="661" w:type="pct"/>
            <w:tcBorders>
              <w:top w:val="nil"/>
              <w:left w:val="nil"/>
              <w:bottom w:val="single" w:sz="4" w:space="0" w:color="auto"/>
              <w:right w:val="single" w:sz="4" w:space="0" w:color="auto"/>
            </w:tcBorders>
            <w:noWrap/>
            <w:vAlign w:val="center"/>
            <w:hideMark/>
          </w:tcPr>
          <w:p w14:paraId="003C6F6C"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103</w:t>
            </w:r>
          </w:p>
        </w:tc>
        <w:tc>
          <w:tcPr>
            <w:tcW w:w="676" w:type="pct"/>
            <w:tcBorders>
              <w:top w:val="nil"/>
              <w:left w:val="nil"/>
              <w:bottom w:val="single" w:sz="4" w:space="0" w:color="auto"/>
              <w:right w:val="single" w:sz="8" w:space="0" w:color="auto"/>
            </w:tcBorders>
            <w:noWrap/>
            <w:vAlign w:val="center"/>
            <w:hideMark/>
          </w:tcPr>
          <w:p w14:paraId="298B3A35"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103</w:t>
            </w:r>
          </w:p>
        </w:tc>
        <w:tc>
          <w:tcPr>
            <w:tcW w:w="674" w:type="pct"/>
            <w:tcBorders>
              <w:top w:val="nil"/>
              <w:left w:val="nil"/>
              <w:bottom w:val="single" w:sz="4" w:space="0" w:color="auto"/>
              <w:right w:val="single" w:sz="8" w:space="0" w:color="auto"/>
            </w:tcBorders>
            <w:noWrap/>
            <w:vAlign w:val="center"/>
            <w:hideMark/>
          </w:tcPr>
          <w:p w14:paraId="5D44D108"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103</w:t>
            </w:r>
          </w:p>
        </w:tc>
        <w:tc>
          <w:tcPr>
            <w:tcW w:w="744" w:type="pct"/>
            <w:tcBorders>
              <w:top w:val="nil"/>
              <w:left w:val="nil"/>
              <w:bottom w:val="single" w:sz="4" w:space="0" w:color="auto"/>
              <w:right w:val="single" w:sz="8" w:space="0" w:color="auto"/>
            </w:tcBorders>
            <w:noWrap/>
            <w:vAlign w:val="center"/>
            <w:hideMark/>
          </w:tcPr>
          <w:p w14:paraId="3413F699"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515</w:t>
            </w:r>
          </w:p>
        </w:tc>
      </w:tr>
      <w:tr w:rsidR="00B4695D" w:rsidRPr="00E33DE3" w14:paraId="6B09261B" w14:textId="77777777" w:rsidTr="00B4695D">
        <w:trPr>
          <w:trHeight w:val="17"/>
        </w:trPr>
        <w:tc>
          <w:tcPr>
            <w:tcW w:w="933" w:type="pct"/>
            <w:tcBorders>
              <w:top w:val="nil"/>
              <w:left w:val="single" w:sz="8" w:space="0" w:color="auto"/>
              <w:bottom w:val="single" w:sz="4" w:space="0" w:color="auto"/>
              <w:right w:val="single" w:sz="8" w:space="0" w:color="auto"/>
            </w:tcBorders>
            <w:shd w:val="clear" w:color="auto" w:fill="B48C41"/>
            <w:vAlign w:val="center"/>
            <w:hideMark/>
          </w:tcPr>
          <w:p w14:paraId="71D9476E" w14:textId="77777777" w:rsidR="00273288" w:rsidRPr="00E33DE3" w:rsidRDefault="00273288" w:rsidP="00C65B25">
            <w:pP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Valor por Persona (Contrato)</w:t>
            </w:r>
          </w:p>
        </w:tc>
        <w:tc>
          <w:tcPr>
            <w:tcW w:w="662" w:type="pct"/>
            <w:tcBorders>
              <w:top w:val="nil"/>
              <w:left w:val="nil"/>
              <w:bottom w:val="single" w:sz="4" w:space="0" w:color="auto"/>
              <w:right w:val="single" w:sz="4" w:space="0" w:color="auto"/>
            </w:tcBorders>
            <w:noWrap/>
            <w:vAlign w:val="center"/>
            <w:hideMark/>
          </w:tcPr>
          <w:p w14:paraId="37962BE4"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2.407.208</w:t>
            </w:r>
          </w:p>
        </w:tc>
        <w:tc>
          <w:tcPr>
            <w:tcW w:w="650" w:type="pct"/>
            <w:tcBorders>
              <w:top w:val="nil"/>
              <w:left w:val="nil"/>
              <w:bottom w:val="single" w:sz="4" w:space="0" w:color="auto"/>
              <w:right w:val="single" w:sz="8" w:space="0" w:color="auto"/>
            </w:tcBorders>
            <w:noWrap/>
            <w:vAlign w:val="center"/>
            <w:hideMark/>
          </w:tcPr>
          <w:p w14:paraId="171E9715"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2.503.497</w:t>
            </w:r>
          </w:p>
        </w:tc>
        <w:tc>
          <w:tcPr>
            <w:tcW w:w="661" w:type="pct"/>
            <w:tcBorders>
              <w:top w:val="nil"/>
              <w:left w:val="nil"/>
              <w:bottom w:val="single" w:sz="4" w:space="0" w:color="auto"/>
              <w:right w:val="single" w:sz="4" w:space="0" w:color="auto"/>
            </w:tcBorders>
            <w:noWrap/>
            <w:vAlign w:val="center"/>
            <w:hideMark/>
          </w:tcPr>
          <w:p w14:paraId="0B96BE86"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2.703.776</w:t>
            </w:r>
          </w:p>
        </w:tc>
        <w:tc>
          <w:tcPr>
            <w:tcW w:w="676" w:type="pct"/>
            <w:tcBorders>
              <w:top w:val="nil"/>
              <w:left w:val="nil"/>
              <w:bottom w:val="single" w:sz="4" w:space="0" w:color="auto"/>
              <w:right w:val="single" w:sz="8" w:space="0" w:color="auto"/>
            </w:tcBorders>
            <w:noWrap/>
            <w:vAlign w:val="center"/>
            <w:hideMark/>
          </w:tcPr>
          <w:p w14:paraId="3117CF81"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3.064.653</w:t>
            </w:r>
          </w:p>
        </w:tc>
        <w:tc>
          <w:tcPr>
            <w:tcW w:w="674" w:type="pct"/>
            <w:tcBorders>
              <w:top w:val="nil"/>
              <w:left w:val="nil"/>
              <w:bottom w:val="single" w:sz="4" w:space="0" w:color="auto"/>
              <w:right w:val="single" w:sz="8" w:space="0" w:color="auto"/>
            </w:tcBorders>
            <w:noWrap/>
            <w:vAlign w:val="center"/>
            <w:hideMark/>
          </w:tcPr>
          <w:p w14:paraId="798063DF"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2.642.702</w:t>
            </w:r>
          </w:p>
        </w:tc>
        <w:tc>
          <w:tcPr>
            <w:tcW w:w="744" w:type="pct"/>
            <w:tcBorders>
              <w:top w:val="nil"/>
              <w:left w:val="nil"/>
              <w:bottom w:val="single" w:sz="4" w:space="0" w:color="auto"/>
              <w:right w:val="single" w:sz="8" w:space="0" w:color="auto"/>
            </w:tcBorders>
            <w:noWrap/>
            <w:vAlign w:val="center"/>
            <w:hideMark/>
          </w:tcPr>
          <w:p w14:paraId="4D846450"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2.664.367</w:t>
            </w:r>
          </w:p>
        </w:tc>
      </w:tr>
      <w:tr w:rsidR="00B4695D" w:rsidRPr="00E33DE3" w14:paraId="408D0527" w14:textId="77777777" w:rsidTr="00B4695D">
        <w:trPr>
          <w:trHeight w:val="17"/>
        </w:trPr>
        <w:tc>
          <w:tcPr>
            <w:tcW w:w="933" w:type="pct"/>
            <w:tcBorders>
              <w:top w:val="nil"/>
              <w:left w:val="single" w:sz="8" w:space="0" w:color="auto"/>
              <w:bottom w:val="single" w:sz="4" w:space="0" w:color="auto"/>
              <w:right w:val="single" w:sz="8" w:space="0" w:color="auto"/>
            </w:tcBorders>
            <w:shd w:val="clear" w:color="auto" w:fill="B48C41"/>
            <w:vAlign w:val="center"/>
            <w:hideMark/>
          </w:tcPr>
          <w:p w14:paraId="5907B9DE" w14:textId="77777777" w:rsidR="00273288" w:rsidRPr="00E33DE3" w:rsidRDefault="00273288" w:rsidP="00C65B25">
            <w:pP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Tipología Adultos</w:t>
            </w:r>
          </w:p>
        </w:tc>
        <w:tc>
          <w:tcPr>
            <w:tcW w:w="662" w:type="pct"/>
            <w:tcBorders>
              <w:top w:val="nil"/>
              <w:left w:val="nil"/>
              <w:bottom w:val="single" w:sz="4" w:space="0" w:color="auto"/>
              <w:right w:val="single" w:sz="4" w:space="0" w:color="auto"/>
            </w:tcBorders>
            <w:noWrap/>
            <w:vAlign w:val="center"/>
            <w:hideMark/>
          </w:tcPr>
          <w:p w14:paraId="18724E65"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743.253</w:t>
            </w:r>
          </w:p>
        </w:tc>
        <w:tc>
          <w:tcPr>
            <w:tcW w:w="650" w:type="pct"/>
            <w:tcBorders>
              <w:top w:val="nil"/>
              <w:left w:val="nil"/>
              <w:bottom w:val="single" w:sz="4" w:space="0" w:color="auto"/>
              <w:right w:val="single" w:sz="8" w:space="0" w:color="auto"/>
            </w:tcBorders>
            <w:noWrap/>
            <w:vAlign w:val="center"/>
            <w:hideMark/>
          </w:tcPr>
          <w:p w14:paraId="74363CE0"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613.211</w:t>
            </w:r>
          </w:p>
        </w:tc>
        <w:tc>
          <w:tcPr>
            <w:tcW w:w="661" w:type="pct"/>
            <w:tcBorders>
              <w:top w:val="nil"/>
              <w:left w:val="nil"/>
              <w:bottom w:val="single" w:sz="4" w:space="0" w:color="auto"/>
              <w:right w:val="single" w:sz="4" w:space="0" w:color="auto"/>
            </w:tcBorders>
            <w:noWrap/>
            <w:vAlign w:val="center"/>
            <w:hideMark/>
          </w:tcPr>
          <w:p w14:paraId="5FCA4274"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613.211</w:t>
            </w:r>
          </w:p>
        </w:tc>
        <w:tc>
          <w:tcPr>
            <w:tcW w:w="676" w:type="pct"/>
            <w:tcBorders>
              <w:top w:val="nil"/>
              <w:left w:val="nil"/>
              <w:bottom w:val="single" w:sz="4" w:space="0" w:color="auto"/>
              <w:right w:val="single" w:sz="8" w:space="0" w:color="auto"/>
            </w:tcBorders>
            <w:noWrap/>
            <w:vAlign w:val="center"/>
            <w:hideMark/>
          </w:tcPr>
          <w:p w14:paraId="6D643753"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613.211</w:t>
            </w:r>
          </w:p>
        </w:tc>
        <w:tc>
          <w:tcPr>
            <w:tcW w:w="674" w:type="pct"/>
            <w:tcBorders>
              <w:top w:val="nil"/>
              <w:left w:val="nil"/>
              <w:bottom w:val="single" w:sz="4" w:space="0" w:color="auto"/>
              <w:right w:val="single" w:sz="8" w:space="0" w:color="auto"/>
            </w:tcBorders>
            <w:noWrap/>
            <w:vAlign w:val="center"/>
            <w:hideMark/>
          </w:tcPr>
          <w:p w14:paraId="38AB6D87"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613.211</w:t>
            </w:r>
          </w:p>
        </w:tc>
        <w:tc>
          <w:tcPr>
            <w:tcW w:w="744" w:type="pct"/>
            <w:tcBorders>
              <w:top w:val="nil"/>
              <w:left w:val="nil"/>
              <w:bottom w:val="single" w:sz="4" w:space="0" w:color="auto"/>
              <w:right w:val="single" w:sz="8" w:space="0" w:color="auto"/>
            </w:tcBorders>
            <w:noWrap/>
            <w:vAlign w:val="center"/>
            <w:hideMark/>
          </w:tcPr>
          <w:p w14:paraId="2395AFFB"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639.219</w:t>
            </w:r>
          </w:p>
        </w:tc>
      </w:tr>
      <w:tr w:rsidR="00B4695D" w:rsidRPr="00E33DE3" w14:paraId="144B69BF" w14:textId="77777777" w:rsidTr="00B4695D">
        <w:trPr>
          <w:trHeight w:val="17"/>
        </w:trPr>
        <w:tc>
          <w:tcPr>
            <w:tcW w:w="933" w:type="pct"/>
            <w:tcBorders>
              <w:top w:val="nil"/>
              <w:left w:val="single" w:sz="8" w:space="0" w:color="auto"/>
              <w:bottom w:val="single" w:sz="4" w:space="0" w:color="auto"/>
              <w:right w:val="single" w:sz="8" w:space="0" w:color="auto"/>
            </w:tcBorders>
            <w:shd w:val="clear" w:color="auto" w:fill="B48C41"/>
            <w:vAlign w:val="center"/>
            <w:hideMark/>
          </w:tcPr>
          <w:p w14:paraId="7D0B8241" w14:textId="77777777" w:rsidR="00273288" w:rsidRPr="00E33DE3" w:rsidRDefault="00273288" w:rsidP="00C65B25">
            <w:pP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Documento de distribución</w:t>
            </w:r>
          </w:p>
        </w:tc>
        <w:tc>
          <w:tcPr>
            <w:tcW w:w="662" w:type="pct"/>
            <w:tcBorders>
              <w:top w:val="nil"/>
              <w:left w:val="nil"/>
              <w:bottom w:val="single" w:sz="4" w:space="0" w:color="auto"/>
              <w:right w:val="single" w:sz="4" w:space="0" w:color="auto"/>
            </w:tcBorders>
            <w:noWrap/>
            <w:vAlign w:val="center"/>
            <w:hideMark/>
          </w:tcPr>
          <w:p w14:paraId="3D90F6B1"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SGP-24-2018</w:t>
            </w:r>
          </w:p>
        </w:tc>
        <w:tc>
          <w:tcPr>
            <w:tcW w:w="650" w:type="pct"/>
            <w:tcBorders>
              <w:top w:val="nil"/>
              <w:left w:val="nil"/>
              <w:bottom w:val="single" w:sz="4" w:space="0" w:color="auto"/>
              <w:right w:val="single" w:sz="8" w:space="0" w:color="auto"/>
            </w:tcBorders>
            <w:noWrap/>
            <w:vAlign w:val="center"/>
            <w:hideMark/>
          </w:tcPr>
          <w:p w14:paraId="7D54C089"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SGP-34-2019</w:t>
            </w:r>
          </w:p>
        </w:tc>
        <w:tc>
          <w:tcPr>
            <w:tcW w:w="661" w:type="pct"/>
            <w:tcBorders>
              <w:top w:val="nil"/>
              <w:left w:val="nil"/>
              <w:bottom w:val="single" w:sz="4" w:space="0" w:color="auto"/>
              <w:right w:val="single" w:sz="4" w:space="0" w:color="auto"/>
            </w:tcBorders>
            <w:noWrap/>
            <w:vAlign w:val="center"/>
            <w:hideMark/>
          </w:tcPr>
          <w:p w14:paraId="376B389D"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SGP-40-2020</w:t>
            </w:r>
          </w:p>
        </w:tc>
        <w:tc>
          <w:tcPr>
            <w:tcW w:w="676" w:type="pct"/>
            <w:tcBorders>
              <w:top w:val="nil"/>
              <w:left w:val="nil"/>
              <w:bottom w:val="single" w:sz="4" w:space="0" w:color="auto"/>
              <w:right w:val="single" w:sz="8" w:space="0" w:color="auto"/>
            </w:tcBorders>
            <w:noWrap/>
            <w:vAlign w:val="center"/>
            <w:hideMark/>
          </w:tcPr>
          <w:p w14:paraId="2767A7CB"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SGP-53-2021</w:t>
            </w:r>
          </w:p>
        </w:tc>
        <w:tc>
          <w:tcPr>
            <w:tcW w:w="674" w:type="pct"/>
            <w:tcBorders>
              <w:top w:val="nil"/>
              <w:left w:val="nil"/>
              <w:bottom w:val="single" w:sz="4" w:space="0" w:color="auto"/>
              <w:right w:val="single" w:sz="8" w:space="0" w:color="auto"/>
            </w:tcBorders>
            <w:noWrap/>
            <w:vAlign w:val="center"/>
            <w:hideMark/>
          </w:tcPr>
          <w:p w14:paraId="4E9CD888"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SGP-63-2022</w:t>
            </w:r>
          </w:p>
        </w:tc>
        <w:tc>
          <w:tcPr>
            <w:tcW w:w="744" w:type="pct"/>
            <w:tcBorders>
              <w:top w:val="nil"/>
              <w:left w:val="nil"/>
              <w:bottom w:val="single" w:sz="4" w:space="0" w:color="auto"/>
              <w:right w:val="single" w:sz="8" w:space="0" w:color="auto"/>
            </w:tcBorders>
            <w:noWrap/>
            <w:vAlign w:val="center"/>
            <w:hideMark/>
          </w:tcPr>
          <w:p w14:paraId="722BC5AD"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 </w:t>
            </w:r>
          </w:p>
        </w:tc>
      </w:tr>
      <w:tr w:rsidR="00B4695D" w:rsidRPr="00E33DE3" w14:paraId="7F137F20" w14:textId="77777777" w:rsidTr="00B4695D">
        <w:trPr>
          <w:trHeight w:val="17"/>
        </w:trPr>
        <w:tc>
          <w:tcPr>
            <w:tcW w:w="933" w:type="pct"/>
            <w:tcBorders>
              <w:top w:val="nil"/>
              <w:left w:val="single" w:sz="8" w:space="0" w:color="auto"/>
              <w:bottom w:val="single" w:sz="4" w:space="0" w:color="auto"/>
              <w:right w:val="single" w:sz="8" w:space="0" w:color="auto"/>
            </w:tcBorders>
            <w:shd w:val="clear" w:color="auto" w:fill="B48C41"/>
            <w:noWrap/>
            <w:vAlign w:val="center"/>
            <w:hideMark/>
          </w:tcPr>
          <w:p w14:paraId="2C248D71" w14:textId="77777777" w:rsidR="00273288" w:rsidRPr="00E33DE3" w:rsidRDefault="00273288" w:rsidP="00C65B25">
            <w:pP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Situación</w:t>
            </w:r>
          </w:p>
        </w:tc>
        <w:tc>
          <w:tcPr>
            <w:tcW w:w="662" w:type="pct"/>
            <w:tcBorders>
              <w:top w:val="nil"/>
              <w:left w:val="nil"/>
              <w:bottom w:val="single" w:sz="4" w:space="0" w:color="auto"/>
              <w:right w:val="single" w:sz="4" w:space="0" w:color="auto"/>
            </w:tcBorders>
            <w:noWrap/>
            <w:vAlign w:val="center"/>
            <w:hideMark/>
          </w:tcPr>
          <w:p w14:paraId="115305B7"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Excede</w:t>
            </w:r>
          </w:p>
        </w:tc>
        <w:tc>
          <w:tcPr>
            <w:tcW w:w="650" w:type="pct"/>
            <w:tcBorders>
              <w:top w:val="nil"/>
              <w:left w:val="nil"/>
              <w:bottom w:val="single" w:sz="4" w:space="0" w:color="auto"/>
              <w:right w:val="single" w:sz="8" w:space="0" w:color="auto"/>
            </w:tcBorders>
            <w:noWrap/>
            <w:vAlign w:val="center"/>
            <w:hideMark/>
          </w:tcPr>
          <w:p w14:paraId="390EF2E8"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Excede</w:t>
            </w:r>
          </w:p>
        </w:tc>
        <w:tc>
          <w:tcPr>
            <w:tcW w:w="661" w:type="pct"/>
            <w:tcBorders>
              <w:top w:val="nil"/>
              <w:left w:val="nil"/>
              <w:bottom w:val="single" w:sz="4" w:space="0" w:color="auto"/>
              <w:right w:val="single" w:sz="4" w:space="0" w:color="auto"/>
            </w:tcBorders>
            <w:noWrap/>
            <w:vAlign w:val="center"/>
            <w:hideMark/>
          </w:tcPr>
          <w:p w14:paraId="0D897551"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Excede</w:t>
            </w:r>
          </w:p>
        </w:tc>
        <w:tc>
          <w:tcPr>
            <w:tcW w:w="676" w:type="pct"/>
            <w:tcBorders>
              <w:top w:val="nil"/>
              <w:left w:val="nil"/>
              <w:bottom w:val="single" w:sz="4" w:space="0" w:color="auto"/>
              <w:right w:val="single" w:sz="8" w:space="0" w:color="auto"/>
            </w:tcBorders>
            <w:noWrap/>
            <w:vAlign w:val="center"/>
            <w:hideMark/>
          </w:tcPr>
          <w:p w14:paraId="6D665F64"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Excede</w:t>
            </w:r>
          </w:p>
        </w:tc>
        <w:tc>
          <w:tcPr>
            <w:tcW w:w="674" w:type="pct"/>
            <w:tcBorders>
              <w:top w:val="nil"/>
              <w:left w:val="nil"/>
              <w:bottom w:val="single" w:sz="4" w:space="0" w:color="auto"/>
              <w:right w:val="single" w:sz="8" w:space="0" w:color="auto"/>
            </w:tcBorders>
            <w:noWrap/>
            <w:vAlign w:val="center"/>
            <w:hideMark/>
          </w:tcPr>
          <w:p w14:paraId="0B667DA9"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Excede</w:t>
            </w:r>
          </w:p>
        </w:tc>
        <w:tc>
          <w:tcPr>
            <w:tcW w:w="744" w:type="pct"/>
            <w:tcBorders>
              <w:top w:val="nil"/>
              <w:left w:val="nil"/>
              <w:bottom w:val="single" w:sz="4" w:space="0" w:color="auto"/>
              <w:right w:val="single" w:sz="8" w:space="0" w:color="auto"/>
            </w:tcBorders>
            <w:noWrap/>
            <w:vAlign w:val="center"/>
            <w:hideMark/>
          </w:tcPr>
          <w:p w14:paraId="75EF7975"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 </w:t>
            </w:r>
          </w:p>
        </w:tc>
      </w:tr>
      <w:tr w:rsidR="00B4695D" w:rsidRPr="00E33DE3" w14:paraId="3EE7E1AA" w14:textId="77777777" w:rsidTr="00B4695D">
        <w:trPr>
          <w:trHeight w:val="17"/>
        </w:trPr>
        <w:tc>
          <w:tcPr>
            <w:tcW w:w="933" w:type="pct"/>
            <w:tcBorders>
              <w:top w:val="nil"/>
              <w:left w:val="single" w:sz="8" w:space="0" w:color="auto"/>
              <w:bottom w:val="single" w:sz="4" w:space="0" w:color="auto"/>
              <w:right w:val="single" w:sz="8" w:space="0" w:color="auto"/>
            </w:tcBorders>
            <w:shd w:val="clear" w:color="auto" w:fill="B48C41"/>
            <w:vAlign w:val="center"/>
            <w:hideMark/>
          </w:tcPr>
          <w:p w14:paraId="2A00F81F" w14:textId="77777777" w:rsidR="00273288" w:rsidRPr="00E33DE3" w:rsidRDefault="00273288" w:rsidP="00C65B25">
            <w:pP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Valor de exceso por persona</w:t>
            </w:r>
          </w:p>
        </w:tc>
        <w:tc>
          <w:tcPr>
            <w:tcW w:w="662" w:type="pct"/>
            <w:tcBorders>
              <w:top w:val="nil"/>
              <w:left w:val="nil"/>
              <w:bottom w:val="single" w:sz="4" w:space="0" w:color="auto"/>
              <w:right w:val="single" w:sz="4" w:space="0" w:color="auto"/>
            </w:tcBorders>
            <w:vAlign w:val="center"/>
            <w:hideMark/>
          </w:tcPr>
          <w:p w14:paraId="023B7CBB"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1.663.955</w:t>
            </w:r>
          </w:p>
        </w:tc>
        <w:tc>
          <w:tcPr>
            <w:tcW w:w="650" w:type="pct"/>
            <w:tcBorders>
              <w:top w:val="nil"/>
              <w:left w:val="nil"/>
              <w:bottom w:val="single" w:sz="4" w:space="0" w:color="auto"/>
              <w:right w:val="single" w:sz="8" w:space="0" w:color="auto"/>
            </w:tcBorders>
            <w:vAlign w:val="center"/>
            <w:hideMark/>
          </w:tcPr>
          <w:p w14:paraId="3F2CBFA4"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1.890.286</w:t>
            </w:r>
          </w:p>
        </w:tc>
        <w:tc>
          <w:tcPr>
            <w:tcW w:w="661" w:type="pct"/>
            <w:tcBorders>
              <w:top w:val="nil"/>
              <w:left w:val="nil"/>
              <w:bottom w:val="single" w:sz="4" w:space="0" w:color="auto"/>
              <w:right w:val="single" w:sz="4" w:space="0" w:color="auto"/>
            </w:tcBorders>
            <w:vAlign w:val="center"/>
            <w:hideMark/>
          </w:tcPr>
          <w:p w14:paraId="32C0C8C7"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2.090.565</w:t>
            </w:r>
          </w:p>
        </w:tc>
        <w:tc>
          <w:tcPr>
            <w:tcW w:w="676" w:type="pct"/>
            <w:tcBorders>
              <w:top w:val="nil"/>
              <w:left w:val="nil"/>
              <w:bottom w:val="single" w:sz="4" w:space="0" w:color="auto"/>
              <w:right w:val="single" w:sz="8" w:space="0" w:color="auto"/>
            </w:tcBorders>
            <w:vAlign w:val="center"/>
            <w:hideMark/>
          </w:tcPr>
          <w:p w14:paraId="28E34EBD"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2.451.442</w:t>
            </w:r>
          </w:p>
        </w:tc>
        <w:tc>
          <w:tcPr>
            <w:tcW w:w="674" w:type="pct"/>
            <w:tcBorders>
              <w:top w:val="nil"/>
              <w:left w:val="nil"/>
              <w:bottom w:val="single" w:sz="4" w:space="0" w:color="auto"/>
              <w:right w:val="single" w:sz="8" w:space="0" w:color="auto"/>
            </w:tcBorders>
            <w:vAlign w:val="center"/>
            <w:hideMark/>
          </w:tcPr>
          <w:p w14:paraId="33507756"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2.029.491</w:t>
            </w:r>
          </w:p>
        </w:tc>
        <w:tc>
          <w:tcPr>
            <w:tcW w:w="744" w:type="pct"/>
            <w:tcBorders>
              <w:top w:val="nil"/>
              <w:left w:val="nil"/>
              <w:bottom w:val="single" w:sz="4" w:space="0" w:color="auto"/>
              <w:right w:val="single" w:sz="8" w:space="0" w:color="auto"/>
            </w:tcBorders>
            <w:noWrap/>
            <w:vAlign w:val="center"/>
            <w:hideMark/>
          </w:tcPr>
          <w:p w14:paraId="30FEED71"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2.025.147</w:t>
            </w:r>
          </w:p>
        </w:tc>
      </w:tr>
      <w:tr w:rsidR="00B4695D" w:rsidRPr="00E33DE3" w14:paraId="7FAB4329" w14:textId="77777777" w:rsidTr="00B4695D">
        <w:trPr>
          <w:trHeight w:val="17"/>
        </w:trPr>
        <w:tc>
          <w:tcPr>
            <w:tcW w:w="933" w:type="pct"/>
            <w:tcBorders>
              <w:top w:val="nil"/>
              <w:left w:val="single" w:sz="8" w:space="0" w:color="auto"/>
              <w:bottom w:val="single" w:sz="8" w:space="0" w:color="auto"/>
              <w:right w:val="single" w:sz="8" w:space="0" w:color="auto"/>
            </w:tcBorders>
            <w:shd w:val="clear" w:color="auto" w:fill="B48C41"/>
            <w:vAlign w:val="center"/>
            <w:hideMark/>
          </w:tcPr>
          <w:p w14:paraId="60C919E3" w14:textId="77777777" w:rsidR="00273288" w:rsidRPr="00E33DE3" w:rsidRDefault="00273288" w:rsidP="00C65B25">
            <w:pP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 xml:space="preserve">Valor Exceso Total Contrato </w:t>
            </w:r>
          </w:p>
        </w:tc>
        <w:tc>
          <w:tcPr>
            <w:tcW w:w="662" w:type="pct"/>
            <w:tcBorders>
              <w:top w:val="nil"/>
              <w:left w:val="nil"/>
              <w:bottom w:val="single" w:sz="8" w:space="0" w:color="auto"/>
              <w:right w:val="single" w:sz="4" w:space="0" w:color="auto"/>
            </w:tcBorders>
            <w:shd w:val="clear" w:color="auto" w:fill="F1EADA"/>
            <w:vAlign w:val="center"/>
            <w:hideMark/>
          </w:tcPr>
          <w:p w14:paraId="1DF2FF38"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171.387.453</w:t>
            </w:r>
          </w:p>
        </w:tc>
        <w:tc>
          <w:tcPr>
            <w:tcW w:w="650" w:type="pct"/>
            <w:tcBorders>
              <w:top w:val="nil"/>
              <w:left w:val="nil"/>
              <w:bottom w:val="single" w:sz="8" w:space="0" w:color="auto"/>
              <w:right w:val="single" w:sz="8" w:space="0" w:color="auto"/>
            </w:tcBorders>
            <w:shd w:val="clear" w:color="auto" w:fill="F1EADA"/>
            <w:vAlign w:val="center"/>
            <w:hideMark/>
          </w:tcPr>
          <w:p w14:paraId="0E35D473"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194.699.480</w:t>
            </w:r>
          </w:p>
        </w:tc>
        <w:tc>
          <w:tcPr>
            <w:tcW w:w="661" w:type="pct"/>
            <w:tcBorders>
              <w:top w:val="nil"/>
              <w:left w:val="nil"/>
              <w:bottom w:val="single" w:sz="8" w:space="0" w:color="auto"/>
              <w:right w:val="single" w:sz="4" w:space="0" w:color="auto"/>
            </w:tcBorders>
            <w:shd w:val="clear" w:color="auto" w:fill="F1EADA"/>
            <w:vAlign w:val="center"/>
            <w:hideMark/>
          </w:tcPr>
          <w:p w14:paraId="4223EFBB"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215.328.297</w:t>
            </w:r>
          </w:p>
        </w:tc>
        <w:tc>
          <w:tcPr>
            <w:tcW w:w="676" w:type="pct"/>
            <w:tcBorders>
              <w:top w:val="nil"/>
              <w:left w:val="nil"/>
              <w:bottom w:val="single" w:sz="8" w:space="0" w:color="auto"/>
              <w:right w:val="single" w:sz="8" w:space="0" w:color="auto"/>
            </w:tcBorders>
            <w:shd w:val="clear" w:color="auto" w:fill="F1EADA"/>
            <w:vAlign w:val="center"/>
            <w:hideMark/>
          </w:tcPr>
          <w:p w14:paraId="77B0BC5C"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252.498.538</w:t>
            </w:r>
          </w:p>
        </w:tc>
        <w:tc>
          <w:tcPr>
            <w:tcW w:w="674" w:type="pct"/>
            <w:tcBorders>
              <w:top w:val="nil"/>
              <w:left w:val="nil"/>
              <w:bottom w:val="single" w:sz="8" w:space="0" w:color="auto"/>
              <w:right w:val="single" w:sz="8" w:space="0" w:color="auto"/>
            </w:tcBorders>
            <w:shd w:val="clear" w:color="auto" w:fill="F1EADA"/>
            <w:vAlign w:val="center"/>
            <w:hideMark/>
          </w:tcPr>
          <w:p w14:paraId="5237170C"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209.037.639</w:t>
            </w:r>
          </w:p>
        </w:tc>
        <w:tc>
          <w:tcPr>
            <w:tcW w:w="744" w:type="pct"/>
            <w:tcBorders>
              <w:top w:val="nil"/>
              <w:left w:val="nil"/>
              <w:bottom w:val="single" w:sz="8" w:space="0" w:color="auto"/>
              <w:right w:val="single" w:sz="8" w:space="0" w:color="auto"/>
            </w:tcBorders>
            <w:shd w:val="clear" w:color="auto" w:fill="F1EADA"/>
            <w:vAlign w:val="center"/>
            <w:hideMark/>
          </w:tcPr>
          <w:p w14:paraId="267C0A7E" w14:textId="77777777" w:rsidR="00273288" w:rsidRPr="00E33DE3" w:rsidRDefault="00273288" w:rsidP="00C65B25">
            <w:pPr>
              <w:jc w:val="right"/>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1.042.951.407</w:t>
            </w:r>
          </w:p>
        </w:tc>
      </w:tr>
    </w:tbl>
    <w:p w14:paraId="683C6F5B" w14:textId="77777777" w:rsidR="00273288" w:rsidRPr="00E33DE3" w:rsidRDefault="00273288" w:rsidP="00C65B25">
      <w:pPr>
        <w:pStyle w:val="Sinespaciado"/>
        <w:jc w:val="center"/>
        <w:rPr>
          <w:rFonts w:ascii="Verdana" w:hAnsi="Verdana" w:cs="Arial"/>
          <w:sz w:val="18"/>
          <w:szCs w:val="18"/>
        </w:rPr>
      </w:pPr>
      <w:r w:rsidRPr="00E33DE3">
        <w:rPr>
          <w:rFonts w:ascii="Verdana" w:hAnsi="Verdana" w:cs="Arial"/>
          <w:sz w:val="18"/>
          <w:szCs w:val="18"/>
        </w:rPr>
        <w:t>Fuente: Elaboración DAF</w:t>
      </w:r>
    </w:p>
    <w:p w14:paraId="7188F2D0" w14:textId="77777777" w:rsidR="00273288" w:rsidRPr="00E33DE3" w:rsidRDefault="00273288" w:rsidP="00C65B25">
      <w:pPr>
        <w:pStyle w:val="Sinespaciado"/>
        <w:jc w:val="center"/>
        <w:rPr>
          <w:rFonts w:ascii="Verdana" w:hAnsi="Verdana" w:cs="Arial"/>
        </w:rPr>
      </w:pPr>
    </w:p>
    <w:p w14:paraId="2DD7FFF6"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xml:space="preserve">Por tanto, la Entidad Territorial deberá restituir al sector </w:t>
      </w:r>
      <w:r w:rsidR="00FB3CC3" w:rsidRPr="00E33DE3">
        <w:rPr>
          <w:rFonts w:ascii="Verdana" w:hAnsi="Verdana" w:cs="Arial"/>
          <w:sz w:val="22"/>
          <w:szCs w:val="22"/>
        </w:rPr>
        <w:t>$</w:t>
      </w:r>
      <w:r w:rsidRPr="00E33DE3">
        <w:rPr>
          <w:rFonts w:ascii="Verdana" w:hAnsi="Verdana" w:cs="Arial"/>
          <w:sz w:val="22"/>
          <w:szCs w:val="22"/>
        </w:rPr>
        <w:t>1.042.951.407 pesos pagados en exceso mediante dichos contratos, a través de la ejecución de proyectos de inversión en el Sector Educativo, financiados con fuentes diferentes al SGP, en gastos diferentes a nómina y gasto administrativo.</w:t>
      </w:r>
    </w:p>
    <w:p w14:paraId="52835782" w14:textId="77777777" w:rsidR="00273288" w:rsidRPr="00E33DE3" w:rsidRDefault="00273288" w:rsidP="00C65B25">
      <w:pPr>
        <w:jc w:val="both"/>
        <w:rPr>
          <w:rFonts w:ascii="Verdana" w:hAnsi="Verdana" w:cs="Arial"/>
          <w:sz w:val="22"/>
          <w:szCs w:val="22"/>
        </w:rPr>
      </w:pPr>
    </w:p>
    <w:p w14:paraId="13C0F996" w14:textId="77777777" w:rsidR="00273288" w:rsidRPr="00E33DE3" w:rsidRDefault="00B4695D" w:rsidP="00C65B25">
      <w:pPr>
        <w:jc w:val="both"/>
        <w:rPr>
          <w:rFonts w:ascii="Verdana" w:hAnsi="Verdana" w:cs="Arial"/>
          <w:sz w:val="22"/>
          <w:szCs w:val="22"/>
        </w:rPr>
      </w:pPr>
      <w:r w:rsidRPr="00E33DE3">
        <w:rPr>
          <w:rFonts w:ascii="Verdana" w:hAnsi="Verdana" w:cs="Arial"/>
          <w:sz w:val="22"/>
          <w:szCs w:val="22"/>
        </w:rPr>
        <w:t>E</w:t>
      </w:r>
      <w:r w:rsidR="00273288" w:rsidRPr="00E33DE3">
        <w:rPr>
          <w:rFonts w:ascii="Verdana" w:hAnsi="Verdana" w:cs="Arial"/>
          <w:sz w:val="22"/>
          <w:szCs w:val="22"/>
        </w:rPr>
        <w:t xml:space="preserve">n resumen, el valor pagado por niño en primaria para la prestación del servicio educativo y por adulto para atender necesidades educativas especiales, superó la asignación por alumno definida por la Nación de la siguiente manera: </w:t>
      </w:r>
    </w:p>
    <w:p w14:paraId="6D339D6C" w14:textId="77777777" w:rsidR="00273288" w:rsidRPr="00E33DE3" w:rsidRDefault="00273288" w:rsidP="00C65B25">
      <w:pPr>
        <w:jc w:val="both"/>
        <w:rPr>
          <w:rFonts w:ascii="Verdana" w:hAnsi="Verdana" w:cs="Arial"/>
          <w:sz w:val="22"/>
          <w:szCs w:val="22"/>
        </w:rPr>
      </w:pPr>
    </w:p>
    <w:tbl>
      <w:tblPr>
        <w:tblStyle w:val="Tablaconcuadrcula"/>
        <w:tblW w:w="8828" w:type="dxa"/>
        <w:jc w:val="center"/>
        <w:tblLook w:val="04A0" w:firstRow="1" w:lastRow="0" w:firstColumn="1" w:lastColumn="0" w:noHBand="0" w:noVBand="1"/>
      </w:tblPr>
      <w:tblGrid>
        <w:gridCol w:w="846"/>
        <w:gridCol w:w="2684"/>
        <w:gridCol w:w="1766"/>
        <w:gridCol w:w="1766"/>
        <w:gridCol w:w="1766"/>
      </w:tblGrid>
      <w:tr w:rsidR="00273288" w:rsidRPr="00E33DE3" w14:paraId="046C373E" w14:textId="77777777" w:rsidTr="00273288">
        <w:trPr>
          <w:trHeight w:val="30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B48C41"/>
            <w:vAlign w:val="center"/>
            <w:hideMark/>
          </w:tcPr>
          <w:p w14:paraId="702B1F55" w14:textId="77777777" w:rsidR="00273288" w:rsidRPr="00E33DE3" w:rsidRDefault="00273288" w:rsidP="00C65B25">
            <w:pPr>
              <w:jc w:val="center"/>
              <w:rPr>
                <w:rFonts w:ascii="Verdana" w:eastAsia="Arial" w:hAnsi="Verdana" w:cs="Arial"/>
                <w:color w:val="FFFFFF" w:themeColor="background1"/>
                <w:sz w:val="18"/>
                <w:szCs w:val="18"/>
              </w:rPr>
            </w:pPr>
            <w:r w:rsidRPr="00E33DE3">
              <w:rPr>
                <w:rFonts w:ascii="Verdana" w:eastAsia="Arial" w:hAnsi="Verdana" w:cs="Arial"/>
                <w:color w:val="FFFFFF" w:themeColor="background1"/>
                <w:sz w:val="18"/>
                <w:szCs w:val="18"/>
              </w:rPr>
              <w:t>Año</w:t>
            </w:r>
          </w:p>
        </w:tc>
        <w:tc>
          <w:tcPr>
            <w:tcW w:w="2684" w:type="dxa"/>
            <w:tcBorders>
              <w:top w:val="single" w:sz="4" w:space="0" w:color="auto"/>
              <w:left w:val="single" w:sz="4" w:space="0" w:color="auto"/>
              <w:bottom w:val="single" w:sz="4" w:space="0" w:color="auto"/>
              <w:right w:val="single" w:sz="4" w:space="0" w:color="auto"/>
            </w:tcBorders>
            <w:shd w:val="clear" w:color="auto" w:fill="B48C41"/>
            <w:vAlign w:val="center"/>
            <w:hideMark/>
          </w:tcPr>
          <w:p w14:paraId="415DFDAF" w14:textId="77777777" w:rsidR="00273288" w:rsidRPr="00E33DE3" w:rsidRDefault="00273288" w:rsidP="00C65B25">
            <w:pPr>
              <w:jc w:val="center"/>
              <w:rPr>
                <w:rFonts w:ascii="Verdana" w:eastAsia="Arial" w:hAnsi="Verdana" w:cs="Arial"/>
                <w:color w:val="FFFFFF" w:themeColor="background1"/>
                <w:sz w:val="18"/>
                <w:szCs w:val="18"/>
              </w:rPr>
            </w:pPr>
            <w:r w:rsidRPr="00E33DE3">
              <w:rPr>
                <w:rFonts w:ascii="Verdana" w:eastAsia="Arial" w:hAnsi="Verdana" w:cs="Arial"/>
                <w:color w:val="FFFFFF" w:themeColor="background1"/>
                <w:sz w:val="18"/>
                <w:szCs w:val="18"/>
              </w:rPr>
              <w:t>Tipología</w:t>
            </w:r>
          </w:p>
        </w:tc>
        <w:tc>
          <w:tcPr>
            <w:tcW w:w="1766" w:type="dxa"/>
            <w:tcBorders>
              <w:top w:val="single" w:sz="4" w:space="0" w:color="auto"/>
              <w:left w:val="single" w:sz="4" w:space="0" w:color="auto"/>
              <w:bottom w:val="single" w:sz="4" w:space="0" w:color="auto"/>
              <w:right w:val="single" w:sz="4" w:space="0" w:color="auto"/>
            </w:tcBorders>
            <w:shd w:val="clear" w:color="auto" w:fill="B48C41"/>
            <w:vAlign w:val="center"/>
            <w:hideMark/>
          </w:tcPr>
          <w:p w14:paraId="4DD9FB83" w14:textId="77777777" w:rsidR="00273288" w:rsidRPr="00E33DE3" w:rsidRDefault="00273288" w:rsidP="00C65B25">
            <w:pPr>
              <w:jc w:val="center"/>
              <w:rPr>
                <w:rFonts w:ascii="Verdana" w:eastAsia="Arial" w:hAnsi="Verdana" w:cs="Arial"/>
                <w:color w:val="FFFFFF" w:themeColor="background1"/>
                <w:sz w:val="18"/>
                <w:szCs w:val="18"/>
              </w:rPr>
            </w:pPr>
            <w:r w:rsidRPr="00E33DE3">
              <w:rPr>
                <w:rFonts w:ascii="Verdana" w:eastAsia="Arial" w:hAnsi="Verdana" w:cs="Arial"/>
                <w:color w:val="FFFFFF" w:themeColor="background1"/>
                <w:sz w:val="18"/>
                <w:szCs w:val="18"/>
              </w:rPr>
              <w:t>No. Contrato</w:t>
            </w:r>
          </w:p>
        </w:tc>
        <w:tc>
          <w:tcPr>
            <w:tcW w:w="1766" w:type="dxa"/>
            <w:tcBorders>
              <w:top w:val="single" w:sz="4" w:space="0" w:color="auto"/>
              <w:left w:val="single" w:sz="4" w:space="0" w:color="auto"/>
              <w:bottom w:val="single" w:sz="4" w:space="0" w:color="auto"/>
              <w:right w:val="single" w:sz="4" w:space="0" w:color="auto"/>
            </w:tcBorders>
            <w:shd w:val="clear" w:color="auto" w:fill="B48C41"/>
            <w:vAlign w:val="center"/>
            <w:hideMark/>
          </w:tcPr>
          <w:p w14:paraId="3E92C1BB" w14:textId="77777777" w:rsidR="00273288" w:rsidRPr="00E33DE3" w:rsidRDefault="00273288" w:rsidP="00C65B25">
            <w:pPr>
              <w:jc w:val="center"/>
              <w:rPr>
                <w:rFonts w:ascii="Verdana" w:eastAsia="Arial" w:hAnsi="Verdana" w:cs="Arial"/>
                <w:color w:val="FFFFFF" w:themeColor="background1"/>
                <w:sz w:val="18"/>
                <w:szCs w:val="18"/>
              </w:rPr>
            </w:pPr>
            <w:r w:rsidRPr="00E33DE3">
              <w:rPr>
                <w:rFonts w:ascii="Verdana" w:eastAsia="Arial" w:hAnsi="Verdana" w:cs="Arial"/>
                <w:color w:val="FFFFFF" w:themeColor="background1"/>
                <w:sz w:val="18"/>
                <w:szCs w:val="18"/>
              </w:rPr>
              <w:t>Personas</w:t>
            </w:r>
          </w:p>
        </w:tc>
        <w:tc>
          <w:tcPr>
            <w:tcW w:w="1766" w:type="dxa"/>
            <w:tcBorders>
              <w:top w:val="single" w:sz="4" w:space="0" w:color="auto"/>
              <w:left w:val="single" w:sz="4" w:space="0" w:color="auto"/>
              <w:bottom w:val="single" w:sz="4" w:space="0" w:color="auto"/>
              <w:right w:val="single" w:sz="4" w:space="0" w:color="auto"/>
            </w:tcBorders>
            <w:shd w:val="clear" w:color="auto" w:fill="B48C41"/>
            <w:vAlign w:val="center"/>
            <w:hideMark/>
          </w:tcPr>
          <w:p w14:paraId="1F1F076A" w14:textId="77777777" w:rsidR="00273288" w:rsidRPr="00E33DE3" w:rsidRDefault="00273288" w:rsidP="00C65B25">
            <w:pPr>
              <w:jc w:val="center"/>
              <w:rPr>
                <w:rFonts w:ascii="Verdana" w:eastAsia="Arial" w:hAnsi="Verdana" w:cs="Arial"/>
                <w:color w:val="FFFFFF" w:themeColor="background1"/>
                <w:sz w:val="18"/>
                <w:szCs w:val="18"/>
              </w:rPr>
            </w:pPr>
            <w:r w:rsidRPr="00E33DE3">
              <w:rPr>
                <w:rFonts w:ascii="Verdana" w:eastAsia="Arial" w:hAnsi="Verdana" w:cs="Arial"/>
                <w:color w:val="FFFFFF" w:themeColor="background1"/>
                <w:sz w:val="18"/>
                <w:szCs w:val="18"/>
              </w:rPr>
              <w:t>Valor Excedido Total Contrato</w:t>
            </w:r>
          </w:p>
        </w:tc>
      </w:tr>
      <w:tr w:rsidR="00273288" w:rsidRPr="00E33DE3" w14:paraId="332DEEBB" w14:textId="77777777" w:rsidTr="00273288">
        <w:trPr>
          <w:trHeight w:val="30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68FEECF" w14:textId="77777777" w:rsidR="00273288" w:rsidRPr="00E33DE3" w:rsidRDefault="00273288" w:rsidP="00C65B25">
            <w:pPr>
              <w:jc w:val="center"/>
              <w:rPr>
                <w:rFonts w:ascii="Verdana" w:eastAsia="Arial" w:hAnsi="Verdana" w:cs="Arial"/>
                <w:color w:val="000000" w:themeColor="text1"/>
                <w:sz w:val="18"/>
                <w:szCs w:val="18"/>
                <w:lang w:val="es-CO" w:eastAsia="en-US"/>
              </w:rPr>
            </w:pPr>
            <w:r w:rsidRPr="00E33DE3">
              <w:rPr>
                <w:rFonts w:ascii="Verdana" w:eastAsia="Arial" w:hAnsi="Verdana" w:cs="Arial"/>
                <w:color w:val="000000" w:themeColor="text1"/>
                <w:sz w:val="18"/>
                <w:szCs w:val="18"/>
                <w:lang w:val="es-CO" w:eastAsia="en-US"/>
              </w:rPr>
              <w:t>2018</w:t>
            </w:r>
          </w:p>
        </w:tc>
        <w:tc>
          <w:tcPr>
            <w:tcW w:w="2684" w:type="dxa"/>
            <w:tcBorders>
              <w:top w:val="single" w:sz="4" w:space="0" w:color="auto"/>
              <w:left w:val="single" w:sz="4" w:space="0" w:color="auto"/>
              <w:bottom w:val="single" w:sz="4" w:space="0" w:color="auto"/>
              <w:right w:val="single" w:sz="4" w:space="0" w:color="auto"/>
            </w:tcBorders>
            <w:vAlign w:val="center"/>
            <w:hideMark/>
          </w:tcPr>
          <w:p w14:paraId="1AC95843" w14:textId="77777777" w:rsidR="00273288" w:rsidRPr="00E33DE3" w:rsidRDefault="00273288" w:rsidP="00C65B25">
            <w:pPr>
              <w:jc w:val="center"/>
              <w:rPr>
                <w:rFonts w:ascii="Verdana" w:eastAsia="Arial" w:hAnsi="Verdana" w:cs="Arial"/>
                <w:sz w:val="18"/>
                <w:szCs w:val="18"/>
              </w:rPr>
            </w:pPr>
            <w:r w:rsidRPr="00E33DE3">
              <w:rPr>
                <w:rFonts w:ascii="Verdana" w:eastAsia="Arial" w:hAnsi="Verdana" w:cs="Arial"/>
                <w:sz w:val="18"/>
                <w:szCs w:val="18"/>
              </w:rPr>
              <w:t>Adultos con Necesidades Educativas Especiales</w:t>
            </w:r>
          </w:p>
        </w:tc>
        <w:tc>
          <w:tcPr>
            <w:tcW w:w="1766" w:type="dxa"/>
            <w:tcBorders>
              <w:top w:val="single" w:sz="4" w:space="0" w:color="auto"/>
              <w:left w:val="single" w:sz="4" w:space="0" w:color="auto"/>
              <w:bottom w:val="single" w:sz="4" w:space="0" w:color="auto"/>
              <w:right w:val="single" w:sz="4" w:space="0" w:color="auto"/>
            </w:tcBorders>
            <w:vAlign w:val="center"/>
            <w:hideMark/>
          </w:tcPr>
          <w:p w14:paraId="394BCCBF" w14:textId="77777777" w:rsidR="00273288" w:rsidRPr="00E33DE3" w:rsidRDefault="00273288" w:rsidP="00C65B25">
            <w:pPr>
              <w:jc w:val="center"/>
              <w:rPr>
                <w:rFonts w:ascii="Verdana" w:eastAsia="Arial" w:hAnsi="Verdana" w:cs="Arial"/>
                <w:color w:val="000000" w:themeColor="text1"/>
                <w:sz w:val="18"/>
                <w:szCs w:val="18"/>
                <w:lang w:val="es-CO" w:eastAsia="en-US"/>
              </w:rPr>
            </w:pPr>
            <w:r w:rsidRPr="00E33DE3">
              <w:rPr>
                <w:rFonts w:ascii="Verdana" w:eastAsia="Arial" w:hAnsi="Verdana" w:cs="Arial"/>
                <w:color w:val="000000" w:themeColor="text1"/>
                <w:sz w:val="18"/>
                <w:szCs w:val="18"/>
                <w:lang w:val="es-CO" w:eastAsia="en-US"/>
              </w:rPr>
              <w:t>247.942.512</w:t>
            </w:r>
          </w:p>
        </w:tc>
        <w:tc>
          <w:tcPr>
            <w:tcW w:w="1766" w:type="dxa"/>
            <w:tcBorders>
              <w:top w:val="single" w:sz="4" w:space="0" w:color="auto"/>
              <w:left w:val="single" w:sz="4" w:space="0" w:color="auto"/>
              <w:bottom w:val="single" w:sz="4" w:space="0" w:color="auto"/>
              <w:right w:val="single" w:sz="4" w:space="0" w:color="auto"/>
            </w:tcBorders>
            <w:vAlign w:val="center"/>
            <w:hideMark/>
          </w:tcPr>
          <w:p w14:paraId="2BFA7D07" w14:textId="77777777" w:rsidR="00273288" w:rsidRPr="00E33DE3" w:rsidRDefault="00273288" w:rsidP="00C65B25">
            <w:pPr>
              <w:jc w:val="center"/>
              <w:rPr>
                <w:rFonts w:ascii="Verdana" w:eastAsia="Arial" w:hAnsi="Verdana" w:cs="Arial"/>
                <w:color w:val="000000" w:themeColor="text1"/>
                <w:sz w:val="18"/>
                <w:szCs w:val="18"/>
                <w:lang w:val="es-CO" w:eastAsia="en-US"/>
              </w:rPr>
            </w:pPr>
            <w:r w:rsidRPr="00E33DE3">
              <w:rPr>
                <w:rFonts w:ascii="Verdana" w:eastAsia="Arial" w:hAnsi="Verdana" w:cs="Arial"/>
                <w:color w:val="000000" w:themeColor="text1"/>
                <w:sz w:val="18"/>
                <w:szCs w:val="18"/>
                <w:lang w:val="es-CO" w:eastAsia="en-US"/>
              </w:rPr>
              <w:t>103</w:t>
            </w:r>
          </w:p>
        </w:tc>
        <w:tc>
          <w:tcPr>
            <w:tcW w:w="1766" w:type="dxa"/>
            <w:tcBorders>
              <w:top w:val="single" w:sz="4" w:space="0" w:color="auto"/>
              <w:left w:val="single" w:sz="4" w:space="0" w:color="auto"/>
              <w:bottom w:val="single" w:sz="4" w:space="0" w:color="auto"/>
              <w:right w:val="single" w:sz="4" w:space="0" w:color="auto"/>
            </w:tcBorders>
            <w:vAlign w:val="center"/>
            <w:hideMark/>
          </w:tcPr>
          <w:p w14:paraId="439B2D84" w14:textId="77777777" w:rsidR="00273288" w:rsidRPr="00E33DE3" w:rsidRDefault="00273288" w:rsidP="00C65B25">
            <w:pPr>
              <w:jc w:val="center"/>
              <w:rPr>
                <w:rFonts w:ascii="Verdana" w:eastAsia="Arial" w:hAnsi="Verdana" w:cs="Arial"/>
                <w:color w:val="000000" w:themeColor="text1"/>
                <w:sz w:val="18"/>
                <w:szCs w:val="18"/>
                <w:lang w:val="es-CO" w:eastAsia="en-US"/>
              </w:rPr>
            </w:pPr>
            <w:r w:rsidRPr="00E33DE3">
              <w:rPr>
                <w:rFonts w:ascii="Verdana" w:eastAsia="Arial" w:hAnsi="Verdana" w:cs="Arial"/>
                <w:color w:val="000000" w:themeColor="text1"/>
                <w:sz w:val="18"/>
                <w:szCs w:val="18"/>
                <w:lang w:val="es-CO" w:eastAsia="en-US"/>
              </w:rPr>
              <w:t>171.387,453</w:t>
            </w:r>
          </w:p>
        </w:tc>
      </w:tr>
      <w:tr w:rsidR="00273288" w:rsidRPr="00E33DE3" w14:paraId="2E7F9D34" w14:textId="77777777" w:rsidTr="00273288">
        <w:trPr>
          <w:trHeight w:val="30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42C443E" w14:textId="77777777" w:rsidR="00273288" w:rsidRPr="00E33DE3" w:rsidRDefault="00273288" w:rsidP="00C65B25">
            <w:pPr>
              <w:jc w:val="center"/>
              <w:rPr>
                <w:rFonts w:ascii="Verdana" w:eastAsia="Arial" w:hAnsi="Verdana" w:cs="Arial"/>
                <w:color w:val="000000" w:themeColor="text1"/>
                <w:sz w:val="18"/>
                <w:szCs w:val="18"/>
                <w:lang w:val="es-CO" w:eastAsia="es-CO"/>
              </w:rPr>
            </w:pPr>
            <w:r w:rsidRPr="00E33DE3">
              <w:rPr>
                <w:rFonts w:ascii="Verdana" w:eastAsia="Arial" w:hAnsi="Verdana" w:cs="Arial"/>
                <w:color w:val="000000" w:themeColor="text1"/>
                <w:sz w:val="18"/>
                <w:szCs w:val="18"/>
                <w:lang w:val="es-CO" w:eastAsia="es-CO"/>
              </w:rPr>
              <w:t>2019</w:t>
            </w:r>
          </w:p>
        </w:tc>
        <w:tc>
          <w:tcPr>
            <w:tcW w:w="2684" w:type="dxa"/>
            <w:tcBorders>
              <w:top w:val="single" w:sz="4" w:space="0" w:color="auto"/>
              <w:left w:val="single" w:sz="4" w:space="0" w:color="auto"/>
              <w:bottom w:val="single" w:sz="4" w:space="0" w:color="auto"/>
              <w:right w:val="single" w:sz="4" w:space="0" w:color="auto"/>
            </w:tcBorders>
            <w:vAlign w:val="center"/>
            <w:hideMark/>
          </w:tcPr>
          <w:p w14:paraId="3142BCDD" w14:textId="77777777" w:rsidR="00273288" w:rsidRPr="00E33DE3" w:rsidRDefault="00273288" w:rsidP="00C65B25">
            <w:pPr>
              <w:jc w:val="center"/>
              <w:rPr>
                <w:rFonts w:ascii="Verdana" w:eastAsia="Arial" w:hAnsi="Verdana" w:cs="Arial"/>
                <w:sz w:val="18"/>
                <w:szCs w:val="18"/>
              </w:rPr>
            </w:pPr>
            <w:r w:rsidRPr="00E33DE3">
              <w:rPr>
                <w:rFonts w:ascii="Verdana" w:eastAsia="Arial" w:hAnsi="Verdana" w:cs="Arial"/>
                <w:sz w:val="18"/>
                <w:szCs w:val="18"/>
              </w:rPr>
              <w:t>Alumnos de Primaria de Área Urbana</w:t>
            </w:r>
          </w:p>
        </w:tc>
        <w:tc>
          <w:tcPr>
            <w:tcW w:w="1766" w:type="dxa"/>
            <w:tcBorders>
              <w:top w:val="single" w:sz="4" w:space="0" w:color="auto"/>
              <w:left w:val="single" w:sz="4" w:space="0" w:color="auto"/>
              <w:bottom w:val="single" w:sz="4" w:space="0" w:color="auto"/>
              <w:right w:val="single" w:sz="4" w:space="0" w:color="auto"/>
            </w:tcBorders>
            <w:vAlign w:val="center"/>
            <w:hideMark/>
          </w:tcPr>
          <w:p w14:paraId="685448EB" w14:textId="77777777" w:rsidR="00273288" w:rsidRPr="00E33DE3" w:rsidRDefault="00273288" w:rsidP="00C65B25">
            <w:pPr>
              <w:jc w:val="center"/>
              <w:rPr>
                <w:rFonts w:ascii="Verdana" w:eastAsia="Arial" w:hAnsi="Verdana" w:cs="Arial"/>
                <w:color w:val="000000" w:themeColor="text1"/>
                <w:sz w:val="18"/>
                <w:szCs w:val="18"/>
                <w:lang w:val="es-CO" w:eastAsia="es-CO"/>
              </w:rPr>
            </w:pPr>
            <w:r w:rsidRPr="00E33DE3">
              <w:rPr>
                <w:rFonts w:ascii="Verdana" w:eastAsia="Arial" w:hAnsi="Verdana" w:cs="Arial"/>
                <w:color w:val="000000" w:themeColor="text1"/>
                <w:sz w:val="18"/>
                <w:szCs w:val="18"/>
                <w:lang w:val="es-CO" w:eastAsia="es-CO"/>
              </w:rPr>
              <w:t>20191495</w:t>
            </w:r>
          </w:p>
        </w:tc>
        <w:tc>
          <w:tcPr>
            <w:tcW w:w="1766" w:type="dxa"/>
            <w:tcBorders>
              <w:top w:val="single" w:sz="4" w:space="0" w:color="auto"/>
              <w:left w:val="single" w:sz="4" w:space="0" w:color="auto"/>
              <w:bottom w:val="single" w:sz="4" w:space="0" w:color="auto"/>
              <w:right w:val="single" w:sz="4" w:space="0" w:color="auto"/>
            </w:tcBorders>
            <w:vAlign w:val="center"/>
            <w:hideMark/>
          </w:tcPr>
          <w:p w14:paraId="047E4906" w14:textId="77777777" w:rsidR="00273288" w:rsidRPr="00E33DE3" w:rsidRDefault="00273288" w:rsidP="00C65B25">
            <w:pPr>
              <w:jc w:val="center"/>
              <w:rPr>
                <w:rFonts w:ascii="Verdana" w:eastAsia="Arial" w:hAnsi="Verdana" w:cs="Arial"/>
                <w:color w:val="000000" w:themeColor="text1"/>
                <w:sz w:val="18"/>
                <w:szCs w:val="18"/>
                <w:lang w:val="es-CO" w:eastAsia="es-CO"/>
              </w:rPr>
            </w:pPr>
            <w:r w:rsidRPr="00E33DE3">
              <w:rPr>
                <w:rFonts w:ascii="Verdana" w:eastAsia="Arial" w:hAnsi="Verdana" w:cs="Arial"/>
                <w:color w:val="000000" w:themeColor="text1"/>
                <w:sz w:val="18"/>
                <w:szCs w:val="18"/>
                <w:lang w:val="es-CO" w:eastAsia="es-CO"/>
              </w:rPr>
              <w:t>271</w:t>
            </w:r>
          </w:p>
        </w:tc>
        <w:tc>
          <w:tcPr>
            <w:tcW w:w="1766" w:type="dxa"/>
            <w:tcBorders>
              <w:top w:val="single" w:sz="4" w:space="0" w:color="auto"/>
              <w:left w:val="single" w:sz="4" w:space="0" w:color="auto"/>
              <w:bottom w:val="single" w:sz="4" w:space="0" w:color="auto"/>
              <w:right w:val="single" w:sz="4" w:space="0" w:color="auto"/>
            </w:tcBorders>
            <w:vAlign w:val="center"/>
            <w:hideMark/>
          </w:tcPr>
          <w:p w14:paraId="7BC422FF" w14:textId="77777777" w:rsidR="00273288" w:rsidRPr="00E33DE3" w:rsidRDefault="00273288" w:rsidP="00C65B25">
            <w:pPr>
              <w:jc w:val="center"/>
              <w:rPr>
                <w:rFonts w:ascii="Verdana" w:eastAsia="Arial" w:hAnsi="Verdana" w:cs="Arial"/>
                <w:color w:val="000000" w:themeColor="text1"/>
                <w:sz w:val="18"/>
                <w:szCs w:val="18"/>
                <w:highlight w:val="yellow"/>
                <w:lang w:val="es-CO" w:eastAsia="es-CO"/>
              </w:rPr>
            </w:pPr>
            <w:r w:rsidRPr="00E33DE3">
              <w:rPr>
                <w:rFonts w:ascii="Verdana" w:eastAsia="Arial" w:hAnsi="Verdana" w:cs="Arial"/>
                <w:color w:val="000000" w:themeColor="text1"/>
                <w:sz w:val="18"/>
                <w:szCs w:val="18"/>
                <w:lang w:val="es-CO" w:eastAsia="es-CO"/>
              </w:rPr>
              <w:t>64.837.021</w:t>
            </w:r>
          </w:p>
        </w:tc>
      </w:tr>
      <w:tr w:rsidR="00273288" w:rsidRPr="00E33DE3" w14:paraId="4AA816E0" w14:textId="77777777" w:rsidTr="00273288">
        <w:trPr>
          <w:trHeight w:val="30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0BEA470" w14:textId="77777777" w:rsidR="00273288" w:rsidRPr="00E33DE3" w:rsidRDefault="00273288" w:rsidP="00C65B25">
            <w:pPr>
              <w:jc w:val="center"/>
              <w:rPr>
                <w:rFonts w:ascii="Verdana" w:eastAsia="Arial" w:hAnsi="Verdana" w:cs="Arial"/>
                <w:color w:val="000000" w:themeColor="text1"/>
                <w:sz w:val="18"/>
                <w:szCs w:val="18"/>
                <w:lang w:val="es-CO" w:eastAsia="en-US"/>
              </w:rPr>
            </w:pPr>
            <w:r w:rsidRPr="00E33DE3">
              <w:rPr>
                <w:rFonts w:ascii="Verdana" w:eastAsia="Arial" w:hAnsi="Verdana" w:cs="Arial"/>
                <w:color w:val="000000" w:themeColor="text1"/>
                <w:sz w:val="18"/>
                <w:szCs w:val="18"/>
                <w:lang w:val="es-CO" w:eastAsia="en-US"/>
              </w:rPr>
              <w:t>2019</w:t>
            </w:r>
          </w:p>
        </w:tc>
        <w:tc>
          <w:tcPr>
            <w:tcW w:w="2684" w:type="dxa"/>
            <w:tcBorders>
              <w:top w:val="single" w:sz="4" w:space="0" w:color="auto"/>
              <w:left w:val="single" w:sz="4" w:space="0" w:color="auto"/>
              <w:bottom w:val="single" w:sz="4" w:space="0" w:color="auto"/>
              <w:right w:val="single" w:sz="4" w:space="0" w:color="auto"/>
            </w:tcBorders>
            <w:vAlign w:val="center"/>
            <w:hideMark/>
          </w:tcPr>
          <w:p w14:paraId="5CB740A4" w14:textId="77777777" w:rsidR="00273288" w:rsidRPr="00E33DE3" w:rsidRDefault="00273288" w:rsidP="00C65B25">
            <w:pPr>
              <w:jc w:val="center"/>
              <w:rPr>
                <w:rFonts w:ascii="Verdana" w:eastAsia="Arial" w:hAnsi="Verdana" w:cs="Arial"/>
                <w:sz w:val="18"/>
                <w:szCs w:val="18"/>
              </w:rPr>
            </w:pPr>
            <w:r w:rsidRPr="00E33DE3">
              <w:rPr>
                <w:rFonts w:ascii="Verdana" w:eastAsia="Arial" w:hAnsi="Verdana" w:cs="Arial"/>
                <w:sz w:val="18"/>
                <w:szCs w:val="18"/>
              </w:rPr>
              <w:t>Adultos con Necesidades Educativas Especiales</w:t>
            </w:r>
          </w:p>
        </w:tc>
        <w:tc>
          <w:tcPr>
            <w:tcW w:w="1766" w:type="dxa"/>
            <w:tcBorders>
              <w:top w:val="single" w:sz="4" w:space="0" w:color="auto"/>
              <w:left w:val="single" w:sz="4" w:space="0" w:color="auto"/>
              <w:bottom w:val="single" w:sz="4" w:space="0" w:color="auto"/>
              <w:right w:val="single" w:sz="4" w:space="0" w:color="auto"/>
            </w:tcBorders>
            <w:vAlign w:val="center"/>
            <w:hideMark/>
          </w:tcPr>
          <w:p w14:paraId="7D37B967" w14:textId="77777777" w:rsidR="00273288" w:rsidRPr="00E33DE3" w:rsidRDefault="00273288" w:rsidP="00C65B25">
            <w:pPr>
              <w:jc w:val="center"/>
              <w:rPr>
                <w:rFonts w:ascii="Verdana" w:eastAsia="Arial" w:hAnsi="Verdana" w:cs="Arial"/>
                <w:color w:val="000000" w:themeColor="text1"/>
                <w:sz w:val="18"/>
                <w:szCs w:val="18"/>
                <w:lang w:val="es-CO" w:eastAsia="en-US"/>
              </w:rPr>
            </w:pPr>
            <w:r w:rsidRPr="00E33DE3">
              <w:rPr>
                <w:rFonts w:ascii="Verdana" w:eastAsia="Arial" w:hAnsi="Verdana" w:cs="Arial"/>
                <w:color w:val="000000" w:themeColor="text1"/>
                <w:sz w:val="18"/>
                <w:szCs w:val="18"/>
                <w:lang w:val="es-CO" w:eastAsia="en-US"/>
              </w:rPr>
              <w:t>257.860.213</w:t>
            </w:r>
          </w:p>
        </w:tc>
        <w:tc>
          <w:tcPr>
            <w:tcW w:w="1766" w:type="dxa"/>
            <w:tcBorders>
              <w:top w:val="single" w:sz="4" w:space="0" w:color="auto"/>
              <w:left w:val="single" w:sz="4" w:space="0" w:color="auto"/>
              <w:bottom w:val="single" w:sz="4" w:space="0" w:color="auto"/>
              <w:right w:val="single" w:sz="4" w:space="0" w:color="auto"/>
            </w:tcBorders>
            <w:vAlign w:val="center"/>
            <w:hideMark/>
          </w:tcPr>
          <w:p w14:paraId="5DD09ED9" w14:textId="77777777" w:rsidR="00273288" w:rsidRPr="00E33DE3" w:rsidRDefault="00273288" w:rsidP="00C65B25">
            <w:pPr>
              <w:jc w:val="center"/>
              <w:rPr>
                <w:rFonts w:ascii="Verdana" w:eastAsia="Arial" w:hAnsi="Verdana" w:cs="Arial"/>
                <w:color w:val="000000" w:themeColor="text1"/>
                <w:sz w:val="18"/>
                <w:szCs w:val="18"/>
                <w:lang w:val="es-CO" w:eastAsia="en-US"/>
              </w:rPr>
            </w:pPr>
            <w:r w:rsidRPr="00E33DE3">
              <w:rPr>
                <w:rFonts w:ascii="Verdana" w:eastAsia="Arial" w:hAnsi="Verdana" w:cs="Arial"/>
                <w:color w:val="000000" w:themeColor="text1"/>
                <w:sz w:val="18"/>
                <w:szCs w:val="18"/>
                <w:lang w:val="es-CO" w:eastAsia="en-US"/>
              </w:rPr>
              <w:t>103</w:t>
            </w:r>
          </w:p>
        </w:tc>
        <w:tc>
          <w:tcPr>
            <w:tcW w:w="1766" w:type="dxa"/>
            <w:tcBorders>
              <w:top w:val="single" w:sz="4" w:space="0" w:color="auto"/>
              <w:left w:val="single" w:sz="4" w:space="0" w:color="auto"/>
              <w:bottom w:val="single" w:sz="4" w:space="0" w:color="auto"/>
              <w:right w:val="single" w:sz="4" w:space="0" w:color="auto"/>
            </w:tcBorders>
            <w:vAlign w:val="center"/>
            <w:hideMark/>
          </w:tcPr>
          <w:p w14:paraId="276AE38B" w14:textId="77777777" w:rsidR="00273288" w:rsidRPr="00E33DE3" w:rsidRDefault="00273288" w:rsidP="00C65B25">
            <w:pPr>
              <w:jc w:val="center"/>
              <w:rPr>
                <w:rFonts w:ascii="Verdana" w:eastAsia="Arial" w:hAnsi="Verdana" w:cs="Arial"/>
                <w:color w:val="000000" w:themeColor="text1"/>
                <w:sz w:val="18"/>
                <w:szCs w:val="18"/>
                <w:lang w:val="es-CO" w:eastAsia="en-US"/>
              </w:rPr>
            </w:pPr>
            <w:r w:rsidRPr="00E33DE3">
              <w:rPr>
                <w:rFonts w:ascii="Verdana" w:eastAsia="Arial" w:hAnsi="Verdana" w:cs="Arial"/>
                <w:color w:val="000000" w:themeColor="text1"/>
                <w:sz w:val="18"/>
                <w:szCs w:val="18"/>
                <w:lang w:val="es-CO" w:eastAsia="en-US"/>
              </w:rPr>
              <w:t>194.699,480</w:t>
            </w:r>
          </w:p>
        </w:tc>
      </w:tr>
      <w:tr w:rsidR="00273288" w:rsidRPr="00E33DE3" w14:paraId="25E6F999" w14:textId="77777777" w:rsidTr="00273288">
        <w:trPr>
          <w:trHeight w:val="30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D825EE0" w14:textId="77777777" w:rsidR="00273288" w:rsidRPr="00E33DE3" w:rsidRDefault="00273288" w:rsidP="00C65B25">
            <w:pPr>
              <w:jc w:val="center"/>
              <w:rPr>
                <w:rFonts w:ascii="Verdana" w:eastAsia="Arial" w:hAnsi="Verdana" w:cs="Arial"/>
                <w:color w:val="000000" w:themeColor="text1"/>
                <w:sz w:val="18"/>
                <w:szCs w:val="18"/>
                <w:lang w:val="es-CO" w:eastAsia="es-CO"/>
              </w:rPr>
            </w:pPr>
            <w:r w:rsidRPr="00E33DE3">
              <w:rPr>
                <w:rFonts w:ascii="Verdana" w:eastAsia="Arial" w:hAnsi="Verdana" w:cs="Arial"/>
                <w:color w:val="000000" w:themeColor="text1"/>
                <w:sz w:val="18"/>
                <w:szCs w:val="18"/>
                <w:lang w:val="es-CO" w:eastAsia="es-CO"/>
              </w:rPr>
              <w:t>2020</w:t>
            </w:r>
          </w:p>
        </w:tc>
        <w:tc>
          <w:tcPr>
            <w:tcW w:w="2684" w:type="dxa"/>
            <w:tcBorders>
              <w:top w:val="single" w:sz="4" w:space="0" w:color="auto"/>
              <w:left w:val="single" w:sz="4" w:space="0" w:color="auto"/>
              <w:bottom w:val="single" w:sz="4" w:space="0" w:color="auto"/>
              <w:right w:val="single" w:sz="4" w:space="0" w:color="auto"/>
            </w:tcBorders>
            <w:vAlign w:val="center"/>
            <w:hideMark/>
          </w:tcPr>
          <w:p w14:paraId="7D7E867F" w14:textId="77777777" w:rsidR="00273288" w:rsidRPr="00E33DE3" w:rsidRDefault="00273288" w:rsidP="00C65B25">
            <w:pPr>
              <w:jc w:val="center"/>
              <w:rPr>
                <w:rFonts w:ascii="Verdana" w:eastAsia="Arial" w:hAnsi="Verdana" w:cs="Arial"/>
                <w:sz w:val="18"/>
                <w:szCs w:val="18"/>
              </w:rPr>
            </w:pPr>
            <w:r w:rsidRPr="00E33DE3">
              <w:rPr>
                <w:rFonts w:ascii="Verdana" w:eastAsia="Arial" w:hAnsi="Verdana" w:cs="Arial"/>
                <w:sz w:val="18"/>
                <w:szCs w:val="18"/>
              </w:rPr>
              <w:t>Alumnos de Primaria de Área Urbana</w:t>
            </w:r>
          </w:p>
        </w:tc>
        <w:tc>
          <w:tcPr>
            <w:tcW w:w="1766" w:type="dxa"/>
            <w:tcBorders>
              <w:top w:val="single" w:sz="4" w:space="0" w:color="auto"/>
              <w:left w:val="single" w:sz="4" w:space="0" w:color="auto"/>
              <w:bottom w:val="single" w:sz="4" w:space="0" w:color="auto"/>
              <w:right w:val="single" w:sz="4" w:space="0" w:color="auto"/>
            </w:tcBorders>
            <w:vAlign w:val="center"/>
            <w:hideMark/>
          </w:tcPr>
          <w:p w14:paraId="79FAAF25" w14:textId="77777777" w:rsidR="00273288" w:rsidRPr="00E33DE3" w:rsidRDefault="00273288" w:rsidP="00C65B25">
            <w:pPr>
              <w:jc w:val="center"/>
              <w:rPr>
                <w:rFonts w:ascii="Verdana" w:eastAsia="Arial" w:hAnsi="Verdana" w:cs="Arial"/>
                <w:color w:val="000000" w:themeColor="text1"/>
                <w:sz w:val="18"/>
                <w:szCs w:val="18"/>
                <w:lang w:val="es-CO" w:eastAsia="es-CO"/>
              </w:rPr>
            </w:pPr>
            <w:r w:rsidRPr="00E33DE3">
              <w:rPr>
                <w:rFonts w:ascii="Verdana" w:eastAsia="Arial" w:hAnsi="Verdana" w:cs="Arial"/>
                <w:color w:val="000000" w:themeColor="text1"/>
                <w:sz w:val="18"/>
                <w:szCs w:val="18"/>
                <w:lang w:val="es-CO" w:eastAsia="es-CO"/>
              </w:rPr>
              <w:t>20201849</w:t>
            </w:r>
          </w:p>
        </w:tc>
        <w:tc>
          <w:tcPr>
            <w:tcW w:w="1766" w:type="dxa"/>
            <w:tcBorders>
              <w:top w:val="single" w:sz="4" w:space="0" w:color="auto"/>
              <w:left w:val="single" w:sz="4" w:space="0" w:color="auto"/>
              <w:bottom w:val="single" w:sz="4" w:space="0" w:color="auto"/>
              <w:right w:val="single" w:sz="4" w:space="0" w:color="auto"/>
            </w:tcBorders>
            <w:vAlign w:val="center"/>
            <w:hideMark/>
          </w:tcPr>
          <w:p w14:paraId="211E05C5" w14:textId="77777777" w:rsidR="00273288" w:rsidRPr="00E33DE3" w:rsidRDefault="00273288" w:rsidP="00C65B25">
            <w:pPr>
              <w:jc w:val="center"/>
              <w:rPr>
                <w:rFonts w:ascii="Verdana" w:eastAsia="Arial" w:hAnsi="Verdana" w:cs="Arial"/>
                <w:color w:val="000000" w:themeColor="text1"/>
                <w:sz w:val="18"/>
                <w:szCs w:val="18"/>
                <w:lang w:val="es-CO" w:eastAsia="es-CO"/>
              </w:rPr>
            </w:pPr>
            <w:r w:rsidRPr="00E33DE3">
              <w:rPr>
                <w:rFonts w:ascii="Verdana" w:eastAsia="Arial" w:hAnsi="Verdana" w:cs="Arial"/>
                <w:color w:val="000000" w:themeColor="text1"/>
                <w:sz w:val="18"/>
                <w:szCs w:val="18"/>
                <w:lang w:val="es-CO" w:eastAsia="es-CO"/>
              </w:rPr>
              <w:t>269</w:t>
            </w:r>
          </w:p>
        </w:tc>
        <w:tc>
          <w:tcPr>
            <w:tcW w:w="1766" w:type="dxa"/>
            <w:tcBorders>
              <w:top w:val="single" w:sz="4" w:space="0" w:color="auto"/>
              <w:left w:val="single" w:sz="4" w:space="0" w:color="auto"/>
              <w:bottom w:val="single" w:sz="4" w:space="0" w:color="auto"/>
              <w:right w:val="single" w:sz="4" w:space="0" w:color="auto"/>
            </w:tcBorders>
            <w:vAlign w:val="center"/>
            <w:hideMark/>
          </w:tcPr>
          <w:p w14:paraId="17D01CA1" w14:textId="77777777" w:rsidR="00273288" w:rsidRPr="00E33DE3" w:rsidRDefault="00273288" w:rsidP="00C65B25">
            <w:pPr>
              <w:jc w:val="center"/>
              <w:rPr>
                <w:rFonts w:ascii="Verdana" w:eastAsia="Arial" w:hAnsi="Verdana" w:cs="Arial"/>
                <w:color w:val="000000" w:themeColor="text1"/>
                <w:sz w:val="18"/>
                <w:szCs w:val="18"/>
                <w:lang w:val="es-CO" w:eastAsia="es-CO"/>
              </w:rPr>
            </w:pPr>
            <w:r w:rsidRPr="00E33DE3">
              <w:rPr>
                <w:rFonts w:ascii="Verdana" w:eastAsia="Arial" w:hAnsi="Verdana" w:cs="Arial"/>
                <w:color w:val="000000" w:themeColor="text1"/>
                <w:sz w:val="18"/>
                <w:szCs w:val="18"/>
                <w:lang w:val="es-CO" w:eastAsia="es-CO"/>
              </w:rPr>
              <w:t>54.734.237</w:t>
            </w:r>
          </w:p>
        </w:tc>
      </w:tr>
      <w:tr w:rsidR="00273288" w:rsidRPr="00E33DE3" w14:paraId="00CFAA0F" w14:textId="77777777" w:rsidTr="00273288">
        <w:trPr>
          <w:trHeight w:val="30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9022366" w14:textId="77777777" w:rsidR="00273288" w:rsidRPr="00E33DE3" w:rsidRDefault="00273288" w:rsidP="00C65B25">
            <w:pPr>
              <w:jc w:val="center"/>
              <w:rPr>
                <w:rFonts w:ascii="Verdana" w:eastAsia="Arial" w:hAnsi="Verdana" w:cs="Arial"/>
                <w:color w:val="000000" w:themeColor="text1"/>
                <w:sz w:val="18"/>
                <w:szCs w:val="18"/>
                <w:lang w:val="es-CO" w:eastAsia="en-US"/>
              </w:rPr>
            </w:pPr>
            <w:r w:rsidRPr="00E33DE3">
              <w:rPr>
                <w:rFonts w:ascii="Verdana" w:eastAsia="Arial" w:hAnsi="Verdana" w:cs="Arial"/>
                <w:color w:val="000000" w:themeColor="text1"/>
                <w:sz w:val="18"/>
                <w:szCs w:val="18"/>
                <w:lang w:val="es-CO" w:eastAsia="en-US"/>
              </w:rPr>
              <w:t>2020</w:t>
            </w:r>
          </w:p>
        </w:tc>
        <w:tc>
          <w:tcPr>
            <w:tcW w:w="2684" w:type="dxa"/>
            <w:tcBorders>
              <w:top w:val="single" w:sz="4" w:space="0" w:color="auto"/>
              <w:left w:val="single" w:sz="4" w:space="0" w:color="auto"/>
              <w:bottom w:val="single" w:sz="4" w:space="0" w:color="auto"/>
              <w:right w:val="single" w:sz="4" w:space="0" w:color="auto"/>
            </w:tcBorders>
            <w:vAlign w:val="center"/>
            <w:hideMark/>
          </w:tcPr>
          <w:p w14:paraId="5214B81A" w14:textId="77777777" w:rsidR="00273288" w:rsidRPr="00E33DE3" w:rsidRDefault="00273288" w:rsidP="00C65B25">
            <w:pPr>
              <w:jc w:val="center"/>
              <w:rPr>
                <w:rFonts w:ascii="Verdana" w:eastAsia="Arial" w:hAnsi="Verdana" w:cs="Arial"/>
                <w:sz w:val="18"/>
                <w:szCs w:val="18"/>
              </w:rPr>
            </w:pPr>
            <w:r w:rsidRPr="00E33DE3">
              <w:rPr>
                <w:rFonts w:ascii="Verdana" w:eastAsia="Arial" w:hAnsi="Verdana" w:cs="Arial"/>
                <w:sz w:val="18"/>
                <w:szCs w:val="18"/>
              </w:rPr>
              <w:t>Adultos con Necesidades Educativas Especiales</w:t>
            </w:r>
          </w:p>
        </w:tc>
        <w:tc>
          <w:tcPr>
            <w:tcW w:w="1766" w:type="dxa"/>
            <w:tcBorders>
              <w:top w:val="single" w:sz="4" w:space="0" w:color="auto"/>
              <w:left w:val="single" w:sz="4" w:space="0" w:color="auto"/>
              <w:bottom w:val="single" w:sz="4" w:space="0" w:color="auto"/>
              <w:right w:val="single" w:sz="4" w:space="0" w:color="auto"/>
            </w:tcBorders>
            <w:vAlign w:val="center"/>
            <w:hideMark/>
          </w:tcPr>
          <w:p w14:paraId="7FE79230" w14:textId="77777777" w:rsidR="00273288" w:rsidRPr="00E33DE3" w:rsidRDefault="00273288" w:rsidP="00C65B25">
            <w:pPr>
              <w:jc w:val="center"/>
              <w:rPr>
                <w:rFonts w:ascii="Verdana" w:eastAsia="Arial" w:hAnsi="Verdana" w:cs="Arial"/>
                <w:color w:val="000000" w:themeColor="text1"/>
                <w:sz w:val="18"/>
                <w:szCs w:val="18"/>
                <w:lang w:val="es-CO" w:eastAsia="en-US"/>
              </w:rPr>
            </w:pPr>
            <w:r w:rsidRPr="00E33DE3">
              <w:rPr>
                <w:rFonts w:ascii="Verdana" w:eastAsia="Arial" w:hAnsi="Verdana" w:cs="Arial"/>
                <w:color w:val="000000" w:themeColor="text1"/>
                <w:sz w:val="18"/>
                <w:szCs w:val="18"/>
                <w:lang w:val="es-CO" w:eastAsia="en-US"/>
              </w:rPr>
              <w:t>278.489.030</w:t>
            </w:r>
          </w:p>
        </w:tc>
        <w:tc>
          <w:tcPr>
            <w:tcW w:w="1766" w:type="dxa"/>
            <w:tcBorders>
              <w:top w:val="single" w:sz="4" w:space="0" w:color="auto"/>
              <w:left w:val="single" w:sz="4" w:space="0" w:color="auto"/>
              <w:bottom w:val="single" w:sz="4" w:space="0" w:color="auto"/>
              <w:right w:val="single" w:sz="4" w:space="0" w:color="auto"/>
            </w:tcBorders>
            <w:vAlign w:val="center"/>
            <w:hideMark/>
          </w:tcPr>
          <w:p w14:paraId="71E025FC" w14:textId="77777777" w:rsidR="00273288" w:rsidRPr="00E33DE3" w:rsidRDefault="00273288" w:rsidP="00C65B25">
            <w:pPr>
              <w:jc w:val="center"/>
              <w:rPr>
                <w:rFonts w:ascii="Verdana" w:eastAsia="Arial" w:hAnsi="Verdana" w:cs="Arial"/>
                <w:color w:val="000000" w:themeColor="text1"/>
                <w:sz w:val="18"/>
                <w:szCs w:val="18"/>
                <w:lang w:val="es-CO" w:eastAsia="en-US"/>
              </w:rPr>
            </w:pPr>
            <w:r w:rsidRPr="00E33DE3">
              <w:rPr>
                <w:rFonts w:ascii="Verdana" w:eastAsia="Arial" w:hAnsi="Verdana" w:cs="Arial"/>
                <w:color w:val="000000" w:themeColor="text1"/>
                <w:sz w:val="18"/>
                <w:szCs w:val="18"/>
                <w:lang w:val="es-CO" w:eastAsia="en-US"/>
              </w:rPr>
              <w:t>103</w:t>
            </w:r>
          </w:p>
        </w:tc>
        <w:tc>
          <w:tcPr>
            <w:tcW w:w="1766" w:type="dxa"/>
            <w:tcBorders>
              <w:top w:val="single" w:sz="4" w:space="0" w:color="auto"/>
              <w:left w:val="single" w:sz="4" w:space="0" w:color="auto"/>
              <w:bottom w:val="single" w:sz="4" w:space="0" w:color="auto"/>
              <w:right w:val="single" w:sz="4" w:space="0" w:color="auto"/>
            </w:tcBorders>
            <w:vAlign w:val="center"/>
            <w:hideMark/>
          </w:tcPr>
          <w:p w14:paraId="3F1E19C6" w14:textId="77777777" w:rsidR="00273288" w:rsidRPr="00E33DE3" w:rsidRDefault="00273288" w:rsidP="00C65B25">
            <w:pPr>
              <w:jc w:val="center"/>
              <w:rPr>
                <w:rFonts w:ascii="Verdana" w:eastAsia="Arial" w:hAnsi="Verdana" w:cs="Arial"/>
                <w:color w:val="000000" w:themeColor="text1"/>
                <w:sz w:val="18"/>
                <w:szCs w:val="18"/>
                <w:lang w:val="es-CO" w:eastAsia="en-US"/>
              </w:rPr>
            </w:pPr>
            <w:r w:rsidRPr="00E33DE3">
              <w:rPr>
                <w:rFonts w:ascii="Verdana" w:eastAsia="Arial" w:hAnsi="Verdana" w:cs="Arial"/>
                <w:color w:val="000000" w:themeColor="text1"/>
                <w:sz w:val="18"/>
                <w:szCs w:val="18"/>
                <w:lang w:val="es-CO" w:eastAsia="en-US"/>
              </w:rPr>
              <w:t>215.328,297</w:t>
            </w:r>
          </w:p>
        </w:tc>
      </w:tr>
      <w:tr w:rsidR="00273288" w:rsidRPr="00E33DE3" w14:paraId="4DA08DC7" w14:textId="77777777" w:rsidTr="00273288">
        <w:trPr>
          <w:trHeight w:val="30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9BBAEDB" w14:textId="77777777" w:rsidR="00273288" w:rsidRPr="00E33DE3" w:rsidRDefault="00273288" w:rsidP="00C65B25">
            <w:pPr>
              <w:jc w:val="center"/>
              <w:rPr>
                <w:rFonts w:ascii="Verdana" w:eastAsia="Arial" w:hAnsi="Verdana" w:cs="Arial"/>
                <w:color w:val="000000" w:themeColor="text1"/>
                <w:sz w:val="18"/>
                <w:szCs w:val="18"/>
                <w:lang w:val="es-CO" w:eastAsia="es-CO"/>
              </w:rPr>
            </w:pPr>
            <w:r w:rsidRPr="00E33DE3">
              <w:rPr>
                <w:rFonts w:ascii="Verdana" w:eastAsia="Arial" w:hAnsi="Verdana" w:cs="Arial"/>
                <w:color w:val="000000" w:themeColor="text1"/>
                <w:sz w:val="18"/>
                <w:szCs w:val="18"/>
                <w:lang w:val="es-CO" w:eastAsia="es-CO"/>
              </w:rPr>
              <w:t>2021</w:t>
            </w:r>
          </w:p>
        </w:tc>
        <w:tc>
          <w:tcPr>
            <w:tcW w:w="2684" w:type="dxa"/>
            <w:tcBorders>
              <w:top w:val="single" w:sz="4" w:space="0" w:color="auto"/>
              <w:left w:val="single" w:sz="4" w:space="0" w:color="auto"/>
              <w:bottom w:val="single" w:sz="4" w:space="0" w:color="auto"/>
              <w:right w:val="single" w:sz="4" w:space="0" w:color="auto"/>
            </w:tcBorders>
            <w:vAlign w:val="center"/>
            <w:hideMark/>
          </w:tcPr>
          <w:p w14:paraId="702FE43E" w14:textId="77777777" w:rsidR="00273288" w:rsidRPr="00E33DE3" w:rsidRDefault="00273288" w:rsidP="00C65B25">
            <w:pPr>
              <w:jc w:val="center"/>
              <w:rPr>
                <w:rFonts w:ascii="Verdana" w:eastAsia="Arial" w:hAnsi="Verdana" w:cs="Arial"/>
                <w:sz w:val="18"/>
                <w:szCs w:val="18"/>
              </w:rPr>
            </w:pPr>
            <w:r w:rsidRPr="00E33DE3">
              <w:rPr>
                <w:rFonts w:ascii="Verdana" w:eastAsia="Arial" w:hAnsi="Verdana" w:cs="Arial"/>
                <w:sz w:val="18"/>
                <w:szCs w:val="18"/>
              </w:rPr>
              <w:t>Alumnos de Primaria de Área Urbana</w:t>
            </w:r>
          </w:p>
        </w:tc>
        <w:tc>
          <w:tcPr>
            <w:tcW w:w="1766" w:type="dxa"/>
            <w:tcBorders>
              <w:top w:val="single" w:sz="4" w:space="0" w:color="auto"/>
              <w:left w:val="single" w:sz="4" w:space="0" w:color="auto"/>
              <w:bottom w:val="single" w:sz="4" w:space="0" w:color="auto"/>
              <w:right w:val="single" w:sz="4" w:space="0" w:color="auto"/>
            </w:tcBorders>
            <w:vAlign w:val="center"/>
            <w:hideMark/>
          </w:tcPr>
          <w:p w14:paraId="78541E46" w14:textId="77777777" w:rsidR="00273288" w:rsidRPr="00E33DE3" w:rsidRDefault="00273288" w:rsidP="00C65B25">
            <w:pPr>
              <w:jc w:val="center"/>
              <w:rPr>
                <w:rFonts w:ascii="Verdana" w:eastAsia="Arial" w:hAnsi="Verdana" w:cs="Arial"/>
                <w:color w:val="000000" w:themeColor="text1"/>
                <w:sz w:val="18"/>
                <w:szCs w:val="18"/>
                <w:lang w:val="es-CO" w:eastAsia="es-CO"/>
              </w:rPr>
            </w:pPr>
            <w:r w:rsidRPr="00E33DE3">
              <w:rPr>
                <w:rFonts w:ascii="Verdana" w:eastAsia="Arial" w:hAnsi="Verdana" w:cs="Arial"/>
                <w:color w:val="000000" w:themeColor="text1"/>
                <w:sz w:val="18"/>
                <w:szCs w:val="18"/>
                <w:lang w:val="es-CO" w:eastAsia="es-CO"/>
              </w:rPr>
              <w:t>20211447</w:t>
            </w:r>
          </w:p>
        </w:tc>
        <w:tc>
          <w:tcPr>
            <w:tcW w:w="1766" w:type="dxa"/>
            <w:tcBorders>
              <w:top w:val="single" w:sz="4" w:space="0" w:color="auto"/>
              <w:left w:val="single" w:sz="4" w:space="0" w:color="auto"/>
              <w:bottom w:val="single" w:sz="4" w:space="0" w:color="auto"/>
              <w:right w:val="single" w:sz="4" w:space="0" w:color="auto"/>
            </w:tcBorders>
            <w:vAlign w:val="center"/>
            <w:hideMark/>
          </w:tcPr>
          <w:p w14:paraId="4E1A5818" w14:textId="77777777" w:rsidR="00273288" w:rsidRPr="00E33DE3" w:rsidRDefault="00273288" w:rsidP="00C65B25">
            <w:pPr>
              <w:jc w:val="center"/>
              <w:rPr>
                <w:rFonts w:ascii="Verdana" w:eastAsia="Arial" w:hAnsi="Verdana" w:cs="Arial"/>
                <w:color w:val="000000" w:themeColor="text1"/>
                <w:sz w:val="18"/>
                <w:szCs w:val="18"/>
                <w:lang w:val="es-CO" w:eastAsia="es-CO"/>
              </w:rPr>
            </w:pPr>
            <w:r w:rsidRPr="00E33DE3">
              <w:rPr>
                <w:rFonts w:ascii="Verdana" w:eastAsia="Arial" w:hAnsi="Verdana" w:cs="Arial"/>
                <w:color w:val="000000" w:themeColor="text1"/>
                <w:sz w:val="18"/>
                <w:szCs w:val="18"/>
                <w:lang w:val="es-CO" w:eastAsia="es-CO"/>
              </w:rPr>
              <w:t>258</w:t>
            </w:r>
          </w:p>
        </w:tc>
        <w:tc>
          <w:tcPr>
            <w:tcW w:w="1766" w:type="dxa"/>
            <w:tcBorders>
              <w:top w:val="single" w:sz="4" w:space="0" w:color="auto"/>
              <w:left w:val="single" w:sz="4" w:space="0" w:color="auto"/>
              <w:bottom w:val="single" w:sz="4" w:space="0" w:color="auto"/>
              <w:right w:val="single" w:sz="4" w:space="0" w:color="auto"/>
            </w:tcBorders>
            <w:vAlign w:val="center"/>
            <w:hideMark/>
          </w:tcPr>
          <w:p w14:paraId="63B26383" w14:textId="77777777" w:rsidR="00273288" w:rsidRPr="00E33DE3" w:rsidRDefault="00273288" w:rsidP="00C65B25">
            <w:pPr>
              <w:jc w:val="center"/>
              <w:rPr>
                <w:rFonts w:ascii="Verdana" w:eastAsia="Arial" w:hAnsi="Verdana" w:cs="Arial"/>
                <w:color w:val="000000" w:themeColor="text1"/>
                <w:sz w:val="18"/>
                <w:szCs w:val="18"/>
                <w:lang w:val="es-CO" w:eastAsia="es-CO"/>
              </w:rPr>
            </w:pPr>
            <w:r w:rsidRPr="00E33DE3">
              <w:rPr>
                <w:rFonts w:ascii="Verdana" w:eastAsia="Arial" w:hAnsi="Verdana" w:cs="Arial"/>
                <w:color w:val="000000" w:themeColor="text1"/>
                <w:sz w:val="18"/>
                <w:szCs w:val="18"/>
                <w:lang w:val="es-CO" w:eastAsia="es-CO"/>
              </w:rPr>
              <w:t>52.496.034</w:t>
            </w:r>
          </w:p>
        </w:tc>
      </w:tr>
      <w:tr w:rsidR="00273288" w:rsidRPr="00E33DE3" w14:paraId="2379F742" w14:textId="77777777" w:rsidTr="00273288">
        <w:trPr>
          <w:trHeight w:val="30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36BE86E" w14:textId="77777777" w:rsidR="00273288" w:rsidRPr="00E33DE3" w:rsidRDefault="00273288" w:rsidP="00C65B25">
            <w:pPr>
              <w:jc w:val="center"/>
              <w:rPr>
                <w:rFonts w:ascii="Verdana" w:eastAsia="Arial" w:hAnsi="Verdana" w:cs="Arial"/>
                <w:color w:val="000000" w:themeColor="text1"/>
                <w:sz w:val="18"/>
                <w:szCs w:val="18"/>
                <w:lang w:val="es-CO" w:eastAsia="en-US"/>
              </w:rPr>
            </w:pPr>
            <w:r w:rsidRPr="00E33DE3">
              <w:rPr>
                <w:rFonts w:ascii="Verdana" w:eastAsia="Arial" w:hAnsi="Verdana" w:cs="Arial"/>
                <w:color w:val="000000" w:themeColor="text1"/>
                <w:sz w:val="18"/>
                <w:szCs w:val="18"/>
                <w:lang w:val="es-CO" w:eastAsia="en-US"/>
              </w:rPr>
              <w:t>2021</w:t>
            </w:r>
          </w:p>
        </w:tc>
        <w:tc>
          <w:tcPr>
            <w:tcW w:w="2684" w:type="dxa"/>
            <w:tcBorders>
              <w:top w:val="single" w:sz="4" w:space="0" w:color="auto"/>
              <w:left w:val="single" w:sz="4" w:space="0" w:color="auto"/>
              <w:bottom w:val="single" w:sz="4" w:space="0" w:color="auto"/>
              <w:right w:val="single" w:sz="4" w:space="0" w:color="auto"/>
            </w:tcBorders>
            <w:vAlign w:val="center"/>
            <w:hideMark/>
          </w:tcPr>
          <w:p w14:paraId="7DC09554" w14:textId="77777777" w:rsidR="00273288" w:rsidRPr="00E33DE3" w:rsidRDefault="00273288" w:rsidP="00C65B25">
            <w:pPr>
              <w:jc w:val="center"/>
              <w:rPr>
                <w:rFonts w:ascii="Verdana" w:eastAsia="Arial" w:hAnsi="Verdana" w:cs="Arial"/>
                <w:sz w:val="18"/>
                <w:szCs w:val="18"/>
              </w:rPr>
            </w:pPr>
            <w:r w:rsidRPr="00E33DE3">
              <w:rPr>
                <w:rFonts w:ascii="Verdana" w:eastAsia="Arial" w:hAnsi="Verdana" w:cs="Arial"/>
                <w:sz w:val="18"/>
                <w:szCs w:val="18"/>
              </w:rPr>
              <w:t>Adultos con Necesidades Educativas Especiales</w:t>
            </w:r>
          </w:p>
        </w:tc>
        <w:tc>
          <w:tcPr>
            <w:tcW w:w="1766" w:type="dxa"/>
            <w:tcBorders>
              <w:top w:val="single" w:sz="4" w:space="0" w:color="auto"/>
              <w:left w:val="single" w:sz="4" w:space="0" w:color="auto"/>
              <w:bottom w:val="single" w:sz="4" w:space="0" w:color="auto"/>
              <w:right w:val="single" w:sz="4" w:space="0" w:color="auto"/>
            </w:tcBorders>
            <w:vAlign w:val="center"/>
            <w:hideMark/>
          </w:tcPr>
          <w:p w14:paraId="602DC1C2" w14:textId="77777777" w:rsidR="00273288" w:rsidRPr="00E33DE3" w:rsidRDefault="00273288" w:rsidP="00C65B25">
            <w:pPr>
              <w:jc w:val="center"/>
              <w:rPr>
                <w:rFonts w:ascii="Verdana" w:eastAsia="Arial" w:hAnsi="Verdana" w:cs="Arial"/>
                <w:color w:val="000000" w:themeColor="text1"/>
                <w:sz w:val="18"/>
                <w:szCs w:val="18"/>
                <w:lang w:val="es-CO" w:eastAsia="en-US"/>
              </w:rPr>
            </w:pPr>
            <w:r w:rsidRPr="00E33DE3">
              <w:rPr>
                <w:rFonts w:ascii="Verdana" w:eastAsia="Arial" w:hAnsi="Verdana" w:cs="Arial"/>
                <w:color w:val="000000" w:themeColor="text1"/>
                <w:sz w:val="18"/>
                <w:szCs w:val="18"/>
                <w:lang w:val="es-CO" w:eastAsia="en-US"/>
              </w:rPr>
              <w:t>315.659.271</w:t>
            </w:r>
          </w:p>
        </w:tc>
        <w:tc>
          <w:tcPr>
            <w:tcW w:w="1766" w:type="dxa"/>
            <w:tcBorders>
              <w:top w:val="single" w:sz="4" w:space="0" w:color="auto"/>
              <w:left w:val="single" w:sz="4" w:space="0" w:color="auto"/>
              <w:bottom w:val="single" w:sz="4" w:space="0" w:color="auto"/>
              <w:right w:val="single" w:sz="4" w:space="0" w:color="auto"/>
            </w:tcBorders>
            <w:vAlign w:val="center"/>
            <w:hideMark/>
          </w:tcPr>
          <w:p w14:paraId="566F0E43" w14:textId="77777777" w:rsidR="00273288" w:rsidRPr="00E33DE3" w:rsidRDefault="00273288" w:rsidP="00C65B25">
            <w:pPr>
              <w:jc w:val="center"/>
              <w:rPr>
                <w:rFonts w:ascii="Verdana" w:eastAsia="Arial" w:hAnsi="Verdana" w:cs="Arial"/>
                <w:color w:val="000000" w:themeColor="text1"/>
                <w:sz w:val="18"/>
                <w:szCs w:val="18"/>
                <w:lang w:val="es-CO" w:eastAsia="en-US"/>
              </w:rPr>
            </w:pPr>
            <w:r w:rsidRPr="00E33DE3">
              <w:rPr>
                <w:rFonts w:ascii="Verdana" w:eastAsia="Arial" w:hAnsi="Verdana" w:cs="Arial"/>
                <w:color w:val="000000" w:themeColor="text1"/>
                <w:sz w:val="18"/>
                <w:szCs w:val="18"/>
                <w:lang w:val="es-CO" w:eastAsia="en-US"/>
              </w:rPr>
              <w:t>103</w:t>
            </w:r>
          </w:p>
        </w:tc>
        <w:tc>
          <w:tcPr>
            <w:tcW w:w="1766" w:type="dxa"/>
            <w:tcBorders>
              <w:top w:val="single" w:sz="4" w:space="0" w:color="auto"/>
              <w:left w:val="single" w:sz="4" w:space="0" w:color="auto"/>
              <w:bottom w:val="single" w:sz="4" w:space="0" w:color="auto"/>
              <w:right w:val="single" w:sz="4" w:space="0" w:color="auto"/>
            </w:tcBorders>
            <w:vAlign w:val="center"/>
            <w:hideMark/>
          </w:tcPr>
          <w:p w14:paraId="7D82F18F" w14:textId="77777777" w:rsidR="00273288" w:rsidRPr="00E33DE3" w:rsidRDefault="00273288" w:rsidP="00C65B25">
            <w:pPr>
              <w:jc w:val="center"/>
              <w:rPr>
                <w:rFonts w:ascii="Verdana" w:eastAsia="Arial" w:hAnsi="Verdana" w:cs="Arial"/>
                <w:color w:val="000000" w:themeColor="text1"/>
                <w:sz w:val="18"/>
                <w:szCs w:val="18"/>
                <w:lang w:val="es-CO" w:eastAsia="en-US"/>
              </w:rPr>
            </w:pPr>
            <w:r w:rsidRPr="00E33DE3">
              <w:rPr>
                <w:rFonts w:ascii="Verdana" w:eastAsia="Arial" w:hAnsi="Verdana" w:cs="Arial"/>
                <w:color w:val="000000" w:themeColor="text1"/>
                <w:sz w:val="18"/>
                <w:szCs w:val="18"/>
                <w:lang w:val="es-CO" w:eastAsia="en-US"/>
              </w:rPr>
              <w:t>252.498.538</w:t>
            </w:r>
          </w:p>
        </w:tc>
      </w:tr>
      <w:tr w:rsidR="00273288" w:rsidRPr="00E33DE3" w14:paraId="0487C3C5" w14:textId="77777777" w:rsidTr="00273288">
        <w:trPr>
          <w:trHeight w:val="30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90F5FA4" w14:textId="77777777" w:rsidR="00273288" w:rsidRPr="00E33DE3" w:rsidRDefault="00273288" w:rsidP="00C65B25">
            <w:pPr>
              <w:jc w:val="center"/>
              <w:rPr>
                <w:rFonts w:ascii="Verdana" w:eastAsia="Arial" w:hAnsi="Verdana" w:cs="Arial"/>
                <w:color w:val="000000" w:themeColor="text1"/>
                <w:sz w:val="18"/>
                <w:szCs w:val="18"/>
                <w:lang w:val="es-CO" w:eastAsia="en-US"/>
              </w:rPr>
            </w:pPr>
            <w:r w:rsidRPr="00E33DE3">
              <w:rPr>
                <w:rFonts w:ascii="Verdana" w:eastAsia="Arial" w:hAnsi="Verdana" w:cs="Arial"/>
                <w:color w:val="000000" w:themeColor="text1"/>
                <w:sz w:val="18"/>
                <w:szCs w:val="18"/>
                <w:lang w:val="es-CO" w:eastAsia="en-US"/>
              </w:rPr>
              <w:t>2022</w:t>
            </w:r>
          </w:p>
        </w:tc>
        <w:tc>
          <w:tcPr>
            <w:tcW w:w="2684" w:type="dxa"/>
            <w:tcBorders>
              <w:top w:val="single" w:sz="4" w:space="0" w:color="auto"/>
              <w:left w:val="single" w:sz="4" w:space="0" w:color="auto"/>
              <w:bottom w:val="single" w:sz="4" w:space="0" w:color="auto"/>
              <w:right w:val="single" w:sz="4" w:space="0" w:color="auto"/>
            </w:tcBorders>
            <w:vAlign w:val="center"/>
            <w:hideMark/>
          </w:tcPr>
          <w:p w14:paraId="7DD4E70C" w14:textId="77777777" w:rsidR="00273288" w:rsidRPr="00E33DE3" w:rsidRDefault="00273288" w:rsidP="00C65B25">
            <w:pPr>
              <w:jc w:val="center"/>
              <w:rPr>
                <w:rFonts w:ascii="Verdana" w:eastAsia="Arial" w:hAnsi="Verdana" w:cs="Arial"/>
                <w:sz w:val="18"/>
                <w:szCs w:val="18"/>
              </w:rPr>
            </w:pPr>
            <w:r w:rsidRPr="00E33DE3">
              <w:rPr>
                <w:rFonts w:ascii="Verdana" w:eastAsia="Arial" w:hAnsi="Verdana" w:cs="Arial"/>
                <w:sz w:val="18"/>
                <w:szCs w:val="18"/>
              </w:rPr>
              <w:t>Adultos con Necesidades Educativas Especiales</w:t>
            </w:r>
          </w:p>
        </w:tc>
        <w:tc>
          <w:tcPr>
            <w:tcW w:w="1766" w:type="dxa"/>
            <w:tcBorders>
              <w:top w:val="single" w:sz="4" w:space="0" w:color="auto"/>
              <w:left w:val="single" w:sz="4" w:space="0" w:color="auto"/>
              <w:bottom w:val="single" w:sz="4" w:space="0" w:color="auto"/>
              <w:right w:val="single" w:sz="4" w:space="0" w:color="auto"/>
            </w:tcBorders>
            <w:vAlign w:val="center"/>
            <w:hideMark/>
          </w:tcPr>
          <w:p w14:paraId="6BB0BAB5" w14:textId="77777777" w:rsidR="00273288" w:rsidRPr="00E33DE3" w:rsidRDefault="00273288" w:rsidP="00C65B25">
            <w:pPr>
              <w:jc w:val="center"/>
              <w:rPr>
                <w:rFonts w:ascii="Verdana" w:eastAsia="Arial" w:hAnsi="Verdana" w:cs="Arial"/>
                <w:color w:val="000000" w:themeColor="text1"/>
                <w:sz w:val="18"/>
                <w:szCs w:val="18"/>
                <w:lang w:val="es-CO" w:eastAsia="en-US"/>
              </w:rPr>
            </w:pPr>
            <w:r w:rsidRPr="00E33DE3">
              <w:rPr>
                <w:rFonts w:ascii="Verdana" w:eastAsia="Arial" w:hAnsi="Verdana" w:cs="Arial"/>
                <w:color w:val="000000" w:themeColor="text1"/>
                <w:sz w:val="18"/>
                <w:szCs w:val="18"/>
                <w:lang w:val="es-CO" w:eastAsia="en-US"/>
              </w:rPr>
              <w:t>272.198.372</w:t>
            </w:r>
          </w:p>
        </w:tc>
        <w:tc>
          <w:tcPr>
            <w:tcW w:w="1766" w:type="dxa"/>
            <w:tcBorders>
              <w:top w:val="single" w:sz="4" w:space="0" w:color="auto"/>
              <w:left w:val="single" w:sz="4" w:space="0" w:color="auto"/>
              <w:bottom w:val="single" w:sz="4" w:space="0" w:color="auto"/>
              <w:right w:val="single" w:sz="4" w:space="0" w:color="auto"/>
            </w:tcBorders>
            <w:vAlign w:val="center"/>
            <w:hideMark/>
          </w:tcPr>
          <w:p w14:paraId="75F79BA0" w14:textId="77777777" w:rsidR="00273288" w:rsidRPr="00E33DE3" w:rsidRDefault="00273288" w:rsidP="00C65B25">
            <w:pPr>
              <w:jc w:val="center"/>
              <w:rPr>
                <w:rFonts w:ascii="Verdana" w:eastAsia="Arial" w:hAnsi="Verdana" w:cs="Arial"/>
                <w:color w:val="000000" w:themeColor="text1"/>
                <w:sz w:val="18"/>
                <w:szCs w:val="18"/>
                <w:lang w:val="es-CO" w:eastAsia="en-US"/>
              </w:rPr>
            </w:pPr>
            <w:r w:rsidRPr="00E33DE3">
              <w:rPr>
                <w:rFonts w:ascii="Verdana" w:eastAsia="Arial" w:hAnsi="Verdana" w:cs="Arial"/>
                <w:color w:val="000000" w:themeColor="text1"/>
                <w:sz w:val="18"/>
                <w:szCs w:val="18"/>
                <w:lang w:val="es-CO" w:eastAsia="en-US"/>
              </w:rPr>
              <w:t>103</w:t>
            </w:r>
          </w:p>
        </w:tc>
        <w:tc>
          <w:tcPr>
            <w:tcW w:w="1766" w:type="dxa"/>
            <w:tcBorders>
              <w:top w:val="single" w:sz="4" w:space="0" w:color="auto"/>
              <w:left w:val="single" w:sz="4" w:space="0" w:color="auto"/>
              <w:bottom w:val="single" w:sz="4" w:space="0" w:color="auto"/>
              <w:right w:val="single" w:sz="4" w:space="0" w:color="auto"/>
            </w:tcBorders>
            <w:vAlign w:val="center"/>
            <w:hideMark/>
          </w:tcPr>
          <w:p w14:paraId="371A3C4A" w14:textId="77777777" w:rsidR="00273288" w:rsidRPr="00E33DE3" w:rsidRDefault="00273288" w:rsidP="00C65B25">
            <w:pPr>
              <w:jc w:val="center"/>
              <w:rPr>
                <w:rFonts w:ascii="Verdana" w:eastAsia="Arial" w:hAnsi="Verdana" w:cs="Arial"/>
                <w:color w:val="000000" w:themeColor="text1"/>
                <w:sz w:val="18"/>
                <w:szCs w:val="18"/>
                <w:lang w:val="es-CO" w:eastAsia="en-US"/>
              </w:rPr>
            </w:pPr>
            <w:r w:rsidRPr="00E33DE3">
              <w:rPr>
                <w:rFonts w:ascii="Verdana" w:eastAsia="Arial" w:hAnsi="Verdana" w:cs="Arial"/>
                <w:color w:val="000000" w:themeColor="text1"/>
                <w:sz w:val="18"/>
                <w:szCs w:val="18"/>
                <w:lang w:val="es-CO" w:eastAsia="en-US"/>
              </w:rPr>
              <w:t>209.037.639</w:t>
            </w:r>
          </w:p>
        </w:tc>
      </w:tr>
      <w:tr w:rsidR="00273288" w:rsidRPr="00E33DE3" w14:paraId="66C4E645" w14:textId="77777777" w:rsidTr="00273288">
        <w:trPr>
          <w:trHeight w:val="300"/>
          <w:jc w:val="center"/>
        </w:trPr>
        <w:tc>
          <w:tcPr>
            <w:tcW w:w="7062" w:type="dxa"/>
            <w:gridSpan w:val="4"/>
            <w:tcBorders>
              <w:top w:val="single" w:sz="4" w:space="0" w:color="auto"/>
              <w:left w:val="single" w:sz="4" w:space="0" w:color="auto"/>
              <w:bottom w:val="single" w:sz="4" w:space="0" w:color="auto"/>
              <w:right w:val="single" w:sz="4" w:space="0" w:color="auto"/>
            </w:tcBorders>
            <w:shd w:val="clear" w:color="auto" w:fill="B48C41"/>
            <w:vAlign w:val="center"/>
            <w:hideMark/>
          </w:tcPr>
          <w:p w14:paraId="676E0AB8" w14:textId="77777777" w:rsidR="00273288" w:rsidRPr="00E33DE3" w:rsidRDefault="00273288" w:rsidP="00C65B25">
            <w:pPr>
              <w:jc w:val="center"/>
              <w:rPr>
                <w:rFonts w:ascii="Verdana" w:eastAsia="Arial" w:hAnsi="Verdana" w:cs="Arial"/>
                <w:color w:val="FFFFFF" w:themeColor="background1"/>
                <w:sz w:val="18"/>
                <w:szCs w:val="18"/>
                <w:lang w:val="es-CO" w:eastAsia="en-US"/>
              </w:rPr>
            </w:pPr>
            <w:r w:rsidRPr="00E33DE3">
              <w:rPr>
                <w:rFonts w:ascii="Verdana" w:eastAsia="Arial" w:hAnsi="Verdana" w:cs="Arial"/>
                <w:color w:val="FFFFFF" w:themeColor="background1"/>
                <w:sz w:val="18"/>
                <w:szCs w:val="18"/>
                <w:lang w:val="es-CO" w:eastAsia="en-US"/>
              </w:rPr>
              <w:t>Total</w:t>
            </w:r>
          </w:p>
        </w:tc>
        <w:tc>
          <w:tcPr>
            <w:tcW w:w="1766" w:type="dxa"/>
            <w:tcBorders>
              <w:top w:val="single" w:sz="4" w:space="0" w:color="auto"/>
              <w:left w:val="single" w:sz="4" w:space="0" w:color="auto"/>
              <w:bottom w:val="single" w:sz="4" w:space="0" w:color="auto"/>
              <w:right w:val="single" w:sz="4" w:space="0" w:color="auto"/>
            </w:tcBorders>
            <w:shd w:val="clear" w:color="auto" w:fill="B48C41"/>
            <w:vAlign w:val="center"/>
            <w:hideMark/>
          </w:tcPr>
          <w:p w14:paraId="039E30DB" w14:textId="77777777" w:rsidR="00273288" w:rsidRPr="00E33DE3" w:rsidRDefault="00273288" w:rsidP="00C65B25">
            <w:pPr>
              <w:jc w:val="center"/>
              <w:rPr>
                <w:rFonts w:ascii="Verdana" w:eastAsia="Arial" w:hAnsi="Verdana" w:cs="Arial"/>
                <w:color w:val="FFFFFF" w:themeColor="background1"/>
                <w:sz w:val="18"/>
                <w:szCs w:val="18"/>
                <w:lang w:val="es-CO" w:eastAsia="en-US"/>
              </w:rPr>
            </w:pPr>
            <w:r w:rsidRPr="00E33DE3">
              <w:rPr>
                <w:rFonts w:ascii="Verdana" w:eastAsia="Arial" w:hAnsi="Verdana" w:cs="Arial"/>
                <w:color w:val="FFFFFF" w:themeColor="background1"/>
                <w:sz w:val="18"/>
                <w:szCs w:val="18"/>
                <w:lang w:val="es-CO" w:eastAsia="en-US"/>
              </w:rPr>
              <w:t>1.215.018.699</w:t>
            </w:r>
          </w:p>
        </w:tc>
      </w:tr>
    </w:tbl>
    <w:p w14:paraId="2AC2E56C" w14:textId="77777777" w:rsidR="00273288" w:rsidRPr="00E33DE3" w:rsidRDefault="00273288" w:rsidP="00C65B25">
      <w:pPr>
        <w:jc w:val="both"/>
        <w:rPr>
          <w:rFonts w:ascii="Verdana" w:hAnsi="Verdana" w:cs="Arial"/>
          <w:sz w:val="22"/>
          <w:szCs w:val="22"/>
        </w:rPr>
      </w:pPr>
    </w:p>
    <w:p w14:paraId="11E8197C"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Con estas actuaciones, el Municipio incumplió los lineamientos del artículo 27 de la Ley 715 de 2001 y del Decreto 1075 de 2015, en relación con el monto máximo a pagar por alumno cuando el servicio educativo es contratado con terceros. De igual manera, hizo un uso ineficiente de los recursos del Sistema General de Participaciones al generar sobre costos por $</w:t>
      </w:r>
      <w:r w:rsidRPr="00E33DE3">
        <w:rPr>
          <w:rFonts w:ascii="Verdana" w:hAnsi="Verdana" w:cs="Arial"/>
          <w:bCs/>
          <w:sz w:val="22"/>
          <w:szCs w:val="22"/>
        </w:rPr>
        <w:t>1.389 millones de pesos</w:t>
      </w:r>
      <w:r w:rsidRPr="00E33DE3">
        <w:rPr>
          <w:rFonts w:ascii="Verdana" w:hAnsi="Verdana" w:cs="Arial"/>
          <w:b/>
          <w:bCs/>
          <w:sz w:val="22"/>
          <w:szCs w:val="22"/>
        </w:rPr>
        <w:t xml:space="preserve"> </w:t>
      </w:r>
      <w:r w:rsidRPr="00E33DE3">
        <w:rPr>
          <w:rFonts w:ascii="Verdana" w:hAnsi="Verdana" w:cs="Arial"/>
          <w:sz w:val="22"/>
          <w:szCs w:val="22"/>
        </w:rPr>
        <w:t>en la prestación del servicio educativo y NEE a su cargo.</w:t>
      </w:r>
    </w:p>
    <w:p w14:paraId="102654D6" w14:textId="77777777" w:rsidR="00273288" w:rsidRPr="00E33DE3" w:rsidRDefault="00273288" w:rsidP="00C65B25">
      <w:pPr>
        <w:jc w:val="both"/>
        <w:rPr>
          <w:rFonts w:ascii="Verdana" w:hAnsi="Verdana" w:cs="Arial"/>
          <w:sz w:val="22"/>
          <w:szCs w:val="22"/>
          <w:shd w:val="clear" w:color="auto" w:fill="FFFFFF"/>
        </w:rPr>
      </w:pPr>
    </w:p>
    <w:p w14:paraId="29913E5B" w14:textId="77777777" w:rsidR="00273288" w:rsidRPr="00E33DE3" w:rsidRDefault="00273288" w:rsidP="00C65B25">
      <w:pPr>
        <w:jc w:val="both"/>
        <w:rPr>
          <w:rFonts w:ascii="Verdana" w:hAnsi="Verdana" w:cs="Arial"/>
          <w:sz w:val="22"/>
          <w:szCs w:val="22"/>
        </w:rPr>
      </w:pPr>
      <w:r w:rsidRPr="00E33DE3">
        <w:rPr>
          <w:rFonts w:ascii="Verdana" w:hAnsi="Verdana" w:cs="Arial"/>
          <w:b/>
          <w:bCs/>
          <w:sz w:val="22"/>
          <w:szCs w:val="22"/>
          <w:lang w:eastAsia="en-US"/>
        </w:rPr>
        <w:t xml:space="preserve">Evidencia: </w:t>
      </w:r>
      <w:r w:rsidRPr="00E33DE3">
        <w:rPr>
          <w:rFonts w:ascii="Verdana" w:hAnsi="Verdana" w:cs="Arial"/>
          <w:sz w:val="22"/>
          <w:szCs w:val="22"/>
        </w:rPr>
        <w:t>Obra en el expediente el siguiente material probatorio:</w:t>
      </w:r>
    </w:p>
    <w:p w14:paraId="4411EDC5"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interadministrativo No. 20191495 de 2019</w:t>
      </w:r>
    </w:p>
    <w:p w14:paraId="7EDB67B1"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 xml:space="preserve">Contrato interadministrativo No. 20201849 de 2020 </w:t>
      </w:r>
    </w:p>
    <w:p w14:paraId="4225FC4B"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interadministrativo No. 20211447 de 2021</w:t>
      </w:r>
    </w:p>
    <w:p w14:paraId="464CA0FD"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Anexo 6 A generado desde SIMAT al junio de 2019 y a abril de 2020.</w:t>
      </w:r>
    </w:p>
    <w:p w14:paraId="04C8D84A"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Ejecución presupuestal y FUT a 31 de diciembre de 2019 y 31 de marzo de 2020.</w:t>
      </w:r>
    </w:p>
    <w:p w14:paraId="281E4236"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Registros Presupuestales 2019001527 del 18 de marzo de 2019 y 2020001523 del 13 de marzo de 2020.</w:t>
      </w:r>
    </w:p>
    <w:p w14:paraId="2BDED55B"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 xml:space="preserve">Contrato No. 20181406 del 2018 </w:t>
      </w:r>
    </w:p>
    <w:p w14:paraId="1EABBF54"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 xml:space="preserve">Contrato No. 20191339 del 2019 </w:t>
      </w:r>
    </w:p>
    <w:p w14:paraId="3DD7C6FE"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 xml:space="preserve">Contrato No. 20200728 del 2020. </w:t>
      </w:r>
    </w:p>
    <w:p w14:paraId="19F9D112"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20211328 de 2021.</w:t>
      </w:r>
    </w:p>
    <w:p w14:paraId="1FD66E5E"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20221380 de 2022.</w:t>
      </w:r>
    </w:p>
    <w:p w14:paraId="0054C2ED" w14:textId="77777777" w:rsidR="00273288" w:rsidRPr="00E33DE3" w:rsidRDefault="00273288" w:rsidP="00C65B25">
      <w:pPr>
        <w:pStyle w:val="Prrafodelista"/>
        <w:numPr>
          <w:ilvl w:val="0"/>
          <w:numId w:val="28"/>
        </w:numPr>
        <w:ind w:left="284" w:hanging="284"/>
        <w:jc w:val="both"/>
        <w:rPr>
          <w:rFonts w:ascii="Verdana" w:hAnsi="Verdana" w:cs="Arial"/>
          <w:sz w:val="22"/>
          <w:szCs w:val="22"/>
          <w:shd w:val="clear" w:color="auto" w:fill="FFFFFF"/>
          <w:lang w:val="es-CO"/>
        </w:rPr>
      </w:pPr>
      <w:r w:rsidRPr="00E33DE3">
        <w:rPr>
          <w:rFonts w:ascii="Verdana" w:eastAsia="Calibri" w:hAnsi="Verdana" w:cs="Arial"/>
          <w:sz w:val="22"/>
          <w:szCs w:val="22"/>
          <w:lang w:eastAsia="en-US"/>
        </w:rPr>
        <w:t>Consulta</w:t>
      </w:r>
      <w:r w:rsidRPr="00E33DE3">
        <w:rPr>
          <w:rFonts w:ascii="Verdana" w:hAnsi="Verdana" w:cs="Arial"/>
          <w:sz w:val="22"/>
          <w:szCs w:val="22"/>
          <w:shd w:val="clear" w:color="auto" w:fill="FFFFFF"/>
          <w:lang w:val="es-CO"/>
        </w:rPr>
        <w:t xml:space="preserve"> SECOP proceso 20201849 de 2020 el 16-04-2022.</w:t>
      </w:r>
    </w:p>
    <w:p w14:paraId="4EC6A91B" w14:textId="77777777" w:rsidR="00273288" w:rsidRPr="00E33DE3" w:rsidRDefault="00273288" w:rsidP="00C65B25">
      <w:pPr>
        <w:pStyle w:val="Prrafodelista"/>
        <w:ind w:left="284"/>
        <w:jc w:val="both"/>
        <w:rPr>
          <w:rFonts w:ascii="Verdana" w:hAnsi="Verdana" w:cs="Arial"/>
          <w:sz w:val="22"/>
          <w:szCs w:val="22"/>
          <w:shd w:val="clear" w:color="auto" w:fill="FFFFFF"/>
          <w:lang w:val="es-CO"/>
        </w:rPr>
      </w:pPr>
    </w:p>
    <w:p w14:paraId="365254B1" w14:textId="77777777" w:rsidR="00273288" w:rsidRPr="00E33DE3" w:rsidRDefault="00273288" w:rsidP="00C65B25">
      <w:pPr>
        <w:pStyle w:val="Ttulo3"/>
        <w:numPr>
          <w:ilvl w:val="0"/>
          <w:numId w:val="45"/>
        </w:numPr>
        <w:spacing w:before="0"/>
        <w:ind w:left="426" w:hanging="426"/>
        <w:jc w:val="both"/>
        <w:rPr>
          <w:rFonts w:ascii="Verdana" w:hAnsi="Verdana"/>
          <w:b/>
          <w:bCs/>
          <w:color w:val="auto"/>
          <w:sz w:val="22"/>
          <w:szCs w:val="22"/>
        </w:rPr>
      </w:pPr>
      <w:r w:rsidRPr="00E33DE3">
        <w:rPr>
          <w:rFonts w:ascii="Verdana" w:hAnsi="Verdana"/>
          <w:b/>
          <w:bCs/>
          <w:color w:val="auto"/>
          <w:sz w:val="22"/>
          <w:szCs w:val="22"/>
        </w:rPr>
        <w:t>Ineficiencia en el uso de los recursos públicos.</w:t>
      </w:r>
    </w:p>
    <w:p w14:paraId="0F87D109" w14:textId="77777777" w:rsidR="00273288" w:rsidRPr="00E33DE3" w:rsidRDefault="00273288" w:rsidP="00C65B25">
      <w:pPr>
        <w:rPr>
          <w:rFonts w:ascii="Verdana" w:hAnsi="Verdana"/>
          <w:sz w:val="22"/>
          <w:szCs w:val="22"/>
          <w:lang w:val="es-ES_tradnl"/>
        </w:rPr>
      </w:pPr>
    </w:p>
    <w:p w14:paraId="686B0BBA" w14:textId="77777777" w:rsidR="00273288" w:rsidRPr="00E33DE3" w:rsidRDefault="00273288" w:rsidP="00C65B25">
      <w:pPr>
        <w:jc w:val="both"/>
        <w:rPr>
          <w:rFonts w:ascii="Verdana" w:hAnsi="Verdana" w:cs="Arial"/>
          <w:sz w:val="22"/>
          <w:szCs w:val="22"/>
          <w:lang w:val="es-CO"/>
        </w:rPr>
      </w:pPr>
      <w:r w:rsidRPr="00E33DE3">
        <w:rPr>
          <w:rFonts w:ascii="Verdana" w:hAnsi="Verdana" w:cs="Arial"/>
          <w:sz w:val="22"/>
          <w:szCs w:val="22"/>
        </w:rPr>
        <w:t xml:space="preserve">El artículo 2.3.1.3.2.1 del Decreto 1075 de 2015 establece como requisito de la contratación del Servicio Educativo la demostración de insuficiencias, las cuales </w:t>
      </w:r>
      <w:r w:rsidRPr="00E33DE3">
        <w:rPr>
          <w:rFonts w:ascii="Verdana" w:hAnsi="Verdana" w:cs="Arial"/>
          <w:sz w:val="22"/>
          <w:szCs w:val="22"/>
        </w:rPr>
        <w:lastRenderedPageBreak/>
        <w:t>se generan a través de dos reglas, la insuficiencia por falta de planta de personal docente o directivo docente e insuficiencia por infraestructura física.</w:t>
      </w:r>
    </w:p>
    <w:p w14:paraId="6DADC705" w14:textId="77777777" w:rsidR="00273288" w:rsidRPr="00E33DE3" w:rsidRDefault="00273288" w:rsidP="00C65B25">
      <w:pPr>
        <w:jc w:val="both"/>
        <w:rPr>
          <w:rFonts w:ascii="Verdana" w:hAnsi="Verdana" w:cs="Arial"/>
          <w:sz w:val="22"/>
          <w:szCs w:val="22"/>
          <w:lang w:val="es-CO"/>
        </w:rPr>
      </w:pPr>
    </w:p>
    <w:p w14:paraId="3EB8EC99" w14:textId="77777777" w:rsidR="00273288" w:rsidRPr="00E33DE3" w:rsidRDefault="00273288" w:rsidP="00C65B25">
      <w:pPr>
        <w:jc w:val="both"/>
        <w:rPr>
          <w:rFonts w:ascii="Verdana" w:hAnsi="Verdana" w:cs="Arial"/>
          <w:color w:val="000000"/>
          <w:sz w:val="22"/>
          <w:szCs w:val="22"/>
        </w:rPr>
      </w:pPr>
      <w:r w:rsidRPr="00E33DE3">
        <w:rPr>
          <w:rFonts w:ascii="Verdana" w:eastAsia="Calibri" w:hAnsi="Verdana" w:cs="Arial"/>
          <w:sz w:val="22"/>
          <w:szCs w:val="22"/>
          <w:lang w:val="es-ES_tradnl" w:eastAsia="en-US"/>
        </w:rPr>
        <w:t>Adicionalmente, el inciso tercero del Artículo 2.3.1.3.1.6 del decreto 1075 de 2015 indica que para los contratos de promoción e implementación de estrategias de desarrollo pedagógico a suscribir con confesiones religiosas</w:t>
      </w:r>
      <w:r w:rsidRPr="00E33DE3">
        <w:rPr>
          <w:rFonts w:ascii="Verdana" w:eastAsia="Calibri" w:hAnsi="Verdana" w:cs="Arial"/>
          <w:i/>
          <w:sz w:val="22"/>
          <w:szCs w:val="22"/>
          <w:lang w:val="es-ES_tradnl" w:eastAsia="en-US"/>
        </w:rPr>
        <w:t xml:space="preserve"> “la entidad territorial certificada aporta la infraestructura física”. </w:t>
      </w:r>
      <w:r w:rsidRPr="00E33DE3">
        <w:rPr>
          <w:rFonts w:ascii="Verdana" w:eastAsia="Calibri" w:hAnsi="Verdana" w:cs="Arial"/>
          <w:sz w:val="22"/>
          <w:szCs w:val="22"/>
          <w:lang w:val="es-ES_tradnl" w:eastAsia="en-US"/>
        </w:rPr>
        <w:t xml:space="preserve">Así mismo, el Artículo 2.3.1.3.5.1. del decreto 1075 de 2015, hace referencia a que para estos contratos </w:t>
      </w:r>
      <w:r w:rsidRPr="00E33DE3">
        <w:rPr>
          <w:rFonts w:ascii="Verdana" w:eastAsia="Calibri" w:hAnsi="Verdana" w:cs="Arial"/>
          <w:i/>
          <w:sz w:val="22"/>
          <w:szCs w:val="22"/>
          <w:lang w:val="es-ES_tradnl" w:eastAsia="en-US"/>
        </w:rPr>
        <w:t>“</w:t>
      </w:r>
      <w:r w:rsidRPr="00E33DE3">
        <w:rPr>
          <w:rFonts w:ascii="Verdana" w:hAnsi="Verdana" w:cs="Arial"/>
          <w:i/>
          <w:color w:val="000000"/>
          <w:sz w:val="22"/>
          <w:szCs w:val="22"/>
        </w:rPr>
        <w:t xml:space="preserve">la entidad territorial certificada aportará </w:t>
      </w:r>
      <w:r w:rsidRPr="00E33DE3">
        <w:rPr>
          <w:rFonts w:ascii="Verdana" w:hAnsi="Verdana" w:cs="Arial"/>
          <w:b/>
          <w:i/>
          <w:color w:val="000000"/>
          <w:sz w:val="22"/>
          <w:szCs w:val="22"/>
        </w:rPr>
        <w:t>como mínimo</w:t>
      </w:r>
      <w:r w:rsidRPr="00E33DE3">
        <w:rPr>
          <w:rFonts w:ascii="Verdana" w:hAnsi="Verdana" w:cs="Arial"/>
          <w:i/>
          <w:color w:val="000000"/>
          <w:sz w:val="22"/>
          <w:szCs w:val="22"/>
        </w:rPr>
        <w:t xml:space="preserve"> el establecimiento educativo oficial”</w:t>
      </w:r>
      <w:r w:rsidRPr="00E33DE3">
        <w:rPr>
          <w:rFonts w:ascii="Verdana" w:hAnsi="Verdana" w:cs="Arial"/>
          <w:color w:val="000000"/>
          <w:sz w:val="22"/>
          <w:szCs w:val="22"/>
        </w:rPr>
        <w:t>, este último definido en el artículo 138 de la Ley General de Educación, así:</w:t>
      </w:r>
    </w:p>
    <w:p w14:paraId="57598512" w14:textId="77777777" w:rsidR="00273288" w:rsidRPr="00E33DE3" w:rsidRDefault="00273288" w:rsidP="00C65B25">
      <w:pPr>
        <w:jc w:val="both"/>
        <w:rPr>
          <w:rFonts w:ascii="Verdana" w:hAnsi="Verdana" w:cs="Arial"/>
          <w:color w:val="000000"/>
          <w:sz w:val="22"/>
          <w:szCs w:val="22"/>
        </w:rPr>
      </w:pPr>
    </w:p>
    <w:p w14:paraId="2052D510" w14:textId="77777777" w:rsidR="00273288" w:rsidRPr="00E33DE3" w:rsidRDefault="00273288" w:rsidP="00C65B25">
      <w:pPr>
        <w:ind w:left="567"/>
        <w:jc w:val="both"/>
        <w:rPr>
          <w:rFonts w:ascii="Verdana" w:hAnsi="Verdana" w:cs="Arial"/>
          <w:i/>
          <w:color w:val="000000"/>
          <w:sz w:val="22"/>
          <w:szCs w:val="22"/>
        </w:rPr>
      </w:pPr>
      <w:r w:rsidRPr="00E33DE3">
        <w:rPr>
          <w:rFonts w:ascii="Verdana" w:hAnsi="Verdana" w:cs="Arial"/>
          <w:i/>
          <w:color w:val="000000"/>
          <w:sz w:val="22"/>
          <w:szCs w:val="22"/>
        </w:rPr>
        <w:t xml:space="preserve">“ARTICULO 138. Naturaleza y condiciones del establecimiento educativo. Se entiende por establecimiento educativo o institución educativa, toda institución de carácter estatal, privada o de economía solidaria organizada con el fin de prestar el servicio público educativo en los términos fijados por esta Ley. </w:t>
      </w:r>
    </w:p>
    <w:p w14:paraId="24C49244" w14:textId="77777777" w:rsidR="00273288" w:rsidRPr="00E33DE3" w:rsidRDefault="00273288" w:rsidP="00C65B25">
      <w:pPr>
        <w:ind w:left="567"/>
        <w:jc w:val="both"/>
        <w:rPr>
          <w:rFonts w:ascii="Verdana" w:hAnsi="Verdana" w:cs="Arial"/>
          <w:i/>
          <w:color w:val="000000"/>
          <w:sz w:val="22"/>
          <w:szCs w:val="22"/>
        </w:rPr>
      </w:pPr>
    </w:p>
    <w:p w14:paraId="242C112C" w14:textId="77777777" w:rsidR="00273288" w:rsidRPr="00E33DE3" w:rsidRDefault="00273288" w:rsidP="00C65B25">
      <w:pPr>
        <w:ind w:left="567"/>
        <w:jc w:val="both"/>
        <w:rPr>
          <w:rFonts w:ascii="Verdana" w:hAnsi="Verdana" w:cs="Arial"/>
          <w:i/>
          <w:color w:val="000000"/>
          <w:sz w:val="22"/>
          <w:szCs w:val="22"/>
        </w:rPr>
      </w:pPr>
      <w:r w:rsidRPr="00E33DE3">
        <w:rPr>
          <w:rFonts w:ascii="Verdana" w:hAnsi="Verdana" w:cs="Arial"/>
          <w:i/>
          <w:color w:val="000000"/>
          <w:sz w:val="22"/>
          <w:szCs w:val="22"/>
        </w:rPr>
        <w:t xml:space="preserve">El establecimiento educativo debe reunir los siguientes requisitos: </w:t>
      </w:r>
    </w:p>
    <w:p w14:paraId="499B8FFD" w14:textId="77777777" w:rsidR="00273288" w:rsidRPr="00E33DE3" w:rsidRDefault="00273288" w:rsidP="00C65B25">
      <w:pPr>
        <w:ind w:left="567"/>
        <w:jc w:val="both"/>
        <w:rPr>
          <w:rFonts w:ascii="Verdana" w:hAnsi="Verdana" w:cs="Arial"/>
          <w:i/>
          <w:color w:val="000000"/>
          <w:sz w:val="22"/>
          <w:szCs w:val="22"/>
        </w:rPr>
      </w:pPr>
      <w:r w:rsidRPr="00E33DE3">
        <w:rPr>
          <w:rFonts w:ascii="Verdana" w:hAnsi="Verdana" w:cs="Arial"/>
          <w:i/>
          <w:color w:val="000000"/>
          <w:sz w:val="22"/>
          <w:szCs w:val="22"/>
        </w:rPr>
        <w:t xml:space="preserve">a) Tener licencia de funcionamiento o reconocimiento de carácter oficial; </w:t>
      </w:r>
    </w:p>
    <w:p w14:paraId="6FEFAFEE" w14:textId="77777777" w:rsidR="00273288" w:rsidRPr="00E33DE3" w:rsidRDefault="00273288" w:rsidP="00C65B25">
      <w:pPr>
        <w:ind w:left="567"/>
        <w:jc w:val="both"/>
        <w:rPr>
          <w:rFonts w:ascii="Verdana" w:hAnsi="Verdana" w:cs="Arial"/>
          <w:i/>
          <w:color w:val="000000"/>
          <w:sz w:val="22"/>
          <w:szCs w:val="22"/>
        </w:rPr>
      </w:pPr>
      <w:r w:rsidRPr="00E33DE3">
        <w:rPr>
          <w:rFonts w:ascii="Verdana" w:hAnsi="Verdana" w:cs="Arial"/>
          <w:i/>
          <w:color w:val="000000"/>
          <w:sz w:val="22"/>
          <w:szCs w:val="22"/>
        </w:rPr>
        <w:t xml:space="preserve">b) Disponer de una estructura administrativa, una planta física y medios educativos adecuados, y </w:t>
      </w:r>
    </w:p>
    <w:p w14:paraId="593D2130" w14:textId="77777777" w:rsidR="00273288" w:rsidRPr="00E33DE3" w:rsidRDefault="00273288" w:rsidP="00C65B25">
      <w:pPr>
        <w:ind w:left="567"/>
        <w:jc w:val="both"/>
        <w:rPr>
          <w:rFonts w:ascii="Verdana" w:hAnsi="Verdana" w:cs="Arial"/>
          <w:i/>
          <w:color w:val="000000"/>
          <w:sz w:val="22"/>
          <w:szCs w:val="22"/>
        </w:rPr>
      </w:pPr>
      <w:r w:rsidRPr="00E33DE3">
        <w:rPr>
          <w:rFonts w:ascii="Verdana" w:hAnsi="Verdana" w:cs="Arial"/>
          <w:i/>
          <w:color w:val="000000"/>
          <w:sz w:val="22"/>
          <w:szCs w:val="22"/>
        </w:rPr>
        <w:t xml:space="preserve">c) Ofrecer un proyecto educativo institucional. </w:t>
      </w:r>
    </w:p>
    <w:p w14:paraId="192F25A7" w14:textId="77777777" w:rsidR="00273288" w:rsidRPr="00E33DE3" w:rsidRDefault="00273288" w:rsidP="00C65B25">
      <w:pPr>
        <w:ind w:left="567"/>
        <w:jc w:val="both"/>
        <w:rPr>
          <w:rFonts w:ascii="Verdana" w:hAnsi="Verdana" w:cs="Arial"/>
          <w:i/>
          <w:color w:val="000000"/>
          <w:sz w:val="22"/>
          <w:szCs w:val="22"/>
        </w:rPr>
      </w:pPr>
    </w:p>
    <w:p w14:paraId="40C42AC5" w14:textId="77777777" w:rsidR="00273288" w:rsidRPr="00E33DE3" w:rsidRDefault="00273288" w:rsidP="00C65B25">
      <w:pPr>
        <w:ind w:left="567"/>
        <w:jc w:val="both"/>
        <w:rPr>
          <w:rFonts w:ascii="Verdana" w:hAnsi="Verdana" w:cs="Arial"/>
          <w:i/>
          <w:color w:val="000000"/>
          <w:sz w:val="22"/>
          <w:szCs w:val="22"/>
        </w:rPr>
      </w:pPr>
      <w:r w:rsidRPr="00E33DE3">
        <w:rPr>
          <w:rFonts w:ascii="Verdana" w:hAnsi="Verdana" w:cs="Arial"/>
          <w:i/>
          <w:color w:val="000000"/>
          <w:sz w:val="22"/>
          <w:szCs w:val="22"/>
        </w:rPr>
        <w:t xml:space="preserve">Los establecimientos educativos por niveles y grados, deben contar con la infraestructura administrativa y soportes de la actividad pedagógica para ofrecer al menos un grado de preescolar y los nueve grados de educación básica. El Ministerio de Educación Nacional definirá los requisitos mínimos de infraestructura, pedagogía, administración, financiación y dirección que debe reunir el establecimiento educativo para la prestación del servicio y la atención individual que favorezca el aprendizaje y la formación integral del niño. </w:t>
      </w:r>
    </w:p>
    <w:p w14:paraId="40A99CC3" w14:textId="77777777" w:rsidR="00273288" w:rsidRPr="00E33DE3" w:rsidRDefault="00273288" w:rsidP="00C65B25">
      <w:pPr>
        <w:ind w:left="567"/>
        <w:jc w:val="both"/>
        <w:rPr>
          <w:rFonts w:ascii="Verdana" w:hAnsi="Verdana" w:cs="Arial"/>
          <w:i/>
          <w:color w:val="000000"/>
          <w:sz w:val="22"/>
          <w:szCs w:val="22"/>
        </w:rPr>
      </w:pPr>
    </w:p>
    <w:p w14:paraId="45EFAC79" w14:textId="77777777" w:rsidR="00273288" w:rsidRPr="00E33DE3" w:rsidRDefault="00273288" w:rsidP="00C65B25">
      <w:pPr>
        <w:ind w:left="567"/>
        <w:jc w:val="both"/>
        <w:rPr>
          <w:rFonts w:ascii="Verdana" w:hAnsi="Verdana" w:cs="Arial"/>
          <w:i/>
          <w:color w:val="000000"/>
          <w:sz w:val="22"/>
          <w:szCs w:val="22"/>
        </w:rPr>
      </w:pPr>
      <w:r w:rsidRPr="00E33DE3">
        <w:rPr>
          <w:rFonts w:ascii="Verdana" w:hAnsi="Verdana" w:cs="Arial"/>
          <w:i/>
          <w:color w:val="000000"/>
          <w:sz w:val="22"/>
          <w:szCs w:val="22"/>
        </w:rPr>
        <w:t xml:space="preserve">PARAGRAFO. El Ministerio de Educación Nacional, en coordinación con las entidades territoriales y teniendo en cuenta la infraestructura educativa actual, establecerá el programa y los plazos para que los actuales establecimientos educativos se ajusten a lo dispuesto en este artículo. Cumplidos estos plazos, no podrán existir establecimientos educativos que ofrezcan exclusivamente educación básica, en uno sólo de sus ciclos de primaria o secundaria. </w:t>
      </w:r>
    </w:p>
    <w:p w14:paraId="16B86A50" w14:textId="77777777" w:rsidR="00273288" w:rsidRPr="00E33DE3" w:rsidRDefault="00273288" w:rsidP="00C65B25">
      <w:pPr>
        <w:ind w:left="567"/>
        <w:jc w:val="both"/>
        <w:rPr>
          <w:rFonts w:ascii="Verdana" w:hAnsi="Verdana" w:cs="Arial"/>
          <w:i/>
          <w:color w:val="000000"/>
          <w:sz w:val="22"/>
          <w:szCs w:val="22"/>
        </w:rPr>
      </w:pPr>
    </w:p>
    <w:p w14:paraId="3BD3360F" w14:textId="77777777" w:rsidR="00273288" w:rsidRPr="00E33DE3" w:rsidRDefault="00273288" w:rsidP="00C65B25">
      <w:pPr>
        <w:ind w:left="567"/>
        <w:jc w:val="both"/>
        <w:rPr>
          <w:rFonts w:ascii="Verdana" w:hAnsi="Verdana" w:cs="Arial"/>
          <w:i/>
          <w:color w:val="000000"/>
          <w:sz w:val="22"/>
          <w:szCs w:val="22"/>
        </w:rPr>
      </w:pPr>
      <w:r w:rsidRPr="00E33DE3">
        <w:rPr>
          <w:rFonts w:ascii="Verdana" w:hAnsi="Verdana" w:cs="Arial"/>
          <w:i/>
          <w:color w:val="000000"/>
          <w:sz w:val="22"/>
          <w:szCs w:val="22"/>
        </w:rPr>
        <w:t>Mientras ofrezcan un nivel de educación de manera parcial, deberán establecer convenios con otros establecimientos que desarrollen un proyecto educativo similar o complementario, para garantizar la continuidad del proceso educativo de sus alumnos”.</w:t>
      </w:r>
    </w:p>
    <w:p w14:paraId="30CDC3BA" w14:textId="77777777" w:rsidR="00273288" w:rsidRPr="00E33DE3" w:rsidRDefault="00273288" w:rsidP="00C65B25">
      <w:pPr>
        <w:jc w:val="both"/>
        <w:rPr>
          <w:rFonts w:ascii="Verdana" w:hAnsi="Verdana" w:cs="Arial"/>
          <w:color w:val="000000"/>
          <w:sz w:val="22"/>
          <w:szCs w:val="22"/>
        </w:rPr>
      </w:pPr>
    </w:p>
    <w:p w14:paraId="60DA8E16"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Por otro lado, las actuaciones de las entidades territoriales deben estar encaminadas al cumplimiento de los fines del Estado dentro del marco de la función administrativa. En este sentido, y en cuanto a la ejecución de los recursos públicos se debe tener en cuenta el deber tanto de la Nación como de las entidades territoriales de estructurar los planes de desarrollo en armonía con las mismas finalidades, de tal forma que exista universalidad en la mitigación de las precariedades de la población, haciendo un especial énfasis en la población con mayor insatisfacción de sus necesidades básicas, de acuerdo con lo establecido en el artículo 209 de la Constitución Política. La Corte Constitucional, en sentencia C – 826 del 13 de noviembre de 2013 ha desarrollado los principios de eficacia y eficiencia en el marco de la función pública, en los siguientes términos:</w:t>
      </w:r>
    </w:p>
    <w:p w14:paraId="3B89C1D3" w14:textId="77777777" w:rsidR="00273288" w:rsidRPr="00E33DE3" w:rsidRDefault="00273288" w:rsidP="00C65B25">
      <w:pPr>
        <w:jc w:val="both"/>
        <w:rPr>
          <w:rFonts w:ascii="Verdana" w:hAnsi="Verdana" w:cs="Arial"/>
          <w:sz w:val="22"/>
          <w:szCs w:val="22"/>
        </w:rPr>
      </w:pPr>
    </w:p>
    <w:p w14:paraId="2EDDA1B5" w14:textId="77777777" w:rsidR="00273288" w:rsidRPr="00E33DE3" w:rsidRDefault="00273288" w:rsidP="00C65B25">
      <w:pPr>
        <w:ind w:left="567" w:right="50"/>
        <w:jc w:val="both"/>
        <w:rPr>
          <w:rFonts w:ascii="Verdana" w:hAnsi="Verdana" w:cs="Arial"/>
          <w:sz w:val="22"/>
          <w:szCs w:val="22"/>
        </w:rPr>
      </w:pPr>
      <w:r w:rsidRPr="00E33DE3">
        <w:rPr>
          <w:rFonts w:ascii="Verdana" w:hAnsi="Verdana" w:cs="Arial"/>
          <w:i/>
          <w:iCs/>
          <w:sz w:val="22"/>
          <w:szCs w:val="22"/>
        </w:rPr>
        <w:t>“Por su parte, en lo que atañe al principio de eficiencia la jurisprudencia de este Tribunal ha señalado que se trata de la máxima racionalidad de la relación costos-beneficios, de manera que la administración pública tiene el deber de maximizar el rendimiento o los resultados, con costos menores, por cuanto los recursos financieros de Hacienda, que tienden a limitados, deben ser bien planificados por el Estado para que tengan como fin satisfacer las necesidades prioritarias de la comunidad sin el despilfarro del gasto público. Lo anterior significa, que la eficiencia presupone que el Estado, por el interés general, está obligado a tener una planeación adecuada del gasto, y maximizar la relación costos – beneficios.</w:t>
      </w:r>
      <w:r w:rsidRPr="00E33DE3">
        <w:rPr>
          <w:rFonts w:ascii="Verdana" w:hAnsi="Verdana" w:cs="Arial"/>
          <w:sz w:val="22"/>
          <w:szCs w:val="22"/>
        </w:rPr>
        <w:t> </w:t>
      </w:r>
    </w:p>
    <w:p w14:paraId="07915F5E" w14:textId="77777777" w:rsidR="00273288" w:rsidRPr="00E33DE3" w:rsidRDefault="00273288" w:rsidP="00C65B25">
      <w:pPr>
        <w:ind w:left="567" w:right="50"/>
        <w:jc w:val="both"/>
        <w:rPr>
          <w:rFonts w:ascii="Verdana" w:hAnsi="Verdana" w:cs="Arial"/>
          <w:i/>
          <w:iCs/>
          <w:sz w:val="22"/>
          <w:szCs w:val="22"/>
        </w:rPr>
      </w:pPr>
    </w:p>
    <w:p w14:paraId="6F045EFB" w14:textId="77777777" w:rsidR="00273288" w:rsidRPr="00E33DE3" w:rsidRDefault="00273288" w:rsidP="00C65B25">
      <w:pPr>
        <w:ind w:left="567" w:right="50"/>
        <w:jc w:val="both"/>
        <w:rPr>
          <w:rFonts w:ascii="Verdana" w:hAnsi="Verdana" w:cs="Arial"/>
          <w:sz w:val="22"/>
          <w:szCs w:val="22"/>
        </w:rPr>
      </w:pPr>
      <w:r w:rsidRPr="00E33DE3">
        <w:rPr>
          <w:rFonts w:ascii="Verdana" w:hAnsi="Verdana" w:cs="Arial"/>
          <w:i/>
          <w:iCs/>
          <w:sz w:val="22"/>
          <w:szCs w:val="22"/>
        </w:rPr>
        <w:t>Así, esta Corte ha hecho referencia clara a la implementación del principio de eficacia, afirmando que este principio de la administración impone deberes y obligaciones a las autoridades para garantizar la adopción de medidas de prevención y atención de los ciudadanos del país, para garantizar su dignidad y el goce efectivo de sus derechos, especialmente de aquellos que se encuentran en situaciones de vulnerabilidad y debilidad manifiesta, de la población carcelaria, de las víctimas de desastres naturales o del conflicto interno, población en estado de indigencia, de manera que en muchas ocasiones se ha ordenado a la administración pública la adopción de medidas necesarias que sean realmente eficaces para superar las crisis institucionales y humanitarias generadas por dichas situaciones, sin que para ello se presente como óbice argumentos de tipo presupuestal”.</w:t>
      </w:r>
      <w:r w:rsidRPr="00E33DE3">
        <w:rPr>
          <w:rFonts w:ascii="Verdana" w:hAnsi="Verdana" w:cs="Arial"/>
          <w:sz w:val="22"/>
          <w:szCs w:val="22"/>
        </w:rPr>
        <w:t> </w:t>
      </w:r>
    </w:p>
    <w:p w14:paraId="15BCA81D" w14:textId="77777777" w:rsidR="00273288" w:rsidRPr="00E33DE3" w:rsidRDefault="00273288" w:rsidP="00C65B25">
      <w:pPr>
        <w:shd w:val="clear" w:color="auto" w:fill="FFFFFF"/>
        <w:jc w:val="both"/>
        <w:rPr>
          <w:rFonts w:ascii="Verdana" w:hAnsi="Verdana" w:cs="Arial"/>
          <w:sz w:val="22"/>
          <w:szCs w:val="22"/>
          <w:bdr w:val="none" w:sz="0" w:space="0" w:color="auto" w:frame="1"/>
          <w:lang w:val="es-ES_tradnl"/>
        </w:rPr>
      </w:pPr>
    </w:p>
    <w:p w14:paraId="018A2DCA" w14:textId="77777777" w:rsidR="00273288" w:rsidRPr="00E33DE3" w:rsidRDefault="00273288" w:rsidP="00C65B25">
      <w:pPr>
        <w:shd w:val="clear" w:color="auto" w:fill="FFFFFF"/>
        <w:jc w:val="both"/>
        <w:rPr>
          <w:rFonts w:ascii="Verdana" w:hAnsi="Verdana" w:cs="Arial"/>
          <w:sz w:val="22"/>
          <w:szCs w:val="22"/>
        </w:rPr>
      </w:pPr>
      <w:r w:rsidRPr="00E33DE3">
        <w:rPr>
          <w:rFonts w:ascii="Verdana" w:hAnsi="Verdana" w:cs="Arial"/>
          <w:sz w:val="22"/>
          <w:szCs w:val="22"/>
          <w:bdr w:val="none" w:sz="0" w:space="0" w:color="auto" w:frame="1"/>
          <w:lang w:val="es-ES_tradnl"/>
        </w:rPr>
        <w:t>Adicionalmente, el artículo 3 de la Ley 610 de 2000 indica sobre la Gestión Fiscal:</w:t>
      </w:r>
      <w:r w:rsidRPr="00E33DE3">
        <w:rPr>
          <w:rFonts w:ascii="Verdana" w:hAnsi="Verdana" w:cs="Arial"/>
          <w:sz w:val="22"/>
          <w:szCs w:val="22"/>
        </w:rPr>
        <w:t> </w:t>
      </w:r>
    </w:p>
    <w:p w14:paraId="2D0B5C46" w14:textId="77777777" w:rsidR="00273288" w:rsidRPr="00E33DE3" w:rsidRDefault="00273288" w:rsidP="00C65B25">
      <w:pPr>
        <w:shd w:val="clear" w:color="auto" w:fill="FFFFFF"/>
        <w:ind w:left="708" w:right="49"/>
        <w:jc w:val="both"/>
        <w:rPr>
          <w:rFonts w:ascii="Verdana" w:hAnsi="Verdana" w:cs="Arial"/>
          <w:i/>
          <w:iCs/>
          <w:sz w:val="22"/>
          <w:szCs w:val="22"/>
          <w:bdr w:val="none" w:sz="0" w:space="0" w:color="auto" w:frame="1"/>
          <w:lang w:val="es-ES_tradnl"/>
        </w:rPr>
      </w:pPr>
    </w:p>
    <w:p w14:paraId="27DFC49F" w14:textId="77777777" w:rsidR="00273288" w:rsidRPr="00E33DE3" w:rsidRDefault="00273288" w:rsidP="00C65B25">
      <w:pPr>
        <w:shd w:val="clear" w:color="auto" w:fill="FFFFFF"/>
        <w:ind w:left="567" w:right="50"/>
        <w:jc w:val="both"/>
        <w:rPr>
          <w:rFonts w:ascii="Verdana" w:hAnsi="Verdana" w:cs="Arial"/>
          <w:sz w:val="22"/>
          <w:szCs w:val="22"/>
        </w:rPr>
      </w:pPr>
      <w:r w:rsidRPr="00E33DE3">
        <w:rPr>
          <w:rFonts w:ascii="Verdana" w:hAnsi="Verdana" w:cs="Arial"/>
          <w:i/>
          <w:iCs/>
          <w:sz w:val="22"/>
          <w:szCs w:val="22"/>
          <w:bdr w:val="none" w:sz="0" w:space="0" w:color="auto" w:frame="1"/>
          <w:lang w:val="es-ES_tradnl"/>
        </w:rPr>
        <w:t xml:space="preserve">“Artículo 3º. Gestión fiscal. Para los efectos de la presente ley, se entiende por gestión fiscal el conjunto de actividades económicas, jurídicas y tecnológicas, que realizan los servidores públicos y las personas de derecho </w:t>
      </w:r>
      <w:r w:rsidRPr="00E33DE3">
        <w:rPr>
          <w:rFonts w:ascii="Verdana" w:hAnsi="Verdana" w:cs="Arial"/>
          <w:i/>
          <w:iCs/>
          <w:sz w:val="22"/>
          <w:szCs w:val="22"/>
          <w:bdr w:val="none" w:sz="0" w:space="0" w:color="auto" w:frame="1"/>
          <w:lang w:val="es-ES_tradnl"/>
        </w:rPr>
        <w:lastRenderedPageBreak/>
        <w:t>privado que manejen o administren recursos o fondos públicos, tendientes a la adecuada y correcta adquisición, planeación, conservación, administración, custodia, explotación, enajenación, consumo, adjudicación, gasto, inversión y disposición de los bienes públicos, así como a la recaudación, manejo e inversión de sus rentas en orden a cumplir los fines esenciales del Estado, con sujeción a los principios de legalidad, eficiencia, economía, eficacia, equidad, imparcialidad, moralidad, transparencia, publicidad y valoración de los costos ambientales”.</w:t>
      </w:r>
      <w:r w:rsidRPr="00E33DE3">
        <w:rPr>
          <w:rFonts w:ascii="Verdana" w:hAnsi="Verdana" w:cs="Arial"/>
          <w:sz w:val="22"/>
          <w:szCs w:val="22"/>
        </w:rPr>
        <w:t> </w:t>
      </w:r>
    </w:p>
    <w:p w14:paraId="4E86C8E9" w14:textId="77777777" w:rsidR="00273288" w:rsidRPr="00E33DE3" w:rsidRDefault="00273288" w:rsidP="00C65B25">
      <w:pPr>
        <w:jc w:val="both"/>
        <w:rPr>
          <w:rFonts w:ascii="Verdana" w:hAnsi="Verdana" w:cs="Arial"/>
          <w:sz w:val="22"/>
          <w:szCs w:val="22"/>
        </w:rPr>
      </w:pPr>
    </w:p>
    <w:p w14:paraId="23D67D3B" w14:textId="77777777" w:rsidR="00273288" w:rsidRPr="00E33DE3" w:rsidRDefault="00273288" w:rsidP="00C65B25">
      <w:pPr>
        <w:jc w:val="both"/>
        <w:rPr>
          <w:rFonts w:ascii="Verdana" w:hAnsi="Verdana" w:cs="Arial"/>
          <w:sz w:val="22"/>
          <w:szCs w:val="22"/>
          <w:lang w:val="es-CO"/>
        </w:rPr>
      </w:pPr>
      <w:r w:rsidRPr="00E33DE3">
        <w:rPr>
          <w:rFonts w:ascii="Verdana" w:hAnsi="Verdana" w:cs="Arial"/>
          <w:sz w:val="22"/>
          <w:szCs w:val="22"/>
          <w:lang w:val="es-CO"/>
        </w:rPr>
        <w:t>El estudio de insuficiencia presentado por el Municipio de Pasto para la contratación del servicio en la vigencia 2019 indica:</w:t>
      </w:r>
    </w:p>
    <w:p w14:paraId="768F15D9" w14:textId="77777777" w:rsidR="00273288" w:rsidRPr="00E33DE3" w:rsidRDefault="00273288" w:rsidP="00C65B25">
      <w:pPr>
        <w:jc w:val="both"/>
        <w:rPr>
          <w:rFonts w:ascii="Verdana" w:hAnsi="Verdana" w:cs="Arial"/>
          <w:sz w:val="22"/>
          <w:szCs w:val="22"/>
          <w:lang w:val="es-CO"/>
        </w:rPr>
      </w:pPr>
    </w:p>
    <w:p w14:paraId="6A4628BB" w14:textId="77777777" w:rsidR="00273288" w:rsidRPr="00E33DE3" w:rsidRDefault="00273288" w:rsidP="00C65B25">
      <w:pPr>
        <w:ind w:left="567"/>
        <w:jc w:val="both"/>
        <w:rPr>
          <w:rFonts w:ascii="Verdana" w:hAnsi="Verdana" w:cs="Arial"/>
          <w:i/>
          <w:sz w:val="22"/>
          <w:szCs w:val="22"/>
          <w:lang w:val="es-CO"/>
        </w:rPr>
      </w:pPr>
      <w:r w:rsidRPr="00E33DE3">
        <w:rPr>
          <w:rFonts w:ascii="Verdana" w:hAnsi="Verdana" w:cs="Arial"/>
          <w:b/>
          <w:i/>
          <w:sz w:val="22"/>
          <w:szCs w:val="22"/>
          <w:lang w:val="es-CO"/>
        </w:rPr>
        <w:t>“En relación a los contratos para la promoción e implementación de estrategias de desarrollo pedagógico a celebrarse con iglesias o confesiones religiosas en la vigencia 2019, es relevante destacar que las confesiones religiosas aportan infraestructura y que ninguna de ellas es propiedad del Municipio de Pasto</w:t>
      </w:r>
      <w:r w:rsidRPr="00E33DE3">
        <w:rPr>
          <w:rFonts w:ascii="Verdana" w:hAnsi="Verdana" w:cs="Arial"/>
          <w:i/>
          <w:sz w:val="22"/>
          <w:szCs w:val="22"/>
          <w:lang w:val="es-CO"/>
        </w:rPr>
        <w:t xml:space="preserve">. Para tal fin, la misma se cuantificará en canasta educativa básica en el componente gastos generales como parte integral de los contratos, la contratación se realizará de acuerdo al calendario académico, esto debido a que ostentan la naturaleza jurídica de ser Instituciones Educativas Municipales, es decir, son Establecimientos Educativos Oficiales del Municipio, pero administrados por la Iglesia, en los términos del Decreto 1851 de 2015, lo que implica un conjunto de cargas, deberes y obligaciones constitucionales, legales y reglamentarias para con la comunidad educativa, donde la razón principal para celebrar éstos contratos es la imposibilidad de nombrar un Rector Oficial, por lo cual también se cuantifica en la canasta educativa, así como el personal administrativo, ya que como se demuestra en el Decreto de Planta de Personal para el Municipio de Pasto, el mismo es insuficiente para atender las necesidades educativas que corresponden a gastos generales como aseo y seguridad de nuestros establecimientos educativos oficiales, así como otros gastos de funcionamiento y de dotación pedagógica. Ante el obstáculo legal para transferir los recursos de gratuidad a </w:t>
      </w:r>
      <w:r w:rsidR="00B4695D" w:rsidRPr="00E33DE3">
        <w:rPr>
          <w:rFonts w:ascii="Verdana" w:hAnsi="Verdana" w:cs="Arial"/>
          <w:i/>
          <w:sz w:val="22"/>
          <w:szCs w:val="22"/>
          <w:lang w:val="es-CO"/>
        </w:rPr>
        <w:t>e</w:t>
      </w:r>
      <w:r w:rsidRPr="00E33DE3">
        <w:rPr>
          <w:rFonts w:ascii="Verdana" w:hAnsi="Verdana" w:cs="Arial"/>
          <w:i/>
          <w:sz w:val="22"/>
          <w:szCs w:val="22"/>
          <w:lang w:val="es-CO"/>
        </w:rPr>
        <w:t>stos Establecimientos Educativos Oficiales, en los términos de los Decretos 4791 de 2008 y 4708 de 2011, se hace necesario contemplarlos en la canasta educativa”. (énfasis fuera del texto)</w:t>
      </w:r>
    </w:p>
    <w:p w14:paraId="2095745D" w14:textId="77777777" w:rsidR="00273288" w:rsidRPr="00E33DE3" w:rsidRDefault="00273288" w:rsidP="00C65B25">
      <w:pPr>
        <w:ind w:left="567"/>
        <w:jc w:val="both"/>
        <w:rPr>
          <w:rFonts w:ascii="Verdana" w:eastAsia="Calibri" w:hAnsi="Verdana" w:cs="Arial"/>
          <w:i/>
          <w:sz w:val="22"/>
          <w:szCs w:val="22"/>
          <w:lang w:val="es-CO" w:eastAsia="en-US"/>
        </w:rPr>
      </w:pPr>
    </w:p>
    <w:p w14:paraId="209DD2E1" w14:textId="77777777" w:rsidR="00273288" w:rsidRPr="00E33DE3" w:rsidRDefault="00273288" w:rsidP="00C65B25">
      <w:pPr>
        <w:jc w:val="both"/>
        <w:rPr>
          <w:rFonts w:ascii="Verdana" w:eastAsia="Calibri" w:hAnsi="Verdana" w:cs="Arial"/>
          <w:i/>
          <w:sz w:val="22"/>
          <w:szCs w:val="22"/>
          <w:lang w:val="es-CO" w:eastAsia="en-US"/>
        </w:rPr>
      </w:pPr>
      <w:r w:rsidRPr="00E33DE3">
        <w:rPr>
          <w:rFonts w:ascii="Verdana" w:hAnsi="Verdana" w:cs="Arial"/>
          <w:sz w:val="22"/>
          <w:szCs w:val="22"/>
          <w:lang w:val="es-CO"/>
        </w:rPr>
        <w:t>Adicionalmente, el estudio de insuficiencia</w:t>
      </w:r>
      <w:r w:rsidRPr="00E33DE3">
        <w:rPr>
          <w:rFonts w:ascii="Verdana" w:eastAsia="Calibri" w:hAnsi="Verdana" w:cs="Arial"/>
          <w:i/>
          <w:sz w:val="22"/>
          <w:szCs w:val="22"/>
          <w:lang w:val="es-CO" w:eastAsia="en-US"/>
        </w:rPr>
        <w:t xml:space="preserve"> </w:t>
      </w:r>
      <w:r w:rsidRPr="00E33DE3">
        <w:rPr>
          <w:rFonts w:ascii="Verdana" w:hAnsi="Verdana" w:cs="Arial"/>
          <w:sz w:val="22"/>
          <w:szCs w:val="22"/>
          <w:lang w:val="es-CO"/>
        </w:rPr>
        <w:t>presentado por el Municipio de Pasto para la contratación del servicio en la vigencia 2021 indica:</w:t>
      </w:r>
      <w:r w:rsidRPr="00E33DE3">
        <w:rPr>
          <w:rFonts w:ascii="Verdana" w:eastAsia="Calibri" w:hAnsi="Verdana" w:cs="Arial"/>
          <w:i/>
          <w:sz w:val="22"/>
          <w:szCs w:val="22"/>
          <w:lang w:val="es-CO" w:eastAsia="en-US"/>
        </w:rPr>
        <w:t xml:space="preserve"> </w:t>
      </w:r>
    </w:p>
    <w:p w14:paraId="61AFB2F7" w14:textId="77777777" w:rsidR="00273288" w:rsidRPr="00E33DE3" w:rsidRDefault="00273288" w:rsidP="00C65B25">
      <w:pPr>
        <w:jc w:val="both"/>
        <w:rPr>
          <w:rFonts w:ascii="Verdana" w:eastAsia="Calibri" w:hAnsi="Verdana" w:cs="Arial"/>
          <w:i/>
          <w:sz w:val="22"/>
          <w:szCs w:val="22"/>
          <w:lang w:val="es-CO" w:eastAsia="en-US"/>
        </w:rPr>
      </w:pPr>
    </w:p>
    <w:p w14:paraId="2C719489" w14:textId="77777777" w:rsidR="00273288" w:rsidRPr="00E33DE3" w:rsidRDefault="00273288" w:rsidP="00C65B25">
      <w:pPr>
        <w:ind w:left="567"/>
        <w:jc w:val="both"/>
        <w:rPr>
          <w:rFonts w:ascii="Verdana" w:eastAsia="Calibri" w:hAnsi="Verdana" w:cs="Arial"/>
          <w:i/>
          <w:sz w:val="22"/>
          <w:szCs w:val="22"/>
          <w:lang w:val="es-CO" w:eastAsia="en-US"/>
        </w:rPr>
      </w:pPr>
      <w:r w:rsidRPr="00E33DE3">
        <w:rPr>
          <w:rFonts w:ascii="Verdana" w:eastAsia="Calibri" w:hAnsi="Verdana" w:cs="Arial"/>
          <w:i/>
          <w:sz w:val="22"/>
          <w:szCs w:val="22"/>
          <w:lang w:val="es-CO" w:eastAsia="en-US"/>
        </w:rPr>
        <w:t xml:space="preserve">El Decreto 1851 de 2015, en la Sección 1 en el Articulo 2.3.1.3.1.6 establece los tipos de contrato para la prestación de servicio público Educativo, dentro de los cuales se encuentra el contrato para la promoción e implementación de estrategias de desarrollo pedagógico a celebrarse con </w:t>
      </w:r>
      <w:r w:rsidRPr="00E33DE3">
        <w:rPr>
          <w:rFonts w:ascii="Verdana" w:eastAsia="Calibri" w:hAnsi="Verdana" w:cs="Arial"/>
          <w:i/>
          <w:sz w:val="22"/>
          <w:szCs w:val="22"/>
          <w:lang w:val="es-CO" w:eastAsia="en-US"/>
        </w:rPr>
        <w:lastRenderedPageBreak/>
        <w:t xml:space="preserve">iglesias o confesiones religiosas, mediante esta modalidad la Entidad Territorial Certificada podrá contratar con uno o varios establecimientos educativos. Así mismo el 12 de enero de 2017 el Ministerio de Educación expide el Decreto número 30 “Por el cual se adiciona el Decreto 1075 de 2015 para reglamentar los Contratos de Prestación de Servicios para la Administración del Servicio Educativo con Establecimientos Educativos no Oficiales de Alta Calidad y la Contratación para la Prestación del Servicio Educativo con Instituciones de Educación Superior Oficiales» </w:t>
      </w:r>
    </w:p>
    <w:p w14:paraId="1C5C0757" w14:textId="77777777" w:rsidR="00273288" w:rsidRPr="00E33DE3" w:rsidRDefault="00273288" w:rsidP="00C65B25">
      <w:pPr>
        <w:ind w:left="567"/>
        <w:jc w:val="both"/>
        <w:rPr>
          <w:rFonts w:ascii="Verdana" w:eastAsia="Calibri" w:hAnsi="Verdana" w:cs="Arial"/>
          <w:i/>
          <w:sz w:val="22"/>
          <w:szCs w:val="22"/>
          <w:lang w:val="es-CO" w:eastAsia="en-US"/>
        </w:rPr>
      </w:pPr>
    </w:p>
    <w:p w14:paraId="11925798" w14:textId="77777777" w:rsidR="00273288" w:rsidRPr="00E33DE3" w:rsidRDefault="00273288" w:rsidP="00C65B25">
      <w:pPr>
        <w:ind w:left="567"/>
        <w:jc w:val="both"/>
        <w:rPr>
          <w:rFonts w:ascii="Verdana" w:eastAsia="Calibri" w:hAnsi="Verdana" w:cs="Arial"/>
          <w:i/>
          <w:sz w:val="22"/>
          <w:szCs w:val="22"/>
          <w:lang w:val="es-CO" w:eastAsia="en-US"/>
        </w:rPr>
      </w:pPr>
      <w:r w:rsidRPr="00E33DE3">
        <w:rPr>
          <w:rFonts w:ascii="Verdana" w:eastAsia="Calibri" w:hAnsi="Verdana" w:cs="Arial"/>
          <w:i/>
          <w:sz w:val="22"/>
          <w:szCs w:val="22"/>
          <w:lang w:val="es-CO" w:eastAsia="en-US"/>
        </w:rPr>
        <w:t>Teniendo en cuenta el contexto del Municipio de Pasto se requiere la celebración de contratos de Implementación de Estrategias Pedagógicas a través de los cuales la Secretaria de Educación aportara: docentes, directivos docentes y administrativos o alguna de ellas, y por su parte las iglesias o comunidades religiosas aportará los componentes que la entidad territorial no pueda suministrar. En estos contratos, la iglesia o confesión religiosa siempre aporta el apoyo pedagógico y administrativo para el desarrollo del PEI o del PEC adoptado por el Consejo Directivo de cada Establecimiento Educativo Oficial. El número de estudiantes desde el grado 0 hasta el grado 11, incluyendo los ciclos 21 al 26 que corresponde a Educación para Jóvenes y adultos regidos por el decreto 3011 de 1997, será establecido por la Secretaria de Educación de Pasto.</w:t>
      </w:r>
    </w:p>
    <w:p w14:paraId="36372488" w14:textId="77777777" w:rsidR="00273288" w:rsidRPr="00E33DE3" w:rsidRDefault="00273288" w:rsidP="00C65B25">
      <w:pPr>
        <w:jc w:val="both"/>
        <w:rPr>
          <w:rFonts w:ascii="Verdana" w:hAnsi="Verdana" w:cs="Arial"/>
          <w:sz w:val="22"/>
          <w:szCs w:val="22"/>
          <w:highlight w:val="cyan"/>
          <w:lang w:val="es-CO"/>
        </w:rPr>
      </w:pPr>
    </w:p>
    <w:p w14:paraId="7C8145BA" w14:textId="77777777" w:rsidR="00273288" w:rsidRPr="00E33DE3" w:rsidRDefault="00273288" w:rsidP="00C65B25">
      <w:pPr>
        <w:jc w:val="both"/>
        <w:rPr>
          <w:rFonts w:ascii="Verdana" w:hAnsi="Verdana" w:cs="Arial"/>
          <w:sz w:val="22"/>
          <w:szCs w:val="22"/>
          <w:lang w:val="es-CO"/>
        </w:rPr>
      </w:pPr>
      <w:r w:rsidRPr="00E33DE3">
        <w:rPr>
          <w:rFonts w:ascii="Verdana" w:hAnsi="Verdana" w:cs="Arial"/>
          <w:sz w:val="22"/>
          <w:szCs w:val="22"/>
          <w:lang w:val="es-CO"/>
        </w:rPr>
        <w:t>Así, se evidencia que las necesidades de contratación para el Municipio de Pasto en las Instituciones Educativas Municipales San Juan Bosco, María Goretti, María de Nazareth, La Rosa, San José Bethlemitas y Liceo José Félix Jiménez se limitan al arrendamiento de la infraestructura, dado que el 100% de los estudiantes es atendido con docentes de la planta oficial de la Entidad Territorial.</w:t>
      </w:r>
    </w:p>
    <w:p w14:paraId="065CE5FD" w14:textId="77777777" w:rsidR="00273288" w:rsidRPr="00E33DE3" w:rsidRDefault="00273288" w:rsidP="00C65B25">
      <w:pPr>
        <w:jc w:val="both"/>
        <w:rPr>
          <w:rFonts w:ascii="Verdana" w:hAnsi="Verdana" w:cs="Arial"/>
          <w:sz w:val="22"/>
          <w:szCs w:val="22"/>
          <w:lang w:val="es-CO"/>
        </w:rPr>
      </w:pPr>
    </w:p>
    <w:p w14:paraId="34EFC04D" w14:textId="77777777" w:rsidR="00273288" w:rsidRPr="00E33DE3" w:rsidRDefault="00273288" w:rsidP="00C65B25">
      <w:pPr>
        <w:jc w:val="both"/>
        <w:rPr>
          <w:rFonts w:ascii="Verdana" w:hAnsi="Verdana" w:cs="Arial"/>
          <w:sz w:val="22"/>
          <w:szCs w:val="22"/>
          <w:lang w:val="es-CO"/>
        </w:rPr>
      </w:pPr>
      <w:r w:rsidRPr="00E33DE3">
        <w:rPr>
          <w:rFonts w:ascii="Verdana" w:hAnsi="Verdana" w:cs="Arial"/>
          <w:sz w:val="22"/>
          <w:szCs w:val="22"/>
        </w:rPr>
        <w:t>De conformidad con la información suministrada por la Entidad Territorial, a continuación, se presenta el valor por alumno atendido para dichos contratos y su comparación con el monto de la tipología aprobada por nivel para las vigencias 2019 – 2022 (cifras en pesos):</w:t>
      </w:r>
    </w:p>
    <w:p w14:paraId="6CB115F3" w14:textId="77777777" w:rsidR="00273288" w:rsidRPr="00E33DE3" w:rsidRDefault="00273288" w:rsidP="00C65B25">
      <w:pPr>
        <w:pStyle w:val="Sinespaciado"/>
        <w:jc w:val="center"/>
        <w:rPr>
          <w:rFonts w:ascii="Verdana" w:hAnsi="Verdana"/>
        </w:rPr>
      </w:pPr>
    </w:p>
    <w:tbl>
      <w:tblPr>
        <w:tblW w:w="5000" w:type="pct"/>
        <w:tblCellMar>
          <w:left w:w="0" w:type="dxa"/>
          <w:right w:w="0" w:type="dxa"/>
        </w:tblCellMar>
        <w:tblLook w:val="04A0" w:firstRow="1" w:lastRow="0" w:firstColumn="1" w:lastColumn="0" w:noHBand="0" w:noVBand="1"/>
      </w:tblPr>
      <w:tblGrid>
        <w:gridCol w:w="796"/>
        <w:gridCol w:w="824"/>
        <w:gridCol w:w="1079"/>
        <w:gridCol w:w="1013"/>
        <w:gridCol w:w="927"/>
        <w:gridCol w:w="1037"/>
        <w:gridCol w:w="797"/>
        <w:gridCol w:w="1013"/>
        <w:gridCol w:w="1326"/>
        <w:gridCol w:w="16"/>
      </w:tblGrid>
      <w:tr w:rsidR="00273288" w:rsidRPr="00E33DE3" w14:paraId="51574F03" w14:textId="77777777" w:rsidTr="00273288">
        <w:trPr>
          <w:gridAfter w:val="1"/>
          <w:trHeight w:val="292"/>
          <w:tblHeader/>
        </w:trPr>
        <w:tc>
          <w:tcPr>
            <w:tcW w:w="519" w:type="pct"/>
            <w:vMerge w:val="restart"/>
            <w:tcBorders>
              <w:top w:val="single" w:sz="4" w:space="0" w:color="auto"/>
              <w:left w:val="single" w:sz="4" w:space="0" w:color="000000"/>
              <w:bottom w:val="single" w:sz="4" w:space="0" w:color="000000"/>
              <w:right w:val="single" w:sz="4" w:space="0" w:color="000000"/>
            </w:tcBorders>
            <w:shd w:val="clear" w:color="auto" w:fill="B48C41"/>
            <w:vAlign w:val="center"/>
            <w:hideMark/>
          </w:tcPr>
          <w:p w14:paraId="60A3EC28" w14:textId="77777777" w:rsidR="00273288" w:rsidRPr="00E33DE3" w:rsidRDefault="00273288" w:rsidP="00C65B25">
            <w:pPr>
              <w:pStyle w:val="Sinespaciado"/>
              <w:jc w:val="center"/>
              <w:rPr>
                <w:rFonts w:ascii="Verdana" w:eastAsia="Times New Roman" w:hAnsi="Verdana"/>
                <w:b/>
                <w:bCs/>
                <w:color w:val="FFFFFF"/>
                <w:sz w:val="16"/>
                <w:szCs w:val="16"/>
                <w:lang w:eastAsia="es-CO"/>
              </w:rPr>
            </w:pPr>
            <w:r w:rsidRPr="00E33DE3">
              <w:rPr>
                <w:rFonts w:ascii="Verdana" w:hAnsi="Verdana"/>
                <w:b/>
                <w:bCs/>
                <w:color w:val="FFFFFF" w:themeColor="background1"/>
                <w:sz w:val="16"/>
                <w:szCs w:val="16"/>
              </w:rPr>
              <w:t>Vigencia</w:t>
            </w:r>
          </w:p>
        </w:tc>
        <w:tc>
          <w:tcPr>
            <w:tcW w:w="519" w:type="pct"/>
            <w:vMerge w:val="restart"/>
            <w:tcBorders>
              <w:top w:val="single" w:sz="4" w:space="0" w:color="auto"/>
              <w:left w:val="single" w:sz="4" w:space="0" w:color="000000"/>
              <w:bottom w:val="single" w:sz="4" w:space="0" w:color="000000"/>
              <w:right w:val="single" w:sz="4" w:space="0" w:color="000000"/>
            </w:tcBorders>
            <w:shd w:val="clear" w:color="auto" w:fill="B48C41"/>
            <w:vAlign w:val="center"/>
            <w:hideMark/>
          </w:tcPr>
          <w:p w14:paraId="0BA7B57E" w14:textId="77777777" w:rsidR="00273288" w:rsidRPr="00E33DE3" w:rsidRDefault="00273288" w:rsidP="00C65B25">
            <w:pPr>
              <w:pStyle w:val="Sinespaciado"/>
              <w:jc w:val="center"/>
              <w:rPr>
                <w:rFonts w:ascii="Verdana" w:hAnsi="Verdana"/>
                <w:b/>
                <w:bCs/>
                <w:color w:val="FFFFFF"/>
                <w:sz w:val="16"/>
                <w:szCs w:val="16"/>
              </w:rPr>
            </w:pPr>
            <w:r w:rsidRPr="00E33DE3">
              <w:rPr>
                <w:rFonts w:ascii="Verdana" w:hAnsi="Verdana"/>
                <w:b/>
                <w:bCs/>
                <w:color w:val="FFFFFF" w:themeColor="background1"/>
                <w:sz w:val="16"/>
                <w:szCs w:val="16"/>
              </w:rPr>
              <w:t>Contrato</w:t>
            </w:r>
          </w:p>
        </w:tc>
        <w:tc>
          <w:tcPr>
            <w:tcW w:w="519" w:type="pct"/>
            <w:vMerge w:val="restart"/>
            <w:tcBorders>
              <w:top w:val="single" w:sz="4" w:space="0" w:color="auto"/>
              <w:left w:val="single" w:sz="4" w:space="0" w:color="000000"/>
              <w:bottom w:val="single" w:sz="4" w:space="0" w:color="000000"/>
              <w:right w:val="single" w:sz="4" w:space="0" w:color="000000"/>
            </w:tcBorders>
            <w:shd w:val="clear" w:color="auto" w:fill="B48C41"/>
            <w:vAlign w:val="center"/>
            <w:hideMark/>
          </w:tcPr>
          <w:p w14:paraId="3BEA5906" w14:textId="77777777" w:rsidR="00273288" w:rsidRPr="00E33DE3" w:rsidRDefault="00273288" w:rsidP="00C65B25">
            <w:pPr>
              <w:pStyle w:val="Sinespaciado"/>
              <w:jc w:val="center"/>
              <w:rPr>
                <w:rFonts w:ascii="Verdana" w:hAnsi="Verdana"/>
                <w:b/>
                <w:color w:val="FFFFFF"/>
                <w:sz w:val="16"/>
                <w:szCs w:val="16"/>
                <w:lang w:val="es-ES"/>
              </w:rPr>
            </w:pPr>
            <w:r w:rsidRPr="00E33DE3">
              <w:rPr>
                <w:rFonts w:ascii="Verdana" w:hAnsi="Verdana"/>
                <w:b/>
                <w:color w:val="FFFFFF" w:themeColor="background1"/>
                <w:sz w:val="16"/>
                <w:szCs w:val="16"/>
                <w:lang w:val="es-ES"/>
              </w:rPr>
              <w:t>No. Alumnos(6)</w:t>
            </w:r>
          </w:p>
        </w:tc>
        <w:tc>
          <w:tcPr>
            <w:tcW w:w="519" w:type="pct"/>
            <w:vMerge w:val="restart"/>
            <w:tcBorders>
              <w:top w:val="single" w:sz="4" w:space="0" w:color="auto"/>
              <w:left w:val="single" w:sz="4" w:space="0" w:color="000000"/>
              <w:bottom w:val="single" w:sz="4" w:space="0" w:color="000000"/>
              <w:right w:val="single" w:sz="4" w:space="0" w:color="000000"/>
            </w:tcBorders>
            <w:shd w:val="clear" w:color="auto" w:fill="B48C41"/>
            <w:vAlign w:val="center"/>
            <w:hideMark/>
          </w:tcPr>
          <w:p w14:paraId="28660223" w14:textId="77777777" w:rsidR="00273288" w:rsidRPr="00E33DE3" w:rsidRDefault="00273288" w:rsidP="00C65B25">
            <w:pPr>
              <w:pStyle w:val="Sinespaciado"/>
              <w:jc w:val="center"/>
              <w:rPr>
                <w:rFonts w:ascii="Verdana" w:hAnsi="Verdana"/>
                <w:b/>
                <w:color w:val="FFFFFF"/>
                <w:sz w:val="16"/>
                <w:szCs w:val="16"/>
                <w:lang w:val="es-ES"/>
              </w:rPr>
            </w:pPr>
            <w:r w:rsidRPr="00E33DE3">
              <w:rPr>
                <w:rFonts w:ascii="Verdana" w:hAnsi="Verdana"/>
                <w:b/>
                <w:color w:val="FFFFFF" w:themeColor="background1"/>
                <w:sz w:val="16"/>
                <w:szCs w:val="16"/>
                <w:lang w:val="es-ES"/>
              </w:rPr>
              <w:t>Per cápita pactado(1)</w:t>
            </w:r>
          </w:p>
        </w:tc>
        <w:tc>
          <w:tcPr>
            <w:tcW w:w="597" w:type="pct"/>
            <w:vMerge w:val="restart"/>
            <w:tcBorders>
              <w:top w:val="single" w:sz="4" w:space="0" w:color="auto"/>
              <w:left w:val="single" w:sz="4" w:space="0" w:color="000000"/>
              <w:bottom w:val="single" w:sz="4" w:space="0" w:color="000000"/>
              <w:right w:val="single" w:sz="4" w:space="0" w:color="000000"/>
            </w:tcBorders>
            <w:shd w:val="clear" w:color="auto" w:fill="B48C41"/>
            <w:vAlign w:val="center"/>
            <w:hideMark/>
          </w:tcPr>
          <w:p w14:paraId="6C6CD313" w14:textId="77777777" w:rsidR="00273288" w:rsidRPr="00E33DE3" w:rsidRDefault="00273288" w:rsidP="00C65B25">
            <w:pPr>
              <w:pStyle w:val="Sinespaciado"/>
              <w:jc w:val="center"/>
              <w:rPr>
                <w:rFonts w:ascii="Verdana" w:hAnsi="Verdana"/>
                <w:b/>
                <w:bCs/>
                <w:color w:val="FFFFFF"/>
                <w:sz w:val="16"/>
                <w:szCs w:val="16"/>
              </w:rPr>
            </w:pPr>
            <w:r w:rsidRPr="00E33DE3">
              <w:rPr>
                <w:rFonts w:ascii="Verdana" w:hAnsi="Verdana"/>
                <w:b/>
                <w:bCs/>
                <w:color w:val="FFFFFF"/>
                <w:sz w:val="16"/>
                <w:szCs w:val="16"/>
              </w:rPr>
              <w:t>Promedio Tipología (2)</w:t>
            </w:r>
          </w:p>
        </w:tc>
        <w:tc>
          <w:tcPr>
            <w:tcW w:w="519" w:type="pct"/>
            <w:vMerge w:val="restart"/>
            <w:tcBorders>
              <w:top w:val="single" w:sz="4" w:space="0" w:color="auto"/>
              <w:left w:val="single" w:sz="4" w:space="0" w:color="000000"/>
              <w:bottom w:val="single" w:sz="4" w:space="0" w:color="000000"/>
              <w:right w:val="single" w:sz="4" w:space="0" w:color="000000"/>
            </w:tcBorders>
            <w:shd w:val="clear" w:color="auto" w:fill="B48C41"/>
            <w:vAlign w:val="center"/>
            <w:hideMark/>
          </w:tcPr>
          <w:p w14:paraId="25EA825B" w14:textId="77777777" w:rsidR="00273288" w:rsidRPr="00E33DE3" w:rsidRDefault="00273288" w:rsidP="00C65B25">
            <w:pPr>
              <w:pStyle w:val="Sinespaciado"/>
              <w:jc w:val="center"/>
              <w:rPr>
                <w:rFonts w:ascii="Verdana" w:hAnsi="Verdana"/>
                <w:b/>
                <w:bCs/>
                <w:color w:val="FFFFFF" w:themeColor="background1"/>
                <w:sz w:val="16"/>
                <w:szCs w:val="16"/>
              </w:rPr>
            </w:pPr>
            <w:r w:rsidRPr="00E33DE3">
              <w:rPr>
                <w:rFonts w:ascii="Verdana" w:hAnsi="Verdana"/>
                <w:b/>
                <w:bCs/>
                <w:color w:val="FFFFFF" w:themeColor="background1"/>
                <w:sz w:val="16"/>
                <w:szCs w:val="16"/>
              </w:rPr>
              <w:t>%Tipología (3)</w:t>
            </w:r>
          </w:p>
        </w:tc>
        <w:tc>
          <w:tcPr>
            <w:tcW w:w="519" w:type="pct"/>
            <w:vMerge w:val="restart"/>
            <w:tcBorders>
              <w:top w:val="single" w:sz="4" w:space="0" w:color="auto"/>
              <w:left w:val="single" w:sz="4" w:space="0" w:color="000000"/>
              <w:bottom w:val="single" w:sz="4" w:space="0" w:color="000000"/>
              <w:right w:val="single" w:sz="4" w:space="0" w:color="000000"/>
            </w:tcBorders>
            <w:shd w:val="clear" w:color="auto" w:fill="B48C41"/>
            <w:vAlign w:val="center"/>
            <w:hideMark/>
          </w:tcPr>
          <w:p w14:paraId="309799AD" w14:textId="77777777" w:rsidR="00273288" w:rsidRPr="00E33DE3" w:rsidRDefault="00273288" w:rsidP="00C65B25">
            <w:pPr>
              <w:pStyle w:val="Sinespaciado"/>
              <w:jc w:val="center"/>
              <w:rPr>
                <w:rFonts w:ascii="Verdana" w:hAnsi="Verdana"/>
                <w:b/>
                <w:color w:val="FFFFFF"/>
                <w:sz w:val="16"/>
                <w:szCs w:val="16"/>
                <w:lang w:val="es-ES"/>
              </w:rPr>
            </w:pPr>
            <w:r w:rsidRPr="00E33DE3">
              <w:rPr>
                <w:rFonts w:ascii="Verdana" w:hAnsi="Verdana"/>
                <w:b/>
                <w:color w:val="FFFFFF" w:themeColor="background1"/>
                <w:sz w:val="16"/>
                <w:szCs w:val="16"/>
                <w:lang w:val="es-ES"/>
              </w:rPr>
              <w:t>Valor Per capita deseado (4) (2*10% )</w:t>
            </w:r>
          </w:p>
        </w:tc>
        <w:tc>
          <w:tcPr>
            <w:tcW w:w="519" w:type="pct"/>
            <w:vMerge w:val="restart"/>
            <w:tcBorders>
              <w:top w:val="single" w:sz="4" w:space="0" w:color="auto"/>
              <w:left w:val="single" w:sz="4" w:space="0" w:color="000000"/>
              <w:bottom w:val="single" w:sz="4" w:space="0" w:color="000000"/>
              <w:right w:val="single" w:sz="4" w:space="0" w:color="000000"/>
            </w:tcBorders>
            <w:shd w:val="clear" w:color="auto" w:fill="B48C41"/>
            <w:vAlign w:val="center"/>
            <w:hideMark/>
          </w:tcPr>
          <w:p w14:paraId="42EF59AA" w14:textId="77777777" w:rsidR="00273288" w:rsidRPr="00E33DE3" w:rsidRDefault="00273288" w:rsidP="00C65B25">
            <w:pPr>
              <w:pStyle w:val="Sinespaciado"/>
              <w:jc w:val="center"/>
              <w:rPr>
                <w:rFonts w:ascii="Verdana" w:hAnsi="Verdana"/>
                <w:b/>
                <w:color w:val="FFFFFF"/>
                <w:sz w:val="16"/>
                <w:szCs w:val="16"/>
                <w:lang w:val="es-ES"/>
              </w:rPr>
            </w:pPr>
            <w:r w:rsidRPr="00E33DE3">
              <w:rPr>
                <w:rFonts w:ascii="Verdana" w:hAnsi="Verdana"/>
                <w:b/>
                <w:color w:val="FFFFFF" w:themeColor="background1"/>
                <w:sz w:val="16"/>
                <w:szCs w:val="16"/>
                <w:lang w:val="es-ES"/>
              </w:rPr>
              <w:t>Sobrecosto per cápita(5) (1-4)</w:t>
            </w:r>
          </w:p>
        </w:tc>
        <w:tc>
          <w:tcPr>
            <w:tcW w:w="770" w:type="pct"/>
            <w:vMerge w:val="restart"/>
            <w:tcBorders>
              <w:top w:val="single" w:sz="4" w:space="0" w:color="auto"/>
              <w:left w:val="single" w:sz="4" w:space="0" w:color="000000"/>
              <w:bottom w:val="single" w:sz="4" w:space="0" w:color="000000"/>
              <w:right w:val="single" w:sz="4" w:space="0" w:color="000000"/>
            </w:tcBorders>
            <w:shd w:val="clear" w:color="auto" w:fill="B48C41"/>
            <w:vAlign w:val="center"/>
            <w:hideMark/>
          </w:tcPr>
          <w:p w14:paraId="734FA419" w14:textId="77777777" w:rsidR="00273288" w:rsidRPr="00E33DE3" w:rsidRDefault="00273288" w:rsidP="00C65B25">
            <w:pPr>
              <w:pStyle w:val="Sinespaciado"/>
              <w:jc w:val="center"/>
              <w:rPr>
                <w:rFonts w:ascii="Verdana" w:hAnsi="Verdana"/>
                <w:b/>
                <w:bCs/>
                <w:color w:val="FFFFFF"/>
                <w:sz w:val="16"/>
                <w:szCs w:val="16"/>
              </w:rPr>
            </w:pPr>
            <w:r w:rsidRPr="00E33DE3">
              <w:rPr>
                <w:rFonts w:ascii="Verdana" w:hAnsi="Verdana"/>
                <w:b/>
                <w:bCs/>
                <w:color w:val="FFFFFF" w:themeColor="background1"/>
                <w:sz w:val="16"/>
                <w:szCs w:val="16"/>
              </w:rPr>
              <w:t>Sobrecosto Total (5*6)</w:t>
            </w:r>
          </w:p>
        </w:tc>
      </w:tr>
      <w:tr w:rsidR="00273288" w:rsidRPr="00E33DE3" w14:paraId="66E70ED4" w14:textId="77777777" w:rsidTr="00273288">
        <w:trPr>
          <w:trHeight w:val="20"/>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1D7F10B7" w14:textId="77777777" w:rsidR="00273288" w:rsidRPr="00E33DE3" w:rsidRDefault="00273288" w:rsidP="00C65B25">
            <w:pPr>
              <w:rPr>
                <w:rFonts w:ascii="Verdana" w:eastAsia="Times New Roman" w:hAnsi="Verdana" w:cstheme="minorBidi"/>
                <w:b/>
                <w:bCs/>
                <w:color w:val="FFFFFF"/>
                <w:sz w:val="16"/>
                <w:szCs w:val="16"/>
                <w:lang w:val="es-CO" w:eastAsia="es-CO"/>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2EB1022A" w14:textId="77777777" w:rsidR="00273288" w:rsidRPr="00E33DE3" w:rsidRDefault="00273288" w:rsidP="00C65B25">
            <w:pPr>
              <w:rPr>
                <w:rFonts w:ascii="Verdana" w:eastAsiaTheme="minorHAnsi" w:hAnsi="Verdana" w:cstheme="minorBidi"/>
                <w:b/>
                <w:bCs/>
                <w:color w:val="FFFFFF"/>
                <w:sz w:val="16"/>
                <w:szCs w:val="16"/>
                <w:lang w:val="es-CO" w:eastAsia="en-US"/>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57ACDC40" w14:textId="77777777" w:rsidR="00273288" w:rsidRPr="00E33DE3" w:rsidRDefault="00273288" w:rsidP="00C65B25">
            <w:pPr>
              <w:rPr>
                <w:rFonts w:ascii="Verdana" w:eastAsiaTheme="minorHAnsi" w:hAnsi="Verdana" w:cstheme="minorBidi"/>
                <w:b/>
                <w:color w:val="FFFFFF"/>
                <w:sz w:val="16"/>
                <w:szCs w:val="16"/>
                <w:lang w:eastAsia="en-US"/>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1D8A58AC" w14:textId="77777777" w:rsidR="00273288" w:rsidRPr="00E33DE3" w:rsidRDefault="00273288" w:rsidP="00C65B25">
            <w:pPr>
              <w:rPr>
                <w:rFonts w:ascii="Verdana" w:eastAsiaTheme="minorHAnsi" w:hAnsi="Verdana" w:cstheme="minorBidi"/>
                <w:b/>
                <w:color w:val="FFFFFF"/>
                <w:sz w:val="16"/>
                <w:szCs w:val="16"/>
                <w:lang w:eastAsia="en-US"/>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5F7874A8" w14:textId="77777777" w:rsidR="00273288" w:rsidRPr="00E33DE3" w:rsidRDefault="00273288" w:rsidP="00C65B25">
            <w:pPr>
              <w:rPr>
                <w:rFonts w:ascii="Verdana" w:eastAsiaTheme="minorHAnsi" w:hAnsi="Verdana" w:cstheme="minorBidi"/>
                <w:b/>
                <w:bCs/>
                <w:color w:val="FFFFFF"/>
                <w:sz w:val="16"/>
                <w:szCs w:val="16"/>
                <w:lang w:val="es-CO" w:eastAsia="en-US"/>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2B203763" w14:textId="77777777" w:rsidR="00273288" w:rsidRPr="00E33DE3" w:rsidRDefault="00273288" w:rsidP="00C65B25">
            <w:pPr>
              <w:rPr>
                <w:rFonts w:ascii="Verdana" w:eastAsiaTheme="minorHAnsi" w:hAnsi="Verdana" w:cstheme="minorBidi"/>
                <w:b/>
                <w:bCs/>
                <w:color w:val="FFFFFF" w:themeColor="background1"/>
                <w:sz w:val="16"/>
                <w:szCs w:val="16"/>
                <w:lang w:val="es-CO" w:eastAsia="en-US"/>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0DF98917" w14:textId="77777777" w:rsidR="00273288" w:rsidRPr="00E33DE3" w:rsidRDefault="00273288" w:rsidP="00C65B25">
            <w:pPr>
              <w:rPr>
                <w:rFonts w:ascii="Verdana" w:eastAsiaTheme="minorHAnsi" w:hAnsi="Verdana" w:cstheme="minorBidi"/>
                <w:b/>
                <w:color w:val="FFFFFF"/>
                <w:sz w:val="16"/>
                <w:szCs w:val="16"/>
                <w:lang w:eastAsia="en-US"/>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390CECB5" w14:textId="77777777" w:rsidR="00273288" w:rsidRPr="00E33DE3" w:rsidRDefault="00273288" w:rsidP="00C65B25">
            <w:pPr>
              <w:rPr>
                <w:rFonts w:ascii="Verdana" w:eastAsiaTheme="minorHAnsi" w:hAnsi="Verdana" w:cstheme="minorBidi"/>
                <w:b/>
                <w:color w:val="FFFFFF"/>
                <w:sz w:val="16"/>
                <w:szCs w:val="16"/>
                <w:lang w:eastAsia="en-US"/>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3FE19BD1" w14:textId="77777777" w:rsidR="00273288" w:rsidRPr="00E33DE3" w:rsidRDefault="00273288" w:rsidP="00C65B25">
            <w:pPr>
              <w:rPr>
                <w:rFonts w:ascii="Verdana" w:eastAsiaTheme="minorHAnsi" w:hAnsi="Verdana" w:cstheme="minorBidi"/>
                <w:b/>
                <w:bCs/>
                <w:color w:val="FFFFFF"/>
                <w:sz w:val="16"/>
                <w:szCs w:val="16"/>
                <w:lang w:val="es-CO" w:eastAsia="en-US"/>
              </w:rPr>
            </w:pPr>
          </w:p>
        </w:tc>
        <w:tc>
          <w:tcPr>
            <w:tcW w:w="0" w:type="auto"/>
            <w:tcBorders>
              <w:top w:val="nil"/>
              <w:left w:val="single" w:sz="4" w:space="0" w:color="000000"/>
              <w:bottom w:val="nil"/>
              <w:right w:val="nil"/>
            </w:tcBorders>
            <w:vAlign w:val="center"/>
            <w:hideMark/>
          </w:tcPr>
          <w:p w14:paraId="4D238661" w14:textId="77777777" w:rsidR="00273288" w:rsidRPr="00E33DE3" w:rsidRDefault="00273288" w:rsidP="00C65B25">
            <w:pPr>
              <w:rPr>
                <w:rFonts w:ascii="Verdana" w:hAnsi="Verdana"/>
                <w:b/>
                <w:bCs/>
                <w:color w:val="FFFFFF"/>
                <w:sz w:val="16"/>
                <w:szCs w:val="16"/>
              </w:rPr>
            </w:pPr>
          </w:p>
        </w:tc>
      </w:tr>
      <w:tr w:rsidR="00273288" w:rsidRPr="00E33DE3" w14:paraId="1D6080E6" w14:textId="77777777" w:rsidTr="00273288">
        <w:trPr>
          <w:trHeight w:val="20"/>
        </w:trPr>
        <w:tc>
          <w:tcPr>
            <w:tcW w:w="519" w:type="pct"/>
            <w:tcBorders>
              <w:top w:val="single" w:sz="4" w:space="0" w:color="000000"/>
              <w:left w:val="single" w:sz="8" w:space="0" w:color="auto"/>
              <w:bottom w:val="single" w:sz="4" w:space="0" w:color="auto"/>
              <w:right w:val="single" w:sz="4" w:space="0" w:color="auto"/>
            </w:tcBorders>
            <w:noWrap/>
            <w:vAlign w:val="center"/>
            <w:hideMark/>
          </w:tcPr>
          <w:p w14:paraId="4930C1D1"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2019</w:t>
            </w:r>
          </w:p>
        </w:tc>
        <w:tc>
          <w:tcPr>
            <w:tcW w:w="519" w:type="pct"/>
            <w:tcBorders>
              <w:top w:val="single" w:sz="4" w:space="0" w:color="000000"/>
              <w:left w:val="nil"/>
              <w:bottom w:val="single" w:sz="4" w:space="0" w:color="auto"/>
              <w:right w:val="single" w:sz="4" w:space="0" w:color="auto"/>
            </w:tcBorders>
            <w:noWrap/>
            <w:vAlign w:val="center"/>
            <w:hideMark/>
          </w:tcPr>
          <w:p w14:paraId="6E8850DB"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20191151</w:t>
            </w:r>
          </w:p>
        </w:tc>
        <w:tc>
          <w:tcPr>
            <w:tcW w:w="519" w:type="pct"/>
            <w:tcBorders>
              <w:top w:val="single" w:sz="4" w:space="0" w:color="000000"/>
              <w:left w:val="nil"/>
              <w:bottom w:val="single" w:sz="4" w:space="0" w:color="auto"/>
              <w:right w:val="single" w:sz="4" w:space="0" w:color="auto"/>
            </w:tcBorders>
            <w:noWrap/>
            <w:vAlign w:val="center"/>
            <w:hideMark/>
          </w:tcPr>
          <w:p w14:paraId="7E92CAE7"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300</w:t>
            </w:r>
          </w:p>
        </w:tc>
        <w:tc>
          <w:tcPr>
            <w:tcW w:w="519" w:type="pct"/>
            <w:tcBorders>
              <w:top w:val="single" w:sz="4" w:space="0" w:color="000000"/>
              <w:left w:val="nil"/>
              <w:bottom w:val="single" w:sz="4" w:space="0" w:color="auto"/>
              <w:right w:val="single" w:sz="4" w:space="0" w:color="auto"/>
            </w:tcBorders>
            <w:noWrap/>
            <w:vAlign w:val="center"/>
            <w:hideMark/>
          </w:tcPr>
          <w:p w14:paraId="607F0F1B"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1.166.667</w:t>
            </w:r>
          </w:p>
        </w:tc>
        <w:tc>
          <w:tcPr>
            <w:tcW w:w="597" w:type="pct"/>
            <w:tcBorders>
              <w:top w:val="single" w:sz="4" w:space="0" w:color="000000"/>
              <w:left w:val="nil"/>
              <w:bottom w:val="single" w:sz="4" w:space="0" w:color="auto"/>
              <w:right w:val="single" w:sz="4" w:space="0" w:color="auto"/>
            </w:tcBorders>
            <w:noWrap/>
            <w:vAlign w:val="center"/>
            <w:hideMark/>
          </w:tcPr>
          <w:p w14:paraId="05735D26"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3.772.037</w:t>
            </w:r>
          </w:p>
        </w:tc>
        <w:tc>
          <w:tcPr>
            <w:tcW w:w="519" w:type="pct"/>
            <w:tcBorders>
              <w:top w:val="single" w:sz="4" w:space="0" w:color="000000"/>
              <w:left w:val="nil"/>
              <w:bottom w:val="single" w:sz="4" w:space="0" w:color="auto"/>
              <w:right w:val="single" w:sz="4" w:space="0" w:color="auto"/>
            </w:tcBorders>
            <w:shd w:val="clear" w:color="auto" w:fill="D9D9D9" w:themeFill="background1" w:themeFillShade="D9"/>
            <w:noWrap/>
            <w:vAlign w:val="center"/>
            <w:hideMark/>
          </w:tcPr>
          <w:p w14:paraId="35C92238"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31,19%</w:t>
            </w:r>
          </w:p>
        </w:tc>
        <w:tc>
          <w:tcPr>
            <w:tcW w:w="519" w:type="pct"/>
            <w:tcBorders>
              <w:top w:val="single" w:sz="4" w:space="0" w:color="000000"/>
              <w:left w:val="nil"/>
              <w:bottom w:val="single" w:sz="4" w:space="0" w:color="auto"/>
              <w:right w:val="single" w:sz="4" w:space="0" w:color="auto"/>
            </w:tcBorders>
            <w:noWrap/>
            <w:vAlign w:val="center"/>
            <w:hideMark/>
          </w:tcPr>
          <w:p w14:paraId="003286A7"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377.204</w:t>
            </w:r>
          </w:p>
        </w:tc>
        <w:tc>
          <w:tcPr>
            <w:tcW w:w="519" w:type="pct"/>
            <w:tcBorders>
              <w:top w:val="single" w:sz="4" w:space="0" w:color="000000"/>
              <w:left w:val="nil"/>
              <w:bottom w:val="single" w:sz="4" w:space="0" w:color="auto"/>
              <w:right w:val="single" w:sz="4" w:space="0" w:color="auto"/>
            </w:tcBorders>
            <w:noWrap/>
            <w:vAlign w:val="center"/>
            <w:hideMark/>
          </w:tcPr>
          <w:p w14:paraId="2D647303"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789.463</w:t>
            </w:r>
          </w:p>
        </w:tc>
        <w:tc>
          <w:tcPr>
            <w:tcW w:w="770" w:type="pct"/>
            <w:tcBorders>
              <w:top w:val="single" w:sz="4" w:space="0" w:color="000000"/>
              <w:left w:val="nil"/>
              <w:bottom w:val="single" w:sz="4" w:space="0" w:color="auto"/>
              <w:right w:val="single" w:sz="4" w:space="0" w:color="000000"/>
            </w:tcBorders>
            <w:noWrap/>
            <w:vAlign w:val="center"/>
            <w:hideMark/>
          </w:tcPr>
          <w:p w14:paraId="019CF25E"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236.838.990</w:t>
            </w:r>
          </w:p>
        </w:tc>
        <w:tc>
          <w:tcPr>
            <w:tcW w:w="0" w:type="auto"/>
            <w:tcBorders>
              <w:top w:val="nil"/>
              <w:left w:val="single" w:sz="4" w:space="0" w:color="000000"/>
              <w:bottom w:val="nil"/>
              <w:right w:val="nil"/>
            </w:tcBorders>
            <w:vAlign w:val="center"/>
            <w:hideMark/>
          </w:tcPr>
          <w:p w14:paraId="7D0AAB74" w14:textId="77777777" w:rsidR="00273288" w:rsidRPr="00E33DE3" w:rsidRDefault="00273288" w:rsidP="00C65B25">
            <w:pPr>
              <w:rPr>
                <w:rFonts w:ascii="Verdana" w:hAnsi="Verdana" w:cs="Arial"/>
                <w:color w:val="000000"/>
                <w:sz w:val="16"/>
                <w:szCs w:val="16"/>
              </w:rPr>
            </w:pPr>
          </w:p>
        </w:tc>
      </w:tr>
      <w:tr w:rsidR="00273288" w:rsidRPr="00E33DE3" w14:paraId="66A2F824" w14:textId="77777777" w:rsidTr="00273288">
        <w:trPr>
          <w:trHeight w:val="20"/>
        </w:trPr>
        <w:tc>
          <w:tcPr>
            <w:tcW w:w="519" w:type="pct"/>
            <w:tcBorders>
              <w:top w:val="single" w:sz="4" w:space="0" w:color="auto"/>
              <w:left w:val="single" w:sz="4" w:space="0" w:color="auto"/>
              <w:bottom w:val="single" w:sz="4" w:space="0" w:color="auto"/>
              <w:right w:val="single" w:sz="4" w:space="0" w:color="auto"/>
            </w:tcBorders>
            <w:noWrap/>
            <w:vAlign w:val="center"/>
            <w:hideMark/>
          </w:tcPr>
          <w:p w14:paraId="1A3DAB08"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2019</w:t>
            </w:r>
          </w:p>
        </w:tc>
        <w:tc>
          <w:tcPr>
            <w:tcW w:w="519" w:type="pct"/>
            <w:tcBorders>
              <w:top w:val="single" w:sz="4" w:space="0" w:color="auto"/>
              <w:left w:val="nil"/>
              <w:bottom w:val="single" w:sz="4" w:space="0" w:color="auto"/>
              <w:right w:val="single" w:sz="4" w:space="0" w:color="auto"/>
            </w:tcBorders>
            <w:noWrap/>
            <w:vAlign w:val="center"/>
            <w:hideMark/>
          </w:tcPr>
          <w:p w14:paraId="4AD72394"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20191381</w:t>
            </w:r>
          </w:p>
        </w:tc>
        <w:tc>
          <w:tcPr>
            <w:tcW w:w="519" w:type="pct"/>
            <w:tcBorders>
              <w:top w:val="single" w:sz="4" w:space="0" w:color="auto"/>
              <w:left w:val="nil"/>
              <w:bottom w:val="single" w:sz="4" w:space="0" w:color="auto"/>
              <w:right w:val="single" w:sz="4" w:space="0" w:color="auto"/>
            </w:tcBorders>
            <w:noWrap/>
            <w:vAlign w:val="center"/>
            <w:hideMark/>
          </w:tcPr>
          <w:p w14:paraId="3A7CBE28"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690</w:t>
            </w:r>
          </w:p>
        </w:tc>
        <w:tc>
          <w:tcPr>
            <w:tcW w:w="519" w:type="pct"/>
            <w:tcBorders>
              <w:top w:val="single" w:sz="4" w:space="0" w:color="auto"/>
              <w:left w:val="nil"/>
              <w:bottom w:val="single" w:sz="4" w:space="0" w:color="auto"/>
              <w:right w:val="single" w:sz="4" w:space="0" w:color="auto"/>
            </w:tcBorders>
            <w:noWrap/>
            <w:vAlign w:val="center"/>
            <w:hideMark/>
          </w:tcPr>
          <w:p w14:paraId="5E97D2C1"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384.834</w:t>
            </w:r>
          </w:p>
        </w:tc>
        <w:tc>
          <w:tcPr>
            <w:tcW w:w="597" w:type="pct"/>
            <w:tcBorders>
              <w:top w:val="single" w:sz="4" w:space="0" w:color="auto"/>
              <w:left w:val="nil"/>
              <w:bottom w:val="single" w:sz="4" w:space="0" w:color="auto"/>
              <w:right w:val="single" w:sz="4" w:space="0" w:color="auto"/>
            </w:tcBorders>
            <w:noWrap/>
            <w:vAlign w:val="center"/>
            <w:hideMark/>
          </w:tcPr>
          <w:p w14:paraId="017D283C"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2.941.867</w:t>
            </w:r>
          </w:p>
        </w:tc>
        <w:tc>
          <w:tcPr>
            <w:tcW w:w="519"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97D2B69"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13,17%</w:t>
            </w:r>
          </w:p>
        </w:tc>
        <w:tc>
          <w:tcPr>
            <w:tcW w:w="519" w:type="pct"/>
            <w:tcBorders>
              <w:top w:val="single" w:sz="4" w:space="0" w:color="auto"/>
              <w:left w:val="nil"/>
              <w:bottom w:val="single" w:sz="4" w:space="0" w:color="auto"/>
              <w:right w:val="single" w:sz="4" w:space="0" w:color="auto"/>
            </w:tcBorders>
            <w:noWrap/>
            <w:vAlign w:val="center"/>
            <w:hideMark/>
          </w:tcPr>
          <w:p w14:paraId="11F73C08"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294.187</w:t>
            </w:r>
          </w:p>
        </w:tc>
        <w:tc>
          <w:tcPr>
            <w:tcW w:w="519" w:type="pct"/>
            <w:tcBorders>
              <w:top w:val="single" w:sz="4" w:space="0" w:color="auto"/>
              <w:left w:val="nil"/>
              <w:bottom w:val="single" w:sz="4" w:space="0" w:color="auto"/>
              <w:right w:val="single" w:sz="4" w:space="0" w:color="auto"/>
            </w:tcBorders>
            <w:noWrap/>
            <w:vAlign w:val="center"/>
            <w:hideMark/>
          </w:tcPr>
          <w:p w14:paraId="54C6B886"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90.647</w:t>
            </w:r>
          </w:p>
        </w:tc>
        <w:tc>
          <w:tcPr>
            <w:tcW w:w="770" w:type="pct"/>
            <w:tcBorders>
              <w:top w:val="single" w:sz="4" w:space="0" w:color="auto"/>
              <w:left w:val="nil"/>
              <w:bottom w:val="single" w:sz="4" w:space="0" w:color="auto"/>
              <w:right w:val="single" w:sz="4" w:space="0" w:color="000000"/>
            </w:tcBorders>
            <w:noWrap/>
            <w:vAlign w:val="center"/>
            <w:hideMark/>
          </w:tcPr>
          <w:p w14:paraId="66A1E0AB"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62.546.637</w:t>
            </w:r>
          </w:p>
        </w:tc>
        <w:tc>
          <w:tcPr>
            <w:tcW w:w="0" w:type="auto"/>
            <w:tcBorders>
              <w:top w:val="nil"/>
              <w:left w:val="single" w:sz="4" w:space="0" w:color="000000"/>
              <w:bottom w:val="nil"/>
              <w:right w:val="nil"/>
            </w:tcBorders>
            <w:vAlign w:val="center"/>
            <w:hideMark/>
          </w:tcPr>
          <w:p w14:paraId="6B34E0DA" w14:textId="77777777" w:rsidR="00273288" w:rsidRPr="00E33DE3" w:rsidRDefault="00273288" w:rsidP="00C65B25">
            <w:pPr>
              <w:rPr>
                <w:rFonts w:ascii="Verdana" w:hAnsi="Verdana" w:cs="Arial"/>
                <w:color w:val="000000"/>
                <w:sz w:val="16"/>
                <w:szCs w:val="16"/>
              </w:rPr>
            </w:pPr>
          </w:p>
        </w:tc>
      </w:tr>
      <w:tr w:rsidR="00273288" w:rsidRPr="00E33DE3" w14:paraId="63145A70" w14:textId="77777777" w:rsidTr="00273288">
        <w:trPr>
          <w:trHeight w:val="20"/>
        </w:trPr>
        <w:tc>
          <w:tcPr>
            <w:tcW w:w="519" w:type="pct"/>
            <w:tcBorders>
              <w:top w:val="nil"/>
              <w:left w:val="single" w:sz="8" w:space="0" w:color="auto"/>
              <w:bottom w:val="single" w:sz="4" w:space="0" w:color="auto"/>
              <w:right w:val="single" w:sz="4" w:space="0" w:color="auto"/>
            </w:tcBorders>
            <w:noWrap/>
            <w:vAlign w:val="center"/>
            <w:hideMark/>
          </w:tcPr>
          <w:p w14:paraId="15165B1E"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2019</w:t>
            </w:r>
          </w:p>
        </w:tc>
        <w:tc>
          <w:tcPr>
            <w:tcW w:w="519" w:type="pct"/>
            <w:tcBorders>
              <w:top w:val="nil"/>
              <w:left w:val="nil"/>
              <w:bottom w:val="single" w:sz="4" w:space="0" w:color="auto"/>
              <w:right w:val="single" w:sz="4" w:space="0" w:color="auto"/>
            </w:tcBorders>
            <w:noWrap/>
            <w:vAlign w:val="center"/>
            <w:hideMark/>
          </w:tcPr>
          <w:p w14:paraId="15B23FCE"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20191445</w:t>
            </w:r>
          </w:p>
        </w:tc>
        <w:tc>
          <w:tcPr>
            <w:tcW w:w="519" w:type="pct"/>
            <w:tcBorders>
              <w:top w:val="nil"/>
              <w:left w:val="nil"/>
              <w:bottom w:val="single" w:sz="4" w:space="0" w:color="auto"/>
              <w:right w:val="single" w:sz="4" w:space="0" w:color="auto"/>
            </w:tcBorders>
            <w:noWrap/>
            <w:vAlign w:val="center"/>
            <w:hideMark/>
          </w:tcPr>
          <w:p w14:paraId="72467443"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809</w:t>
            </w:r>
          </w:p>
        </w:tc>
        <w:tc>
          <w:tcPr>
            <w:tcW w:w="519" w:type="pct"/>
            <w:tcBorders>
              <w:top w:val="nil"/>
              <w:left w:val="nil"/>
              <w:bottom w:val="single" w:sz="4" w:space="0" w:color="auto"/>
              <w:right w:val="single" w:sz="4" w:space="0" w:color="auto"/>
            </w:tcBorders>
            <w:noWrap/>
            <w:vAlign w:val="center"/>
            <w:hideMark/>
          </w:tcPr>
          <w:p w14:paraId="13E7118C"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327.812</w:t>
            </w:r>
          </w:p>
        </w:tc>
        <w:tc>
          <w:tcPr>
            <w:tcW w:w="597" w:type="pct"/>
            <w:tcBorders>
              <w:top w:val="nil"/>
              <w:left w:val="nil"/>
              <w:bottom w:val="single" w:sz="4" w:space="0" w:color="auto"/>
              <w:right w:val="single" w:sz="4" w:space="0" w:color="auto"/>
            </w:tcBorders>
            <w:noWrap/>
            <w:vAlign w:val="center"/>
            <w:hideMark/>
          </w:tcPr>
          <w:p w14:paraId="2298EE38"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2.941.867</w:t>
            </w:r>
          </w:p>
        </w:tc>
        <w:tc>
          <w:tcPr>
            <w:tcW w:w="519" w:type="pct"/>
            <w:tcBorders>
              <w:top w:val="nil"/>
              <w:left w:val="nil"/>
              <w:bottom w:val="single" w:sz="4" w:space="0" w:color="auto"/>
              <w:right w:val="single" w:sz="4" w:space="0" w:color="auto"/>
            </w:tcBorders>
            <w:shd w:val="clear" w:color="auto" w:fill="D9D9D9" w:themeFill="background1" w:themeFillShade="D9"/>
            <w:noWrap/>
            <w:vAlign w:val="center"/>
            <w:hideMark/>
          </w:tcPr>
          <w:p w14:paraId="5FF7A353"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11,22%</w:t>
            </w:r>
          </w:p>
        </w:tc>
        <w:tc>
          <w:tcPr>
            <w:tcW w:w="519" w:type="pct"/>
            <w:tcBorders>
              <w:top w:val="nil"/>
              <w:left w:val="nil"/>
              <w:bottom w:val="single" w:sz="4" w:space="0" w:color="auto"/>
              <w:right w:val="single" w:sz="4" w:space="0" w:color="auto"/>
            </w:tcBorders>
            <w:noWrap/>
            <w:vAlign w:val="center"/>
            <w:hideMark/>
          </w:tcPr>
          <w:p w14:paraId="3A417DD8"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294.187</w:t>
            </w:r>
          </w:p>
        </w:tc>
        <w:tc>
          <w:tcPr>
            <w:tcW w:w="519" w:type="pct"/>
            <w:tcBorders>
              <w:top w:val="nil"/>
              <w:left w:val="nil"/>
              <w:bottom w:val="single" w:sz="4" w:space="0" w:color="auto"/>
              <w:right w:val="single" w:sz="4" w:space="0" w:color="auto"/>
            </w:tcBorders>
            <w:noWrap/>
            <w:vAlign w:val="center"/>
            <w:hideMark/>
          </w:tcPr>
          <w:p w14:paraId="7D85A760"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33.625</w:t>
            </w:r>
          </w:p>
        </w:tc>
        <w:tc>
          <w:tcPr>
            <w:tcW w:w="770" w:type="pct"/>
            <w:tcBorders>
              <w:top w:val="nil"/>
              <w:left w:val="nil"/>
              <w:bottom w:val="single" w:sz="4" w:space="0" w:color="auto"/>
              <w:right w:val="single" w:sz="8" w:space="0" w:color="auto"/>
            </w:tcBorders>
            <w:noWrap/>
            <w:vAlign w:val="center"/>
            <w:hideMark/>
          </w:tcPr>
          <w:p w14:paraId="0B72FAE6"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27.202.868</w:t>
            </w:r>
          </w:p>
        </w:tc>
        <w:tc>
          <w:tcPr>
            <w:tcW w:w="0" w:type="auto"/>
            <w:vAlign w:val="center"/>
            <w:hideMark/>
          </w:tcPr>
          <w:p w14:paraId="5510081E" w14:textId="77777777" w:rsidR="00273288" w:rsidRPr="00E33DE3" w:rsidRDefault="00273288" w:rsidP="00C65B25">
            <w:pPr>
              <w:rPr>
                <w:rFonts w:ascii="Verdana" w:hAnsi="Verdana" w:cs="Arial"/>
                <w:color w:val="000000"/>
                <w:sz w:val="16"/>
                <w:szCs w:val="16"/>
              </w:rPr>
            </w:pPr>
          </w:p>
        </w:tc>
      </w:tr>
      <w:tr w:rsidR="00273288" w:rsidRPr="00E33DE3" w14:paraId="3E04D396" w14:textId="77777777" w:rsidTr="00273288">
        <w:trPr>
          <w:trHeight w:val="20"/>
        </w:trPr>
        <w:tc>
          <w:tcPr>
            <w:tcW w:w="519" w:type="pct"/>
            <w:tcBorders>
              <w:top w:val="nil"/>
              <w:left w:val="single" w:sz="8" w:space="0" w:color="auto"/>
              <w:bottom w:val="single" w:sz="4" w:space="0" w:color="auto"/>
              <w:right w:val="single" w:sz="4" w:space="0" w:color="auto"/>
            </w:tcBorders>
            <w:noWrap/>
            <w:vAlign w:val="center"/>
            <w:hideMark/>
          </w:tcPr>
          <w:p w14:paraId="1EDE57FA"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2019</w:t>
            </w:r>
          </w:p>
        </w:tc>
        <w:tc>
          <w:tcPr>
            <w:tcW w:w="519" w:type="pct"/>
            <w:tcBorders>
              <w:top w:val="nil"/>
              <w:left w:val="nil"/>
              <w:bottom w:val="single" w:sz="4" w:space="0" w:color="auto"/>
              <w:right w:val="single" w:sz="4" w:space="0" w:color="auto"/>
            </w:tcBorders>
            <w:noWrap/>
            <w:vAlign w:val="center"/>
            <w:hideMark/>
          </w:tcPr>
          <w:p w14:paraId="52E1CAC4"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20191450</w:t>
            </w:r>
          </w:p>
        </w:tc>
        <w:tc>
          <w:tcPr>
            <w:tcW w:w="519" w:type="pct"/>
            <w:tcBorders>
              <w:top w:val="nil"/>
              <w:left w:val="nil"/>
              <w:bottom w:val="single" w:sz="4" w:space="0" w:color="auto"/>
              <w:right w:val="single" w:sz="4" w:space="0" w:color="auto"/>
            </w:tcBorders>
            <w:noWrap/>
            <w:vAlign w:val="center"/>
            <w:hideMark/>
          </w:tcPr>
          <w:p w14:paraId="3B2C9CD7"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1930</w:t>
            </w:r>
          </w:p>
        </w:tc>
        <w:tc>
          <w:tcPr>
            <w:tcW w:w="519" w:type="pct"/>
            <w:tcBorders>
              <w:top w:val="nil"/>
              <w:left w:val="nil"/>
              <w:bottom w:val="single" w:sz="4" w:space="0" w:color="auto"/>
              <w:right w:val="single" w:sz="4" w:space="0" w:color="auto"/>
            </w:tcBorders>
            <w:noWrap/>
            <w:vAlign w:val="center"/>
            <w:hideMark/>
          </w:tcPr>
          <w:p w14:paraId="3989C391"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490.052</w:t>
            </w:r>
          </w:p>
        </w:tc>
        <w:tc>
          <w:tcPr>
            <w:tcW w:w="597" w:type="pct"/>
            <w:tcBorders>
              <w:top w:val="nil"/>
              <w:left w:val="nil"/>
              <w:bottom w:val="single" w:sz="4" w:space="0" w:color="auto"/>
              <w:right w:val="single" w:sz="4" w:space="0" w:color="auto"/>
            </w:tcBorders>
            <w:noWrap/>
            <w:vAlign w:val="center"/>
            <w:hideMark/>
          </w:tcPr>
          <w:p w14:paraId="752054E2"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2.941.867</w:t>
            </w:r>
          </w:p>
        </w:tc>
        <w:tc>
          <w:tcPr>
            <w:tcW w:w="519" w:type="pct"/>
            <w:tcBorders>
              <w:top w:val="nil"/>
              <w:left w:val="nil"/>
              <w:bottom w:val="single" w:sz="4" w:space="0" w:color="auto"/>
              <w:right w:val="single" w:sz="4" w:space="0" w:color="auto"/>
            </w:tcBorders>
            <w:shd w:val="clear" w:color="auto" w:fill="D9D9D9" w:themeFill="background1" w:themeFillShade="D9"/>
            <w:noWrap/>
            <w:vAlign w:val="center"/>
            <w:hideMark/>
          </w:tcPr>
          <w:p w14:paraId="74655FAE"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16,77%</w:t>
            </w:r>
          </w:p>
        </w:tc>
        <w:tc>
          <w:tcPr>
            <w:tcW w:w="519" w:type="pct"/>
            <w:tcBorders>
              <w:top w:val="nil"/>
              <w:left w:val="nil"/>
              <w:bottom w:val="single" w:sz="4" w:space="0" w:color="auto"/>
              <w:right w:val="single" w:sz="4" w:space="0" w:color="auto"/>
            </w:tcBorders>
            <w:noWrap/>
            <w:vAlign w:val="center"/>
            <w:hideMark/>
          </w:tcPr>
          <w:p w14:paraId="70148088"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294.187</w:t>
            </w:r>
          </w:p>
        </w:tc>
        <w:tc>
          <w:tcPr>
            <w:tcW w:w="519" w:type="pct"/>
            <w:tcBorders>
              <w:top w:val="nil"/>
              <w:left w:val="nil"/>
              <w:bottom w:val="single" w:sz="4" w:space="0" w:color="auto"/>
              <w:right w:val="single" w:sz="4" w:space="0" w:color="auto"/>
            </w:tcBorders>
            <w:noWrap/>
            <w:vAlign w:val="center"/>
            <w:hideMark/>
          </w:tcPr>
          <w:p w14:paraId="5D93D804"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195.865</w:t>
            </w:r>
          </w:p>
        </w:tc>
        <w:tc>
          <w:tcPr>
            <w:tcW w:w="770" w:type="pct"/>
            <w:tcBorders>
              <w:top w:val="nil"/>
              <w:left w:val="nil"/>
              <w:bottom w:val="single" w:sz="4" w:space="0" w:color="auto"/>
              <w:right w:val="single" w:sz="8" w:space="0" w:color="auto"/>
            </w:tcBorders>
            <w:noWrap/>
            <w:vAlign w:val="center"/>
            <w:hideMark/>
          </w:tcPr>
          <w:p w14:paraId="0BD2FFFA"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378.020.029</w:t>
            </w:r>
          </w:p>
        </w:tc>
        <w:tc>
          <w:tcPr>
            <w:tcW w:w="0" w:type="auto"/>
            <w:vAlign w:val="center"/>
            <w:hideMark/>
          </w:tcPr>
          <w:p w14:paraId="38B2CA3A" w14:textId="77777777" w:rsidR="00273288" w:rsidRPr="00E33DE3" w:rsidRDefault="00273288" w:rsidP="00C65B25">
            <w:pPr>
              <w:rPr>
                <w:rFonts w:ascii="Verdana" w:hAnsi="Verdana" w:cs="Arial"/>
                <w:color w:val="000000"/>
                <w:sz w:val="16"/>
                <w:szCs w:val="16"/>
              </w:rPr>
            </w:pPr>
          </w:p>
        </w:tc>
      </w:tr>
      <w:tr w:rsidR="00273288" w:rsidRPr="00E33DE3" w14:paraId="025D24C0" w14:textId="77777777" w:rsidTr="00273288">
        <w:trPr>
          <w:trHeight w:val="20"/>
        </w:trPr>
        <w:tc>
          <w:tcPr>
            <w:tcW w:w="519" w:type="pct"/>
            <w:tcBorders>
              <w:top w:val="nil"/>
              <w:left w:val="single" w:sz="8" w:space="0" w:color="auto"/>
              <w:bottom w:val="single" w:sz="4" w:space="0" w:color="auto"/>
              <w:right w:val="single" w:sz="4" w:space="0" w:color="auto"/>
            </w:tcBorders>
            <w:noWrap/>
            <w:vAlign w:val="center"/>
            <w:hideMark/>
          </w:tcPr>
          <w:p w14:paraId="5A35E407"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2019</w:t>
            </w:r>
          </w:p>
        </w:tc>
        <w:tc>
          <w:tcPr>
            <w:tcW w:w="519" w:type="pct"/>
            <w:tcBorders>
              <w:top w:val="nil"/>
              <w:left w:val="nil"/>
              <w:bottom w:val="single" w:sz="4" w:space="0" w:color="auto"/>
              <w:right w:val="single" w:sz="4" w:space="0" w:color="auto"/>
            </w:tcBorders>
            <w:noWrap/>
            <w:vAlign w:val="center"/>
            <w:hideMark/>
          </w:tcPr>
          <w:p w14:paraId="6079C5C5"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20191452</w:t>
            </w:r>
          </w:p>
        </w:tc>
        <w:tc>
          <w:tcPr>
            <w:tcW w:w="519" w:type="pct"/>
            <w:tcBorders>
              <w:top w:val="nil"/>
              <w:left w:val="nil"/>
              <w:bottom w:val="single" w:sz="4" w:space="0" w:color="auto"/>
              <w:right w:val="single" w:sz="4" w:space="0" w:color="auto"/>
            </w:tcBorders>
            <w:noWrap/>
            <w:vAlign w:val="center"/>
            <w:hideMark/>
          </w:tcPr>
          <w:p w14:paraId="3AA4FF9E"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1629</w:t>
            </w:r>
          </w:p>
        </w:tc>
        <w:tc>
          <w:tcPr>
            <w:tcW w:w="519" w:type="pct"/>
            <w:tcBorders>
              <w:top w:val="nil"/>
              <w:left w:val="nil"/>
              <w:bottom w:val="single" w:sz="4" w:space="0" w:color="auto"/>
              <w:right w:val="single" w:sz="4" w:space="0" w:color="auto"/>
            </w:tcBorders>
            <w:noWrap/>
            <w:vAlign w:val="center"/>
            <w:hideMark/>
          </w:tcPr>
          <w:p w14:paraId="66EF1D33"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394.025</w:t>
            </w:r>
          </w:p>
        </w:tc>
        <w:tc>
          <w:tcPr>
            <w:tcW w:w="597" w:type="pct"/>
            <w:tcBorders>
              <w:top w:val="nil"/>
              <w:left w:val="nil"/>
              <w:bottom w:val="single" w:sz="4" w:space="0" w:color="auto"/>
              <w:right w:val="single" w:sz="4" w:space="0" w:color="auto"/>
            </w:tcBorders>
            <w:noWrap/>
            <w:vAlign w:val="center"/>
            <w:hideMark/>
          </w:tcPr>
          <w:p w14:paraId="7E400E55"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2.941.867</w:t>
            </w:r>
          </w:p>
        </w:tc>
        <w:tc>
          <w:tcPr>
            <w:tcW w:w="519" w:type="pct"/>
            <w:tcBorders>
              <w:top w:val="nil"/>
              <w:left w:val="nil"/>
              <w:bottom w:val="single" w:sz="4" w:space="0" w:color="auto"/>
              <w:right w:val="single" w:sz="4" w:space="0" w:color="auto"/>
            </w:tcBorders>
            <w:shd w:val="clear" w:color="auto" w:fill="D9D9D9" w:themeFill="background1" w:themeFillShade="D9"/>
            <w:noWrap/>
            <w:vAlign w:val="center"/>
            <w:hideMark/>
          </w:tcPr>
          <w:p w14:paraId="7A72C6CA"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13,49%</w:t>
            </w:r>
          </w:p>
        </w:tc>
        <w:tc>
          <w:tcPr>
            <w:tcW w:w="519" w:type="pct"/>
            <w:tcBorders>
              <w:top w:val="nil"/>
              <w:left w:val="nil"/>
              <w:bottom w:val="single" w:sz="4" w:space="0" w:color="auto"/>
              <w:right w:val="single" w:sz="4" w:space="0" w:color="auto"/>
            </w:tcBorders>
            <w:noWrap/>
            <w:vAlign w:val="center"/>
            <w:hideMark/>
          </w:tcPr>
          <w:p w14:paraId="20413396"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294.187</w:t>
            </w:r>
          </w:p>
        </w:tc>
        <w:tc>
          <w:tcPr>
            <w:tcW w:w="519" w:type="pct"/>
            <w:tcBorders>
              <w:top w:val="nil"/>
              <w:left w:val="nil"/>
              <w:bottom w:val="single" w:sz="4" w:space="0" w:color="auto"/>
              <w:right w:val="single" w:sz="4" w:space="0" w:color="auto"/>
            </w:tcBorders>
            <w:noWrap/>
            <w:vAlign w:val="center"/>
            <w:hideMark/>
          </w:tcPr>
          <w:p w14:paraId="0064D33E"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99.838</w:t>
            </w:r>
          </w:p>
        </w:tc>
        <w:tc>
          <w:tcPr>
            <w:tcW w:w="770" w:type="pct"/>
            <w:tcBorders>
              <w:top w:val="nil"/>
              <w:left w:val="nil"/>
              <w:bottom w:val="single" w:sz="4" w:space="0" w:color="auto"/>
              <w:right w:val="single" w:sz="8" w:space="0" w:color="auto"/>
            </w:tcBorders>
            <w:noWrap/>
            <w:vAlign w:val="center"/>
            <w:hideMark/>
          </w:tcPr>
          <w:p w14:paraId="3708AB85"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162.636.591</w:t>
            </w:r>
          </w:p>
        </w:tc>
        <w:tc>
          <w:tcPr>
            <w:tcW w:w="0" w:type="auto"/>
            <w:vAlign w:val="center"/>
            <w:hideMark/>
          </w:tcPr>
          <w:p w14:paraId="62A8D76C" w14:textId="77777777" w:rsidR="00273288" w:rsidRPr="00E33DE3" w:rsidRDefault="00273288" w:rsidP="00C65B25">
            <w:pPr>
              <w:rPr>
                <w:rFonts w:ascii="Verdana" w:hAnsi="Verdana" w:cs="Arial"/>
                <w:color w:val="000000"/>
                <w:sz w:val="16"/>
                <w:szCs w:val="16"/>
              </w:rPr>
            </w:pPr>
          </w:p>
        </w:tc>
      </w:tr>
      <w:tr w:rsidR="00273288" w:rsidRPr="00E33DE3" w14:paraId="7F0B5CC6" w14:textId="77777777" w:rsidTr="00273288">
        <w:trPr>
          <w:trHeight w:val="20"/>
        </w:trPr>
        <w:tc>
          <w:tcPr>
            <w:tcW w:w="519" w:type="pct"/>
            <w:tcBorders>
              <w:top w:val="nil"/>
              <w:left w:val="single" w:sz="8" w:space="0" w:color="auto"/>
              <w:bottom w:val="single" w:sz="4" w:space="0" w:color="auto"/>
              <w:right w:val="single" w:sz="4" w:space="0" w:color="auto"/>
            </w:tcBorders>
            <w:noWrap/>
            <w:vAlign w:val="center"/>
            <w:hideMark/>
          </w:tcPr>
          <w:p w14:paraId="4A579D69"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2019</w:t>
            </w:r>
          </w:p>
        </w:tc>
        <w:tc>
          <w:tcPr>
            <w:tcW w:w="519" w:type="pct"/>
            <w:tcBorders>
              <w:top w:val="nil"/>
              <w:left w:val="nil"/>
              <w:bottom w:val="single" w:sz="4" w:space="0" w:color="auto"/>
              <w:right w:val="single" w:sz="4" w:space="0" w:color="auto"/>
            </w:tcBorders>
            <w:noWrap/>
            <w:vAlign w:val="center"/>
            <w:hideMark/>
          </w:tcPr>
          <w:p w14:paraId="1E3E9FD0"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20191152</w:t>
            </w:r>
          </w:p>
        </w:tc>
        <w:tc>
          <w:tcPr>
            <w:tcW w:w="519" w:type="pct"/>
            <w:tcBorders>
              <w:top w:val="nil"/>
              <w:left w:val="nil"/>
              <w:bottom w:val="single" w:sz="4" w:space="0" w:color="auto"/>
              <w:right w:val="single" w:sz="4" w:space="0" w:color="auto"/>
            </w:tcBorders>
            <w:noWrap/>
            <w:vAlign w:val="center"/>
            <w:hideMark/>
          </w:tcPr>
          <w:p w14:paraId="6385B0CC"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2244</w:t>
            </w:r>
          </w:p>
        </w:tc>
        <w:tc>
          <w:tcPr>
            <w:tcW w:w="519" w:type="pct"/>
            <w:tcBorders>
              <w:top w:val="nil"/>
              <w:left w:val="nil"/>
              <w:bottom w:val="single" w:sz="4" w:space="0" w:color="auto"/>
              <w:right w:val="single" w:sz="4" w:space="0" w:color="auto"/>
            </w:tcBorders>
            <w:noWrap/>
            <w:vAlign w:val="center"/>
            <w:hideMark/>
          </w:tcPr>
          <w:p w14:paraId="1ADC71D4"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480.706</w:t>
            </w:r>
          </w:p>
        </w:tc>
        <w:tc>
          <w:tcPr>
            <w:tcW w:w="597" w:type="pct"/>
            <w:tcBorders>
              <w:top w:val="nil"/>
              <w:left w:val="nil"/>
              <w:bottom w:val="single" w:sz="4" w:space="0" w:color="auto"/>
              <w:right w:val="single" w:sz="4" w:space="0" w:color="auto"/>
            </w:tcBorders>
            <w:noWrap/>
            <w:vAlign w:val="center"/>
            <w:hideMark/>
          </w:tcPr>
          <w:p w14:paraId="1607A530"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2.941.867</w:t>
            </w:r>
          </w:p>
        </w:tc>
        <w:tc>
          <w:tcPr>
            <w:tcW w:w="519" w:type="pct"/>
            <w:tcBorders>
              <w:top w:val="nil"/>
              <w:left w:val="nil"/>
              <w:bottom w:val="single" w:sz="4" w:space="0" w:color="auto"/>
              <w:right w:val="single" w:sz="4" w:space="0" w:color="auto"/>
            </w:tcBorders>
            <w:shd w:val="clear" w:color="auto" w:fill="D9D9D9" w:themeFill="background1" w:themeFillShade="D9"/>
            <w:noWrap/>
            <w:vAlign w:val="center"/>
            <w:hideMark/>
          </w:tcPr>
          <w:p w14:paraId="3E58EDBE"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15,98%</w:t>
            </w:r>
          </w:p>
        </w:tc>
        <w:tc>
          <w:tcPr>
            <w:tcW w:w="519" w:type="pct"/>
            <w:tcBorders>
              <w:top w:val="nil"/>
              <w:left w:val="nil"/>
              <w:bottom w:val="single" w:sz="4" w:space="0" w:color="auto"/>
              <w:right w:val="single" w:sz="4" w:space="0" w:color="auto"/>
            </w:tcBorders>
            <w:noWrap/>
            <w:vAlign w:val="center"/>
            <w:hideMark/>
          </w:tcPr>
          <w:p w14:paraId="74A55A8D"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294.187</w:t>
            </w:r>
          </w:p>
        </w:tc>
        <w:tc>
          <w:tcPr>
            <w:tcW w:w="519" w:type="pct"/>
            <w:tcBorders>
              <w:top w:val="nil"/>
              <w:left w:val="nil"/>
              <w:bottom w:val="single" w:sz="4" w:space="0" w:color="auto"/>
              <w:right w:val="single" w:sz="4" w:space="0" w:color="auto"/>
            </w:tcBorders>
            <w:noWrap/>
            <w:vAlign w:val="center"/>
            <w:hideMark/>
          </w:tcPr>
          <w:p w14:paraId="068FCCD6"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186.519</w:t>
            </w:r>
          </w:p>
        </w:tc>
        <w:tc>
          <w:tcPr>
            <w:tcW w:w="770" w:type="pct"/>
            <w:tcBorders>
              <w:top w:val="nil"/>
              <w:left w:val="nil"/>
              <w:bottom w:val="single" w:sz="4" w:space="0" w:color="auto"/>
              <w:right w:val="single" w:sz="8" w:space="0" w:color="auto"/>
            </w:tcBorders>
            <w:noWrap/>
            <w:vAlign w:val="center"/>
            <w:hideMark/>
          </w:tcPr>
          <w:p w14:paraId="55B1D9B9"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418.549.309</w:t>
            </w:r>
          </w:p>
        </w:tc>
        <w:tc>
          <w:tcPr>
            <w:tcW w:w="0" w:type="auto"/>
            <w:vAlign w:val="center"/>
            <w:hideMark/>
          </w:tcPr>
          <w:p w14:paraId="22FA7FF3" w14:textId="77777777" w:rsidR="00273288" w:rsidRPr="00E33DE3" w:rsidRDefault="00273288" w:rsidP="00C65B25">
            <w:pPr>
              <w:rPr>
                <w:rFonts w:ascii="Verdana" w:hAnsi="Verdana" w:cs="Arial"/>
                <w:color w:val="000000"/>
                <w:sz w:val="16"/>
                <w:szCs w:val="16"/>
              </w:rPr>
            </w:pPr>
          </w:p>
        </w:tc>
      </w:tr>
      <w:tr w:rsidR="00273288" w:rsidRPr="00E33DE3" w14:paraId="154EE4BF" w14:textId="77777777" w:rsidTr="00273288">
        <w:trPr>
          <w:trHeight w:val="20"/>
        </w:trPr>
        <w:tc>
          <w:tcPr>
            <w:tcW w:w="1557" w:type="pct"/>
            <w:gridSpan w:val="3"/>
            <w:tcBorders>
              <w:top w:val="single" w:sz="4" w:space="0" w:color="auto"/>
              <w:left w:val="single" w:sz="8" w:space="0" w:color="auto"/>
              <w:bottom w:val="single" w:sz="4" w:space="0" w:color="auto"/>
              <w:right w:val="single" w:sz="4" w:space="0" w:color="auto"/>
            </w:tcBorders>
            <w:shd w:val="clear" w:color="auto" w:fill="F1EADA"/>
            <w:vAlign w:val="center"/>
            <w:hideMark/>
          </w:tcPr>
          <w:p w14:paraId="71F30D6A"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TOTAL PROMEDIO ANUAL</w:t>
            </w:r>
          </w:p>
        </w:tc>
        <w:tc>
          <w:tcPr>
            <w:tcW w:w="519" w:type="pct"/>
            <w:tcBorders>
              <w:top w:val="nil"/>
              <w:left w:val="nil"/>
              <w:bottom w:val="single" w:sz="4" w:space="0" w:color="auto"/>
              <w:right w:val="single" w:sz="4" w:space="0" w:color="auto"/>
            </w:tcBorders>
            <w:shd w:val="clear" w:color="auto" w:fill="F1EADA"/>
            <w:vAlign w:val="center"/>
            <w:hideMark/>
          </w:tcPr>
          <w:p w14:paraId="14569485"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540.683</w:t>
            </w:r>
          </w:p>
        </w:tc>
        <w:tc>
          <w:tcPr>
            <w:tcW w:w="597" w:type="pct"/>
            <w:tcBorders>
              <w:top w:val="nil"/>
              <w:left w:val="nil"/>
              <w:bottom w:val="single" w:sz="4" w:space="0" w:color="auto"/>
              <w:right w:val="single" w:sz="4" w:space="0" w:color="auto"/>
            </w:tcBorders>
            <w:shd w:val="clear" w:color="auto" w:fill="F1EADA"/>
            <w:vAlign w:val="center"/>
            <w:hideMark/>
          </w:tcPr>
          <w:p w14:paraId="588C7347"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3.080.228</w:t>
            </w:r>
          </w:p>
        </w:tc>
        <w:tc>
          <w:tcPr>
            <w:tcW w:w="519" w:type="pct"/>
            <w:tcBorders>
              <w:top w:val="nil"/>
              <w:left w:val="nil"/>
              <w:bottom w:val="single" w:sz="4" w:space="0" w:color="auto"/>
              <w:right w:val="single" w:sz="4" w:space="0" w:color="auto"/>
            </w:tcBorders>
            <w:shd w:val="clear" w:color="auto" w:fill="F1EADA"/>
            <w:vAlign w:val="center"/>
            <w:hideMark/>
          </w:tcPr>
          <w:p w14:paraId="1F2F5724"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16,97%</w:t>
            </w:r>
          </w:p>
        </w:tc>
        <w:tc>
          <w:tcPr>
            <w:tcW w:w="519" w:type="pct"/>
            <w:tcBorders>
              <w:top w:val="nil"/>
              <w:left w:val="nil"/>
              <w:bottom w:val="single" w:sz="4" w:space="0" w:color="auto"/>
              <w:right w:val="single" w:sz="4" w:space="0" w:color="auto"/>
            </w:tcBorders>
            <w:shd w:val="clear" w:color="auto" w:fill="F1EADA"/>
            <w:vAlign w:val="center"/>
            <w:hideMark/>
          </w:tcPr>
          <w:p w14:paraId="762ECC94" w14:textId="77777777" w:rsidR="00273288" w:rsidRPr="00E33DE3" w:rsidRDefault="00273288" w:rsidP="00C65B25">
            <w:pPr>
              <w:rPr>
                <w:rFonts w:ascii="Verdana" w:hAnsi="Verdana" w:cs="Arial"/>
                <w:b/>
                <w:bCs/>
                <w:color w:val="000000"/>
                <w:sz w:val="16"/>
                <w:szCs w:val="16"/>
              </w:rPr>
            </w:pPr>
          </w:p>
        </w:tc>
        <w:tc>
          <w:tcPr>
            <w:tcW w:w="519" w:type="pct"/>
            <w:tcBorders>
              <w:top w:val="nil"/>
              <w:left w:val="nil"/>
              <w:bottom w:val="single" w:sz="4" w:space="0" w:color="auto"/>
              <w:right w:val="single" w:sz="4" w:space="0" w:color="auto"/>
            </w:tcBorders>
            <w:shd w:val="clear" w:color="auto" w:fill="F1EADA"/>
            <w:vAlign w:val="center"/>
            <w:hideMark/>
          </w:tcPr>
          <w:p w14:paraId="7C6B350F" w14:textId="77777777" w:rsidR="00273288" w:rsidRPr="00E33DE3" w:rsidRDefault="00273288" w:rsidP="00C65B25">
            <w:pPr>
              <w:rPr>
                <w:rFonts w:ascii="Verdana" w:eastAsiaTheme="minorHAnsi" w:hAnsi="Verdana" w:cstheme="minorBidi"/>
                <w:sz w:val="16"/>
                <w:szCs w:val="16"/>
                <w:lang w:val="es-CO" w:eastAsia="es-CO"/>
              </w:rPr>
            </w:pPr>
          </w:p>
        </w:tc>
        <w:tc>
          <w:tcPr>
            <w:tcW w:w="770" w:type="pct"/>
            <w:tcBorders>
              <w:top w:val="nil"/>
              <w:left w:val="nil"/>
              <w:bottom w:val="single" w:sz="4" w:space="0" w:color="auto"/>
              <w:right w:val="single" w:sz="8" w:space="0" w:color="auto"/>
            </w:tcBorders>
            <w:shd w:val="clear" w:color="auto" w:fill="F1EADA"/>
            <w:vAlign w:val="center"/>
            <w:hideMark/>
          </w:tcPr>
          <w:p w14:paraId="37DF84D9"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1.285.794.424</w:t>
            </w:r>
          </w:p>
        </w:tc>
        <w:tc>
          <w:tcPr>
            <w:tcW w:w="0" w:type="auto"/>
            <w:vAlign w:val="center"/>
            <w:hideMark/>
          </w:tcPr>
          <w:p w14:paraId="14F8512D" w14:textId="77777777" w:rsidR="00273288" w:rsidRPr="00E33DE3" w:rsidRDefault="00273288" w:rsidP="00C65B25">
            <w:pPr>
              <w:rPr>
                <w:rFonts w:ascii="Verdana" w:hAnsi="Verdana" w:cs="Arial"/>
                <w:b/>
                <w:bCs/>
                <w:color w:val="000000"/>
                <w:sz w:val="16"/>
                <w:szCs w:val="16"/>
              </w:rPr>
            </w:pPr>
          </w:p>
        </w:tc>
      </w:tr>
      <w:tr w:rsidR="00273288" w:rsidRPr="00E33DE3" w14:paraId="1FBFB918" w14:textId="77777777" w:rsidTr="00273288">
        <w:trPr>
          <w:trHeight w:val="20"/>
        </w:trPr>
        <w:tc>
          <w:tcPr>
            <w:tcW w:w="519" w:type="pct"/>
            <w:tcBorders>
              <w:top w:val="nil"/>
              <w:left w:val="single" w:sz="8" w:space="0" w:color="auto"/>
              <w:bottom w:val="single" w:sz="4" w:space="0" w:color="auto"/>
              <w:right w:val="single" w:sz="4" w:space="0" w:color="auto"/>
            </w:tcBorders>
            <w:noWrap/>
            <w:vAlign w:val="center"/>
            <w:hideMark/>
          </w:tcPr>
          <w:p w14:paraId="0EAA2C1C"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2020</w:t>
            </w:r>
          </w:p>
        </w:tc>
        <w:tc>
          <w:tcPr>
            <w:tcW w:w="519" w:type="pct"/>
            <w:tcBorders>
              <w:top w:val="nil"/>
              <w:left w:val="nil"/>
              <w:bottom w:val="single" w:sz="4" w:space="0" w:color="auto"/>
              <w:right w:val="single" w:sz="4" w:space="0" w:color="auto"/>
            </w:tcBorders>
            <w:noWrap/>
            <w:vAlign w:val="center"/>
            <w:hideMark/>
          </w:tcPr>
          <w:p w14:paraId="316AF4E8"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2020724</w:t>
            </w:r>
          </w:p>
        </w:tc>
        <w:tc>
          <w:tcPr>
            <w:tcW w:w="519" w:type="pct"/>
            <w:tcBorders>
              <w:top w:val="nil"/>
              <w:left w:val="nil"/>
              <w:bottom w:val="single" w:sz="4" w:space="0" w:color="auto"/>
              <w:right w:val="single" w:sz="4" w:space="0" w:color="auto"/>
            </w:tcBorders>
            <w:noWrap/>
            <w:vAlign w:val="center"/>
            <w:hideMark/>
          </w:tcPr>
          <w:p w14:paraId="6F422DBD"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805</w:t>
            </w:r>
          </w:p>
        </w:tc>
        <w:tc>
          <w:tcPr>
            <w:tcW w:w="519" w:type="pct"/>
            <w:tcBorders>
              <w:top w:val="nil"/>
              <w:left w:val="nil"/>
              <w:bottom w:val="single" w:sz="4" w:space="0" w:color="auto"/>
              <w:right w:val="single" w:sz="4" w:space="0" w:color="auto"/>
            </w:tcBorders>
            <w:noWrap/>
            <w:vAlign w:val="center"/>
            <w:hideMark/>
          </w:tcPr>
          <w:p w14:paraId="58E1941C"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355.796</w:t>
            </w:r>
          </w:p>
        </w:tc>
        <w:tc>
          <w:tcPr>
            <w:tcW w:w="597" w:type="pct"/>
            <w:tcBorders>
              <w:top w:val="nil"/>
              <w:left w:val="nil"/>
              <w:bottom w:val="single" w:sz="4" w:space="0" w:color="auto"/>
              <w:right w:val="single" w:sz="4" w:space="0" w:color="auto"/>
            </w:tcBorders>
            <w:noWrap/>
            <w:vAlign w:val="center"/>
            <w:hideMark/>
          </w:tcPr>
          <w:p w14:paraId="60FBD81A"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2.941.867</w:t>
            </w:r>
          </w:p>
        </w:tc>
        <w:tc>
          <w:tcPr>
            <w:tcW w:w="519" w:type="pct"/>
            <w:tcBorders>
              <w:top w:val="nil"/>
              <w:left w:val="nil"/>
              <w:bottom w:val="single" w:sz="4" w:space="0" w:color="auto"/>
              <w:right w:val="single" w:sz="4" w:space="0" w:color="auto"/>
            </w:tcBorders>
            <w:shd w:val="clear" w:color="auto" w:fill="D9D9D9" w:themeFill="background1" w:themeFillShade="D9"/>
            <w:noWrap/>
            <w:vAlign w:val="center"/>
            <w:hideMark/>
          </w:tcPr>
          <w:p w14:paraId="389E46CC"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12,18%</w:t>
            </w:r>
          </w:p>
        </w:tc>
        <w:tc>
          <w:tcPr>
            <w:tcW w:w="519" w:type="pct"/>
            <w:tcBorders>
              <w:top w:val="nil"/>
              <w:left w:val="nil"/>
              <w:bottom w:val="single" w:sz="4" w:space="0" w:color="auto"/>
              <w:right w:val="single" w:sz="4" w:space="0" w:color="auto"/>
            </w:tcBorders>
            <w:noWrap/>
            <w:vAlign w:val="center"/>
            <w:hideMark/>
          </w:tcPr>
          <w:p w14:paraId="2B0EC26C"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294.187</w:t>
            </w:r>
          </w:p>
        </w:tc>
        <w:tc>
          <w:tcPr>
            <w:tcW w:w="519" w:type="pct"/>
            <w:tcBorders>
              <w:top w:val="nil"/>
              <w:left w:val="nil"/>
              <w:bottom w:val="single" w:sz="4" w:space="0" w:color="auto"/>
              <w:right w:val="single" w:sz="4" w:space="0" w:color="auto"/>
            </w:tcBorders>
            <w:noWrap/>
            <w:vAlign w:val="center"/>
            <w:hideMark/>
          </w:tcPr>
          <w:p w14:paraId="7045798E"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61.609</w:t>
            </w:r>
          </w:p>
        </w:tc>
        <w:tc>
          <w:tcPr>
            <w:tcW w:w="770" w:type="pct"/>
            <w:tcBorders>
              <w:top w:val="nil"/>
              <w:left w:val="nil"/>
              <w:bottom w:val="single" w:sz="4" w:space="0" w:color="auto"/>
              <w:right w:val="single" w:sz="8" w:space="0" w:color="auto"/>
            </w:tcBorders>
            <w:noWrap/>
            <w:vAlign w:val="center"/>
            <w:hideMark/>
          </w:tcPr>
          <w:p w14:paraId="34553200"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49.595.487</w:t>
            </w:r>
          </w:p>
        </w:tc>
        <w:tc>
          <w:tcPr>
            <w:tcW w:w="0" w:type="auto"/>
            <w:vAlign w:val="center"/>
            <w:hideMark/>
          </w:tcPr>
          <w:p w14:paraId="436BF5C1" w14:textId="77777777" w:rsidR="00273288" w:rsidRPr="00E33DE3" w:rsidRDefault="00273288" w:rsidP="00C65B25">
            <w:pPr>
              <w:rPr>
                <w:rFonts w:ascii="Verdana" w:hAnsi="Verdana" w:cs="Arial"/>
                <w:color w:val="000000"/>
                <w:sz w:val="16"/>
                <w:szCs w:val="16"/>
              </w:rPr>
            </w:pPr>
          </w:p>
        </w:tc>
      </w:tr>
      <w:tr w:rsidR="00273288" w:rsidRPr="00E33DE3" w14:paraId="38A42704" w14:textId="77777777" w:rsidTr="00273288">
        <w:trPr>
          <w:trHeight w:val="20"/>
        </w:trPr>
        <w:tc>
          <w:tcPr>
            <w:tcW w:w="519" w:type="pct"/>
            <w:tcBorders>
              <w:top w:val="nil"/>
              <w:left w:val="single" w:sz="8" w:space="0" w:color="auto"/>
              <w:bottom w:val="single" w:sz="4" w:space="0" w:color="auto"/>
              <w:right w:val="single" w:sz="4" w:space="0" w:color="auto"/>
            </w:tcBorders>
            <w:noWrap/>
            <w:vAlign w:val="center"/>
            <w:hideMark/>
          </w:tcPr>
          <w:p w14:paraId="192C883E"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2020</w:t>
            </w:r>
          </w:p>
        </w:tc>
        <w:tc>
          <w:tcPr>
            <w:tcW w:w="519" w:type="pct"/>
            <w:tcBorders>
              <w:top w:val="nil"/>
              <w:left w:val="nil"/>
              <w:bottom w:val="single" w:sz="4" w:space="0" w:color="auto"/>
              <w:right w:val="single" w:sz="4" w:space="0" w:color="auto"/>
            </w:tcBorders>
            <w:noWrap/>
            <w:vAlign w:val="center"/>
            <w:hideMark/>
          </w:tcPr>
          <w:p w14:paraId="5C7360AE"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2020725</w:t>
            </w:r>
          </w:p>
        </w:tc>
        <w:tc>
          <w:tcPr>
            <w:tcW w:w="519" w:type="pct"/>
            <w:tcBorders>
              <w:top w:val="nil"/>
              <w:left w:val="nil"/>
              <w:bottom w:val="single" w:sz="4" w:space="0" w:color="auto"/>
              <w:right w:val="single" w:sz="4" w:space="0" w:color="auto"/>
            </w:tcBorders>
            <w:noWrap/>
            <w:vAlign w:val="center"/>
            <w:hideMark/>
          </w:tcPr>
          <w:p w14:paraId="5150C8DA"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634</w:t>
            </w:r>
          </w:p>
        </w:tc>
        <w:tc>
          <w:tcPr>
            <w:tcW w:w="519" w:type="pct"/>
            <w:tcBorders>
              <w:top w:val="nil"/>
              <w:left w:val="nil"/>
              <w:bottom w:val="single" w:sz="4" w:space="0" w:color="auto"/>
              <w:right w:val="single" w:sz="4" w:space="0" w:color="auto"/>
            </w:tcBorders>
            <w:noWrap/>
            <w:vAlign w:val="center"/>
            <w:hideMark/>
          </w:tcPr>
          <w:p w14:paraId="233644A4"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452.332</w:t>
            </w:r>
          </w:p>
        </w:tc>
        <w:tc>
          <w:tcPr>
            <w:tcW w:w="597" w:type="pct"/>
            <w:tcBorders>
              <w:top w:val="nil"/>
              <w:left w:val="nil"/>
              <w:bottom w:val="single" w:sz="4" w:space="0" w:color="auto"/>
              <w:right w:val="single" w:sz="4" w:space="0" w:color="auto"/>
            </w:tcBorders>
            <w:noWrap/>
            <w:vAlign w:val="center"/>
            <w:hideMark/>
          </w:tcPr>
          <w:p w14:paraId="73F3FB33"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2.941.867</w:t>
            </w:r>
          </w:p>
        </w:tc>
        <w:tc>
          <w:tcPr>
            <w:tcW w:w="519" w:type="pct"/>
            <w:tcBorders>
              <w:top w:val="nil"/>
              <w:left w:val="nil"/>
              <w:bottom w:val="single" w:sz="4" w:space="0" w:color="auto"/>
              <w:right w:val="single" w:sz="4" w:space="0" w:color="auto"/>
            </w:tcBorders>
            <w:shd w:val="clear" w:color="auto" w:fill="D9D9D9" w:themeFill="background1" w:themeFillShade="D9"/>
            <w:noWrap/>
            <w:vAlign w:val="center"/>
            <w:hideMark/>
          </w:tcPr>
          <w:p w14:paraId="71F8D97F"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15,48%</w:t>
            </w:r>
          </w:p>
        </w:tc>
        <w:tc>
          <w:tcPr>
            <w:tcW w:w="519" w:type="pct"/>
            <w:tcBorders>
              <w:top w:val="nil"/>
              <w:left w:val="nil"/>
              <w:bottom w:val="single" w:sz="4" w:space="0" w:color="auto"/>
              <w:right w:val="single" w:sz="4" w:space="0" w:color="auto"/>
            </w:tcBorders>
            <w:noWrap/>
            <w:vAlign w:val="center"/>
            <w:hideMark/>
          </w:tcPr>
          <w:p w14:paraId="72BCD4A5"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294.187</w:t>
            </w:r>
          </w:p>
        </w:tc>
        <w:tc>
          <w:tcPr>
            <w:tcW w:w="519" w:type="pct"/>
            <w:tcBorders>
              <w:top w:val="nil"/>
              <w:left w:val="nil"/>
              <w:bottom w:val="single" w:sz="4" w:space="0" w:color="auto"/>
              <w:right w:val="single" w:sz="4" w:space="0" w:color="auto"/>
            </w:tcBorders>
            <w:noWrap/>
            <w:vAlign w:val="center"/>
            <w:hideMark/>
          </w:tcPr>
          <w:p w14:paraId="5136B35A"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158.145</w:t>
            </w:r>
          </w:p>
        </w:tc>
        <w:tc>
          <w:tcPr>
            <w:tcW w:w="770" w:type="pct"/>
            <w:tcBorders>
              <w:top w:val="nil"/>
              <w:left w:val="nil"/>
              <w:bottom w:val="single" w:sz="4" w:space="0" w:color="auto"/>
              <w:right w:val="single" w:sz="8" w:space="0" w:color="auto"/>
            </w:tcBorders>
            <w:noWrap/>
            <w:vAlign w:val="center"/>
            <w:hideMark/>
          </w:tcPr>
          <w:p w14:paraId="3A8B75D0"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100.264.120</w:t>
            </w:r>
          </w:p>
        </w:tc>
        <w:tc>
          <w:tcPr>
            <w:tcW w:w="0" w:type="auto"/>
            <w:vAlign w:val="center"/>
            <w:hideMark/>
          </w:tcPr>
          <w:p w14:paraId="1333788B" w14:textId="77777777" w:rsidR="00273288" w:rsidRPr="00E33DE3" w:rsidRDefault="00273288" w:rsidP="00C65B25">
            <w:pPr>
              <w:rPr>
                <w:rFonts w:ascii="Verdana" w:hAnsi="Verdana" w:cs="Arial"/>
                <w:color w:val="000000"/>
                <w:sz w:val="16"/>
                <w:szCs w:val="16"/>
              </w:rPr>
            </w:pPr>
          </w:p>
        </w:tc>
      </w:tr>
      <w:tr w:rsidR="00273288" w:rsidRPr="00E33DE3" w14:paraId="2610B92A" w14:textId="77777777" w:rsidTr="00273288">
        <w:trPr>
          <w:trHeight w:val="20"/>
        </w:trPr>
        <w:tc>
          <w:tcPr>
            <w:tcW w:w="519" w:type="pct"/>
            <w:tcBorders>
              <w:top w:val="nil"/>
              <w:left w:val="single" w:sz="8" w:space="0" w:color="auto"/>
              <w:bottom w:val="single" w:sz="4" w:space="0" w:color="auto"/>
              <w:right w:val="single" w:sz="4" w:space="0" w:color="auto"/>
            </w:tcBorders>
            <w:noWrap/>
            <w:vAlign w:val="center"/>
            <w:hideMark/>
          </w:tcPr>
          <w:p w14:paraId="0C7998FA"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lastRenderedPageBreak/>
              <w:t>2020</w:t>
            </w:r>
          </w:p>
        </w:tc>
        <w:tc>
          <w:tcPr>
            <w:tcW w:w="519" w:type="pct"/>
            <w:tcBorders>
              <w:top w:val="nil"/>
              <w:left w:val="nil"/>
              <w:bottom w:val="single" w:sz="4" w:space="0" w:color="auto"/>
              <w:right w:val="single" w:sz="4" w:space="0" w:color="auto"/>
            </w:tcBorders>
            <w:noWrap/>
            <w:vAlign w:val="center"/>
            <w:hideMark/>
          </w:tcPr>
          <w:p w14:paraId="2FEE5E1A"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2020726</w:t>
            </w:r>
          </w:p>
        </w:tc>
        <w:tc>
          <w:tcPr>
            <w:tcW w:w="519" w:type="pct"/>
            <w:tcBorders>
              <w:top w:val="nil"/>
              <w:left w:val="nil"/>
              <w:bottom w:val="single" w:sz="4" w:space="0" w:color="auto"/>
              <w:right w:val="single" w:sz="4" w:space="0" w:color="auto"/>
            </w:tcBorders>
            <w:noWrap/>
            <w:vAlign w:val="center"/>
            <w:hideMark/>
          </w:tcPr>
          <w:p w14:paraId="669CD685"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1659</w:t>
            </w:r>
          </w:p>
        </w:tc>
        <w:tc>
          <w:tcPr>
            <w:tcW w:w="519" w:type="pct"/>
            <w:tcBorders>
              <w:top w:val="nil"/>
              <w:left w:val="nil"/>
              <w:bottom w:val="single" w:sz="4" w:space="0" w:color="auto"/>
              <w:right w:val="single" w:sz="4" w:space="0" w:color="auto"/>
            </w:tcBorders>
            <w:noWrap/>
            <w:vAlign w:val="center"/>
            <w:hideMark/>
          </w:tcPr>
          <w:p w14:paraId="29DEACAC"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417.852</w:t>
            </w:r>
          </w:p>
        </w:tc>
        <w:tc>
          <w:tcPr>
            <w:tcW w:w="597" w:type="pct"/>
            <w:tcBorders>
              <w:top w:val="nil"/>
              <w:left w:val="nil"/>
              <w:bottom w:val="single" w:sz="4" w:space="0" w:color="auto"/>
              <w:right w:val="single" w:sz="4" w:space="0" w:color="auto"/>
            </w:tcBorders>
            <w:noWrap/>
            <w:vAlign w:val="center"/>
            <w:hideMark/>
          </w:tcPr>
          <w:p w14:paraId="5E92FBBA"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2.941.867</w:t>
            </w:r>
          </w:p>
        </w:tc>
        <w:tc>
          <w:tcPr>
            <w:tcW w:w="519" w:type="pct"/>
            <w:tcBorders>
              <w:top w:val="nil"/>
              <w:left w:val="nil"/>
              <w:bottom w:val="single" w:sz="4" w:space="0" w:color="auto"/>
              <w:right w:val="single" w:sz="4" w:space="0" w:color="auto"/>
            </w:tcBorders>
            <w:shd w:val="clear" w:color="auto" w:fill="D9D9D9" w:themeFill="background1" w:themeFillShade="D9"/>
            <w:noWrap/>
            <w:vAlign w:val="center"/>
            <w:hideMark/>
          </w:tcPr>
          <w:p w14:paraId="47D00615"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14,30%</w:t>
            </w:r>
          </w:p>
        </w:tc>
        <w:tc>
          <w:tcPr>
            <w:tcW w:w="519" w:type="pct"/>
            <w:tcBorders>
              <w:top w:val="nil"/>
              <w:left w:val="nil"/>
              <w:bottom w:val="single" w:sz="4" w:space="0" w:color="auto"/>
              <w:right w:val="single" w:sz="4" w:space="0" w:color="auto"/>
            </w:tcBorders>
            <w:noWrap/>
            <w:vAlign w:val="center"/>
            <w:hideMark/>
          </w:tcPr>
          <w:p w14:paraId="1286229B"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294.187</w:t>
            </w:r>
          </w:p>
        </w:tc>
        <w:tc>
          <w:tcPr>
            <w:tcW w:w="519" w:type="pct"/>
            <w:tcBorders>
              <w:top w:val="nil"/>
              <w:left w:val="nil"/>
              <w:bottom w:val="single" w:sz="4" w:space="0" w:color="auto"/>
              <w:right w:val="single" w:sz="4" w:space="0" w:color="auto"/>
            </w:tcBorders>
            <w:noWrap/>
            <w:vAlign w:val="center"/>
            <w:hideMark/>
          </w:tcPr>
          <w:p w14:paraId="3EEA5905"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123.665</w:t>
            </w:r>
          </w:p>
        </w:tc>
        <w:tc>
          <w:tcPr>
            <w:tcW w:w="770" w:type="pct"/>
            <w:tcBorders>
              <w:top w:val="nil"/>
              <w:left w:val="nil"/>
              <w:bottom w:val="single" w:sz="4" w:space="0" w:color="auto"/>
              <w:right w:val="single" w:sz="8" w:space="0" w:color="auto"/>
            </w:tcBorders>
            <w:noWrap/>
            <w:vAlign w:val="center"/>
            <w:hideMark/>
          </w:tcPr>
          <w:p w14:paraId="3F65DDF2"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205.160.733</w:t>
            </w:r>
          </w:p>
        </w:tc>
        <w:tc>
          <w:tcPr>
            <w:tcW w:w="0" w:type="auto"/>
            <w:vAlign w:val="center"/>
            <w:hideMark/>
          </w:tcPr>
          <w:p w14:paraId="4200718B" w14:textId="77777777" w:rsidR="00273288" w:rsidRPr="00E33DE3" w:rsidRDefault="00273288" w:rsidP="00C65B25">
            <w:pPr>
              <w:rPr>
                <w:rFonts w:ascii="Verdana" w:hAnsi="Verdana" w:cs="Arial"/>
                <w:color w:val="000000"/>
                <w:sz w:val="16"/>
                <w:szCs w:val="16"/>
              </w:rPr>
            </w:pPr>
          </w:p>
        </w:tc>
      </w:tr>
      <w:tr w:rsidR="00273288" w:rsidRPr="00E33DE3" w14:paraId="32CA7295" w14:textId="77777777" w:rsidTr="00273288">
        <w:trPr>
          <w:trHeight w:val="20"/>
        </w:trPr>
        <w:tc>
          <w:tcPr>
            <w:tcW w:w="519" w:type="pct"/>
            <w:tcBorders>
              <w:top w:val="nil"/>
              <w:left w:val="single" w:sz="8" w:space="0" w:color="auto"/>
              <w:bottom w:val="single" w:sz="4" w:space="0" w:color="auto"/>
              <w:right w:val="single" w:sz="4" w:space="0" w:color="auto"/>
            </w:tcBorders>
            <w:noWrap/>
            <w:vAlign w:val="center"/>
            <w:hideMark/>
          </w:tcPr>
          <w:p w14:paraId="6A9C47AA"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2020</w:t>
            </w:r>
          </w:p>
        </w:tc>
        <w:tc>
          <w:tcPr>
            <w:tcW w:w="519" w:type="pct"/>
            <w:tcBorders>
              <w:top w:val="nil"/>
              <w:left w:val="nil"/>
              <w:bottom w:val="single" w:sz="4" w:space="0" w:color="auto"/>
              <w:right w:val="single" w:sz="4" w:space="0" w:color="auto"/>
            </w:tcBorders>
            <w:noWrap/>
            <w:vAlign w:val="center"/>
            <w:hideMark/>
          </w:tcPr>
          <w:p w14:paraId="08762292"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2020730</w:t>
            </w:r>
          </w:p>
        </w:tc>
        <w:tc>
          <w:tcPr>
            <w:tcW w:w="519" w:type="pct"/>
            <w:tcBorders>
              <w:top w:val="nil"/>
              <w:left w:val="nil"/>
              <w:bottom w:val="single" w:sz="4" w:space="0" w:color="auto"/>
              <w:right w:val="single" w:sz="4" w:space="0" w:color="auto"/>
            </w:tcBorders>
            <w:noWrap/>
            <w:vAlign w:val="center"/>
            <w:hideMark/>
          </w:tcPr>
          <w:p w14:paraId="3718FE67"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1919</w:t>
            </w:r>
          </w:p>
        </w:tc>
        <w:tc>
          <w:tcPr>
            <w:tcW w:w="519" w:type="pct"/>
            <w:tcBorders>
              <w:top w:val="nil"/>
              <w:left w:val="nil"/>
              <w:bottom w:val="single" w:sz="4" w:space="0" w:color="auto"/>
              <w:right w:val="single" w:sz="4" w:space="0" w:color="auto"/>
            </w:tcBorders>
            <w:noWrap/>
            <w:vAlign w:val="center"/>
            <w:hideMark/>
          </w:tcPr>
          <w:p w14:paraId="54E47435"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521.105</w:t>
            </w:r>
          </w:p>
        </w:tc>
        <w:tc>
          <w:tcPr>
            <w:tcW w:w="597" w:type="pct"/>
            <w:tcBorders>
              <w:top w:val="nil"/>
              <w:left w:val="nil"/>
              <w:bottom w:val="single" w:sz="4" w:space="0" w:color="auto"/>
              <w:right w:val="single" w:sz="4" w:space="0" w:color="auto"/>
            </w:tcBorders>
            <w:noWrap/>
            <w:vAlign w:val="center"/>
            <w:hideMark/>
          </w:tcPr>
          <w:p w14:paraId="5B4AF755"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2.941.867</w:t>
            </w:r>
          </w:p>
        </w:tc>
        <w:tc>
          <w:tcPr>
            <w:tcW w:w="519" w:type="pct"/>
            <w:tcBorders>
              <w:top w:val="nil"/>
              <w:left w:val="nil"/>
              <w:bottom w:val="single" w:sz="4" w:space="0" w:color="auto"/>
              <w:right w:val="single" w:sz="4" w:space="0" w:color="auto"/>
            </w:tcBorders>
            <w:shd w:val="clear" w:color="auto" w:fill="D9D9D9" w:themeFill="background1" w:themeFillShade="D9"/>
            <w:noWrap/>
            <w:vAlign w:val="center"/>
            <w:hideMark/>
          </w:tcPr>
          <w:p w14:paraId="65FF6F2A"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17,84%</w:t>
            </w:r>
          </w:p>
        </w:tc>
        <w:tc>
          <w:tcPr>
            <w:tcW w:w="519" w:type="pct"/>
            <w:tcBorders>
              <w:top w:val="nil"/>
              <w:left w:val="nil"/>
              <w:bottom w:val="single" w:sz="4" w:space="0" w:color="auto"/>
              <w:right w:val="single" w:sz="4" w:space="0" w:color="auto"/>
            </w:tcBorders>
            <w:noWrap/>
            <w:vAlign w:val="center"/>
            <w:hideMark/>
          </w:tcPr>
          <w:p w14:paraId="13587EB2"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294.187</w:t>
            </w:r>
          </w:p>
        </w:tc>
        <w:tc>
          <w:tcPr>
            <w:tcW w:w="519" w:type="pct"/>
            <w:tcBorders>
              <w:top w:val="nil"/>
              <w:left w:val="nil"/>
              <w:bottom w:val="single" w:sz="4" w:space="0" w:color="auto"/>
              <w:right w:val="single" w:sz="4" w:space="0" w:color="auto"/>
            </w:tcBorders>
            <w:noWrap/>
            <w:vAlign w:val="center"/>
            <w:hideMark/>
          </w:tcPr>
          <w:p w14:paraId="45011D60"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226.918</w:t>
            </w:r>
          </w:p>
        </w:tc>
        <w:tc>
          <w:tcPr>
            <w:tcW w:w="770" w:type="pct"/>
            <w:tcBorders>
              <w:top w:val="nil"/>
              <w:left w:val="nil"/>
              <w:bottom w:val="single" w:sz="4" w:space="0" w:color="auto"/>
              <w:right w:val="single" w:sz="8" w:space="0" w:color="auto"/>
            </w:tcBorders>
            <w:noWrap/>
            <w:vAlign w:val="center"/>
            <w:hideMark/>
          </w:tcPr>
          <w:p w14:paraId="56D0B3E1"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435.456.218</w:t>
            </w:r>
          </w:p>
        </w:tc>
        <w:tc>
          <w:tcPr>
            <w:tcW w:w="0" w:type="auto"/>
            <w:vAlign w:val="center"/>
            <w:hideMark/>
          </w:tcPr>
          <w:p w14:paraId="1F91ADEF" w14:textId="77777777" w:rsidR="00273288" w:rsidRPr="00E33DE3" w:rsidRDefault="00273288" w:rsidP="00C65B25">
            <w:pPr>
              <w:rPr>
                <w:rFonts w:ascii="Verdana" w:hAnsi="Verdana" w:cs="Arial"/>
                <w:color w:val="000000"/>
                <w:sz w:val="16"/>
                <w:szCs w:val="16"/>
              </w:rPr>
            </w:pPr>
          </w:p>
        </w:tc>
      </w:tr>
      <w:tr w:rsidR="00273288" w:rsidRPr="00E33DE3" w14:paraId="49296C95" w14:textId="77777777" w:rsidTr="00273288">
        <w:trPr>
          <w:trHeight w:val="20"/>
        </w:trPr>
        <w:tc>
          <w:tcPr>
            <w:tcW w:w="519" w:type="pct"/>
            <w:tcBorders>
              <w:top w:val="nil"/>
              <w:left w:val="single" w:sz="8" w:space="0" w:color="auto"/>
              <w:bottom w:val="single" w:sz="4" w:space="0" w:color="auto"/>
              <w:right w:val="single" w:sz="4" w:space="0" w:color="auto"/>
            </w:tcBorders>
            <w:noWrap/>
            <w:vAlign w:val="center"/>
            <w:hideMark/>
          </w:tcPr>
          <w:p w14:paraId="1B9A7FEB"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2020</w:t>
            </w:r>
          </w:p>
        </w:tc>
        <w:tc>
          <w:tcPr>
            <w:tcW w:w="519" w:type="pct"/>
            <w:tcBorders>
              <w:top w:val="nil"/>
              <w:left w:val="nil"/>
              <w:bottom w:val="single" w:sz="4" w:space="0" w:color="auto"/>
              <w:right w:val="single" w:sz="4" w:space="0" w:color="auto"/>
            </w:tcBorders>
            <w:noWrap/>
            <w:vAlign w:val="center"/>
            <w:hideMark/>
          </w:tcPr>
          <w:p w14:paraId="112A2048"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2020731</w:t>
            </w:r>
          </w:p>
        </w:tc>
        <w:tc>
          <w:tcPr>
            <w:tcW w:w="519" w:type="pct"/>
            <w:tcBorders>
              <w:top w:val="nil"/>
              <w:left w:val="nil"/>
              <w:bottom w:val="single" w:sz="4" w:space="0" w:color="auto"/>
              <w:right w:val="single" w:sz="4" w:space="0" w:color="auto"/>
            </w:tcBorders>
            <w:noWrap/>
            <w:vAlign w:val="center"/>
            <w:hideMark/>
          </w:tcPr>
          <w:p w14:paraId="18252FB1"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286</w:t>
            </w:r>
          </w:p>
        </w:tc>
        <w:tc>
          <w:tcPr>
            <w:tcW w:w="519" w:type="pct"/>
            <w:tcBorders>
              <w:top w:val="nil"/>
              <w:left w:val="nil"/>
              <w:bottom w:val="single" w:sz="4" w:space="0" w:color="auto"/>
              <w:right w:val="single" w:sz="4" w:space="0" w:color="auto"/>
            </w:tcBorders>
            <w:noWrap/>
            <w:vAlign w:val="center"/>
            <w:hideMark/>
          </w:tcPr>
          <w:p w14:paraId="65A3625B"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1.297.203</w:t>
            </w:r>
          </w:p>
        </w:tc>
        <w:tc>
          <w:tcPr>
            <w:tcW w:w="597" w:type="pct"/>
            <w:tcBorders>
              <w:top w:val="nil"/>
              <w:left w:val="nil"/>
              <w:bottom w:val="single" w:sz="4" w:space="0" w:color="auto"/>
              <w:right w:val="single" w:sz="4" w:space="0" w:color="auto"/>
            </w:tcBorders>
            <w:noWrap/>
            <w:vAlign w:val="center"/>
            <w:hideMark/>
          </w:tcPr>
          <w:p w14:paraId="48011AB8"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3.772.037</w:t>
            </w:r>
          </w:p>
        </w:tc>
        <w:tc>
          <w:tcPr>
            <w:tcW w:w="519" w:type="pct"/>
            <w:tcBorders>
              <w:top w:val="nil"/>
              <w:left w:val="nil"/>
              <w:bottom w:val="single" w:sz="4" w:space="0" w:color="auto"/>
              <w:right w:val="single" w:sz="4" w:space="0" w:color="auto"/>
            </w:tcBorders>
            <w:shd w:val="clear" w:color="auto" w:fill="D9D9D9" w:themeFill="background1" w:themeFillShade="D9"/>
            <w:noWrap/>
            <w:vAlign w:val="center"/>
            <w:hideMark/>
          </w:tcPr>
          <w:p w14:paraId="6D6AE0A1"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34,68%</w:t>
            </w:r>
          </w:p>
        </w:tc>
        <w:tc>
          <w:tcPr>
            <w:tcW w:w="519" w:type="pct"/>
            <w:tcBorders>
              <w:top w:val="nil"/>
              <w:left w:val="nil"/>
              <w:bottom w:val="single" w:sz="4" w:space="0" w:color="auto"/>
              <w:right w:val="single" w:sz="4" w:space="0" w:color="auto"/>
            </w:tcBorders>
            <w:noWrap/>
            <w:vAlign w:val="center"/>
            <w:hideMark/>
          </w:tcPr>
          <w:p w14:paraId="38386DE2"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377.204</w:t>
            </w:r>
          </w:p>
        </w:tc>
        <w:tc>
          <w:tcPr>
            <w:tcW w:w="519" w:type="pct"/>
            <w:tcBorders>
              <w:top w:val="nil"/>
              <w:left w:val="nil"/>
              <w:bottom w:val="single" w:sz="4" w:space="0" w:color="auto"/>
              <w:right w:val="single" w:sz="4" w:space="0" w:color="auto"/>
            </w:tcBorders>
            <w:noWrap/>
            <w:vAlign w:val="center"/>
            <w:hideMark/>
          </w:tcPr>
          <w:p w14:paraId="67DC586E"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919.999</w:t>
            </w:r>
          </w:p>
        </w:tc>
        <w:tc>
          <w:tcPr>
            <w:tcW w:w="770" w:type="pct"/>
            <w:tcBorders>
              <w:top w:val="nil"/>
              <w:left w:val="nil"/>
              <w:bottom w:val="single" w:sz="4" w:space="0" w:color="auto"/>
              <w:right w:val="single" w:sz="8" w:space="0" w:color="auto"/>
            </w:tcBorders>
            <w:noWrap/>
            <w:vAlign w:val="center"/>
            <w:hideMark/>
          </w:tcPr>
          <w:p w14:paraId="0B39724B"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263.119.800</w:t>
            </w:r>
          </w:p>
        </w:tc>
        <w:tc>
          <w:tcPr>
            <w:tcW w:w="0" w:type="auto"/>
            <w:vAlign w:val="center"/>
            <w:hideMark/>
          </w:tcPr>
          <w:p w14:paraId="35E2642A" w14:textId="77777777" w:rsidR="00273288" w:rsidRPr="00E33DE3" w:rsidRDefault="00273288" w:rsidP="00C65B25">
            <w:pPr>
              <w:rPr>
                <w:rFonts w:ascii="Verdana" w:hAnsi="Verdana" w:cs="Arial"/>
                <w:color w:val="000000"/>
                <w:sz w:val="16"/>
                <w:szCs w:val="16"/>
              </w:rPr>
            </w:pPr>
          </w:p>
        </w:tc>
      </w:tr>
      <w:tr w:rsidR="00273288" w:rsidRPr="00E33DE3" w14:paraId="30FE81B8" w14:textId="77777777" w:rsidTr="00273288">
        <w:trPr>
          <w:trHeight w:val="20"/>
        </w:trPr>
        <w:tc>
          <w:tcPr>
            <w:tcW w:w="519" w:type="pct"/>
            <w:tcBorders>
              <w:top w:val="nil"/>
              <w:left w:val="single" w:sz="8" w:space="0" w:color="auto"/>
              <w:bottom w:val="single" w:sz="4" w:space="0" w:color="auto"/>
              <w:right w:val="single" w:sz="4" w:space="0" w:color="auto"/>
            </w:tcBorders>
            <w:noWrap/>
            <w:vAlign w:val="center"/>
            <w:hideMark/>
          </w:tcPr>
          <w:p w14:paraId="55377B5A"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2020</w:t>
            </w:r>
          </w:p>
        </w:tc>
        <w:tc>
          <w:tcPr>
            <w:tcW w:w="519" w:type="pct"/>
            <w:tcBorders>
              <w:top w:val="nil"/>
              <w:left w:val="nil"/>
              <w:bottom w:val="single" w:sz="4" w:space="0" w:color="auto"/>
              <w:right w:val="single" w:sz="4" w:space="0" w:color="auto"/>
            </w:tcBorders>
            <w:noWrap/>
            <w:vAlign w:val="center"/>
            <w:hideMark/>
          </w:tcPr>
          <w:p w14:paraId="4C8402C3"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2020828</w:t>
            </w:r>
          </w:p>
        </w:tc>
        <w:tc>
          <w:tcPr>
            <w:tcW w:w="519" w:type="pct"/>
            <w:tcBorders>
              <w:top w:val="nil"/>
              <w:left w:val="nil"/>
              <w:bottom w:val="single" w:sz="4" w:space="0" w:color="auto"/>
              <w:right w:val="single" w:sz="4" w:space="0" w:color="auto"/>
            </w:tcBorders>
            <w:noWrap/>
            <w:vAlign w:val="center"/>
            <w:hideMark/>
          </w:tcPr>
          <w:p w14:paraId="7F6ACF39"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1980</w:t>
            </w:r>
          </w:p>
        </w:tc>
        <w:tc>
          <w:tcPr>
            <w:tcW w:w="519" w:type="pct"/>
            <w:tcBorders>
              <w:top w:val="nil"/>
              <w:left w:val="nil"/>
              <w:bottom w:val="single" w:sz="4" w:space="0" w:color="auto"/>
              <w:right w:val="single" w:sz="4" w:space="0" w:color="auto"/>
            </w:tcBorders>
            <w:noWrap/>
            <w:vAlign w:val="center"/>
            <w:hideMark/>
          </w:tcPr>
          <w:p w14:paraId="3F9CBC7C"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571.604</w:t>
            </w:r>
          </w:p>
        </w:tc>
        <w:tc>
          <w:tcPr>
            <w:tcW w:w="597" w:type="pct"/>
            <w:tcBorders>
              <w:top w:val="nil"/>
              <w:left w:val="nil"/>
              <w:bottom w:val="single" w:sz="4" w:space="0" w:color="auto"/>
              <w:right w:val="single" w:sz="4" w:space="0" w:color="auto"/>
            </w:tcBorders>
            <w:noWrap/>
            <w:vAlign w:val="center"/>
            <w:hideMark/>
          </w:tcPr>
          <w:p w14:paraId="7AF7C7C5"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3.824.426</w:t>
            </w:r>
          </w:p>
        </w:tc>
        <w:tc>
          <w:tcPr>
            <w:tcW w:w="519" w:type="pct"/>
            <w:tcBorders>
              <w:top w:val="nil"/>
              <w:left w:val="nil"/>
              <w:bottom w:val="single" w:sz="4" w:space="0" w:color="auto"/>
              <w:right w:val="single" w:sz="4" w:space="0" w:color="auto"/>
            </w:tcBorders>
            <w:shd w:val="clear" w:color="auto" w:fill="D9D9D9" w:themeFill="background1" w:themeFillShade="D9"/>
            <w:noWrap/>
            <w:vAlign w:val="center"/>
            <w:hideMark/>
          </w:tcPr>
          <w:p w14:paraId="0EB7D1E5"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15,05%</w:t>
            </w:r>
          </w:p>
        </w:tc>
        <w:tc>
          <w:tcPr>
            <w:tcW w:w="519" w:type="pct"/>
            <w:tcBorders>
              <w:top w:val="nil"/>
              <w:left w:val="nil"/>
              <w:bottom w:val="single" w:sz="4" w:space="0" w:color="auto"/>
              <w:right w:val="single" w:sz="4" w:space="0" w:color="auto"/>
            </w:tcBorders>
            <w:noWrap/>
            <w:vAlign w:val="center"/>
            <w:hideMark/>
          </w:tcPr>
          <w:p w14:paraId="3CFC0573"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382.443</w:t>
            </w:r>
          </w:p>
        </w:tc>
        <w:tc>
          <w:tcPr>
            <w:tcW w:w="519" w:type="pct"/>
            <w:tcBorders>
              <w:top w:val="nil"/>
              <w:left w:val="nil"/>
              <w:bottom w:val="single" w:sz="4" w:space="0" w:color="auto"/>
              <w:right w:val="single" w:sz="4" w:space="0" w:color="auto"/>
            </w:tcBorders>
            <w:noWrap/>
            <w:vAlign w:val="center"/>
            <w:hideMark/>
          </w:tcPr>
          <w:p w14:paraId="2B69DCA7"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189.161</w:t>
            </w:r>
          </w:p>
        </w:tc>
        <w:tc>
          <w:tcPr>
            <w:tcW w:w="770" w:type="pct"/>
            <w:tcBorders>
              <w:top w:val="nil"/>
              <w:left w:val="nil"/>
              <w:bottom w:val="single" w:sz="4" w:space="0" w:color="auto"/>
              <w:right w:val="single" w:sz="8" w:space="0" w:color="auto"/>
            </w:tcBorders>
            <w:noWrap/>
            <w:vAlign w:val="center"/>
            <w:hideMark/>
          </w:tcPr>
          <w:p w14:paraId="1742BE46"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374.539.572</w:t>
            </w:r>
          </w:p>
        </w:tc>
        <w:tc>
          <w:tcPr>
            <w:tcW w:w="0" w:type="auto"/>
            <w:vAlign w:val="center"/>
            <w:hideMark/>
          </w:tcPr>
          <w:p w14:paraId="768A4178" w14:textId="77777777" w:rsidR="00273288" w:rsidRPr="00E33DE3" w:rsidRDefault="00273288" w:rsidP="00C65B25">
            <w:pPr>
              <w:rPr>
                <w:rFonts w:ascii="Verdana" w:hAnsi="Verdana" w:cs="Arial"/>
                <w:color w:val="000000"/>
                <w:sz w:val="16"/>
                <w:szCs w:val="16"/>
              </w:rPr>
            </w:pPr>
          </w:p>
        </w:tc>
      </w:tr>
      <w:tr w:rsidR="00273288" w:rsidRPr="00E33DE3" w14:paraId="4ED9D387" w14:textId="77777777" w:rsidTr="00273288">
        <w:trPr>
          <w:trHeight w:val="20"/>
        </w:trPr>
        <w:tc>
          <w:tcPr>
            <w:tcW w:w="1557" w:type="pct"/>
            <w:gridSpan w:val="3"/>
            <w:tcBorders>
              <w:top w:val="single" w:sz="4" w:space="0" w:color="auto"/>
              <w:left w:val="single" w:sz="8" w:space="0" w:color="auto"/>
              <w:bottom w:val="single" w:sz="4" w:space="0" w:color="auto"/>
              <w:right w:val="single" w:sz="4" w:space="0" w:color="auto"/>
            </w:tcBorders>
            <w:shd w:val="clear" w:color="auto" w:fill="F1EADA"/>
            <w:vAlign w:val="center"/>
            <w:hideMark/>
          </w:tcPr>
          <w:p w14:paraId="2EC343B1"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TOTAL PROMEDIO ANUAL</w:t>
            </w:r>
          </w:p>
        </w:tc>
        <w:tc>
          <w:tcPr>
            <w:tcW w:w="519" w:type="pct"/>
            <w:tcBorders>
              <w:top w:val="nil"/>
              <w:left w:val="nil"/>
              <w:bottom w:val="single" w:sz="4" w:space="0" w:color="auto"/>
              <w:right w:val="single" w:sz="4" w:space="0" w:color="auto"/>
            </w:tcBorders>
            <w:shd w:val="clear" w:color="auto" w:fill="F1EADA"/>
            <w:vAlign w:val="center"/>
            <w:hideMark/>
          </w:tcPr>
          <w:p w14:paraId="14089A98"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602.649</w:t>
            </w:r>
          </w:p>
        </w:tc>
        <w:tc>
          <w:tcPr>
            <w:tcW w:w="597" w:type="pct"/>
            <w:tcBorders>
              <w:top w:val="nil"/>
              <w:left w:val="nil"/>
              <w:bottom w:val="single" w:sz="4" w:space="0" w:color="auto"/>
              <w:right w:val="single" w:sz="4" w:space="0" w:color="auto"/>
            </w:tcBorders>
            <w:shd w:val="clear" w:color="auto" w:fill="F1EADA"/>
            <w:vAlign w:val="center"/>
            <w:hideMark/>
          </w:tcPr>
          <w:p w14:paraId="291F8306"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3.227.322</w:t>
            </w:r>
          </w:p>
        </w:tc>
        <w:tc>
          <w:tcPr>
            <w:tcW w:w="519" w:type="pct"/>
            <w:tcBorders>
              <w:top w:val="nil"/>
              <w:left w:val="nil"/>
              <w:bottom w:val="single" w:sz="4" w:space="0" w:color="auto"/>
              <w:right w:val="single" w:sz="4" w:space="0" w:color="auto"/>
            </w:tcBorders>
            <w:shd w:val="clear" w:color="auto" w:fill="F1EADA"/>
            <w:vAlign w:val="center"/>
            <w:hideMark/>
          </w:tcPr>
          <w:p w14:paraId="38F253CC"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18,26%</w:t>
            </w:r>
          </w:p>
        </w:tc>
        <w:tc>
          <w:tcPr>
            <w:tcW w:w="519" w:type="pct"/>
            <w:tcBorders>
              <w:top w:val="nil"/>
              <w:left w:val="nil"/>
              <w:bottom w:val="single" w:sz="4" w:space="0" w:color="auto"/>
              <w:right w:val="single" w:sz="4" w:space="0" w:color="auto"/>
            </w:tcBorders>
            <w:shd w:val="clear" w:color="auto" w:fill="F1EADA"/>
            <w:vAlign w:val="center"/>
            <w:hideMark/>
          </w:tcPr>
          <w:p w14:paraId="4385920D" w14:textId="77777777" w:rsidR="00273288" w:rsidRPr="00E33DE3" w:rsidRDefault="00273288" w:rsidP="00C65B25">
            <w:pPr>
              <w:rPr>
                <w:rFonts w:ascii="Verdana" w:hAnsi="Verdana" w:cs="Arial"/>
                <w:b/>
                <w:bCs/>
                <w:color w:val="000000"/>
                <w:sz w:val="16"/>
                <w:szCs w:val="16"/>
              </w:rPr>
            </w:pPr>
          </w:p>
        </w:tc>
        <w:tc>
          <w:tcPr>
            <w:tcW w:w="519" w:type="pct"/>
            <w:tcBorders>
              <w:top w:val="nil"/>
              <w:left w:val="nil"/>
              <w:bottom w:val="single" w:sz="4" w:space="0" w:color="auto"/>
              <w:right w:val="single" w:sz="4" w:space="0" w:color="auto"/>
            </w:tcBorders>
            <w:shd w:val="clear" w:color="auto" w:fill="F1EADA"/>
            <w:vAlign w:val="center"/>
            <w:hideMark/>
          </w:tcPr>
          <w:p w14:paraId="7640C780" w14:textId="77777777" w:rsidR="00273288" w:rsidRPr="00E33DE3" w:rsidRDefault="00273288" w:rsidP="00C65B25">
            <w:pPr>
              <w:rPr>
                <w:rFonts w:ascii="Verdana" w:eastAsiaTheme="minorHAnsi" w:hAnsi="Verdana" w:cstheme="minorBidi"/>
                <w:sz w:val="16"/>
                <w:szCs w:val="16"/>
                <w:lang w:val="es-CO" w:eastAsia="es-CO"/>
              </w:rPr>
            </w:pPr>
          </w:p>
        </w:tc>
        <w:tc>
          <w:tcPr>
            <w:tcW w:w="770" w:type="pct"/>
            <w:tcBorders>
              <w:top w:val="nil"/>
              <w:left w:val="nil"/>
              <w:bottom w:val="single" w:sz="4" w:space="0" w:color="auto"/>
              <w:right w:val="single" w:sz="8" w:space="0" w:color="auto"/>
            </w:tcBorders>
            <w:shd w:val="clear" w:color="auto" w:fill="F1EADA"/>
            <w:vAlign w:val="center"/>
            <w:hideMark/>
          </w:tcPr>
          <w:p w14:paraId="2E325DFB"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1.428.135.929</w:t>
            </w:r>
          </w:p>
        </w:tc>
        <w:tc>
          <w:tcPr>
            <w:tcW w:w="0" w:type="auto"/>
            <w:vAlign w:val="center"/>
            <w:hideMark/>
          </w:tcPr>
          <w:p w14:paraId="5D4C2FFD" w14:textId="77777777" w:rsidR="00273288" w:rsidRPr="00E33DE3" w:rsidRDefault="00273288" w:rsidP="00C65B25">
            <w:pPr>
              <w:rPr>
                <w:rFonts w:ascii="Verdana" w:hAnsi="Verdana" w:cs="Arial"/>
                <w:b/>
                <w:bCs/>
                <w:color w:val="000000"/>
                <w:sz w:val="16"/>
                <w:szCs w:val="16"/>
              </w:rPr>
            </w:pPr>
          </w:p>
        </w:tc>
      </w:tr>
      <w:tr w:rsidR="00273288" w:rsidRPr="00E33DE3" w14:paraId="7D65F0CF" w14:textId="77777777" w:rsidTr="00273288">
        <w:trPr>
          <w:trHeight w:val="20"/>
        </w:trPr>
        <w:tc>
          <w:tcPr>
            <w:tcW w:w="519" w:type="pct"/>
            <w:tcBorders>
              <w:top w:val="nil"/>
              <w:left w:val="single" w:sz="8" w:space="0" w:color="auto"/>
              <w:bottom w:val="single" w:sz="4" w:space="0" w:color="auto"/>
              <w:right w:val="single" w:sz="4" w:space="0" w:color="auto"/>
            </w:tcBorders>
            <w:noWrap/>
            <w:vAlign w:val="center"/>
            <w:hideMark/>
          </w:tcPr>
          <w:p w14:paraId="1594BAFC"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2021</w:t>
            </w:r>
          </w:p>
        </w:tc>
        <w:tc>
          <w:tcPr>
            <w:tcW w:w="519" w:type="pct"/>
            <w:tcBorders>
              <w:top w:val="nil"/>
              <w:left w:val="nil"/>
              <w:bottom w:val="single" w:sz="4" w:space="0" w:color="auto"/>
              <w:right w:val="single" w:sz="4" w:space="0" w:color="auto"/>
            </w:tcBorders>
            <w:noWrap/>
            <w:vAlign w:val="center"/>
            <w:hideMark/>
          </w:tcPr>
          <w:p w14:paraId="05D62054"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20211309</w:t>
            </w:r>
          </w:p>
        </w:tc>
        <w:tc>
          <w:tcPr>
            <w:tcW w:w="519" w:type="pct"/>
            <w:tcBorders>
              <w:top w:val="nil"/>
              <w:left w:val="nil"/>
              <w:bottom w:val="single" w:sz="4" w:space="0" w:color="auto"/>
              <w:right w:val="single" w:sz="4" w:space="0" w:color="auto"/>
            </w:tcBorders>
            <w:noWrap/>
            <w:vAlign w:val="center"/>
            <w:hideMark/>
          </w:tcPr>
          <w:p w14:paraId="02A2F4A3"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570</w:t>
            </w:r>
          </w:p>
        </w:tc>
        <w:tc>
          <w:tcPr>
            <w:tcW w:w="519" w:type="pct"/>
            <w:tcBorders>
              <w:top w:val="nil"/>
              <w:left w:val="nil"/>
              <w:bottom w:val="single" w:sz="4" w:space="0" w:color="auto"/>
              <w:right w:val="single" w:sz="4" w:space="0" w:color="auto"/>
            </w:tcBorders>
            <w:noWrap/>
            <w:vAlign w:val="center"/>
            <w:hideMark/>
          </w:tcPr>
          <w:p w14:paraId="408FB495"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461.307</w:t>
            </w:r>
          </w:p>
        </w:tc>
        <w:tc>
          <w:tcPr>
            <w:tcW w:w="597" w:type="pct"/>
            <w:tcBorders>
              <w:top w:val="nil"/>
              <w:left w:val="nil"/>
              <w:bottom w:val="single" w:sz="4" w:space="0" w:color="auto"/>
              <w:right w:val="single" w:sz="4" w:space="0" w:color="auto"/>
            </w:tcBorders>
            <w:noWrap/>
            <w:vAlign w:val="center"/>
            <w:hideMark/>
          </w:tcPr>
          <w:p w14:paraId="640F87C7"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2.941.867</w:t>
            </w:r>
          </w:p>
        </w:tc>
        <w:tc>
          <w:tcPr>
            <w:tcW w:w="519" w:type="pct"/>
            <w:tcBorders>
              <w:top w:val="nil"/>
              <w:left w:val="nil"/>
              <w:bottom w:val="single" w:sz="4" w:space="0" w:color="auto"/>
              <w:right w:val="single" w:sz="4" w:space="0" w:color="auto"/>
            </w:tcBorders>
            <w:shd w:val="clear" w:color="auto" w:fill="D9D9D9" w:themeFill="background1" w:themeFillShade="D9"/>
            <w:noWrap/>
            <w:vAlign w:val="center"/>
            <w:hideMark/>
          </w:tcPr>
          <w:p w14:paraId="42D8D15B"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15,68%</w:t>
            </w:r>
          </w:p>
        </w:tc>
        <w:tc>
          <w:tcPr>
            <w:tcW w:w="519" w:type="pct"/>
            <w:tcBorders>
              <w:top w:val="nil"/>
              <w:left w:val="nil"/>
              <w:bottom w:val="single" w:sz="4" w:space="0" w:color="auto"/>
              <w:right w:val="single" w:sz="4" w:space="0" w:color="auto"/>
            </w:tcBorders>
            <w:noWrap/>
            <w:vAlign w:val="center"/>
            <w:hideMark/>
          </w:tcPr>
          <w:p w14:paraId="12E477C3"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294.187</w:t>
            </w:r>
          </w:p>
        </w:tc>
        <w:tc>
          <w:tcPr>
            <w:tcW w:w="519" w:type="pct"/>
            <w:tcBorders>
              <w:top w:val="nil"/>
              <w:left w:val="nil"/>
              <w:bottom w:val="single" w:sz="4" w:space="0" w:color="auto"/>
              <w:right w:val="single" w:sz="4" w:space="0" w:color="auto"/>
            </w:tcBorders>
            <w:noWrap/>
            <w:vAlign w:val="center"/>
            <w:hideMark/>
          </w:tcPr>
          <w:p w14:paraId="61D3364D"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167.120</w:t>
            </w:r>
          </w:p>
        </w:tc>
        <w:tc>
          <w:tcPr>
            <w:tcW w:w="770" w:type="pct"/>
            <w:tcBorders>
              <w:top w:val="nil"/>
              <w:left w:val="nil"/>
              <w:bottom w:val="single" w:sz="4" w:space="0" w:color="auto"/>
              <w:right w:val="single" w:sz="8" w:space="0" w:color="auto"/>
            </w:tcBorders>
            <w:noWrap/>
            <w:vAlign w:val="center"/>
            <w:hideMark/>
          </w:tcPr>
          <w:p w14:paraId="7ED7063B"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95.258.571</w:t>
            </w:r>
          </w:p>
        </w:tc>
        <w:tc>
          <w:tcPr>
            <w:tcW w:w="0" w:type="auto"/>
            <w:vAlign w:val="center"/>
            <w:hideMark/>
          </w:tcPr>
          <w:p w14:paraId="1A16F29B" w14:textId="77777777" w:rsidR="00273288" w:rsidRPr="00E33DE3" w:rsidRDefault="00273288" w:rsidP="00C65B25">
            <w:pPr>
              <w:rPr>
                <w:rFonts w:ascii="Verdana" w:hAnsi="Verdana" w:cs="Arial"/>
                <w:color w:val="000000"/>
                <w:sz w:val="16"/>
                <w:szCs w:val="16"/>
              </w:rPr>
            </w:pPr>
          </w:p>
        </w:tc>
      </w:tr>
      <w:tr w:rsidR="00273288" w:rsidRPr="00E33DE3" w14:paraId="18172ED3" w14:textId="77777777" w:rsidTr="00273288">
        <w:trPr>
          <w:trHeight w:val="20"/>
        </w:trPr>
        <w:tc>
          <w:tcPr>
            <w:tcW w:w="519" w:type="pct"/>
            <w:tcBorders>
              <w:top w:val="nil"/>
              <w:left w:val="single" w:sz="8" w:space="0" w:color="auto"/>
              <w:bottom w:val="single" w:sz="4" w:space="0" w:color="auto"/>
              <w:right w:val="single" w:sz="4" w:space="0" w:color="auto"/>
            </w:tcBorders>
            <w:noWrap/>
            <w:vAlign w:val="center"/>
            <w:hideMark/>
          </w:tcPr>
          <w:p w14:paraId="4AD4207F"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2021</w:t>
            </w:r>
          </w:p>
        </w:tc>
        <w:tc>
          <w:tcPr>
            <w:tcW w:w="519" w:type="pct"/>
            <w:tcBorders>
              <w:top w:val="nil"/>
              <w:left w:val="nil"/>
              <w:bottom w:val="single" w:sz="4" w:space="0" w:color="auto"/>
              <w:right w:val="single" w:sz="4" w:space="0" w:color="auto"/>
            </w:tcBorders>
            <w:noWrap/>
            <w:vAlign w:val="center"/>
            <w:hideMark/>
          </w:tcPr>
          <w:p w14:paraId="46EF862C"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20211317</w:t>
            </w:r>
          </w:p>
        </w:tc>
        <w:tc>
          <w:tcPr>
            <w:tcW w:w="519" w:type="pct"/>
            <w:tcBorders>
              <w:top w:val="nil"/>
              <w:left w:val="nil"/>
              <w:bottom w:val="single" w:sz="4" w:space="0" w:color="auto"/>
              <w:right w:val="single" w:sz="4" w:space="0" w:color="auto"/>
            </w:tcBorders>
            <w:noWrap/>
            <w:vAlign w:val="center"/>
            <w:hideMark/>
          </w:tcPr>
          <w:p w14:paraId="6DFB1E3F"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1700</w:t>
            </w:r>
          </w:p>
        </w:tc>
        <w:tc>
          <w:tcPr>
            <w:tcW w:w="519" w:type="pct"/>
            <w:tcBorders>
              <w:top w:val="nil"/>
              <w:left w:val="nil"/>
              <w:bottom w:val="single" w:sz="4" w:space="0" w:color="auto"/>
              <w:right w:val="single" w:sz="4" w:space="0" w:color="auto"/>
            </w:tcBorders>
            <w:noWrap/>
            <w:vAlign w:val="center"/>
            <w:hideMark/>
          </w:tcPr>
          <w:p w14:paraId="55C4560A"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420</w:t>
            </w:r>
          </w:p>
        </w:tc>
        <w:tc>
          <w:tcPr>
            <w:tcW w:w="597" w:type="pct"/>
            <w:tcBorders>
              <w:top w:val="nil"/>
              <w:left w:val="nil"/>
              <w:bottom w:val="single" w:sz="4" w:space="0" w:color="auto"/>
              <w:right w:val="single" w:sz="4" w:space="0" w:color="auto"/>
            </w:tcBorders>
            <w:noWrap/>
            <w:vAlign w:val="center"/>
            <w:hideMark/>
          </w:tcPr>
          <w:p w14:paraId="6825A0E9"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2.941.867</w:t>
            </w:r>
          </w:p>
        </w:tc>
        <w:tc>
          <w:tcPr>
            <w:tcW w:w="519" w:type="pct"/>
            <w:tcBorders>
              <w:top w:val="nil"/>
              <w:left w:val="nil"/>
              <w:bottom w:val="single" w:sz="4" w:space="0" w:color="auto"/>
              <w:right w:val="single" w:sz="4" w:space="0" w:color="auto"/>
            </w:tcBorders>
            <w:shd w:val="clear" w:color="auto" w:fill="D9D9D9" w:themeFill="background1" w:themeFillShade="D9"/>
            <w:noWrap/>
            <w:vAlign w:val="center"/>
            <w:hideMark/>
          </w:tcPr>
          <w:p w14:paraId="069AFE56"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14,28%</w:t>
            </w:r>
          </w:p>
        </w:tc>
        <w:tc>
          <w:tcPr>
            <w:tcW w:w="519" w:type="pct"/>
            <w:tcBorders>
              <w:top w:val="nil"/>
              <w:left w:val="nil"/>
              <w:bottom w:val="single" w:sz="4" w:space="0" w:color="auto"/>
              <w:right w:val="single" w:sz="4" w:space="0" w:color="auto"/>
            </w:tcBorders>
            <w:noWrap/>
            <w:vAlign w:val="center"/>
            <w:hideMark/>
          </w:tcPr>
          <w:p w14:paraId="031BEE1B"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294.187</w:t>
            </w:r>
          </w:p>
        </w:tc>
        <w:tc>
          <w:tcPr>
            <w:tcW w:w="519" w:type="pct"/>
            <w:tcBorders>
              <w:top w:val="nil"/>
              <w:left w:val="nil"/>
              <w:bottom w:val="single" w:sz="4" w:space="0" w:color="auto"/>
              <w:right w:val="single" w:sz="4" w:space="0" w:color="auto"/>
            </w:tcBorders>
            <w:noWrap/>
            <w:vAlign w:val="center"/>
            <w:hideMark/>
          </w:tcPr>
          <w:p w14:paraId="618A3283"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-293.767</w:t>
            </w:r>
          </w:p>
        </w:tc>
        <w:tc>
          <w:tcPr>
            <w:tcW w:w="770" w:type="pct"/>
            <w:tcBorders>
              <w:top w:val="nil"/>
              <w:left w:val="nil"/>
              <w:bottom w:val="single" w:sz="4" w:space="0" w:color="auto"/>
              <w:right w:val="single" w:sz="8" w:space="0" w:color="auto"/>
            </w:tcBorders>
            <w:noWrap/>
            <w:vAlign w:val="center"/>
            <w:hideMark/>
          </w:tcPr>
          <w:p w14:paraId="0DC0A7FB"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- 499.403.390</w:t>
            </w:r>
          </w:p>
        </w:tc>
        <w:tc>
          <w:tcPr>
            <w:tcW w:w="0" w:type="auto"/>
            <w:vAlign w:val="center"/>
            <w:hideMark/>
          </w:tcPr>
          <w:p w14:paraId="32F9113D" w14:textId="77777777" w:rsidR="00273288" w:rsidRPr="00E33DE3" w:rsidRDefault="00273288" w:rsidP="00C65B25">
            <w:pPr>
              <w:rPr>
                <w:rFonts w:ascii="Verdana" w:hAnsi="Verdana" w:cs="Arial"/>
                <w:color w:val="000000"/>
                <w:sz w:val="16"/>
                <w:szCs w:val="16"/>
              </w:rPr>
            </w:pPr>
          </w:p>
        </w:tc>
      </w:tr>
      <w:tr w:rsidR="00273288" w:rsidRPr="00E33DE3" w14:paraId="59DD641B" w14:textId="77777777" w:rsidTr="00273288">
        <w:trPr>
          <w:trHeight w:val="20"/>
        </w:trPr>
        <w:tc>
          <w:tcPr>
            <w:tcW w:w="519" w:type="pct"/>
            <w:tcBorders>
              <w:top w:val="nil"/>
              <w:left w:val="single" w:sz="8" w:space="0" w:color="auto"/>
              <w:bottom w:val="single" w:sz="4" w:space="0" w:color="auto"/>
              <w:right w:val="single" w:sz="4" w:space="0" w:color="auto"/>
            </w:tcBorders>
            <w:noWrap/>
            <w:vAlign w:val="center"/>
            <w:hideMark/>
          </w:tcPr>
          <w:p w14:paraId="4C6C0A13"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2021</w:t>
            </w:r>
          </w:p>
        </w:tc>
        <w:tc>
          <w:tcPr>
            <w:tcW w:w="519" w:type="pct"/>
            <w:tcBorders>
              <w:top w:val="nil"/>
              <w:left w:val="nil"/>
              <w:bottom w:val="single" w:sz="4" w:space="0" w:color="auto"/>
              <w:right w:val="single" w:sz="4" w:space="0" w:color="auto"/>
            </w:tcBorders>
            <w:noWrap/>
            <w:vAlign w:val="center"/>
            <w:hideMark/>
          </w:tcPr>
          <w:p w14:paraId="67CB684C"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20211323</w:t>
            </w:r>
          </w:p>
        </w:tc>
        <w:tc>
          <w:tcPr>
            <w:tcW w:w="519" w:type="pct"/>
            <w:tcBorders>
              <w:top w:val="nil"/>
              <w:left w:val="nil"/>
              <w:bottom w:val="single" w:sz="4" w:space="0" w:color="auto"/>
              <w:right w:val="single" w:sz="4" w:space="0" w:color="auto"/>
            </w:tcBorders>
            <w:noWrap/>
            <w:vAlign w:val="center"/>
            <w:hideMark/>
          </w:tcPr>
          <w:p w14:paraId="016D0CF2"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1650</w:t>
            </w:r>
          </w:p>
        </w:tc>
        <w:tc>
          <w:tcPr>
            <w:tcW w:w="519" w:type="pct"/>
            <w:tcBorders>
              <w:top w:val="nil"/>
              <w:left w:val="nil"/>
              <w:bottom w:val="single" w:sz="4" w:space="0" w:color="auto"/>
              <w:right w:val="single" w:sz="4" w:space="0" w:color="auto"/>
            </w:tcBorders>
            <w:noWrap/>
            <w:vAlign w:val="center"/>
            <w:hideMark/>
          </w:tcPr>
          <w:p w14:paraId="4F965184"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720.221</w:t>
            </w:r>
          </w:p>
        </w:tc>
        <w:tc>
          <w:tcPr>
            <w:tcW w:w="597" w:type="pct"/>
            <w:tcBorders>
              <w:top w:val="nil"/>
              <w:left w:val="nil"/>
              <w:bottom w:val="single" w:sz="4" w:space="0" w:color="auto"/>
              <w:right w:val="single" w:sz="4" w:space="0" w:color="auto"/>
            </w:tcBorders>
            <w:noWrap/>
            <w:vAlign w:val="center"/>
            <w:hideMark/>
          </w:tcPr>
          <w:p w14:paraId="54C2183C"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2.941.867</w:t>
            </w:r>
          </w:p>
        </w:tc>
        <w:tc>
          <w:tcPr>
            <w:tcW w:w="519" w:type="pct"/>
            <w:tcBorders>
              <w:top w:val="nil"/>
              <w:left w:val="nil"/>
              <w:bottom w:val="single" w:sz="4" w:space="0" w:color="auto"/>
              <w:right w:val="single" w:sz="4" w:space="0" w:color="auto"/>
            </w:tcBorders>
            <w:shd w:val="clear" w:color="auto" w:fill="D9D9D9" w:themeFill="background1" w:themeFillShade="D9"/>
            <w:noWrap/>
            <w:vAlign w:val="center"/>
            <w:hideMark/>
          </w:tcPr>
          <w:p w14:paraId="35288E96"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24,48%</w:t>
            </w:r>
          </w:p>
        </w:tc>
        <w:tc>
          <w:tcPr>
            <w:tcW w:w="519" w:type="pct"/>
            <w:tcBorders>
              <w:top w:val="nil"/>
              <w:left w:val="nil"/>
              <w:bottom w:val="single" w:sz="4" w:space="0" w:color="auto"/>
              <w:right w:val="single" w:sz="4" w:space="0" w:color="auto"/>
            </w:tcBorders>
            <w:noWrap/>
            <w:vAlign w:val="center"/>
            <w:hideMark/>
          </w:tcPr>
          <w:p w14:paraId="6FF2F3B2"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294.187</w:t>
            </w:r>
          </w:p>
        </w:tc>
        <w:tc>
          <w:tcPr>
            <w:tcW w:w="519" w:type="pct"/>
            <w:tcBorders>
              <w:top w:val="nil"/>
              <w:left w:val="nil"/>
              <w:bottom w:val="single" w:sz="4" w:space="0" w:color="auto"/>
              <w:right w:val="single" w:sz="4" w:space="0" w:color="auto"/>
            </w:tcBorders>
            <w:noWrap/>
            <w:vAlign w:val="center"/>
            <w:hideMark/>
          </w:tcPr>
          <w:p w14:paraId="567BE062"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426.034</w:t>
            </w:r>
          </w:p>
        </w:tc>
        <w:tc>
          <w:tcPr>
            <w:tcW w:w="770" w:type="pct"/>
            <w:tcBorders>
              <w:top w:val="nil"/>
              <w:left w:val="nil"/>
              <w:bottom w:val="single" w:sz="4" w:space="0" w:color="auto"/>
              <w:right w:val="single" w:sz="8" w:space="0" w:color="auto"/>
            </w:tcBorders>
            <w:noWrap/>
            <w:vAlign w:val="center"/>
            <w:hideMark/>
          </w:tcPr>
          <w:p w14:paraId="695BFF05"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702.956.595</w:t>
            </w:r>
          </w:p>
        </w:tc>
        <w:tc>
          <w:tcPr>
            <w:tcW w:w="0" w:type="auto"/>
            <w:vAlign w:val="center"/>
            <w:hideMark/>
          </w:tcPr>
          <w:p w14:paraId="0953407B" w14:textId="77777777" w:rsidR="00273288" w:rsidRPr="00E33DE3" w:rsidRDefault="00273288" w:rsidP="00C65B25">
            <w:pPr>
              <w:rPr>
                <w:rFonts w:ascii="Verdana" w:hAnsi="Verdana" w:cs="Arial"/>
                <w:color w:val="000000"/>
                <w:sz w:val="16"/>
                <w:szCs w:val="16"/>
              </w:rPr>
            </w:pPr>
          </w:p>
        </w:tc>
      </w:tr>
      <w:tr w:rsidR="00273288" w:rsidRPr="00E33DE3" w14:paraId="203BE0EF" w14:textId="77777777" w:rsidTr="00273288">
        <w:trPr>
          <w:trHeight w:val="20"/>
        </w:trPr>
        <w:tc>
          <w:tcPr>
            <w:tcW w:w="519" w:type="pct"/>
            <w:tcBorders>
              <w:top w:val="nil"/>
              <w:left w:val="single" w:sz="8" w:space="0" w:color="auto"/>
              <w:bottom w:val="single" w:sz="4" w:space="0" w:color="auto"/>
              <w:right w:val="single" w:sz="4" w:space="0" w:color="auto"/>
            </w:tcBorders>
            <w:noWrap/>
            <w:vAlign w:val="center"/>
            <w:hideMark/>
          </w:tcPr>
          <w:p w14:paraId="1D564D35"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2021</w:t>
            </w:r>
          </w:p>
        </w:tc>
        <w:tc>
          <w:tcPr>
            <w:tcW w:w="519" w:type="pct"/>
            <w:tcBorders>
              <w:top w:val="nil"/>
              <w:left w:val="nil"/>
              <w:bottom w:val="single" w:sz="4" w:space="0" w:color="auto"/>
              <w:right w:val="single" w:sz="4" w:space="0" w:color="auto"/>
            </w:tcBorders>
            <w:noWrap/>
            <w:vAlign w:val="center"/>
            <w:hideMark/>
          </w:tcPr>
          <w:p w14:paraId="12DCA53A"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20211394</w:t>
            </w:r>
          </w:p>
        </w:tc>
        <w:tc>
          <w:tcPr>
            <w:tcW w:w="519" w:type="pct"/>
            <w:tcBorders>
              <w:top w:val="nil"/>
              <w:left w:val="nil"/>
              <w:bottom w:val="single" w:sz="4" w:space="0" w:color="auto"/>
              <w:right w:val="single" w:sz="4" w:space="0" w:color="auto"/>
            </w:tcBorders>
            <w:noWrap/>
            <w:vAlign w:val="center"/>
            <w:hideMark/>
          </w:tcPr>
          <w:p w14:paraId="35BB53AC"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1766</w:t>
            </w:r>
          </w:p>
        </w:tc>
        <w:tc>
          <w:tcPr>
            <w:tcW w:w="519" w:type="pct"/>
            <w:tcBorders>
              <w:top w:val="nil"/>
              <w:left w:val="nil"/>
              <w:bottom w:val="single" w:sz="4" w:space="0" w:color="auto"/>
              <w:right w:val="single" w:sz="4" w:space="0" w:color="auto"/>
            </w:tcBorders>
            <w:noWrap/>
            <w:vAlign w:val="center"/>
            <w:hideMark/>
          </w:tcPr>
          <w:p w14:paraId="6E85D0C3"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577.576</w:t>
            </w:r>
          </w:p>
        </w:tc>
        <w:tc>
          <w:tcPr>
            <w:tcW w:w="597" w:type="pct"/>
            <w:tcBorders>
              <w:top w:val="nil"/>
              <w:left w:val="nil"/>
              <w:bottom w:val="single" w:sz="4" w:space="0" w:color="auto"/>
              <w:right w:val="single" w:sz="4" w:space="0" w:color="auto"/>
            </w:tcBorders>
            <w:noWrap/>
            <w:vAlign w:val="center"/>
            <w:hideMark/>
          </w:tcPr>
          <w:p w14:paraId="1EA6BC88"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2.941.867</w:t>
            </w:r>
          </w:p>
        </w:tc>
        <w:tc>
          <w:tcPr>
            <w:tcW w:w="519" w:type="pct"/>
            <w:tcBorders>
              <w:top w:val="nil"/>
              <w:left w:val="nil"/>
              <w:bottom w:val="single" w:sz="4" w:space="0" w:color="auto"/>
              <w:right w:val="single" w:sz="4" w:space="0" w:color="auto"/>
            </w:tcBorders>
            <w:shd w:val="clear" w:color="auto" w:fill="D9D9D9" w:themeFill="background1" w:themeFillShade="D9"/>
            <w:noWrap/>
            <w:vAlign w:val="center"/>
            <w:hideMark/>
          </w:tcPr>
          <w:p w14:paraId="7D9B7243"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19,63%</w:t>
            </w:r>
          </w:p>
        </w:tc>
        <w:tc>
          <w:tcPr>
            <w:tcW w:w="519" w:type="pct"/>
            <w:tcBorders>
              <w:top w:val="nil"/>
              <w:left w:val="nil"/>
              <w:bottom w:val="single" w:sz="4" w:space="0" w:color="auto"/>
              <w:right w:val="single" w:sz="4" w:space="0" w:color="auto"/>
            </w:tcBorders>
            <w:noWrap/>
            <w:vAlign w:val="center"/>
            <w:hideMark/>
          </w:tcPr>
          <w:p w14:paraId="4F7B71C5"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294.187</w:t>
            </w:r>
          </w:p>
        </w:tc>
        <w:tc>
          <w:tcPr>
            <w:tcW w:w="519" w:type="pct"/>
            <w:tcBorders>
              <w:top w:val="nil"/>
              <w:left w:val="nil"/>
              <w:bottom w:val="single" w:sz="4" w:space="0" w:color="auto"/>
              <w:right w:val="single" w:sz="4" w:space="0" w:color="auto"/>
            </w:tcBorders>
            <w:noWrap/>
            <w:vAlign w:val="center"/>
            <w:hideMark/>
          </w:tcPr>
          <w:p w14:paraId="4DC86F1A"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283.389</w:t>
            </w:r>
          </w:p>
        </w:tc>
        <w:tc>
          <w:tcPr>
            <w:tcW w:w="770" w:type="pct"/>
            <w:tcBorders>
              <w:top w:val="nil"/>
              <w:left w:val="nil"/>
              <w:bottom w:val="single" w:sz="4" w:space="0" w:color="auto"/>
              <w:right w:val="single" w:sz="8" w:space="0" w:color="auto"/>
            </w:tcBorders>
            <w:noWrap/>
            <w:vAlign w:val="center"/>
            <w:hideMark/>
          </w:tcPr>
          <w:p w14:paraId="1D5B1ECD"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500.465.504</w:t>
            </w:r>
          </w:p>
        </w:tc>
        <w:tc>
          <w:tcPr>
            <w:tcW w:w="0" w:type="auto"/>
            <w:vAlign w:val="center"/>
            <w:hideMark/>
          </w:tcPr>
          <w:p w14:paraId="4BB95698" w14:textId="77777777" w:rsidR="00273288" w:rsidRPr="00E33DE3" w:rsidRDefault="00273288" w:rsidP="00C65B25">
            <w:pPr>
              <w:rPr>
                <w:rFonts w:ascii="Verdana" w:hAnsi="Verdana" w:cs="Arial"/>
                <w:color w:val="000000"/>
                <w:sz w:val="16"/>
                <w:szCs w:val="16"/>
              </w:rPr>
            </w:pPr>
          </w:p>
        </w:tc>
      </w:tr>
      <w:tr w:rsidR="00273288" w:rsidRPr="00E33DE3" w14:paraId="4836B15B" w14:textId="77777777" w:rsidTr="00273288">
        <w:trPr>
          <w:trHeight w:val="20"/>
        </w:trPr>
        <w:tc>
          <w:tcPr>
            <w:tcW w:w="519" w:type="pct"/>
            <w:tcBorders>
              <w:top w:val="nil"/>
              <w:left w:val="single" w:sz="8" w:space="0" w:color="auto"/>
              <w:bottom w:val="single" w:sz="4" w:space="0" w:color="auto"/>
              <w:right w:val="single" w:sz="4" w:space="0" w:color="auto"/>
            </w:tcBorders>
            <w:noWrap/>
            <w:vAlign w:val="center"/>
            <w:hideMark/>
          </w:tcPr>
          <w:p w14:paraId="3430F0E4"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2021</w:t>
            </w:r>
          </w:p>
        </w:tc>
        <w:tc>
          <w:tcPr>
            <w:tcW w:w="519" w:type="pct"/>
            <w:tcBorders>
              <w:top w:val="nil"/>
              <w:left w:val="nil"/>
              <w:bottom w:val="single" w:sz="4" w:space="0" w:color="auto"/>
              <w:right w:val="single" w:sz="4" w:space="0" w:color="auto"/>
            </w:tcBorders>
            <w:noWrap/>
            <w:vAlign w:val="center"/>
            <w:hideMark/>
          </w:tcPr>
          <w:p w14:paraId="549619EB"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20211395</w:t>
            </w:r>
          </w:p>
        </w:tc>
        <w:tc>
          <w:tcPr>
            <w:tcW w:w="519" w:type="pct"/>
            <w:tcBorders>
              <w:top w:val="nil"/>
              <w:left w:val="nil"/>
              <w:bottom w:val="single" w:sz="4" w:space="0" w:color="auto"/>
              <w:right w:val="single" w:sz="4" w:space="0" w:color="auto"/>
            </w:tcBorders>
            <w:noWrap/>
            <w:vAlign w:val="center"/>
            <w:hideMark/>
          </w:tcPr>
          <w:p w14:paraId="1D6D23F7"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797</w:t>
            </w:r>
          </w:p>
        </w:tc>
        <w:tc>
          <w:tcPr>
            <w:tcW w:w="519" w:type="pct"/>
            <w:tcBorders>
              <w:top w:val="nil"/>
              <w:left w:val="nil"/>
              <w:bottom w:val="single" w:sz="4" w:space="0" w:color="auto"/>
              <w:right w:val="single" w:sz="4" w:space="0" w:color="auto"/>
            </w:tcBorders>
            <w:noWrap/>
            <w:vAlign w:val="center"/>
            <w:hideMark/>
          </w:tcPr>
          <w:p w14:paraId="7F097B2A"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355.796</w:t>
            </w:r>
          </w:p>
        </w:tc>
        <w:tc>
          <w:tcPr>
            <w:tcW w:w="597" w:type="pct"/>
            <w:tcBorders>
              <w:top w:val="nil"/>
              <w:left w:val="nil"/>
              <w:bottom w:val="single" w:sz="4" w:space="0" w:color="auto"/>
              <w:right w:val="single" w:sz="4" w:space="0" w:color="auto"/>
            </w:tcBorders>
            <w:noWrap/>
            <w:vAlign w:val="center"/>
            <w:hideMark/>
          </w:tcPr>
          <w:p w14:paraId="29C7028E"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2.941.867</w:t>
            </w:r>
          </w:p>
        </w:tc>
        <w:tc>
          <w:tcPr>
            <w:tcW w:w="519" w:type="pct"/>
            <w:tcBorders>
              <w:top w:val="nil"/>
              <w:left w:val="nil"/>
              <w:bottom w:val="single" w:sz="4" w:space="0" w:color="auto"/>
              <w:right w:val="single" w:sz="4" w:space="0" w:color="auto"/>
            </w:tcBorders>
            <w:shd w:val="clear" w:color="auto" w:fill="D9D9D9" w:themeFill="background1" w:themeFillShade="D9"/>
            <w:noWrap/>
            <w:vAlign w:val="center"/>
            <w:hideMark/>
          </w:tcPr>
          <w:p w14:paraId="52B9C4A5"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12,09%</w:t>
            </w:r>
          </w:p>
        </w:tc>
        <w:tc>
          <w:tcPr>
            <w:tcW w:w="519" w:type="pct"/>
            <w:tcBorders>
              <w:top w:val="nil"/>
              <w:left w:val="nil"/>
              <w:bottom w:val="single" w:sz="4" w:space="0" w:color="auto"/>
              <w:right w:val="single" w:sz="4" w:space="0" w:color="auto"/>
            </w:tcBorders>
            <w:noWrap/>
            <w:vAlign w:val="center"/>
            <w:hideMark/>
          </w:tcPr>
          <w:p w14:paraId="3BB9DD96"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294.187</w:t>
            </w:r>
          </w:p>
        </w:tc>
        <w:tc>
          <w:tcPr>
            <w:tcW w:w="519" w:type="pct"/>
            <w:tcBorders>
              <w:top w:val="nil"/>
              <w:left w:val="nil"/>
              <w:bottom w:val="single" w:sz="4" w:space="0" w:color="auto"/>
              <w:right w:val="single" w:sz="4" w:space="0" w:color="auto"/>
            </w:tcBorders>
            <w:noWrap/>
            <w:vAlign w:val="center"/>
            <w:hideMark/>
          </w:tcPr>
          <w:p w14:paraId="64768FB1"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61.609</w:t>
            </w:r>
          </w:p>
        </w:tc>
        <w:tc>
          <w:tcPr>
            <w:tcW w:w="770" w:type="pct"/>
            <w:tcBorders>
              <w:top w:val="nil"/>
              <w:left w:val="nil"/>
              <w:bottom w:val="single" w:sz="4" w:space="0" w:color="auto"/>
              <w:right w:val="single" w:sz="8" w:space="0" w:color="auto"/>
            </w:tcBorders>
            <w:noWrap/>
            <w:vAlign w:val="center"/>
            <w:hideMark/>
          </w:tcPr>
          <w:p w14:paraId="33736F17"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49.102.612</w:t>
            </w:r>
          </w:p>
        </w:tc>
        <w:tc>
          <w:tcPr>
            <w:tcW w:w="0" w:type="auto"/>
            <w:vAlign w:val="center"/>
            <w:hideMark/>
          </w:tcPr>
          <w:p w14:paraId="6E798D82" w14:textId="77777777" w:rsidR="00273288" w:rsidRPr="00E33DE3" w:rsidRDefault="00273288" w:rsidP="00C65B25">
            <w:pPr>
              <w:rPr>
                <w:rFonts w:ascii="Verdana" w:hAnsi="Verdana" w:cs="Arial"/>
                <w:color w:val="000000"/>
                <w:sz w:val="16"/>
                <w:szCs w:val="16"/>
              </w:rPr>
            </w:pPr>
          </w:p>
        </w:tc>
      </w:tr>
      <w:tr w:rsidR="00273288" w:rsidRPr="00E33DE3" w14:paraId="6D3322F1" w14:textId="77777777" w:rsidTr="00273288">
        <w:trPr>
          <w:trHeight w:val="20"/>
        </w:trPr>
        <w:tc>
          <w:tcPr>
            <w:tcW w:w="519" w:type="pct"/>
            <w:tcBorders>
              <w:top w:val="nil"/>
              <w:left w:val="single" w:sz="8" w:space="0" w:color="auto"/>
              <w:bottom w:val="single" w:sz="4" w:space="0" w:color="auto"/>
              <w:right w:val="single" w:sz="4" w:space="0" w:color="auto"/>
            </w:tcBorders>
            <w:noWrap/>
            <w:vAlign w:val="center"/>
            <w:hideMark/>
          </w:tcPr>
          <w:p w14:paraId="753ED715"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2021</w:t>
            </w:r>
          </w:p>
        </w:tc>
        <w:tc>
          <w:tcPr>
            <w:tcW w:w="519" w:type="pct"/>
            <w:tcBorders>
              <w:top w:val="nil"/>
              <w:left w:val="nil"/>
              <w:bottom w:val="single" w:sz="4" w:space="0" w:color="auto"/>
              <w:right w:val="single" w:sz="4" w:space="0" w:color="auto"/>
            </w:tcBorders>
            <w:noWrap/>
            <w:vAlign w:val="center"/>
            <w:hideMark/>
          </w:tcPr>
          <w:p w14:paraId="06CE3778"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20211426</w:t>
            </w:r>
          </w:p>
        </w:tc>
        <w:tc>
          <w:tcPr>
            <w:tcW w:w="519" w:type="pct"/>
            <w:tcBorders>
              <w:top w:val="nil"/>
              <w:left w:val="nil"/>
              <w:bottom w:val="single" w:sz="4" w:space="0" w:color="auto"/>
              <w:right w:val="single" w:sz="4" w:space="0" w:color="auto"/>
            </w:tcBorders>
            <w:noWrap/>
            <w:vAlign w:val="center"/>
            <w:hideMark/>
          </w:tcPr>
          <w:p w14:paraId="3032AD5E"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267</w:t>
            </w:r>
          </w:p>
        </w:tc>
        <w:tc>
          <w:tcPr>
            <w:tcW w:w="519" w:type="pct"/>
            <w:tcBorders>
              <w:top w:val="nil"/>
              <w:left w:val="nil"/>
              <w:bottom w:val="single" w:sz="4" w:space="0" w:color="auto"/>
              <w:right w:val="single" w:sz="4" w:space="0" w:color="auto"/>
            </w:tcBorders>
            <w:noWrap/>
            <w:vAlign w:val="center"/>
            <w:hideMark/>
          </w:tcPr>
          <w:p w14:paraId="2331C086"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1.297.203</w:t>
            </w:r>
          </w:p>
        </w:tc>
        <w:tc>
          <w:tcPr>
            <w:tcW w:w="597" w:type="pct"/>
            <w:tcBorders>
              <w:top w:val="nil"/>
              <w:left w:val="nil"/>
              <w:bottom w:val="single" w:sz="4" w:space="0" w:color="auto"/>
              <w:right w:val="single" w:sz="4" w:space="0" w:color="auto"/>
            </w:tcBorders>
            <w:noWrap/>
            <w:vAlign w:val="center"/>
            <w:hideMark/>
          </w:tcPr>
          <w:p w14:paraId="46B39232"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3.772.037</w:t>
            </w:r>
          </w:p>
        </w:tc>
        <w:tc>
          <w:tcPr>
            <w:tcW w:w="519" w:type="pct"/>
            <w:tcBorders>
              <w:top w:val="nil"/>
              <w:left w:val="nil"/>
              <w:bottom w:val="single" w:sz="4" w:space="0" w:color="auto"/>
              <w:right w:val="single" w:sz="4" w:space="0" w:color="auto"/>
            </w:tcBorders>
            <w:shd w:val="clear" w:color="auto" w:fill="D9D9D9" w:themeFill="background1" w:themeFillShade="D9"/>
            <w:noWrap/>
            <w:vAlign w:val="center"/>
            <w:hideMark/>
          </w:tcPr>
          <w:p w14:paraId="71FC66DF"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34,39%</w:t>
            </w:r>
          </w:p>
        </w:tc>
        <w:tc>
          <w:tcPr>
            <w:tcW w:w="519" w:type="pct"/>
            <w:tcBorders>
              <w:top w:val="nil"/>
              <w:left w:val="nil"/>
              <w:bottom w:val="single" w:sz="4" w:space="0" w:color="auto"/>
              <w:right w:val="single" w:sz="4" w:space="0" w:color="auto"/>
            </w:tcBorders>
            <w:noWrap/>
            <w:vAlign w:val="center"/>
            <w:hideMark/>
          </w:tcPr>
          <w:p w14:paraId="7B0369A0"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377.204</w:t>
            </w:r>
          </w:p>
        </w:tc>
        <w:tc>
          <w:tcPr>
            <w:tcW w:w="519" w:type="pct"/>
            <w:tcBorders>
              <w:top w:val="nil"/>
              <w:left w:val="nil"/>
              <w:bottom w:val="single" w:sz="4" w:space="0" w:color="auto"/>
              <w:right w:val="single" w:sz="4" w:space="0" w:color="auto"/>
            </w:tcBorders>
            <w:noWrap/>
            <w:vAlign w:val="center"/>
            <w:hideMark/>
          </w:tcPr>
          <w:p w14:paraId="4CF81FA0"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919.999</w:t>
            </w:r>
          </w:p>
        </w:tc>
        <w:tc>
          <w:tcPr>
            <w:tcW w:w="770" w:type="pct"/>
            <w:tcBorders>
              <w:top w:val="nil"/>
              <w:left w:val="nil"/>
              <w:bottom w:val="single" w:sz="4" w:space="0" w:color="auto"/>
              <w:right w:val="single" w:sz="8" w:space="0" w:color="auto"/>
            </w:tcBorders>
            <w:noWrap/>
            <w:vAlign w:val="center"/>
            <w:hideMark/>
          </w:tcPr>
          <w:p w14:paraId="65E22ABE"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245.639.813</w:t>
            </w:r>
          </w:p>
        </w:tc>
        <w:tc>
          <w:tcPr>
            <w:tcW w:w="0" w:type="auto"/>
            <w:vAlign w:val="center"/>
            <w:hideMark/>
          </w:tcPr>
          <w:p w14:paraId="308EB143" w14:textId="77777777" w:rsidR="00273288" w:rsidRPr="00E33DE3" w:rsidRDefault="00273288" w:rsidP="00C65B25">
            <w:pPr>
              <w:rPr>
                <w:rFonts w:ascii="Verdana" w:hAnsi="Verdana" w:cs="Arial"/>
                <w:color w:val="000000"/>
                <w:sz w:val="16"/>
                <w:szCs w:val="16"/>
              </w:rPr>
            </w:pPr>
          </w:p>
        </w:tc>
      </w:tr>
      <w:tr w:rsidR="00273288" w:rsidRPr="00E33DE3" w14:paraId="4A4B02DC" w14:textId="77777777" w:rsidTr="00273288">
        <w:trPr>
          <w:trHeight w:val="20"/>
        </w:trPr>
        <w:tc>
          <w:tcPr>
            <w:tcW w:w="1557" w:type="pct"/>
            <w:gridSpan w:val="3"/>
            <w:tcBorders>
              <w:top w:val="single" w:sz="4" w:space="0" w:color="auto"/>
              <w:left w:val="single" w:sz="8" w:space="0" w:color="auto"/>
              <w:bottom w:val="single" w:sz="4" w:space="0" w:color="auto"/>
              <w:right w:val="single" w:sz="4" w:space="0" w:color="auto"/>
            </w:tcBorders>
            <w:shd w:val="clear" w:color="auto" w:fill="F1EADA"/>
            <w:vAlign w:val="center"/>
            <w:hideMark/>
          </w:tcPr>
          <w:p w14:paraId="5DD05BF4"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TOTAL PROMEDIO ANUAL</w:t>
            </w:r>
          </w:p>
        </w:tc>
        <w:tc>
          <w:tcPr>
            <w:tcW w:w="519" w:type="pct"/>
            <w:tcBorders>
              <w:top w:val="nil"/>
              <w:left w:val="nil"/>
              <w:bottom w:val="single" w:sz="4" w:space="0" w:color="auto"/>
              <w:right w:val="single" w:sz="4" w:space="0" w:color="auto"/>
            </w:tcBorders>
            <w:shd w:val="clear" w:color="auto" w:fill="F1EADA"/>
            <w:vAlign w:val="center"/>
            <w:hideMark/>
          </w:tcPr>
          <w:p w14:paraId="1D6488C4"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638.684</w:t>
            </w:r>
          </w:p>
        </w:tc>
        <w:tc>
          <w:tcPr>
            <w:tcW w:w="597" w:type="pct"/>
            <w:tcBorders>
              <w:top w:val="nil"/>
              <w:left w:val="nil"/>
              <w:bottom w:val="single" w:sz="4" w:space="0" w:color="auto"/>
              <w:right w:val="single" w:sz="4" w:space="0" w:color="auto"/>
            </w:tcBorders>
            <w:shd w:val="clear" w:color="auto" w:fill="F1EADA"/>
            <w:vAlign w:val="center"/>
            <w:hideMark/>
          </w:tcPr>
          <w:p w14:paraId="34DF9AF9"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3.080.228</w:t>
            </w:r>
          </w:p>
        </w:tc>
        <w:tc>
          <w:tcPr>
            <w:tcW w:w="519" w:type="pct"/>
            <w:tcBorders>
              <w:top w:val="nil"/>
              <w:left w:val="nil"/>
              <w:bottom w:val="single" w:sz="4" w:space="0" w:color="auto"/>
              <w:right w:val="single" w:sz="4" w:space="0" w:color="auto"/>
            </w:tcBorders>
            <w:shd w:val="clear" w:color="auto" w:fill="F1EADA"/>
            <w:vAlign w:val="center"/>
            <w:hideMark/>
          </w:tcPr>
          <w:p w14:paraId="01491F26"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20,09%</w:t>
            </w:r>
          </w:p>
        </w:tc>
        <w:tc>
          <w:tcPr>
            <w:tcW w:w="519" w:type="pct"/>
            <w:tcBorders>
              <w:top w:val="nil"/>
              <w:left w:val="nil"/>
              <w:bottom w:val="single" w:sz="4" w:space="0" w:color="auto"/>
              <w:right w:val="single" w:sz="4" w:space="0" w:color="auto"/>
            </w:tcBorders>
            <w:shd w:val="clear" w:color="auto" w:fill="F1EADA"/>
            <w:vAlign w:val="center"/>
            <w:hideMark/>
          </w:tcPr>
          <w:p w14:paraId="6D3C9C5D" w14:textId="77777777" w:rsidR="00273288" w:rsidRPr="00E33DE3" w:rsidRDefault="00273288" w:rsidP="00C65B25">
            <w:pPr>
              <w:rPr>
                <w:rFonts w:ascii="Verdana" w:hAnsi="Verdana" w:cs="Arial"/>
                <w:b/>
                <w:bCs/>
                <w:color w:val="000000"/>
                <w:sz w:val="16"/>
                <w:szCs w:val="16"/>
              </w:rPr>
            </w:pPr>
          </w:p>
        </w:tc>
        <w:tc>
          <w:tcPr>
            <w:tcW w:w="519" w:type="pct"/>
            <w:tcBorders>
              <w:top w:val="nil"/>
              <w:left w:val="nil"/>
              <w:bottom w:val="single" w:sz="4" w:space="0" w:color="auto"/>
              <w:right w:val="single" w:sz="4" w:space="0" w:color="auto"/>
            </w:tcBorders>
            <w:shd w:val="clear" w:color="auto" w:fill="F1EADA"/>
            <w:vAlign w:val="center"/>
            <w:hideMark/>
          </w:tcPr>
          <w:p w14:paraId="49479864" w14:textId="77777777" w:rsidR="00273288" w:rsidRPr="00E33DE3" w:rsidRDefault="00273288" w:rsidP="00C65B25">
            <w:pPr>
              <w:rPr>
                <w:rFonts w:ascii="Verdana" w:eastAsiaTheme="minorHAnsi" w:hAnsi="Verdana" w:cstheme="minorBidi"/>
                <w:sz w:val="16"/>
                <w:szCs w:val="16"/>
                <w:lang w:val="es-CO" w:eastAsia="es-CO"/>
              </w:rPr>
            </w:pPr>
          </w:p>
        </w:tc>
        <w:tc>
          <w:tcPr>
            <w:tcW w:w="770" w:type="pct"/>
            <w:tcBorders>
              <w:top w:val="nil"/>
              <w:left w:val="nil"/>
              <w:bottom w:val="single" w:sz="4" w:space="0" w:color="auto"/>
              <w:right w:val="single" w:sz="8" w:space="0" w:color="auto"/>
            </w:tcBorders>
            <w:shd w:val="clear" w:color="auto" w:fill="F1EADA"/>
            <w:vAlign w:val="center"/>
            <w:hideMark/>
          </w:tcPr>
          <w:p w14:paraId="5AAE1C67"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1.094.019.705</w:t>
            </w:r>
          </w:p>
        </w:tc>
        <w:tc>
          <w:tcPr>
            <w:tcW w:w="0" w:type="auto"/>
            <w:vAlign w:val="center"/>
            <w:hideMark/>
          </w:tcPr>
          <w:p w14:paraId="648480B8" w14:textId="77777777" w:rsidR="00273288" w:rsidRPr="00E33DE3" w:rsidRDefault="00273288" w:rsidP="00C65B25">
            <w:pPr>
              <w:rPr>
                <w:rFonts w:ascii="Verdana" w:hAnsi="Verdana" w:cs="Arial"/>
                <w:b/>
                <w:bCs/>
                <w:color w:val="000000"/>
                <w:sz w:val="16"/>
                <w:szCs w:val="16"/>
              </w:rPr>
            </w:pPr>
          </w:p>
        </w:tc>
      </w:tr>
      <w:tr w:rsidR="00273288" w:rsidRPr="00E33DE3" w14:paraId="0C6E1E9F" w14:textId="77777777" w:rsidTr="00273288">
        <w:trPr>
          <w:trHeight w:val="20"/>
        </w:trPr>
        <w:tc>
          <w:tcPr>
            <w:tcW w:w="519" w:type="pct"/>
            <w:tcBorders>
              <w:top w:val="nil"/>
              <w:left w:val="single" w:sz="8" w:space="0" w:color="auto"/>
              <w:bottom w:val="single" w:sz="4" w:space="0" w:color="auto"/>
              <w:right w:val="single" w:sz="4" w:space="0" w:color="auto"/>
            </w:tcBorders>
            <w:noWrap/>
            <w:vAlign w:val="center"/>
            <w:hideMark/>
          </w:tcPr>
          <w:p w14:paraId="3AB9A0F7"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2022</w:t>
            </w:r>
          </w:p>
        </w:tc>
        <w:tc>
          <w:tcPr>
            <w:tcW w:w="519" w:type="pct"/>
            <w:tcBorders>
              <w:top w:val="nil"/>
              <w:left w:val="nil"/>
              <w:bottom w:val="single" w:sz="4" w:space="0" w:color="auto"/>
              <w:right w:val="single" w:sz="4" w:space="0" w:color="auto"/>
            </w:tcBorders>
            <w:noWrap/>
            <w:vAlign w:val="center"/>
            <w:hideMark/>
          </w:tcPr>
          <w:p w14:paraId="7E6104E9"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20221606</w:t>
            </w:r>
          </w:p>
        </w:tc>
        <w:tc>
          <w:tcPr>
            <w:tcW w:w="519" w:type="pct"/>
            <w:tcBorders>
              <w:top w:val="nil"/>
              <w:left w:val="nil"/>
              <w:bottom w:val="single" w:sz="4" w:space="0" w:color="auto"/>
              <w:right w:val="single" w:sz="4" w:space="0" w:color="auto"/>
            </w:tcBorders>
            <w:noWrap/>
            <w:vAlign w:val="center"/>
            <w:hideMark/>
          </w:tcPr>
          <w:p w14:paraId="6B064F09"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777</w:t>
            </w:r>
          </w:p>
        </w:tc>
        <w:tc>
          <w:tcPr>
            <w:tcW w:w="519" w:type="pct"/>
            <w:tcBorders>
              <w:top w:val="nil"/>
              <w:left w:val="nil"/>
              <w:bottom w:val="single" w:sz="4" w:space="0" w:color="auto"/>
              <w:right w:val="single" w:sz="4" w:space="0" w:color="auto"/>
            </w:tcBorders>
            <w:noWrap/>
            <w:vAlign w:val="center"/>
            <w:hideMark/>
          </w:tcPr>
          <w:p w14:paraId="6C12F7CA"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364.954</w:t>
            </w:r>
          </w:p>
        </w:tc>
        <w:tc>
          <w:tcPr>
            <w:tcW w:w="597" w:type="pct"/>
            <w:tcBorders>
              <w:top w:val="nil"/>
              <w:left w:val="nil"/>
              <w:bottom w:val="single" w:sz="4" w:space="0" w:color="auto"/>
              <w:right w:val="single" w:sz="4" w:space="0" w:color="auto"/>
            </w:tcBorders>
            <w:noWrap/>
            <w:vAlign w:val="center"/>
            <w:hideMark/>
          </w:tcPr>
          <w:p w14:paraId="2EB8F366"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2.941.867</w:t>
            </w:r>
          </w:p>
        </w:tc>
        <w:tc>
          <w:tcPr>
            <w:tcW w:w="519" w:type="pct"/>
            <w:tcBorders>
              <w:top w:val="nil"/>
              <w:left w:val="nil"/>
              <w:bottom w:val="single" w:sz="4" w:space="0" w:color="auto"/>
              <w:right w:val="single" w:sz="4" w:space="0" w:color="auto"/>
            </w:tcBorders>
            <w:shd w:val="clear" w:color="auto" w:fill="D9D9D9" w:themeFill="background1" w:themeFillShade="D9"/>
            <w:noWrap/>
            <w:vAlign w:val="center"/>
            <w:hideMark/>
          </w:tcPr>
          <w:p w14:paraId="085E6301"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12,41%</w:t>
            </w:r>
          </w:p>
        </w:tc>
        <w:tc>
          <w:tcPr>
            <w:tcW w:w="519" w:type="pct"/>
            <w:tcBorders>
              <w:top w:val="nil"/>
              <w:left w:val="nil"/>
              <w:bottom w:val="single" w:sz="4" w:space="0" w:color="auto"/>
              <w:right w:val="single" w:sz="4" w:space="0" w:color="auto"/>
            </w:tcBorders>
            <w:noWrap/>
            <w:vAlign w:val="center"/>
            <w:hideMark/>
          </w:tcPr>
          <w:p w14:paraId="2808D3C3"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294.187</w:t>
            </w:r>
          </w:p>
        </w:tc>
        <w:tc>
          <w:tcPr>
            <w:tcW w:w="519" w:type="pct"/>
            <w:tcBorders>
              <w:top w:val="nil"/>
              <w:left w:val="nil"/>
              <w:bottom w:val="single" w:sz="4" w:space="0" w:color="auto"/>
              <w:right w:val="single" w:sz="4" w:space="0" w:color="auto"/>
            </w:tcBorders>
            <w:noWrap/>
            <w:vAlign w:val="center"/>
            <w:hideMark/>
          </w:tcPr>
          <w:p w14:paraId="75B0B4BB"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70.767</w:t>
            </w:r>
          </w:p>
        </w:tc>
        <w:tc>
          <w:tcPr>
            <w:tcW w:w="770" w:type="pct"/>
            <w:tcBorders>
              <w:top w:val="nil"/>
              <w:left w:val="nil"/>
              <w:bottom w:val="single" w:sz="4" w:space="0" w:color="auto"/>
              <w:right w:val="single" w:sz="8" w:space="0" w:color="auto"/>
            </w:tcBorders>
            <w:noWrap/>
            <w:vAlign w:val="center"/>
            <w:hideMark/>
          </w:tcPr>
          <w:p w14:paraId="1712626C"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54.986.192</w:t>
            </w:r>
          </w:p>
        </w:tc>
        <w:tc>
          <w:tcPr>
            <w:tcW w:w="0" w:type="auto"/>
            <w:vAlign w:val="center"/>
            <w:hideMark/>
          </w:tcPr>
          <w:p w14:paraId="37567FB5" w14:textId="77777777" w:rsidR="00273288" w:rsidRPr="00E33DE3" w:rsidRDefault="00273288" w:rsidP="00C65B25">
            <w:pPr>
              <w:rPr>
                <w:rFonts w:ascii="Verdana" w:hAnsi="Verdana" w:cs="Arial"/>
                <w:color w:val="000000"/>
                <w:sz w:val="16"/>
                <w:szCs w:val="16"/>
              </w:rPr>
            </w:pPr>
          </w:p>
        </w:tc>
      </w:tr>
      <w:tr w:rsidR="00273288" w:rsidRPr="00E33DE3" w14:paraId="52C910E3" w14:textId="77777777" w:rsidTr="00273288">
        <w:trPr>
          <w:trHeight w:val="20"/>
        </w:trPr>
        <w:tc>
          <w:tcPr>
            <w:tcW w:w="519" w:type="pct"/>
            <w:tcBorders>
              <w:top w:val="nil"/>
              <w:left w:val="single" w:sz="8" w:space="0" w:color="auto"/>
              <w:bottom w:val="single" w:sz="4" w:space="0" w:color="auto"/>
              <w:right w:val="single" w:sz="4" w:space="0" w:color="auto"/>
            </w:tcBorders>
            <w:noWrap/>
            <w:vAlign w:val="center"/>
            <w:hideMark/>
          </w:tcPr>
          <w:p w14:paraId="77996165"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2022</w:t>
            </w:r>
          </w:p>
        </w:tc>
        <w:tc>
          <w:tcPr>
            <w:tcW w:w="519" w:type="pct"/>
            <w:tcBorders>
              <w:top w:val="nil"/>
              <w:left w:val="nil"/>
              <w:bottom w:val="single" w:sz="4" w:space="0" w:color="auto"/>
              <w:right w:val="single" w:sz="4" w:space="0" w:color="auto"/>
            </w:tcBorders>
            <w:noWrap/>
            <w:vAlign w:val="center"/>
            <w:hideMark/>
          </w:tcPr>
          <w:p w14:paraId="523A6344"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20221427</w:t>
            </w:r>
          </w:p>
        </w:tc>
        <w:tc>
          <w:tcPr>
            <w:tcW w:w="519" w:type="pct"/>
            <w:tcBorders>
              <w:top w:val="nil"/>
              <w:left w:val="nil"/>
              <w:bottom w:val="single" w:sz="4" w:space="0" w:color="auto"/>
              <w:right w:val="single" w:sz="4" w:space="0" w:color="auto"/>
            </w:tcBorders>
            <w:noWrap/>
            <w:vAlign w:val="center"/>
            <w:hideMark/>
          </w:tcPr>
          <w:p w14:paraId="24FF000C"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1549</w:t>
            </w:r>
          </w:p>
        </w:tc>
        <w:tc>
          <w:tcPr>
            <w:tcW w:w="519" w:type="pct"/>
            <w:tcBorders>
              <w:top w:val="nil"/>
              <w:left w:val="nil"/>
              <w:bottom w:val="single" w:sz="4" w:space="0" w:color="auto"/>
              <w:right w:val="single" w:sz="4" w:space="0" w:color="auto"/>
            </w:tcBorders>
            <w:noWrap/>
            <w:vAlign w:val="center"/>
            <w:hideMark/>
          </w:tcPr>
          <w:p w14:paraId="65B185C1"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658.489</w:t>
            </w:r>
          </w:p>
        </w:tc>
        <w:tc>
          <w:tcPr>
            <w:tcW w:w="597" w:type="pct"/>
            <w:tcBorders>
              <w:top w:val="nil"/>
              <w:left w:val="nil"/>
              <w:bottom w:val="single" w:sz="4" w:space="0" w:color="auto"/>
              <w:right w:val="single" w:sz="4" w:space="0" w:color="auto"/>
            </w:tcBorders>
            <w:noWrap/>
            <w:vAlign w:val="center"/>
            <w:hideMark/>
          </w:tcPr>
          <w:p w14:paraId="66651C32"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2.941.867</w:t>
            </w:r>
          </w:p>
        </w:tc>
        <w:tc>
          <w:tcPr>
            <w:tcW w:w="519" w:type="pct"/>
            <w:tcBorders>
              <w:top w:val="nil"/>
              <w:left w:val="nil"/>
              <w:bottom w:val="single" w:sz="4" w:space="0" w:color="auto"/>
              <w:right w:val="single" w:sz="4" w:space="0" w:color="auto"/>
            </w:tcBorders>
            <w:shd w:val="clear" w:color="auto" w:fill="D9D9D9" w:themeFill="background1" w:themeFillShade="D9"/>
            <w:noWrap/>
            <w:vAlign w:val="center"/>
            <w:hideMark/>
          </w:tcPr>
          <w:p w14:paraId="4FF79742"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22,38%</w:t>
            </w:r>
          </w:p>
        </w:tc>
        <w:tc>
          <w:tcPr>
            <w:tcW w:w="519" w:type="pct"/>
            <w:tcBorders>
              <w:top w:val="nil"/>
              <w:left w:val="nil"/>
              <w:bottom w:val="single" w:sz="4" w:space="0" w:color="auto"/>
              <w:right w:val="single" w:sz="4" w:space="0" w:color="auto"/>
            </w:tcBorders>
            <w:noWrap/>
            <w:vAlign w:val="center"/>
            <w:hideMark/>
          </w:tcPr>
          <w:p w14:paraId="6872AACC"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294.187</w:t>
            </w:r>
          </w:p>
        </w:tc>
        <w:tc>
          <w:tcPr>
            <w:tcW w:w="519" w:type="pct"/>
            <w:tcBorders>
              <w:top w:val="nil"/>
              <w:left w:val="nil"/>
              <w:bottom w:val="single" w:sz="4" w:space="0" w:color="auto"/>
              <w:right w:val="single" w:sz="4" w:space="0" w:color="auto"/>
            </w:tcBorders>
            <w:noWrap/>
            <w:vAlign w:val="center"/>
            <w:hideMark/>
          </w:tcPr>
          <w:p w14:paraId="120F3C90"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364.302</w:t>
            </w:r>
          </w:p>
        </w:tc>
        <w:tc>
          <w:tcPr>
            <w:tcW w:w="770" w:type="pct"/>
            <w:tcBorders>
              <w:top w:val="nil"/>
              <w:left w:val="nil"/>
              <w:bottom w:val="single" w:sz="4" w:space="0" w:color="auto"/>
              <w:right w:val="single" w:sz="8" w:space="0" w:color="auto"/>
            </w:tcBorders>
            <w:noWrap/>
            <w:vAlign w:val="center"/>
            <w:hideMark/>
          </w:tcPr>
          <w:p w14:paraId="6D931BBA"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564.304.263</w:t>
            </w:r>
          </w:p>
        </w:tc>
        <w:tc>
          <w:tcPr>
            <w:tcW w:w="0" w:type="auto"/>
            <w:vAlign w:val="center"/>
            <w:hideMark/>
          </w:tcPr>
          <w:p w14:paraId="3F9BB059" w14:textId="77777777" w:rsidR="00273288" w:rsidRPr="00E33DE3" w:rsidRDefault="00273288" w:rsidP="00C65B25">
            <w:pPr>
              <w:rPr>
                <w:rFonts w:ascii="Verdana" w:hAnsi="Verdana" w:cs="Arial"/>
                <w:color w:val="000000"/>
                <w:sz w:val="16"/>
                <w:szCs w:val="16"/>
              </w:rPr>
            </w:pPr>
          </w:p>
        </w:tc>
      </w:tr>
      <w:tr w:rsidR="00273288" w:rsidRPr="00E33DE3" w14:paraId="37F530FD" w14:textId="77777777" w:rsidTr="00273288">
        <w:trPr>
          <w:trHeight w:val="20"/>
        </w:trPr>
        <w:tc>
          <w:tcPr>
            <w:tcW w:w="519" w:type="pct"/>
            <w:tcBorders>
              <w:top w:val="nil"/>
              <w:left w:val="single" w:sz="8" w:space="0" w:color="auto"/>
              <w:bottom w:val="single" w:sz="4" w:space="0" w:color="auto"/>
              <w:right w:val="single" w:sz="4" w:space="0" w:color="auto"/>
            </w:tcBorders>
            <w:noWrap/>
            <w:vAlign w:val="center"/>
            <w:hideMark/>
          </w:tcPr>
          <w:p w14:paraId="0699A40B"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2022</w:t>
            </w:r>
          </w:p>
        </w:tc>
        <w:tc>
          <w:tcPr>
            <w:tcW w:w="519" w:type="pct"/>
            <w:tcBorders>
              <w:top w:val="nil"/>
              <w:left w:val="nil"/>
              <w:bottom w:val="single" w:sz="4" w:space="0" w:color="auto"/>
              <w:right w:val="single" w:sz="4" w:space="0" w:color="auto"/>
            </w:tcBorders>
            <w:noWrap/>
            <w:vAlign w:val="center"/>
            <w:hideMark/>
          </w:tcPr>
          <w:p w14:paraId="4F36E9BA"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20221370</w:t>
            </w:r>
          </w:p>
        </w:tc>
        <w:tc>
          <w:tcPr>
            <w:tcW w:w="519" w:type="pct"/>
            <w:tcBorders>
              <w:top w:val="nil"/>
              <w:left w:val="nil"/>
              <w:bottom w:val="single" w:sz="4" w:space="0" w:color="auto"/>
              <w:right w:val="single" w:sz="4" w:space="0" w:color="auto"/>
            </w:tcBorders>
            <w:noWrap/>
            <w:vAlign w:val="center"/>
            <w:hideMark/>
          </w:tcPr>
          <w:p w14:paraId="08B15319"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1458</w:t>
            </w:r>
          </w:p>
        </w:tc>
        <w:tc>
          <w:tcPr>
            <w:tcW w:w="519" w:type="pct"/>
            <w:tcBorders>
              <w:top w:val="nil"/>
              <w:left w:val="nil"/>
              <w:bottom w:val="single" w:sz="4" w:space="0" w:color="auto"/>
              <w:right w:val="single" w:sz="4" w:space="0" w:color="auto"/>
            </w:tcBorders>
            <w:noWrap/>
            <w:vAlign w:val="center"/>
            <w:hideMark/>
          </w:tcPr>
          <w:p w14:paraId="15CDA759"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815.064</w:t>
            </w:r>
          </w:p>
        </w:tc>
        <w:tc>
          <w:tcPr>
            <w:tcW w:w="597" w:type="pct"/>
            <w:tcBorders>
              <w:top w:val="nil"/>
              <w:left w:val="nil"/>
              <w:bottom w:val="single" w:sz="4" w:space="0" w:color="auto"/>
              <w:right w:val="single" w:sz="4" w:space="0" w:color="auto"/>
            </w:tcBorders>
            <w:noWrap/>
            <w:vAlign w:val="center"/>
            <w:hideMark/>
          </w:tcPr>
          <w:p w14:paraId="0D99BCD4"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2.941.867</w:t>
            </w:r>
          </w:p>
        </w:tc>
        <w:tc>
          <w:tcPr>
            <w:tcW w:w="519" w:type="pct"/>
            <w:tcBorders>
              <w:top w:val="nil"/>
              <w:left w:val="nil"/>
              <w:bottom w:val="single" w:sz="4" w:space="0" w:color="auto"/>
              <w:right w:val="single" w:sz="4" w:space="0" w:color="auto"/>
            </w:tcBorders>
            <w:shd w:val="clear" w:color="auto" w:fill="D9D9D9" w:themeFill="background1" w:themeFillShade="D9"/>
            <w:noWrap/>
            <w:vAlign w:val="center"/>
            <w:hideMark/>
          </w:tcPr>
          <w:p w14:paraId="5DEDCD08"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27,71%</w:t>
            </w:r>
          </w:p>
        </w:tc>
        <w:tc>
          <w:tcPr>
            <w:tcW w:w="519" w:type="pct"/>
            <w:tcBorders>
              <w:top w:val="nil"/>
              <w:left w:val="nil"/>
              <w:bottom w:val="single" w:sz="4" w:space="0" w:color="auto"/>
              <w:right w:val="single" w:sz="4" w:space="0" w:color="auto"/>
            </w:tcBorders>
            <w:noWrap/>
            <w:vAlign w:val="center"/>
            <w:hideMark/>
          </w:tcPr>
          <w:p w14:paraId="06DF98B5"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294.187</w:t>
            </w:r>
          </w:p>
        </w:tc>
        <w:tc>
          <w:tcPr>
            <w:tcW w:w="519" w:type="pct"/>
            <w:tcBorders>
              <w:top w:val="nil"/>
              <w:left w:val="nil"/>
              <w:bottom w:val="single" w:sz="4" w:space="0" w:color="auto"/>
              <w:right w:val="single" w:sz="4" w:space="0" w:color="auto"/>
            </w:tcBorders>
            <w:noWrap/>
            <w:vAlign w:val="center"/>
            <w:hideMark/>
          </w:tcPr>
          <w:p w14:paraId="4AF20157"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520.877</w:t>
            </w:r>
          </w:p>
        </w:tc>
        <w:tc>
          <w:tcPr>
            <w:tcW w:w="770" w:type="pct"/>
            <w:tcBorders>
              <w:top w:val="nil"/>
              <w:left w:val="nil"/>
              <w:bottom w:val="single" w:sz="4" w:space="0" w:color="auto"/>
              <w:right w:val="single" w:sz="8" w:space="0" w:color="auto"/>
            </w:tcBorders>
            <w:noWrap/>
            <w:vAlign w:val="center"/>
            <w:hideMark/>
          </w:tcPr>
          <w:p w14:paraId="412A392D"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759.439.103</w:t>
            </w:r>
          </w:p>
        </w:tc>
        <w:tc>
          <w:tcPr>
            <w:tcW w:w="0" w:type="auto"/>
            <w:vAlign w:val="center"/>
            <w:hideMark/>
          </w:tcPr>
          <w:p w14:paraId="0BE053A2" w14:textId="77777777" w:rsidR="00273288" w:rsidRPr="00E33DE3" w:rsidRDefault="00273288" w:rsidP="00C65B25">
            <w:pPr>
              <w:rPr>
                <w:rFonts w:ascii="Verdana" w:hAnsi="Verdana" w:cs="Arial"/>
                <w:color w:val="000000"/>
                <w:sz w:val="16"/>
                <w:szCs w:val="16"/>
              </w:rPr>
            </w:pPr>
          </w:p>
        </w:tc>
      </w:tr>
      <w:tr w:rsidR="00273288" w:rsidRPr="00E33DE3" w14:paraId="6A9843F3" w14:textId="77777777" w:rsidTr="00273288">
        <w:trPr>
          <w:trHeight w:val="20"/>
        </w:trPr>
        <w:tc>
          <w:tcPr>
            <w:tcW w:w="519" w:type="pct"/>
            <w:tcBorders>
              <w:top w:val="nil"/>
              <w:left w:val="single" w:sz="8" w:space="0" w:color="auto"/>
              <w:bottom w:val="single" w:sz="4" w:space="0" w:color="auto"/>
              <w:right w:val="single" w:sz="4" w:space="0" w:color="auto"/>
            </w:tcBorders>
            <w:noWrap/>
            <w:vAlign w:val="center"/>
            <w:hideMark/>
          </w:tcPr>
          <w:p w14:paraId="54652A28"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2022</w:t>
            </w:r>
          </w:p>
        </w:tc>
        <w:tc>
          <w:tcPr>
            <w:tcW w:w="519" w:type="pct"/>
            <w:tcBorders>
              <w:top w:val="nil"/>
              <w:left w:val="nil"/>
              <w:bottom w:val="single" w:sz="4" w:space="0" w:color="auto"/>
              <w:right w:val="single" w:sz="4" w:space="0" w:color="auto"/>
            </w:tcBorders>
            <w:noWrap/>
            <w:vAlign w:val="center"/>
            <w:hideMark/>
          </w:tcPr>
          <w:p w14:paraId="480F2EFA"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20221590</w:t>
            </w:r>
          </w:p>
        </w:tc>
        <w:tc>
          <w:tcPr>
            <w:tcW w:w="519" w:type="pct"/>
            <w:tcBorders>
              <w:top w:val="nil"/>
              <w:left w:val="nil"/>
              <w:bottom w:val="single" w:sz="4" w:space="0" w:color="auto"/>
              <w:right w:val="single" w:sz="4" w:space="0" w:color="auto"/>
            </w:tcBorders>
            <w:noWrap/>
            <w:vAlign w:val="center"/>
            <w:hideMark/>
          </w:tcPr>
          <w:p w14:paraId="0989FC9F"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1558</w:t>
            </w:r>
          </w:p>
        </w:tc>
        <w:tc>
          <w:tcPr>
            <w:tcW w:w="519" w:type="pct"/>
            <w:tcBorders>
              <w:top w:val="nil"/>
              <w:left w:val="nil"/>
              <w:bottom w:val="single" w:sz="4" w:space="0" w:color="auto"/>
              <w:right w:val="single" w:sz="4" w:space="0" w:color="auto"/>
            </w:tcBorders>
            <w:noWrap/>
            <w:vAlign w:val="center"/>
            <w:hideMark/>
          </w:tcPr>
          <w:p w14:paraId="0DAD2466"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449.294</w:t>
            </w:r>
          </w:p>
        </w:tc>
        <w:tc>
          <w:tcPr>
            <w:tcW w:w="597" w:type="pct"/>
            <w:tcBorders>
              <w:top w:val="nil"/>
              <w:left w:val="nil"/>
              <w:bottom w:val="single" w:sz="4" w:space="0" w:color="auto"/>
              <w:right w:val="single" w:sz="4" w:space="0" w:color="auto"/>
            </w:tcBorders>
            <w:noWrap/>
            <w:vAlign w:val="center"/>
            <w:hideMark/>
          </w:tcPr>
          <w:p w14:paraId="465A1F37"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2.941.867</w:t>
            </w:r>
          </w:p>
        </w:tc>
        <w:tc>
          <w:tcPr>
            <w:tcW w:w="519" w:type="pct"/>
            <w:tcBorders>
              <w:top w:val="nil"/>
              <w:left w:val="nil"/>
              <w:bottom w:val="single" w:sz="4" w:space="0" w:color="auto"/>
              <w:right w:val="single" w:sz="4" w:space="0" w:color="auto"/>
            </w:tcBorders>
            <w:shd w:val="clear" w:color="auto" w:fill="D9D9D9" w:themeFill="background1" w:themeFillShade="D9"/>
            <w:noWrap/>
            <w:vAlign w:val="center"/>
            <w:hideMark/>
          </w:tcPr>
          <w:p w14:paraId="0A6C69BC"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15,27%</w:t>
            </w:r>
          </w:p>
        </w:tc>
        <w:tc>
          <w:tcPr>
            <w:tcW w:w="519" w:type="pct"/>
            <w:tcBorders>
              <w:top w:val="nil"/>
              <w:left w:val="nil"/>
              <w:bottom w:val="single" w:sz="4" w:space="0" w:color="auto"/>
              <w:right w:val="single" w:sz="4" w:space="0" w:color="auto"/>
            </w:tcBorders>
            <w:noWrap/>
            <w:vAlign w:val="center"/>
            <w:hideMark/>
          </w:tcPr>
          <w:p w14:paraId="7C210239"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294.187</w:t>
            </w:r>
          </w:p>
        </w:tc>
        <w:tc>
          <w:tcPr>
            <w:tcW w:w="519" w:type="pct"/>
            <w:tcBorders>
              <w:top w:val="nil"/>
              <w:left w:val="nil"/>
              <w:bottom w:val="single" w:sz="4" w:space="0" w:color="auto"/>
              <w:right w:val="single" w:sz="4" w:space="0" w:color="auto"/>
            </w:tcBorders>
            <w:noWrap/>
            <w:vAlign w:val="center"/>
            <w:hideMark/>
          </w:tcPr>
          <w:p w14:paraId="195F3600"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155.107</w:t>
            </w:r>
          </w:p>
        </w:tc>
        <w:tc>
          <w:tcPr>
            <w:tcW w:w="770" w:type="pct"/>
            <w:tcBorders>
              <w:top w:val="nil"/>
              <w:left w:val="nil"/>
              <w:bottom w:val="single" w:sz="4" w:space="0" w:color="auto"/>
              <w:right w:val="single" w:sz="8" w:space="0" w:color="auto"/>
            </w:tcBorders>
            <w:noWrap/>
            <w:vAlign w:val="center"/>
            <w:hideMark/>
          </w:tcPr>
          <w:p w14:paraId="74A76A0D"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241.657.173</w:t>
            </w:r>
          </w:p>
        </w:tc>
        <w:tc>
          <w:tcPr>
            <w:tcW w:w="0" w:type="auto"/>
            <w:vAlign w:val="center"/>
            <w:hideMark/>
          </w:tcPr>
          <w:p w14:paraId="559C5C93" w14:textId="77777777" w:rsidR="00273288" w:rsidRPr="00E33DE3" w:rsidRDefault="00273288" w:rsidP="00C65B25">
            <w:pPr>
              <w:rPr>
                <w:rFonts w:ascii="Verdana" w:hAnsi="Verdana" w:cs="Arial"/>
                <w:color w:val="000000"/>
                <w:sz w:val="16"/>
                <w:szCs w:val="16"/>
              </w:rPr>
            </w:pPr>
          </w:p>
        </w:tc>
      </w:tr>
      <w:tr w:rsidR="00273288" w:rsidRPr="00E33DE3" w14:paraId="43CDE882" w14:textId="77777777" w:rsidTr="00273288">
        <w:trPr>
          <w:trHeight w:val="20"/>
        </w:trPr>
        <w:tc>
          <w:tcPr>
            <w:tcW w:w="519" w:type="pct"/>
            <w:tcBorders>
              <w:top w:val="nil"/>
              <w:left w:val="single" w:sz="8" w:space="0" w:color="auto"/>
              <w:bottom w:val="single" w:sz="4" w:space="0" w:color="auto"/>
              <w:right w:val="single" w:sz="4" w:space="0" w:color="auto"/>
            </w:tcBorders>
            <w:noWrap/>
            <w:vAlign w:val="center"/>
            <w:hideMark/>
          </w:tcPr>
          <w:p w14:paraId="6E73A53B"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2022</w:t>
            </w:r>
          </w:p>
        </w:tc>
        <w:tc>
          <w:tcPr>
            <w:tcW w:w="519" w:type="pct"/>
            <w:tcBorders>
              <w:top w:val="nil"/>
              <w:left w:val="nil"/>
              <w:bottom w:val="single" w:sz="4" w:space="0" w:color="auto"/>
              <w:right w:val="single" w:sz="4" w:space="0" w:color="auto"/>
            </w:tcBorders>
            <w:noWrap/>
            <w:vAlign w:val="center"/>
            <w:hideMark/>
          </w:tcPr>
          <w:p w14:paraId="6596AE1C"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20221562</w:t>
            </w:r>
          </w:p>
        </w:tc>
        <w:tc>
          <w:tcPr>
            <w:tcW w:w="519" w:type="pct"/>
            <w:tcBorders>
              <w:top w:val="nil"/>
              <w:left w:val="nil"/>
              <w:bottom w:val="single" w:sz="4" w:space="0" w:color="auto"/>
              <w:right w:val="single" w:sz="4" w:space="0" w:color="auto"/>
            </w:tcBorders>
            <w:noWrap/>
            <w:vAlign w:val="center"/>
            <w:hideMark/>
          </w:tcPr>
          <w:p w14:paraId="60A254BE"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530</w:t>
            </w:r>
          </w:p>
        </w:tc>
        <w:tc>
          <w:tcPr>
            <w:tcW w:w="519" w:type="pct"/>
            <w:tcBorders>
              <w:top w:val="nil"/>
              <w:left w:val="nil"/>
              <w:bottom w:val="single" w:sz="4" w:space="0" w:color="auto"/>
              <w:right w:val="single" w:sz="4" w:space="0" w:color="auto"/>
            </w:tcBorders>
            <w:noWrap/>
            <w:vAlign w:val="center"/>
            <w:hideMark/>
          </w:tcPr>
          <w:p w14:paraId="4E99DE6E"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496.123</w:t>
            </w:r>
          </w:p>
        </w:tc>
        <w:tc>
          <w:tcPr>
            <w:tcW w:w="597" w:type="pct"/>
            <w:tcBorders>
              <w:top w:val="nil"/>
              <w:left w:val="nil"/>
              <w:bottom w:val="single" w:sz="4" w:space="0" w:color="auto"/>
              <w:right w:val="single" w:sz="4" w:space="0" w:color="auto"/>
            </w:tcBorders>
            <w:noWrap/>
            <w:vAlign w:val="center"/>
            <w:hideMark/>
          </w:tcPr>
          <w:p w14:paraId="7FF700E4"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2.941.867</w:t>
            </w:r>
          </w:p>
        </w:tc>
        <w:tc>
          <w:tcPr>
            <w:tcW w:w="519" w:type="pct"/>
            <w:tcBorders>
              <w:top w:val="nil"/>
              <w:left w:val="nil"/>
              <w:bottom w:val="single" w:sz="4" w:space="0" w:color="auto"/>
              <w:right w:val="single" w:sz="4" w:space="0" w:color="auto"/>
            </w:tcBorders>
            <w:shd w:val="clear" w:color="auto" w:fill="D9D9D9" w:themeFill="background1" w:themeFillShade="D9"/>
            <w:noWrap/>
            <w:vAlign w:val="center"/>
            <w:hideMark/>
          </w:tcPr>
          <w:p w14:paraId="41EA305A"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16,86%</w:t>
            </w:r>
          </w:p>
        </w:tc>
        <w:tc>
          <w:tcPr>
            <w:tcW w:w="519" w:type="pct"/>
            <w:tcBorders>
              <w:top w:val="nil"/>
              <w:left w:val="nil"/>
              <w:bottom w:val="single" w:sz="4" w:space="0" w:color="auto"/>
              <w:right w:val="single" w:sz="4" w:space="0" w:color="auto"/>
            </w:tcBorders>
            <w:noWrap/>
            <w:vAlign w:val="center"/>
            <w:hideMark/>
          </w:tcPr>
          <w:p w14:paraId="504DBA8C"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294.187</w:t>
            </w:r>
          </w:p>
        </w:tc>
        <w:tc>
          <w:tcPr>
            <w:tcW w:w="519" w:type="pct"/>
            <w:tcBorders>
              <w:top w:val="nil"/>
              <w:left w:val="nil"/>
              <w:bottom w:val="single" w:sz="4" w:space="0" w:color="auto"/>
              <w:right w:val="single" w:sz="4" w:space="0" w:color="auto"/>
            </w:tcBorders>
            <w:noWrap/>
            <w:vAlign w:val="center"/>
            <w:hideMark/>
          </w:tcPr>
          <w:p w14:paraId="50FA5C22"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201.936</w:t>
            </w:r>
          </w:p>
        </w:tc>
        <w:tc>
          <w:tcPr>
            <w:tcW w:w="770" w:type="pct"/>
            <w:tcBorders>
              <w:top w:val="nil"/>
              <w:left w:val="nil"/>
              <w:bottom w:val="single" w:sz="4" w:space="0" w:color="auto"/>
              <w:right w:val="single" w:sz="8" w:space="0" w:color="auto"/>
            </w:tcBorders>
            <w:noWrap/>
            <w:vAlign w:val="center"/>
            <w:hideMark/>
          </w:tcPr>
          <w:p w14:paraId="2FAD64EF"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107.026.239</w:t>
            </w:r>
          </w:p>
        </w:tc>
        <w:tc>
          <w:tcPr>
            <w:tcW w:w="0" w:type="auto"/>
            <w:vAlign w:val="center"/>
            <w:hideMark/>
          </w:tcPr>
          <w:p w14:paraId="2A0603D6" w14:textId="77777777" w:rsidR="00273288" w:rsidRPr="00E33DE3" w:rsidRDefault="00273288" w:rsidP="00C65B25">
            <w:pPr>
              <w:rPr>
                <w:rFonts w:ascii="Verdana" w:hAnsi="Verdana" w:cs="Arial"/>
                <w:color w:val="000000"/>
                <w:sz w:val="16"/>
                <w:szCs w:val="16"/>
              </w:rPr>
            </w:pPr>
          </w:p>
        </w:tc>
      </w:tr>
      <w:tr w:rsidR="00273288" w:rsidRPr="00E33DE3" w14:paraId="3A168DB2" w14:textId="77777777" w:rsidTr="00273288">
        <w:trPr>
          <w:trHeight w:val="20"/>
        </w:trPr>
        <w:tc>
          <w:tcPr>
            <w:tcW w:w="519" w:type="pct"/>
            <w:tcBorders>
              <w:top w:val="nil"/>
              <w:left w:val="single" w:sz="8" w:space="0" w:color="auto"/>
              <w:bottom w:val="single" w:sz="4" w:space="0" w:color="auto"/>
              <w:right w:val="single" w:sz="4" w:space="0" w:color="auto"/>
            </w:tcBorders>
            <w:noWrap/>
            <w:vAlign w:val="center"/>
            <w:hideMark/>
          </w:tcPr>
          <w:p w14:paraId="4D5D8CCE"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2022</w:t>
            </w:r>
          </w:p>
        </w:tc>
        <w:tc>
          <w:tcPr>
            <w:tcW w:w="519" w:type="pct"/>
            <w:tcBorders>
              <w:top w:val="nil"/>
              <w:left w:val="nil"/>
              <w:bottom w:val="single" w:sz="4" w:space="0" w:color="auto"/>
              <w:right w:val="single" w:sz="4" w:space="0" w:color="auto"/>
            </w:tcBorders>
            <w:noWrap/>
            <w:vAlign w:val="center"/>
            <w:hideMark/>
          </w:tcPr>
          <w:p w14:paraId="18EFA2EA"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20221329</w:t>
            </w:r>
          </w:p>
        </w:tc>
        <w:tc>
          <w:tcPr>
            <w:tcW w:w="519" w:type="pct"/>
            <w:tcBorders>
              <w:top w:val="nil"/>
              <w:left w:val="nil"/>
              <w:bottom w:val="single" w:sz="4" w:space="0" w:color="auto"/>
              <w:right w:val="single" w:sz="4" w:space="0" w:color="auto"/>
            </w:tcBorders>
            <w:noWrap/>
            <w:vAlign w:val="center"/>
            <w:hideMark/>
          </w:tcPr>
          <w:p w14:paraId="3C49A9F3"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248</w:t>
            </w:r>
          </w:p>
        </w:tc>
        <w:tc>
          <w:tcPr>
            <w:tcW w:w="519" w:type="pct"/>
            <w:tcBorders>
              <w:top w:val="nil"/>
              <w:left w:val="nil"/>
              <w:bottom w:val="single" w:sz="4" w:space="0" w:color="auto"/>
              <w:right w:val="single" w:sz="4" w:space="0" w:color="auto"/>
            </w:tcBorders>
            <w:noWrap/>
            <w:vAlign w:val="center"/>
            <w:hideMark/>
          </w:tcPr>
          <w:p w14:paraId="710998EE"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1.396.585</w:t>
            </w:r>
          </w:p>
        </w:tc>
        <w:tc>
          <w:tcPr>
            <w:tcW w:w="597" w:type="pct"/>
            <w:tcBorders>
              <w:top w:val="nil"/>
              <w:left w:val="nil"/>
              <w:bottom w:val="single" w:sz="4" w:space="0" w:color="auto"/>
              <w:right w:val="single" w:sz="4" w:space="0" w:color="auto"/>
            </w:tcBorders>
            <w:noWrap/>
            <w:vAlign w:val="center"/>
            <w:hideMark/>
          </w:tcPr>
          <w:p w14:paraId="183CD182"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3.772.037</w:t>
            </w:r>
          </w:p>
        </w:tc>
        <w:tc>
          <w:tcPr>
            <w:tcW w:w="519" w:type="pct"/>
            <w:tcBorders>
              <w:top w:val="nil"/>
              <w:left w:val="nil"/>
              <w:bottom w:val="single" w:sz="4" w:space="0" w:color="auto"/>
              <w:right w:val="single" w:sz="4" w:space="0" w:color="auto"/>
            </w:tcBorders>
            <w:shd w:val="clear" w:color="auto" w:fill="D9D9D9" w:themeFill="background1" w:themeFillShade="D9"/>
            <w:noWrap/>
            <w:vAlign w:val="center"/>
            <w:hideMark/>
          </w:tcPr>
          <w:p w14:paraId="703E2331"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37,02%</w:t>
            </w:r>
          </w:p>
        </w:tc>
        <w:tc>
          <w:tcPr>
            <w:tcW w:w="519" w:type="pct"/>
            <w:tcBorders>
              <w:top w:val="nil"/>
              <w:left w:val="nil"/>
              <w:bottom w:val="single" w:sz="4" w:space="0" w:color="auto"/>
              <w:right w:val="single" w:sz="4" w:space="0" w:color="auto"/>
            </w:tcBorders>
            <w:noWrap/>
            <w:vAlign w:val="center"/>
            <w:hideMark/>
          </w:tcPr>
          <w:p w14:paraId="1AD90D22"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377.204</w:t>
            </w:r>
          </w:p>
        </w:tc>
        <w:tc>
          <w:tcPr>
            <w:tcW w:w="519" w:type="pct"/>
            <w:tcBorders>
              <w:top w:val="nil"/>
              <w:left w:val="nil"/>
              <w:bottom w:val="single" w:sz="4" w:space="0" w:color="auto"/>
              <w:right w:val="single" w:sz="4" w:space="0" w:color="auto"/>
            </w:tcBorders>
            <w:noWrap/>
            <w:vAlign w:val="center"/>
            <w:hideMark/>
          </w:tcPr>
          <w:p w14:paraId="13D98E6C"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1.019.381</w:t>
            </w:r>
          </w:p>
        </w:tc>
        <w:tc>
          <w:tcPr>
            <w:tcW w:w="770" w:type="pct"/>
            <w:tcBorders>
              <w:top w:val="nil"/>
              <w:left w:val="nil"/>
              <w:bottom w:val="single" w:sz="4" w:space="0" w:color="auto"/>
              <w:right w:val="single" w:sz="8" w:space="0" w:color="auto"/>
            </w:tcBorders>
            <w:noWrap/>
            <w:vAlign w:val="center"/>
            <w:hideMark/>
          </w:tcPr>
          <w:p w14:paraId="1C397A23" w14:textId="77777777" w:rsidR="00273288" w:rsidRPr="00E33DE3" w:rsidRDefault="00273288" w:rsidP="00C65B25">
            <w:pPr>
              <w:jc w:val="center"/>
              <w:rPr>
                <w:rFonts w:ascii="Verdana" w:hAnsi="Verdana" w:cs="Arial"/>
                <w:color w:val="000000"/>
                <w:sz w:val="16"/>
                <w:szCs w:val="16"/>
              </w:rPr>
            </w:pPr>
            <w:r w:rsidRPr="00E33DE3">
              <w:rPr>
                <w:rFonts w:ascii="Verdana" w:hAnsi="Verdana" w:cs="Arial"/>
                <w:color w:val="000000" w:themeColor="text1"/>
                <w:sz w:val="16"/>
                <w:szCs w:val="16"/>
              </w:rPr>
              <w:t>252.806.562</w:t>
            </w:r>
          </w:p>
        </w:tc>
        <w:tc>
          <w:tcPr>
            <w:tcW w:w="0" w:type="auto"/>
            <w:vAlign w:val="center"/>
            <w:hideMark/>
          </w:tcPr>
          <w:p w14:paraId="640F4D54" w14:textId="77777777" w:rsidR="00273288" w:rsidRPr="00E33DE3" w:rsidRDefault="00273288" w:rsidP="00C65B25">
            <w:pPr>
              <w:rPr>
                <w:rFonts w:ascii="Verdana" w:hAnsi="Verdana" w:cs="Arial"/>
                <w:color w:val="000000"/>
                <w:sz w:val="16"/>
                <w:szCs w:val="16"/>
              </w:rPr>
            </w:pPr>
          </w:p>
        </w:tc>
      </w:tr>
      <w:tr w:rsidR="00273288" w:rsidRPr="00E33DE3" w14:paraId="6D8FC3CA" w14:textId="77777777" w:rsidTr="00273288">
        <w:trPr>
          <w:trHeight w:val="20"/>
        </w:trPr>
        <w:tc>
          <w:tcPr>
            <w:tcW w:w="1557" w:type="pct"/>
            <w:gridSpan w:val="3"/>
            <w:tcBorders>
              <w:top w:val="single" w:sz="4" w:space="0" w:color="auto"/>
              <w:left w:val="single" w:sz="8" w:space="0" w:color="auto"/>
              <w:bottom w:val="single" w:sz="4" w:space="0" w:color="auto"/>
              <w:right w:val="single" w:sz="4" w:space="0" w:color="auto"/>
            </w:tcBorders>
            <w:shd w:val="clear" w:color="auto" w:fill="F1EADA"/>
            <w:vAlign w:val="center"/>
            <w:hideMark/>
          </w:tcPr>
          <w:p w14:paraId="0E46BB03"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TOTAL PROMEDIO ANUAL</w:t>
            </w:r>
          </w:p>
        </w:tc>
        <w:tc>
          <w:tcPr>
            <w:tcW w:w="519" w:type="pct"/>
            <w:tcBorders>
              <w:top w:val="nil"/>
              <w:left w:val="nil"/>
              <w:bottom w:val="single" w:sz="4" w:space="0" w:color="auto"/>
              <w:right w:val="single" w:sz="4" w:space="0" w:color="auto"/>
            </w:tcBorders>
            <w:shd w:val="clear" w:color="auto" w:fill="F1EADA"/>
            <w:vAlign w:val="center"/>
            <w:hideMark/>
          </w:tcPr>
          <w:p w14:paraId="4A81114B"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696.752</w:t>
            </w:r>
          </w:p>
        </w:tc>
        <w:tc>
          <w:tcPr>
            <w:tcW w:w="597" w:type="pct"/>
            <w:tcBorders>
              <w:top w:val="nil"/>
              <w:left w:val="nil"/>
              <w:bottom w:val="single" w:sz="4" w:space="0" w:color="auto"/>
              <w:right w:val="single" w:sz="4" w:space="0" w:color="auto"/>
            </w:tcBorders>
            <w:shd w:val="clear" w:color="auto" w:fill="F1EADA"/>
            <w:vAlign w:val="center"/>
            <w:hideMark/>
          </w:tcPr>
          <w:p w14:paraId="548154B8"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3.080.228</w:t>
            </w:r>
          </w:p>
        </w:tc>
        <w:tc>
          <w:tcPr>
            <w:tcW w:w="519" w:type="pct"/>
            <w:tcBorders>
              <w:top w:val="nil"/>
              <w:left w:val="nil"/>
              <w:bottom w:val="single" w:sz="4" w:space="0" w:color="auto"/>
              <w:right w:val="single" w:sz="4" w:space="0" w:color="auto"/>
            </w:tcBorders>
            <w:shd w:val="clear" w:color="auto" w:fill="F1EADA"/>
            <w:vAlign w:val="center"/>
            <w:hideMark/>
          </w:tcPr>
          <w:p w14:paraId="009BF4F5"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21,94%</w:t>
            </w:r>
          </w:p>
        </w:tc>
        <w:tc>
          <w:tcPr>
            <w:tcW w:w="519" w:type="pct"/>
            <w:tcBorders>
              <w:top w:val="nil"/>
              <w:left w:val="nil"/>
              <w:bottom w:val="single" w:sz="4" w:space="0" w:color="auto"/>
              <w:right w:val="single" w:sz="4" w:space="0" w:color="auto"/>
            </w:tcBorders>
            <w:shd w:val="clear" w:color="auto" w:fill="F1EADA"/>
            <w:vAlign w:val="center"/>
            <w:hideMark/>
          </w:tcPr>
          <w:p w14:paraId="7A1113DF" w14:textId="77777777" w:rsidR="00273288" w:rsidRPr="00E33DE3" w:rsidRDefault="00273288" w:rsidP="00C65B25">
            <w:pPr>
              <w:rPr>
                <w:rFonts w:ascii="Verdana" w:hAnsi="Verdana" w:cs="Arial"/>
                <w:b/>
                <w:bCs/>
                <w:color w:val="000000"/>
                <w:sz w:val="16"/>
                <w:szCs w:val="16"/>
              </w:rPr>
            </w:pPr>
          </w:p>
        </w:tc>
        <w:tc>
          <w:tcPr>
            <w:tcW w:w="519" w:type="pct"/>
            <w:tcBorders>
              <w:top w:val="nil"/>
              <w:left w:val="nil"/>
              <w:bottom w:val="single" w:sz="4" w:space="0" w:color="auto"/>
              <w:right w:val="single" w:sz="4" w:space="0" w:color="auto"/>
            </w:tcBorders>
            <w:shd w:val="clear" w:color="auto" w:fill="F1EADA"/>
            <w:vAlign w:val="center"/>
            <w:hideMark/>
          </w:tcPr>
          <w:p w14:paraId="7C344D0B" w14:textId="77777777" w:rsidR="00273288" w:rsidRPr="00E33DE3" w:rsidRDefault="00273288" w:rsidP="00C65B25">
            <w:pPr>
              <w:rPr>
                <w:rFonts w:ascii="Verdana" w:eastAsiaTheme="minorHAnsi" w:hAnsi="Verdana" w:cstheme="minorBidi"/>
                <w:sz w:val="16"/>
                <w:szCs w:val="16"/>
                <w:lang w:val="es-CO" w:eastAsia="es-CO"/>
              </w:rPr>
            </w:pPr>
          </w:p>
        </w:tc>
        <w:tc>
          <w:tcPr>
            <w:tcW w:w="770" w:type="pct"/>
            <w:tcBorders>
              <w:top w:val="nil"/>
              <w:left w:val="nil"/>
              <w:bottom w:val="single" w:sz="4" w:space="0" w:color="auto"/>
              <w:right w:val="single" w:sz="8" w:space="0" w:color="auto"/>
            </w:tcBorders>
            <w:shd w:val="clear" w:color="auto" w:fill="F1EADA"/>
            <w:vAlign w:val="center"/>
            <w:hideMark/>
          </w:tcPr>
          <w:p w14:paraId="7D7C8E1D" w14:textId="77777777" w:rsidR="00273288" w:rsidRPr="00E33DE3" w:rsidRDefault="00273288" w:rsidP="00C65B25">
            <w:pPr>
              <w:jc w:val="center"/>
              <w:rPr>
                <w:rFonts w:ascii="Verdana" w:hAnsi="Verdana" w:cs="Arial"/>
                <w:b/>
                <w:bCs/>
                <w:color w:val="000000"/>
                <w:sz w:val="16"/>
                <w:szCs w:val="16"/>
              </w:rPr>
            </w:pPr>
            <w:r w:rsidRPr="00E33DE3">
              <w:rPr>
                <w:rFonts w:ascii="Verdana" w:hAnsi="Verdana" w:cs="Arial"/>
                <w:b/>
                <w:bCs/>
                <w:color w:val="000000" w:themeColor="text1"/>
                <w:sz w:val="16"/>
                <w:szCs w:val="16"/>
              </w:rPr>
              <w:t>1.980.219.533</w:t>
            </w:r>
          </w:p>
        </w:tc>
        <w:tc>
          <w:tcPr>
            <w:tcW w:w="0" w:type="auto"/>
            <w:vAlign w:val="center"/>
            <w:hideMark/>
          </w:tcPr>
          <w:p w14:paraId="2E64D6C3" w14:textId="77777777" w:rsidR="00273288" w:rsidRPr="00E33DE3" w:rsidRDefault="00273288" w:rsidP="00C65B25">
            <w:pPr>
              <w:rPr>
                <w:rFonts w:ascii="Verdana" w:hAnsi="Verdana" w:cs="Arial"/>
                <w:b/>
                <w:bCs/>
                <w:color w:val="000000"/>
                <w:sz w:val="16"/>
                <w:szCs w:val="16"/>
              </w:rPr>
            </w:pPr>
          </w:p>
        </w:tc>
      </w:tr>
      <w:tr w:rsidR="00273288" w:rsidRPr="00E33DE3" w14:paraId="47AA81B6" w14:textId="77777777" w:rsidTr="00273288">
        <w:trPr>
          <w:trHeight w:val="20"/>
        </w:trPr>
        <w:tc>
          <w:tcPr>
            <w:tcW w:w="1557" w:type="pct"/>
            <w:gridSpan w:val="3"/>
            <w:tcBorders>
              <w:top w:val="single" w:sz="4" w:space="0" w:color="auto"/>
              <w:left w:val="single" w:sz="8" w:space="0" w:color="auto"/>
              <w:bottom w:val="single" w:sz="8" w:space="0" w:color="auto"/>
              <w:right w:val="single" w:sz="4" w:space="0" w:color="auto"/>
            </w:tcBorders>
            <w:shd w:val="clear" w:color="auto" w:fill="B48C41"/>
            <w:vAlign w:val="center"/>
            <w:hideMark/>
          </w:tcPr>
          <w:p w14:paraId="3F570B21" w14:textId="77777777" w:rsidR="00273288" w:rsidRPr="00E33DE3" w:rsidRDefault="00273288" w:rsidP="00C65B25">
            <w:pPr>
              <w:jc w:val="center"/>
              <w:rPr>
                <w:rFonts w:ascii="Verdana" w:hAnsi="Verdana" w:cs="Arial"/>
                <w:b/>
                <w:bCs/>
                <w:color w:val="FFFFFF"/>
                <w:sz w:val="16"/>
                <w:szCs w:val="16"/>
              </w:rPr>
            </w:pPr>
            <w:r w:rsidRPr="00E33DE3">
              <w:rPr>
                <w:rFonts w:ascii="Verdana" w:hAnsi="Verdana" w:cs="Arial"/>
                <w:b/>
                <w:bCs/>
                <w:color w:val="FFFFFF" w:themeColor="background1"/>
                <w:sz w:val="16"/>
                <w:szCs w:val="16"/>
              </w:rPr>
              <w:t>TOTAL GENERAL</w:t>
            </w:r>
          </w:p>
        </w:tc>
        <w:tc>
          <w:tcPr>
            <w:tcW w:w="519" w:type="pct"/>
            <w:tcBorders>
              <w:top w:val="nil"/>
              <w:left w:val="nil"/>
              <w:bottom w:val="single" w:sz="8" w:space="0" w:color="auto"/>
              <w:right w:val="single" w:sz="4" w:space="0" w:color="auto"/>
            </w:tcBorders>
            <w:shd w:val="clear" w:color="auto" w:fill="B48C41"/>
            <w:vAlign w:val="center"/>
            <w:hideMark/>
          </w:tcPr>
          <w:p w14:paraId="0952B673" w14:textId="77777777" w:rsidR="00273288" w:rsidRPr="00E33DE3" w:rsidRDefault="00273288" w:rsidP="00C65B25">
            <w:pPr>
              <w:jc w:val="center"/>
              <w:rPr>
                <w:rFonts w:ascii="Verdana" w:hAnsi="Verdana" w:cs="Arial"/>
                <w:b/>
                <w:bCs/>
                <w:color w:val="FFFFFF"/>
                <w:sz w:val="16"/>
                <w:szCs w:val="16"/>
              </w:rPr>
            </w:pPr>
            <w:r w:rsidRPr="00E33DE3">
              <w:rPr>
                <w:rFonts w:ascii="Verdana" w:hAnsi="Verdana" w:cs="Arial"/>
                <w:b/>
                <w:bCs/>
                <w:color w:val="FFFFFF" w:themeColor="background1"/>
                <w:sz w:val="16"/>
                <w:szCs w:val="16"/>
              </w:rPr>
              <w:t>620</w:t>
            </w:r>
          </w:p>
        </w:tc>
        <w:tc>
          <w:tcPr>
            <w:tcW w:w="597" w:type="pct"/>
            <w:tcBorders>
              <w:top w:val="nil"/>
              <w:left w:val="nil"/>
              <w:bottom w:val="single" w:sz="8" w:space="0" w:color="auto"/>
              <w:right w:val="single" w:sz="4" w:space="0" w:color="auto"/>
            </w:tcBorders>
            <w:shd w:val="clear" w:color="auto" w:fill="B48C41"/>
            <w:vAlign w:val="center"/>
            <w:hideMark/>
          </w:tcPr>
          <w:p w14:paraId="452E1BDD" w14:textId="77777777" w:rsidR="00273288" w:rsidRPr="00E33DE3" w:rsidRDefault="00273288" w:rsidP="00C65B25">
            <w:pPr>
              <w:jc w:val="center"/>
              <w:rPr>
                <w:rFonts w:ascii="Verdana" w:hAnsi="Verdana" w:cs="Arial"/>
                <w:b/>
                <w:bCs/>
                <w:color w:val="FFFFFF"/>
                <w:sz w:val="16"/>
                <w:szCs w:val="16"/>
              </w:rPr>
            </w:pPr>
            <w:r w:rsidRPr="00E33DE3">
              <w:rPr>
                <w:rFonts w:ascii="Verdana" w:hAnsi="Verdana" w:cs="Arial"/>
                <w:b/>
                <w:bCs/>
                <w:color w:val="FFFFFF" w:themeColor="background1"/>
                <w:sz w:val="16"/>
                <w:szCs w:val="16"/>
              </w:rPr>
              <w:t>3,117,002</w:t>
            </w:r>
          </w:p>
        </w:tc>
        <w:tc>
          <w:tcPr>
            <w:tcW w:w="519" w:type="pct"/>
            <w:tcBorders>
              <w:top w:val="nil"/>
              <w:left w:val="nil"/>
              <w:bottom w:val="single" w:sz="8" w:space="0" w:color="auto"/>
              <w:right w:val="single" w:sz="4" w:space="0" w:color="auto"/>
            </w:tcBorders>
            <w:shd w:val="clear" w:color="auto" w:fill="B48C41"/>
            <w:vAlign w:val="center"/>
            <w:hideMark/>
          </w:tcPr>
          <w:p w14:paraId="14EFCF12" w14:textId="77777777" w:rsidR="00273288" w:rsidRPr="00E33DE3" w:rsidRDefault="00273288" w:rsidP="00C65B25">
            <w:pPr>
              <w:jc w:val="center"/>
              <w:rPr>
                <w:rFonts w:ascii="Verdana" w:hAnsi="Verdana" w:cs="Arial"/>
                <w:b/>
                <w:bCs/>
                <w:color w:val="FFFFFF"/>
                <w:sz w:val="16"/>
                <w:szCs w:val="16"/>
              </w:rPr>
            </w:pPr>
            <w:r w:rsidRPr="00E33DE3">
              <w:rPr>
                <w:rFonts w:ascii="Verdana" w:hAnsi="Verdana" w:cs="Arial"/>
                <w:b/>
                <w:bCs/>
                <w:color w:val="FFFFFF" w:themeColor="background1"/>
                <w:sz w:val="16"/>
                <w:szCs w:val="16"/>
              </w:rPr>
              <w:t>0</w:t>
            </w:r>
          </w:p>
        </w:tc>
        <w:tc>
          <w:tcPr>
            <w:tcW w:w="519" w:type="pct"/>
            <w:tcBorders>
              <w:top w:val="nil"/>
              <w:left w:val="nil"/>
              <w:bottom w:val="single" w:sz="8" w:space="0" w:color="auto"/>
              <w:right w:val="single" w:sz="4" w:space="0" w:color="auto"/>
            </w:tcBorders>
            <w:shd w:val="clear" w:color="auto" w:fill="B48C41"/>
            <w:vAlign w:val="center"/>
            <w:hideMark/>
          </w:tcPr>
          <w:p w14:paraId="4EE79A96" w14:textId="77777777" w:rsidR="00273288" w:rsidRPr="00E33DE3" w:rsidRDefault="00273288" w:rsidP="00C65B25">
            <w:pPr>
              <w:rPr>
                <w:rFonts w:ascii="Verdana" w:hAnsi="Verdana" w:cs="Arial"/>
                <w:b/>
                <w:bCs/>
                <w:color w:val="FFFFFF"/>
                <w:sz w:val="16"/>
                <w:szCs w:val="16"/>
              </w:rPr>
            </w:pPr>
          </w:p>
        </w:tc>
        <w:tc>
          <w:tcPr>
            <w:tcW w:w="519" w:type="pct"/>
            <w:tcBorders>
              <w:top w:val="nil"/>
              <w:left w:val="nil"/>
              <w:bottom w:val="single" w:sz="8" w:space="0" w:color="auto"/>
              <w:right w:val="single" w:sz="4" w:space="0" w:color="auto"/>
            </w:tcBorders>
            <w:shd w:val="clear" w:color="auto" w:fill="B48C41"/>
            <w:vAlign w:val="center"/>
            <w:hideMark/>
          </w:tcPr>
          <w:p w14:paraId="26225D69" w14:textId="77777777" w:rsidR="00273288" w:rsidRPr="00E33DE3" w:rsidRDefault="00273288" w:rsidP="00C65B25">
            <w:pPr>
              <w:rPr>
                <w:rFonts w:ascii="Verdana" w:eastAsiaTheme="minorHAnsi" w:hAnsi="Verdana" w:cstheme="minorBidi"/>
                <w:sz w:val="16"/>
                <w:szCs w:val="16"/>
                <w:lang w:val="es-CO" w:eastAsia="es-CO"/>
              </w:rPr>
            </w:pPr>
          </w:p>
        </w:tc>
        <w:tc>
          <w:tcPr>
            <w:tcW w:w="770" w:type="pct"/>
            <w:tcBorders>
              <w:top w:val="nil"/>
              <w:left w:val="nil"/>
              <w:bottom w:val="single" w:sz="8" w:space="0" w:color="auto"/>
              <w:right w:val="single" w:sz="8" w:space="0" w:color="auto"/>
            </w:tcBorders>
            <w:shd w:val="clear" w:color="auto" w:fill="B48C41"/>
            <w:vAlign w:val="center"/>
            <w:hideMark/>
          </w:tcPr>
          <w:p w14:paraId="0F6654B9" w14:textId="77777777" w:rsidR="00273288" w:rsidRPr="00E33DE3" w:rsidRDefault="00273288" w:rsidP="00C65B25">
            <w:pPr>
              <w:jc w:val="center"/>
              <w:rPr>
                <w:rFonts w:ascii="Verdana" w:hAnsi="Verdana" w:cs="Arial"/>
                <w:b/>
                <w:bCs/>
                <w:color w:val="FFFFFF"/>
                <w:sz w:val="16"/>
                <w:szCs w:val="16"/>
              </w:rPr>
            </w:pPr>
            <w:r w:rsidRPr="00E33DE3">
              <w:rPr>
                <w:rFonts w:ascii="Verdana" w:hAnsi="Verdana" w:cs="Arial"/>
                <w:b/>
                <w:bCs/>
                <w:color w:val="FFFFFF" w:themeColor="background1"/>
                <w:sz w:val="16"/>
                <w:szCs w:val="16"/>
              </w:rPr>
              <w:t>5.788.169.591</w:t>
            </w:r>
          </w:p>
        </w:tc>
        <w:tc>
          <w:tcPr>
            <w:tcW w:w="0" w:type="auto"/>
            <w:vAlign w:val="center"/>
            <w:hideMark/>
          </w:tcPr>
          <w:p w14:paraId="63CCECEF" w14:textId="77777777" w:rsidR="00273288" w:rsidRPr="00E33DE3" w:rsidRDefault="00273288" w:rsidP="00C65B25">
            <w:pPr>
              <w:rPr>
                <w:rFonts w:ascii="Verdana" w:hAnsi="Verdana" w:cs="Arial"/>
                <w:b/>
                <w:bCs/>
                <w:color w:val="FFFFFF"/>
                <w:sz w:val="16"/>
                <w:szCs w:val="16"/>
              </w:rPr>
            </w:pPr>
          </w:p>
        </w:tc>
      </w:tr>
    </w:tbl>
    <w:p w14:paraId="733F0ABD" w14:textId="77777777" w:rsidR="00273288" w:rsidRPr="00E33DE3" w:rsidRDefault="00273288" w:rsidP="00C65B25">
      <w:pPr>
        <w:widowControl w:val="0"/>
        <w:autoSpaceDE w:val="0"/>
        <w:autoSpaceDN w:val="0"/>
        <w:ind w:right="49"/>
        <w:jc w:val="center"/>
        <w:rPr>
          <w:rFonts w:ascii="Verdana" w:hAnsi="Verdana" w:cs="Arial"/>
          <w:sz w:val="18"/>
          <w:szCs w:val="18"/>
        </w:rPr>
      </w:pPr>
      <w:r w:rsidRPr="00E33DE3">
        <w:rPr>
          <w:rFonts w:ascii="Verdana" w:hAnsi="Verdana" w:cs="Arial"/>
          <w:sz w:val="18"/>
          <w:szCs w:val="18"/>
        </w:rPr>
        <w:t>Fuente: elaboración propia con información de los contratos enunciados y enviados por la entidad territorial.</w:t>
      </w:r>
    </w:p>
    <w:p w14:paraId="548BFCE1" w14:textId="77777777" w:rsidR="00273288" w:rsidRPr="00E33DE3" w:rsidRDefault="00273288" w:rsidP="00C65B25">
      <w:pPr>
        <w:widowControl w:val="0"/>
        <w:autoSpaceDE w:val="0"/>
        <w:autoSpaceDN w:val="0"/>
        <w:ind w:right="49"/>
        <w:jc w:val="both"/>
        <w:rPr>
          <w:rFonts w:ascii="Verdana" w:hAnsi="Verdana" w:cs="Arial"/>
          <w:sz w:val="22"/>
          <w:szCs w:val="22"/>
        </w:rPr>
      </w:pPr>
    </w:p>
    <w:p w14:paraId="19712646" w14:textId="77777777" w:rsidR="00273288" w:rsidRPr="00E33DE3" w:rsidRDefault="00273288" w:rsidP="00C65B25">
      <w:pPr>
        <w:widowControl w:val="0"/>
        <w:autoSpaceDE w:val="0"/>
        <w:autoSpaceDN w:val="0"/>
        <w:ind w:right="49"/>
        <w:jc w:val="both"/>
        <w:rPr>
          <w:rFonts w:ascii="Verdana" w:hAnsi="Verdana" w:cs="Arial"/>
          <w:sz w:val="22"/>
          <w:szCs w:val="22"/>
        </w:rPr>
      </w:pPr>
      <w:r w:rsidRPr="00E33DE3">
        <w:rPr>
          <w:rFonts w:ascii="Verdana" w:hAnsi="Verdana" w:cs="Arial"/>
          <w:sz w:val="22"/>
          <w:szCs w:val="22"/>
        </w:rPr>
        <w:t xml:space="preserve">Al respecto, es necesario tener en cuenta que la totalidad de los estudiantes son atendidos por docentes oficiales y que para su atención en el marco de los contratos suscritos se pactan canastas parciales, por lo cual estos alumnos deben tener un costo menor al pactado en el contrato, ya que la entidad territorial aporta la nómina de dichos docentes, componente más costoso dentro de la canasta (superior al 90%). </w:t>
      </w:r>
    </w:p>
    <w:p w14:paraId="24D5F970" w14:textId="77777777" w:rsidR="00273288" w:rsidRPr="00E33DE3" w:rsidRDefault="00273288" w:rsidP="00C65B25">
      <w:pPr>
        <w:widowControl w:val="0"/>
        <w:autoSpaceDE w:val="0"/>
        <w:autoSpaceDN w:val="0"/>
        <w:ind w:right="49"/>
        <w:jc w:val="both"/>
        <w:rPr>
          <w:rFonts w:ascii="Verdana" w:hAnsi="Verdana" w:cs="Arial"/>
          <w:sz w:val="22"/>
          <w:szCs w:val="22"/>
        </w:rPr>
      </w:pPr>
    </w:p>
    <w:p w14:paraId="3FCF0565" w14:textId="77777777" w:rsidR="00273288" w:rsidRPr="00E33DE3" w:rsidRDefault="00273288" w:rsidP="00C65B25">
      <w:pPr>
        <w:widowControl w:val="0"/>
        <w:autoSpaceDE w:val="0"/>
        <w:autoSpaceDN w:val="0"/>
        <w:ind w:right="49"/>
        <w:jc w:val="both"/>
        <w:rPr>
          <w:rFonts w:ascii="Verdana" w:eastAsia="Times New Roman" w:hAnsi="Verdana" w:cs="Arial"/>
          <w:b/>
          <w:bCs/>
          <w:color w:val="000000"/>
          <w:sz w:val="22"/>
          <w:szCs w:val="22"/>
          <w:lang w:val="es-CO" w:eastAsia="en-US"/>
        </w:rPr>
      </w:pPr>
      <w:r w:rsidRPr="00E33DE3">
        <w:rPr>
          <w:rFonts w:ascii="Verdana" w:hAnsi="Verdana" w:cs="Arial"/>
          <w:sz w:val="22"/>
          <w:szCs w:val="22"/>
        </w:rPr>
        <w:t>En ese orden de ideas, el valor por alumno contratado debería corresponder al 10% restante de la tipología aprobada para la entidad territorial. No obstante, como se observa en la tabla, esta proporción es mayor al 10% en todas las contrataciones suscritas por la Entidad Territorial con las 6 confesiones religiosas durante las vigencias 2019 a 2022. El valor promedio a pagar por alumno representó el 16.97% en la vigencia 2019, en la vigencia 2020 fue del 18.26%, en 2021 representó el 20.09% y en la vigencia 2022 fue del 21.94%</w:t>
      </w:r>
      <w:r w:rsidRPr="00E33DE3">
        <w:rPr>
          <w:rFonts w:ascii="Verdana" w:eastAsia="Times New Roman" w:hAnsi="Verdana" w:cs="Arial"/>
          <w:b/>
          <w:bCs/>
          <w:color w:val="000000"/>
          <w:sz w:val="22"/>
          <w:szCs w:val="22"/>
          <w:lang w:eastAsia="en-US"/>
        </w:rPr>
        <w:t xml:space="preserve"> </w:t>
      </w:r>
      <w:r w:rsidRPr="00E33DE3">
        <w:rPr>
          <w:rFonts w:ascii="Verdana" w:hAnsi="Verdana" w:cs="Arial"/>
          <w:sz w:val="22"/>
          <w:szCs w:val="22"/>
        </w:rPr>
        <w:t xml:space="preserve">de la tipología promedio para la Entidad Territorial, definida en los documentos de distribución de recursos del SGP para cada vigencia. </w:t>
      </w:r>
    </w:p>
    <w:p w14:paraId="040EC704" w14:textId="77777777" w:rsidR="00273288" w:rsidRPr="00E33DE3" w:rsidRDefault="00273288" w:rsidP="00C65B25">
      <w:pPr>
        <w:widowControl w:val="0"/>
        <w:autoSpaceDE w:val="0"/>
        <w:autoSpaceDN w:val="0"/>
        <w:ind w:right="49"/>
        <w:jc w:val="both"/>
        <w:rPr>
          <w:rFonts w:ascii="Verdana" w:hAnsi="Verdana" w:cs="Arial"/>
          <w:sz w:val="22"/>
          <w:szCs w:val="22"/>
        </w:rPr>
      </w:pPr>
    </w:p>
    <w:p w14:paraId="45F59754" w14:textId="77777777" w:rsidR="00273288" w:rsidRPr="00E33DE3" w:rsidRDefault="00273288" w:rsidP="00C65B25">
      <w:pPr>
        <w:widowControl w:val="0"/>
        <w:autoSpaceDE w:val="0"/>
        <w:autoSpaceDN w:val="0"/>
        <w:ind w:right="49"/>
        <w:jc w:val="both"/>
        <w:rPr>
          <w:rStyle w:val="Textoennegrita"/>
          <w:rFonts w:ascii="Verdana" w:hAnsi="Verdana"/>
          <w:b w:val="0"/>
          <w:lang w:val="es-CO"/>
        </w:rPr>
      </w:pPr>
      <w:r w:rsidRPr="00E33DE3">
        <w:rPr>
          <w:rFonts w:ascii="Verdana" w:hAnsi="Verdana" w:cs="Arial"/>
          <w:sz w:val="22"/>
          <w:szCs w:val="22"/>
        </w:rPr>
        <w:t xml:space="preserve">Así, se estima un sobre costo de $5.788 millones entre 2019 y 2022 en los contratos suscritos por la Entidad Territorial para la </w:t>
      </w:r>
      <w:r w:rsidRPr="00E33DE3">
        <w:rPr>
          <w:rFonts w:ascii="Verdana" w:hAnsi="Verdana" w:cs="Arial"/>
          <w:bCs/>
          <w:sz w:val="22"/>
          <w:szCs w:val="22"/>
        </w:rPr>
        <w:t xml:space="preserve">promoción e implementación de estrategias de desarrollo pedagógico con iglesias y confesiones religiosas. Efectivamente, el monto más representativo en las canastas pactadas consiste en el uso de la infraestructura o arrendamiento </w:t>
      </w:r>
      <w:r w:rsidRPr="00E33DE3">
        <w:rPr>
          <w:rFonts w:ascii="Verdana" w:hAnsi="Verdana" w:cs="Arial"/>
          <w:bCs/>
          <w:sz w:val="22"/>
          <w:szCs w:val="22"/>
        </w:rPr>
        <w:lastRenderedPageBreak/>
        <w:t>(</w:t>
      </w:r>
      <w:r w:rsidRPr="00E33DE3">
        <w:rPr>
          <w:rFonts w:ascii="Verdana" w:hAnsi="Verdana" w:cs="Arial"/>
          <w:sz w:val="22"/>
          <w:szCs w:val="22"/>
        </w:rPr>
        <w:t>$6.921 millones)</w:t>
      </w:r>
      <w:r w:rsidRPr="00E33DE3">
        <w:rPr>
          <w:rFonts w:ascii="Verdana" w:hAnsi="Verdana" w:cs="Arial"/>
          <w:bCs/>
          <w:sz w:val="22"/>
          <w:szCs w:val="22"/>
        </w:rPr>
        <w:t>, siendo éste el valor real de la necesidad a satisfacer a través de la contratación y no el pagado por parte del Municipio, así (cifras en pesos):</w:t>
      </w:r>
    </w:p>
    <w:p w14:paraId="79BB582A" w14:textId="77777777" w:rsidR="00273288" w:rsidRPr="00E33DE3" w:rsidRDefault="00273288" w:rsidP="00C65B25">
      <w:pPr>
        <w:widowControl w:val="0"/>
        <w:autoSpaceDE w:val="0"/>
        <w:autoSpaceDN w:val="0"/>
        <w:ind w:right="49"/>
        <w:jc w:val="both"/>
        <w:rPr>
          <w:rStyle w:val="Textoennegrita"/>
          <w:rFonts w:ascii="Verdana" w:hAnsi="Verdana"/>
          <w:b w:val="0"/>
          <w:sz w:val="22"/>
          <w:szCs w:val="22"/>
          <w:highlight w:val="cyan"/>
          <w:lang w:val="es-CO"/>
        </w:rPr>
      </w:pPr>
    </w:p>
    <w:tbl>
      <w:tblPr>
        <w:tblW w:w="8746" w:type="dxa"/>
        <w:tblLook w:val="04A0" w:firstRow="1" w:lastRow="0" w:firstColumn="1" w:lastColumn="0" w:noHBand="0" w:noVBand="1"/>
      </w:tblPr>
      <w:tblGrid>
        <w:gridCol w:w="1389"/>
        <w:gridCol w:w="1460"/>
        <w:gridCol w:w="1461"/>
        <w:gridCol w:w="1461"/>
        <w:gridCol w:w="1461"/>
        <w:gridCol w:w="1586"/>
      </w:tblGrid>
      <w:tr w:rsidR="00273288" w:rsidRPr="00E33DE3" w14:paraId="4EED35A1" w14:textId="77777777" w:rsidTr="00273288">
        <w:trPr>
          <w:trHeight w:val="20"/>
        </w:trPr>
        <w:tc>
          <w:tcPr>
            <w:tcW w:w="1790" w:type="dxa"/>
            <w:tcBorders>
              <w:top w:val="single" w:sz="8" w:space="0" w:color="auto"/>
              <w:left w:val="single" w:sz="8" w:space="0" w:color="auto"/>
              <w:bottom w:val="single" w:sz="8" w:space="0" w:color="auto"/>
              <w:right w:val="single" w:sz="8" w:space="0" w:color="auto"/>
            </w:tcBorders>
            <w:shd w:val="clear" w:color="auto" w:fill="B48C41"/>
            <w:tcMar>
              <w:top w:w="0" w:type="dxa"/>
              <w:left w:w="0" w:type="dxa"/>
              <w:bottom w:w="0" w:type="dxa"/>
              <w:right w:w="0" w:type="dxa"/>
            </w:tcMar>
            <w:vAlign w:val="center"/>
            <w:hideMark/>
          </w:tcPr>
          <w:p w14:paraId="23323D9E" w14:textId="77777777" w:rsidR="00273288" w:rsidRPr="00E33DE3" w:rsidRDefault="00273288" w:rsidP="00C65B25">
            <w:pPr>
              <w:jc w:val="center"/>
              <w:rPr>
                <w:rFonts w:ascii="Verdana" w:eastAsia="Times New Roman" w:hAnsi="Verdana" w:cs="Arial"/>
                <w:b/>
                <w:color w:val="FFFFFF"/>
                <w:sz w:val="18"/>
                <w:szCs w:val="18"/>
                <w:lang w:eastAsia="es-CO"/>
              </w:rPr>
            </w:pPr>
            <w:r w:rsidRPr="00E33DE3">
              <w:rPr>
                <w:rFonts w:ascii="Verdana" w:hAnsi="Verdana" w:cs="Arial"/>
                <w:b/>
                <w:bCs/>
                <w:color w:val="FFFFFF" w:themeColor="background1"/>
                <w:sz w:val="18"/>
                <w:szCs w:val="18"/>
                <w:lang w:val="es-CO"/>
              </w:rPr>
              <w:t xml:space="preserve">Concepto </w:t>
            </w:r>
          </w:p>
        </w:tc>
        <w:tc>
          <w:tcPr>
            <w:tcW w:w="1380" w:type="dxa"/>
            <w:tcBorders>
              <w:top w:val="single" w:sz="8" w:space="0" w:color="auto"/>
              <w:left w:val="single" w:sz="4" w:space="0" w:color="auto"/>
              <w:bottom w:val="single" w:sz="8" w:space="0" w:color="auto"/>
              <w:right w:val="single" w:sz="8" w:space="0" w:color="auto"/>
            </w:tcBorders>
            <w:shd w:val="clear" w:color="auto" w:fill="B48C41"/>
            <w:tcMar>
              <w:top w:w="0" w:type="dxa"/>
              <w:left w:w="0" w:type="dxa"/>
              <w:bottom w:w="0" w:type="dxa"/>
              <w:right w:w="0" w:type="dxa"/>
            </w:tcMar>
            <w:vAlign w:val="center"/>
            <w:hideMark/>
          </w:tcPr>
          <w:p w14:paraId="5972A1B3" w14:textId="77777777" w:rsidR="00273288" w:rsidRPr="00E33DE3" w:rsidRDefault="00273288" w:rsidP="00C65B25">
            <w:pPr>
              <w:jc w:val="center"/>
              <w:rPr>
                <w:rFonts w:ascii="Verdana" w:hAnsi="Verdana" w:cs="Arial"/>
                <w:b/>
                <w:bCs/>
                <w:color w:val="FFFFFF"/>
                <w:sz w:val="18"/>
                <w:szCs w:val="18"/>
                <w:lang w:val="es-CO"/>
              </w:rPr>
            </w:pPr>
            <w:r w:rsidRPr="00E33DE3">
              <w:rPr>
                <w:rFonts w:ascii="Verdana" w:hAnsi="Verdana" w:cs="Arial"/>
                <w:b/>
                <w:bCs/>
                <w:color w:val="FFFFFF" w:themeColor="background1"/>
                <w:sz w:val="18"/>
                <w:szCs w:val="18"/>
                <w:lang w:val="es-CO"/>
              </w:rPr>
              <w:t xml:space="preserve"> 2.019 </w:t>
            </w:r>
          </w:p>
        </w:tc>
        <w:tc>
          <w:tcPr>
            <w:tcW w:w="1380" w:type="dxa"/>
            <w:tcBorders>
              <w:top w:val="single" w:sz="8" w:space="0" w:color="auto"/>
              <w:left w:val="single" w:sz="4" w:space="0" w:color="auto"/>
              <w:bottom w:val="single" w:sz="8" w:space="0" w:color="auto"/>
              <w:right w:val="single" w:sz="8" w:space="0" w:color="auto"/>
            </w:tcBorders>
            <w:shd w:val="clear" w:color="auto" w:fill="B48C41"/>
            <w:tcMar>
              <w:top w:w="0" w:type="dxa"/>
              <w:left w:w="0" w:type="dxa"/>
              <w:bottom w:w="0" w:type="dxa"/>
              <w:right w:w="0" w:type="dxa"/>
            </w:tcMar>
            <w:vAlign w:val="center"/>
            <w:hideMark/>
          </w:tcPr>
          <w:p w14:paraId="1DB23EEC" w14:textId="77777777" w:rsidR="00273288" w:rsidRPr="00E33DE3" w:rsidRDefault="00273288" w:rsidP="00C65B25">
            <w:pPr>
              <w:jc w:val="center"/>
              <w:rPr>
                <w:rFonts w:ascii="Verdana" w:hAnsi="Verdana" w:cs="Arial"/>
                <w:b/>
                <w:bCs/>
                <w:color w:val="FFFFFF"/>
                <w:sz w:val="18"/>
                <w:szCs w:val="18"/>
                <w:lang w:val="es-CO"/>
              </w:rPr>
            </w:pPr>
            <w:r w:rsidRPr="00E33DE3">
              <w:rPr>
                <w:rFonts w:ascii="Verdana" w:hAnsi="Verdana" w:cs="Arial"/>
                <w:b/>
                <w:bCs/>
                <w:color w:val="FFFFFF" w:themeColor="background1"/>
                <w:sz w:val="18"/>
                <w:szCs w:val="18"/>
                <w:lang w:val="es-CO"/>
              </w:rPr>
              <w:t xml:space="preserve"> 2.020 </w:t>
            </w:r>
          </w:p>
        </w:tc>
        <w:tc>
          <w:tcPr>
            <w:tcW w:w="1380" w:type="dxa"/>
            <w:tcBorders>
              <w:top w:val="single" w:sz="8" w:space="0" w:color="auto"/>
              <w:left w:val="single" w:sz="4" w:space="0" w:color="auto"/>
              <w:bottom w:val="single" w:sz="8" w:space="0" w:color="auto"/>
              <w:right w:val="single" w:sz="8" w:space="0" w:color="auto"/>
            </w:tcBorders>
            <w:shd w:val="clear" w:color="auto" w:fill="B48C41"/>
            <w:tcMar>
              <w:top w:w="0" w:type="dxa"/>
              <w:left w:w="0" w:type="dxa"/>
              <w:bottom w:w="0" w:type="dxa"/>
              <w:right w:w="0" w:type="dxa"/>
            </w:tcMar>
            <w:vAlign w:val="center"/>
            <w:hideMark/>
          </w:tcPr>
          <w:p w14:paraId="5A24B6FA" w14:textId="77777777" w:rsidR="00273288" w:rsidRPr="00E33DE3" w:rsidRDefault="00273288" w:rsidP="00C65B25">
            <w:pPr>
              <w:jc w:val="center"/>
              <w:rPr>
                <w:rFonts w:ascii="Verdana" w:hAnsi="Verdana" w:cs="Arial"/>
                <w:b/>
                <w:bCs/>
                <w:color w:val="FFFFFF"/>
                <w:sz w:val="18"/>
                <w:szCs w:val="18"/>
                <w:lang w:val="es-CO"/>
              </w:rPr>
            </w:pPr>
            <w:r w:rsidRPr="00E33DE3">
              <w:rPr>
                <w:rFonts w:ascii="Verdana" w:hAnsi="Verdana" w:cs="Arial"/>
                <w:b/>
                <w:bCs/>
                <w:color w:val="FFFFFF" w:themeColor="background1"/>
                <w:sz w:val="18"/>
                <w:szCs w:val="18"/>
                <w:lang w:val="es-CO"/>
              </w:rPr>
              <w:t xml:space="preserve"> 2.021 </w:t>
            </w:r>
          </w:p>
        </w:tc>
        <w:tc>
          <w:tcPr>
            <w:tcW w:w="1380" w:type="dxa"/>
            <w:tcBorders>
              <w:top w:val="single" w:sz="8" w:space="0" w:color="auto"/>
              <w:left w:val="single" w:sz="4" w:space="0" w:color="auto"/>
              <w:bottom w:val="single" w:sz="8" w:space="0" w:color="auto"/>
              <w:right w:val="single" w:sz="8" w:space="0" w:color="auto"/>
            </w:tcBorders>
            <w:shd w:val="clear" w:color="auto" w:fill="B48C41"/>
            <w:tcMar>
              <w:top w:w="0" w:type="dxa"/>
              <w:left w:w="0" w:type="dxa"/>
              <w:bottom w:w="0" w:type="dxa"/>
              <w:right w:w="0" w:type="dxa"/>
            </w:tcMar>
            <w:vAlign w:val="center"/>
            <w:hideMark/>
          </w:tcPr>
          <w:p w14:paraId="4D8C8D74" w14:textId="77777777" w:rsidR="00273288" w:rsidRPr="00E33DE3" w:rsidRDefault="00273288" w:rsidP="00C65B25">
            <w:pPr>
              <w:jc w:val="center"/>
              <w:rPr>
                <w:rFonts w:ascii="Verdana" w:hAnsi="Verdana" w:cs="Arial"/>
                <w:b/>
                <w:bCs/>
                <w:color w:val="FFFFFF"/>
                <w:sz w:val="18"/>
                <w:szCs w:val="18"/>
                <w:lang w:val="es-CO"/>
              </w:rPr>
            </w:pPr>
            <w:r w:rsidRPr="00E33DE3">
              <w:rPr>
                <w:rFonts w:ascii="Verdana" w:hAnsi="Verdana" w:cs="Arial"/>
                <w:b/>
                <w:bCs/>
                <w:color w:val="FFFFFF" w:themeColor="background1"/>
                <w:sz w:val="18"/>
                <w:szCs w:val="18"/>
                <w:lang w:val="es-CO"/>
              </w:rPr>
              <w:t xml:space="preserve"> 2.022 </w:t>
            </w:r>
          </w:p>
        </w:tc>
        <w:tc>
          <w:tcPr>
            <w:tcW w:w="1436" w:type="dxa"/>
            <w:tcBorders>
              <w:top w:val="single" w:sz="8" w:space="0" w:color="auto"/>
              <w:left w:val="single" w:sz="4" w:space="0" w:color="auto"/>
              <w:bottom w:val="single" w:sz="8" w:space="0" w:color="auto"/>
              <w:right w:val="single" w:sz="8" w:space="0" w:color="auto"/>
            </w:tcBorders>
            <w:shd w:val="clear" w:color="auto" w:fill="B48C41"/>
            <w:tcMar>
              <w:top w:w="0" w:type="dxa"/>
              <w:left w:w="0" w:type="dxa"/>
              <w:bottom w:w="0" w:type="dxa"/>
              <w:right w:w="0" w:type="dxa"/>
            </w:tcMar>
            <w:vAlign w:val="center"/>
            <w:hideMark/>
          </w:tcPr>
          <w:p w14:paraId="241B85EA" w14:textId="77777777" w:rsidR="00273288" w:rsidRPr="00E33DE3" w:rsidRDefault="00273288" w:rsidP="00C65B25">
            <w:pPr>
              <w:jc w:val="center"/>
              <w:rPr>
                <w:rFonts w:ascii="Verdana" w:hAnsi="Verdana" w:cs="Arial"/>
                <w:b/>
                <w:bCs/>
                <w:color w:val="FFFFFF"/>
                <w:sz w:val="18"/>
                <w:szCs w:val="18"/>
                <w:lang w:val="es-CO"/>
              </w:rPr>
            </w:pPr>
            <w:r w:rsidRPr="00E33DE3">
              <w:rPr>
                <w:rFonts w:ascii="Verdana" w:hAnsi="Verdana" w:cs="Arial"/>
                <w:b/>
                <w:bCs/>
                <w:color w:val="FFFFFF" w:themeColor="background1"/>
                <w:sz w:val="18"/>
                <w:szCs w:val="18"/>
                <w:lang w:val="es-CO"/>
              </w:rPr>
              <w:t xml:space="preserve"> Total </w:t>
            </w:r>
          </w:p>
        </w:tc>
      </w:tr>
      <w:tr w:rsidR="00273288" w:rsidRPr="00E33DE3" w14:paraId="6D8AAB53" w14:textId="77777777" w:rsidTr="00273288">
        <w:trPr>
          <w:trHeight w:val="20"/>
        </w:trPr>
        <w:tc>
          <w:tcPr>
            <w:tcW w:w="179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7D2F303C" w14:textId="77777777" w:rsidR="00273288" w:rsidRPr="00E33DE3" w:rsidRDefault="00273288" w:rsidP="00C65B25">
            <w:pPr>
              <w:rPr>
                <w:rFonts w:ascii="Verdana" w:hAnsi="Verdana" w:cs="Arial"/>
                <w:color w:val="000000"/>
                <w:sz w:val="18"/>
                <w:szCs w:val="18"/>
                <w:lang w:val="es-CO"/>
              </w:rPr>
            </w:pPr>
            <w:r w:rsidRPr="00E33DE3">
              <w:rPr>
                <w:rFonts w:ascii="Verdana" w:hAnsi="Verdana" w:cs="Arial"/>
                <w:color w:val="000000" w:themeColor="text1"/>
                <w:sz w:val="18"/>
                <w:szCs w:val="18"/>
                <w:lang w:val="es-CO"/>
              </w:rPr>
              <w:t>Arriendo</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165A6A55"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1.553.748.197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25ADEE29"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1.692.042.328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1C9665FA"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1.810.258.756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50D2DB72"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1.865.669.824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44398406"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6.921.719.105 </w:t>
            </w:r>
          </w:p>
        </w:tc>
      </w:tr>
      <w:tr w:rsidR="00273288" w:rsidRPr="00E33DE3" w14:paraId="643E52B3" w14:textId="77777777" w:rsidTr="00273288">
        <w:trPr>
          <w:trHeight w:val="20"/>
        </w:trPr>
        <w:tc>
          <w:tcPr>
            <w:tcW w:w="179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7BDB847D" w14:textId="77777777" w:rsidR="00273288" w:rsidRPr="00E33DE3" w:rsidRDefault="00273288" w:rsidP="00C65B25">
            <w:pPr>
              <w:rPr>
                <w:rFonts w:ascii="Verdana" w:hAnsi="Verdana" w:cs="Arial"/>
                <w:color w:val="000000"/>
                <w:sz w:val="18"/>
                <w:szCs w:val="18"/>
                <w:lang w:val="es-CO"/>
              </w:rPr>
            </w:pPr>
            <w:r w:rsidRPr="00E33DE3">
              <w:rPr>
                <w:rFonts w:ascii="Verdana" w:hAnsi="Verdana" w:cs="Arial"/>
                <w:color w:val="000000" w:themeColor="text1"/>
                <w:sz w:val="18"/>
                <w:szCs w:val="18"/>
                <w:lang w:val="es-CO"/>
              </w:rPr>
              <w:t>Administrativos</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2F769AA2"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585.890.615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74170FFE"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557.686.465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33CD66A1"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662.129.520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69E702EE"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771.812.859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5E68597F"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2.577.519.459 </w:t>
            </w:r>
          </w:p>
        </w:tc>
      </w:tr>
      <w:tr w:rsidR="00273288" w:rsidRPr="00E33DE3" w14:paraId="49A9C376" w14:textId="77777777" w:rsidTr="00273288">
        <w:trPr>
          <w:trHeight w:val="20"/>
        </w:trPr>
        <w:tc>
          <w:tcPr>
            <w:tcW w:w="179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45F776A4" w14:textId="77777777" w:rsidR="00273288" w:rsidRPr="00E33DE3" w:rsidRDefault="00273288" w:rsidP="00C65B25">
            <w:pPr>
              <w:rPr>
                <w:rFonts w:ascii="Verdana" w:hAnsi="Verdana" w:cs="Arial"/>
                <w:color w:val="000000"/>
                <w:sz w:val="18"/>
                <w:szCs w:val="18"/>
                <w:lang w:val="es-CO"/>
              </w:rPr>
            </w:pPr>
            <w:r w:rsidRPr="00E33DE3">
              <w:rPr>
                <w:rFonts w:ascii="Verdana" w:hAnsi="Verdana" w:cs="Arial"/>
                <w:color w:val="000000" w:themeColor="text1"/>
                <w:sz w:val="18"/>
                <w:szCs w:val="18"/>
                <w:lang w:val="es-CO"/>
              </w:rPr>
              <w:t>Otros</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418F54B5"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319.563.305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32B18982"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374.625.952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5FF50D53"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370.242.204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570D25D5"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205.603.356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2E713FCF"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1.270.034.817 </w:t>
            </w:r>
          </w:p>
        </w:tc>
      </w:tr>
      <w:tr w:rsidR="00273288" w:rsidRPr="00E33DE3" w14:paraId="78E803C3" w14:textId="77777777" w:rsidTr="00273288">
        <w:trPr>
          <w:trHeight w:val="20"/>
        </w:trPr>
        <w:tc>
          <w:tcPr>
            <w:tcW w:w="179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10BC68DA" w14:textId="77777777" w:rsidR="00273288" w:rsidRPr="00E33DE3" w:rsidRDefault="00273288" w:rsidP="00C65B25">
            <w:pPr>
              <w:rPr>
                <w:rFonts w:ascii="Verdana" w:hAnsi="Verdana" w:cs="Arial"/>
                <w:color w:val="000000"/>
                <w:sz w:val="18"/>
                <w:szCs w:val="18"/>
                <w:lang w:val="es-CO"/>
              </w:rPr>
            </w:pPr>
            <w:r w:rsidRPr="00E33DE3">
              <w:rPr>
                <w:rFonts w:ascii="Verdana" w:hAnsi="Verdana" w:cs="Arial"/>
                <w:color w:val="000000" w:themeColor="text1"/>
                <w:sz w:val="18"/>
                <w:szCs w:val="18"/>
                <w:lang w:val="es-CO"/>
              </w:rPr>
              <w:t>Directivos Docentes</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270F24A6"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259.357.741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0AFDC9A7"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286.329.022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452DBADF"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296.130.020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0666E77D"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316.286.666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34CB5E28"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1.158.103.449 </w:t>
            </w:r>
          </w:p>
        </w:tc>
      </w:tr>
      <w:tr w:rsidR="00273288" w:rsidRPr="00E33DE3" w14:paraId="535A2FA0" w14:textId="77777777" w:rsidTr="00273288">
        <w:trPr>
          <w:trHeight w:val="20"/>
        </w:trPr>
        <w:tc>
          <w:tcPr>
            <w:tcW w:w="179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77E54ADE" w14:textId="77777777" w:rsidR="00273288" w:rsidRPr="00E33DE3" w:rsidRDefault="00273288" w:rsidP="00C65B25">
            <w:pPr>
              <w:rPr>
                <w:rFonts w:ascii="Verdana" w:hAnsi="Verdana" w:cs="Arial"/>
                <w:color w:val="000000"/>
                <w:sz w:val="18"/>
                <w:szCs w:val="18"/>
                <w:lang w:val="es-CO"/>
              </w:rPr>
            </w:pPr>
            <w:r w:rsidRPr="00E33DE3">
              <w:rPr>
                <w:rFonts w:ascii="Verdana" w:hAnsi="Verdana" w:cs="Arial"/>
                <w:color w:val="000000" w:themeColor="text1"/>
                <w:sz w:val="18"/>
                <w:szCs w:val="18"/>
                <w:lang w:val="es-CO"/>
              </w:rPr>
              <w:t>Material educativo</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327630BE"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274.357.842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7B38B9DE"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260.112.096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4A3F797A"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241.491.461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002412AB"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189.545.699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02ECD954"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965.507.098 </w:t>
            </w:r>
          </w:p>
        </w:tc>
      </w:tr>
      <w:tr w:rsidR="00273288" w:rsidRPr="00E33DE3" w14:paraId="76E1FF70" w14:textId="77777777" w:rsidTr="00273288">
        <w:trPr>
          <w:trHeight w:val="20"/>
        </w:trPr>
        <w:tc>
          <w:tcPr>
            <w:tcW w:w="179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45E1F99C" w14:textId="77777777" w:rsidR="00273288" w:rsidRPr="00E33DE3" w:rsidRDefault="00273288" w:rsidP="00C65B25">
            <w:pPr>
              <w:rPr>
                <w:rFonts w:ascii="Verdana" w:hAnsi="Verdana" w:cs="Arial"/>
                <w:color w:val="000000"/>
                <w:sz w:val="18"/>
                <w:szCs w:val="18"/>
                <w:lang w:val="es-CO"/>
              </w:rPr>
            </w:pPr>
            <w:r w:rsidRPr="00E33DE3">
              <w:rPr>
                <w:rFonts w:ascii="Verdana" w:hAnsi="Verdana" w:cs="Arial"/>
                <w:color w:val="000000" w:themeColor="text1"/>
                <w:sz w:val="18"/>
                <w:szCs w:val="18"/>
                <w:lang w:val="es-CO"/>
              </w:rPr>
              <w:t>Proyectos educativos</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0931B030"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251.195.050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5240E519"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234.128.449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1EA1CABF"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188.684.571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3FEBD2FC"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233.651.691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5509DFF8"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907.659.762 </w:t>
            </w:r>
          </w:p>
        </w:tc>
      </w:tr>
      <w:tr w:rsidR="00273288" w:rsidRPr="00E33DE3" w14:paraId="57CB7983" w14:textId="77777777" w:rsidTr="00273288">
        <w:trPr>
          <w:trHeight w:val="20"/>
        </w:trPr>
        <w:tc>
          <w:tcPr>
            <w:tcW w:w="179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57115D6D" w14:textId="77777777" w:rsidR="00273288" w:rsidRPr="00E33DE3" w:rsidRDefault="00273288" w:rsidP="00C65B25">
            <w:pPr>
              <w:rPr>
                <w:rFonts w:ascii="Verdana" w:hAnsi="Verdana" w:cs="Arial"/>
                <w:color w:val="000000"/>
                <w:sz w:val="18"/>
                <w:szCs w:val="18"/>
                <w:lang w:val="es-CO"/>
              </w:rPr>
            </w:pPr>
            <w:r w:rsidRPr="00E33DE3">
              <w:rPr>
                <w:rFonts w:ascii="Verdana" w:hAnsi="Verdana" w:cs="Arial"/>
                <w:color w:val="000000" w:themeColor="text1"/>
                <w:sz w:val="18"/>
                <w:szCs w:val="18"/>
                <w:lang w:val="es-CO"/>
              </w:rPr>
              <w:t>personal de apoyo</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503A149C"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170.004.195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5F3581BB"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233.265.567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22BED3B4"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246.295.223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0DCC6208"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218.661.664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74D984E0"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868.226.649 </w:t>
            </w:r>
          </w:p>
        </w:tc>
      </w:tr>
      <w:tr w:rsidR="00273288" w:rsidRPr="00E33DE3" w14:paraId="1B288E63" w14:textId="77777777" w:rsidTr="00273288">
        <w:trPr>
          <w:trHeight w:val="20"/>
        </w:trPr>
        <w:tc>
          <w:tcPr>
            <w:tcW w:w="179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34018569" w14:textId="77777777" w:rsidR="00273288" w:rsidRPr="00E33DE3" w:rsidRDefault="00273288" w:rsidP="00C65B25">
            <w:pPr>
              <w:rPr>
                <w:rFonts w:ascii="Verdana" w:hAnsi="Verdana" w:cs="Arial"/>
                <w:color w:val="000000"/>
                <w:sz w:val="18"/>
                <w:szCs w:val="18"/>
                <w:lang w:val="es-CO"/>
              </w:rPr>
            </w:pPr>
            <w:r w:rsidRPr="00E33DE3">
              <w:rPr>
                <w:rFonts w:ascii="Verdana" w:hAnsi="Verdana" w:cs="Arial"/>
                <w:color w:val="000000" w:themeColor="text1"/>
                <w:sz w:val="18"/>
                <w:szCs w:val="18"/>
                <w:lang w:val="es-CO"/>
              </w:rPr>
              <w:t>Transporte</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3967D96C"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102.225.421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600CDAA0"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130.995.876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682C1685"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7E68E9D1"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 </w:t>
            </w:r>
          </w:p>
        </w:tc>
        <w:tc>
          <w:tcPr>
            <w:tcW w:w="0" w:type="auto"/>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19DF00A6" w14:textId="77777777" w:rsidR="00273288" w:rsidRPr="00E33DE3" w:rsidRDefault="00273288" w:rsidP="00C65B25">
            <w:pPr>
              <w:jc w:val="center"/>
              <w:rPr>
                <w:rFonts w:ascii="Verdana" w:hAnsi="Verdana" w:cs="Arial"/>
                <w:color w:val="000000"/>
                <w:sz w:val="18"/>
                <w:szCs w:val="18"/>
                <w:lang w:val="es-CO"/>
              </w:rPr>
            </w:pPr>
            <w:r w:rsidRPr="00E33DE3">
              <w:rPr>
                <w:rFonts w:ascii="Verdana" w:hAnsi="Verdana" w:cs="Arial"/>
                <w:color w:val="000000" w:themeColor="text1"/>
                <w:sz w:val="18"/>
                <w:szCs w:val="18"/>
                <w:lang w:val="es-CO"/>
              </w:rPr>
              <w:t xml:space="preserve"> 233.221.297 </w:t>
            </w:r>
          </w:p>
        </w:tc>
      </w:tr>
      <w:tr w:rsidR="00273288" w:rsidRPr="00E33DE3" w14:paraId="701739B7" w14:textId="77777777" w:rsidTr="00273288">
        <w:trPr>
          <w:trHeight w:val="20"/>
        </w:trPr>
        <w:tc>
          <w:tcPr>
            <w:tcW w:w="1790" w:type="dxa"/>
            <w:tcBorders>
              <w:top w:val="single" w:sz="4" w:space="0" w:color="auto"/>
              <w:left w:val="single" w:sz="8" w:space="0" w:color="auto"/>
              <w:bottom w:val="single" w:sz="8" w:space="0" w:color="auto"/>
              <w:right w:val="single" w:sz="8" w:space="0" w:color="auto"/>
            </w:tcBorders>
            <w:shd w:val="clear" w:color="auto" w:fill="B48C41"/>
            <w:tcMar>
              <w:top w:w="0" w:type="dxa"/>
              <w:left w:w="0" w:type="dxa"/>
              <w:bottom w:w="0" w:type="dxa"/>
              <w:right w:w="0" w:type="dxa"/>
            </w:tcMar>
            <w:vAlign w:val="center"/>
            <w:hideMark/>
          </w:tcPr>
          <w:p w14:paraId="7DEB3AA3" w14:textId="77777777" w:rsidR="00273288" w:rsidRPr="00E33DE3" w:rsidRDefault="00273288" w:rsidP="00C65B25">
            <w:pPr>
              <w:jc w:val="center"/>
              <w:rPr>
                <w:rFonts w:ascii="Verdana" w:hAnsi="Verdana" w:cs="Arial"/>
                <w:b/>
                <w:bCs/>
                <w:color w:val="FFFFFF"/>
                <w:sz w:val="18"/>
                <w:szCs w:val="18"/>
                <w:lang w:val="es-CO"/>
              </w:rPr>
            </w:pPr>
            <w:r w:rsidRPr="00E33DE3">
              <w:rPr>
                <w:rFonts w:ascii="Verdana" w:hAnsi="Verdana" w:cs="Arial"/>
                <w:b/>
                <w:bCs/>
                <w:color w:val="FFFFFF" w:themeColor="background1"/>
                <w:sz w:val="18"/>
                <w:szCs w:val="18"/>
                <w:lang w:val="es-CO"/>
              </w:rPr>
              <w:t xml:space="preserve"> Total </w:t>
            </w:r>
          </w:p>
        </w:tc>
        <w:tc>
          <w:tcPr>
            <w:tcW w:w="1380" w:type="dxa"/>
            <w:tcBorders>
              <w:top w:val="single" w:sz="4" w:space="0" w:color="auto"/>
              <w:left w:val="single" w:sz="4" w:space="0" w:color="auto"/>
              <w:bottom w:val="single" w:sz="8" w:space="0" w:color="auto"/>
              <w:right w:val="single" w:sz="8" w:space="0" w:color="auto"/>
            </w:tcBorders>
            <w:shd w:val="clear" w:color="auto" w:fill="B48C41"/>
            <w:tcMar>
              <w:top w:w="0" w:type="dxa"/>
              <w:left w:w="0" w:type="dxa"/>
              <w:bottom w:w="0" w:type="dxa"/>
              <w:right w:w="0" w:type="dxa"/>
            </w:tcMar>
            <w:vAlign w:val="center"/>
            <w:hideMark/>
          </w:tcPr>
          <w:p w14:paraId="443574C7" w14:textId="77777777" w:rsidR="00273288" w:rsidRPr="00E33DE3" w:rsidRDefault="00273288" w:rsidP="00C65B25">
            <w:pPr>
              <w:jc w:val="center"/>
              <w:rPr>
                <w:rFonts w:ascii="Verdana" w:hAnsi="Verdana" w:cs="Arial"/>
                <w:b/>
                <w:bCs/>
                <w:color w:val="FFFFFF"/>
                <w:sz w:val="18"/>
                <w:szCs w:val="18"/>
                <w:lang w:val="es-CO"/>
              </w:rPr>
            </w:pPr>
            <w:r w:rsidRPr="00E33DE3">
              <w:rPr>
                <w:rFonts w:ascii="Verdana" w:hAnsi="Verdana" w:cs="Arial"/>
                <w:b/>
                <w:bCs/>
                <w:color w:val="FFFFFF" w:themeColor="background1"/>
                <w:sz w:val="18"/>
                <w:szCs w:val="18"/>
                <w:lang w:val="es-CO"/>
              </w:rPr>
              <w:t xml:space="preserve"> 3.516.342.366 </w:t>
            </w:r>
          </w:p>
        </w:tc>
        <w:tc>
          <w:tcPr>
            <w:tcW w:w="1380" w:type="dxa"/>
            <w:tcBorders>
              <w:top w:val="single" w:sz="4" w:space="0" w:color="auto"/>
              <w:left w:val="single" w:sz="4" w:space="0" w:color="auto"/>
              <w:bottom w:val="single" w:sz="8" w:space="0" w:color="auto"/>
              <w:right w:val="single" w:sz="8" w:space="0" w:color="auto"/>
            </w:tcBorders>
            <w:shd w:val="clear" w:color="auto" w:fill="B48C41"/>
            <w:tcMar>
              <w:top w:w="0" w:type="dxa"/>
              <w:left w:w="0" w:type="dxa"/>
              <w:bottom w:w="0" w:type="dxa"/>
              <w:right w:w="0" w:type="dxa"/>
            </w:tcMar>
            <w:vAlign w:val="center"/>
            <w:hideMark/>
          </w:tcPr>
          <w:p w14:paraId="51CDCFFB" w14:textId="77777777" w:rsidR="00273288" w:rsidRPr="00E33DE3" w:rsidRDefault="00273288" w:rsidP="00C65B25">
            <w:pPr>
              <w:jc w:val="center"/>
              <w:rPr>
                <w:rFonts w:ascii="Verdana" w:hAnsi="Verdana" w:cs="Arial"/>
                <w:b/>
                <w:bCs/>
                <w:color w:val="FFFFFF"/>
                <w:sz w:val="18"/>
                <w:szCs w:val="18"/>
                <w:lang w:val="es-CO"/>
              </w:rPr>
            </w:pPr>
            <w:r w:rsidRPr="00E33DE3">
              <w:rPr>
                <w:rFonts w:ascii="Verdana" w:hAnsi="Verdana" w:cs="Arial"/>
                <w:b/>
                <w:bCs/>
                <w:color w:val="FFFFFF" w:themeColor="background1"/>
                <w:sz w:val="18"/>
                <w:szCs w:val="18"/>
                <w:lang w:val="es-CO"/>
              </w:rPr>
              <w:t xml:space="preserve"> 3.769.185.756 </w:t>
            </w:r>
          </w:p>
        </w:tc>
        <w:tc>
          <w:tcPr>
            <w:tcW w:w="1380" w:type="dxa"/>
            <w:tcBorders>
              <w:top w:val="single" w:sz="4" w:space="0" w:color="auto"/>
              <w:left w:val="single" w:sz="4" w:space="0" w:color="auto"/>
              <w:bottom w:val="single" w:sz="8" w:space="0" w:color="auto"/>
              <w:right w:val="single" w:sz="8" w:space="0" w:color="auto"/>
            </w:tcBorders>
            <w:shd w:val="clear" w:color="auto" w:fill="B48C41"/>
            <w:tcMar>
              <w:top w:w="0" w:type="dxa"/>
              <w:left w:w="0" w:type="dxa"/>
              <w:bottom w:w="0" w:type="dxa"/>
              <w:right w:w="0" w:type="dxa"/>
            </w:tcMar>
            <w:vAlign w:val="center"/>
            <w:hideMark/>
          </w:tcPr>
          <w:p w14:paraId="5FB0BA48" w14:textId="77777777" w:rsidR="00273288" w:rsidRPr="00E33DE3" w:rsidRDefault="00273288" w:rsidP="00C65B25">
            <w:pPr>
              <w:jc w:val="center"/>
              <w:rPr>
                <w:rFonts w:ascii="Verdana" w:hAnsi="Verdana" w:cs="Arial"/>
                <w:b/>
                <w:bCs/>
                <w:color w:val="FFFFFF"/>
                <w:sz w:val="18"/>
                <w:szCs w:val="18"/>
                <w:lang w:val="es-CO"/>
              </w:rPr>
            </w:pPr>
            <w:r w:rsidRPr="00E33DE3">
              <w:rPr>
                <w:rFonts w:ascii="Verdana" w:hAnsi="Verdana" w:cs="Arial"/>
                <w:b/>
                <w:bCs/>
                <w:color w:val="FFFFFF" w:themeColor="background1"/>
                <w:sz w:val="18"/>
                <w:szCs w:val="18"/>
                <w:lang w:val="es-CO"/>
              </w:rPr>
              <w:t xml:space="preserve"> 3.815.231.755 </w:t>
            </w:r>
          </w:p>
        </w:tc>
        <w:tc>
          <w:tcPr>
            <w:tcW w:w="1380" w:type="dxa"/>
            <w:tcBorders>
              <w:top w:val="single" w:sz="4" w:space="0" w:color="auto"/>
              <w:left w:val="single" w:sz="4" w:space="0" w:color="auto"/>
              <w:bottom w:val="single" w:sz="8" w:space="0" w:color="auto"/>
              <w:right w:val="single" w:sz="8" w:space="0" w:color="auto"/>
            </w:tcBorders>
            <w:shd w:val="clear" w:color="auto" w:fill="B48C41"/>
            <w:tcMar>
              <w:top w:w="0" w:type="dxa"/>
              <w:left w:w="0" w:type="dxa"/>
              <w:bottom w:w="0" w:type="dxa"/>
              <w:right w:w="0" w:type="dxa"/>
            </w:tcMar>
            <w:vAlign w:val="center"/>
            <w:hideMark/>
          </w:tcPr>
          <w:p w14:paraId="19E73DCA" w14:textId="77777777" w:rsidR="00273288" w:rsidRPr="00E33DE3" w:rsidRDefault="00273288" w:rsidP="00C65B25">
            <w:pPr>
              <w:jc w:val="center"/>
              <w:rPr>
                <w:rFonts w:ascii="Verdana" w:hAnsi="Verdana" w:cs="Arial"/>
                <w:b/>
                <w:bCs/>
                <w:color w:val="FFFFFF"/>
                <w:sz w:val="18"/>
                <w:szCs w:val="18"/>
                <w:lang w:val="es-CO"/>
              </w:rPr>
            </w:pPr>
            <w:r w:rsidRPr="00E33DE3">
              <w:rPr>
                <w:rFonts w:ascii="Verdana" w:hAnsi="Verdana" w:cs="Arial"/>
                <w:b/>
                <w:bCs/>
                <w:color w:val="FFFFFF" w:themeColor="background1"/>
                <w:sz w:val="18"/>
                <w:szCs w:val="18"/>
                <w:lang w:val="es-CO"/>
              </w:rPr>
              <w:t xml:space="preserve"> 3.801.231.759 </w:t>
            </w:r>
          </w:p>
        </w:tc>
        <w:tc>
          <w:tcPr>
            <w:tcW w:w="1436" w:type="dxa"/>
            <w:tcBorders>
              <w:top w:val="single" w:sz="4" w:space="0" w:color="auto"/>
              <w:left w:val="single" w:sz="4" w:space="0" w:color="auto"/>
              <w:bottom w:val="single" w:sz="8" w:space="0" w:color="auto"/>
              <w:right w:val="single" w:sz="8" w:space="0" w:color="auto"/>
            </w:tcBorders>
            <w:shd w:val="clear" w:color="auto" w:fill="B48C41"/>
            <w:tcMar>
              <w:top w:w="0" w:type="dxa"/>
              <w:left w:w="0" w:type="dxa"/>
              <w:bottom w:w="0" w:type="dxa"/>
              <w:right w:w="0" w:type="dxa"/>
            </w:tcMar>
            <w:vAlign w:val="center"/>
            <w:hideMark/>
          </w:tcPr>
          <w:p w14:paraId="573A3BDC" w14:textId="77777777" w:rsidR="00273288" w:rsidRPr="00E33DE3" w:rsidRDefault="00273288" w:rsidP="00C65B25">
            <w:pPr>
              <w:jc w:val="center"/>
              <w:rPr>
                <w:rFonts w:ascii="Verdana" w:hAnsi="Verdana" w:cs="Arial"/>
                <w:b/>
                <w:bCs/>
                <w:color w:val="FFFFFF"/>
                <w:sz w:val="18"/>
                <w:szCs w:val="18"/>
                <w:lang w:val="es-CO"/>
              </w:rPr>
            </w:pPr>
            <w:r w:rsidRPr="00E33DE3">
              <w:rPr>
                <w:rFonts w:ascii="Verdana" w:hAnsi="Verdana" w:cs="Arial"/>
                <w:b/>
                <w:bCs/>
                <w:color w:val="FFFFFF" w:themeColor="background1"/>
                <w:sz w:val="18"/>
                <w:szCs w:val="18"/>
                <w:lang w:val="es-CO"/>
              </w:rPr>
              <w:t xml:space="preserve"> 14.901.991.636 </w:t>
            </w:r>
          </w:p>
        </w:tc>
      </w:tr>
    </w:tbl>
    <w:p w14:paraId="460E16AB" w14:textId="77777777" w:rsidR="00273288" w:rsidRPr="00E33DE3" w:rsidRDefault="00273288" w:rsidP="00C65B25">
      <w:pPr>
        <w:widowControl w:val="0"/>
        <w:autoSpaceDE w:val="0"/>
        <w:autoSpaceDN w:val="0"/>
        <w:ind w:right="49"/>
        <w:jc w:val="center"/>
        <w:rPr>
          <w:rFonts w:ascii="Verdana" w:hAnsi="Verdana" w:cs="Arial"/>
          <w:sz w:val="18"/>
          <w:szCs w:val="18"/>
        </w:rPr>
      </w:pPr>
      <w:r w:rsidRPr="00E33DE3">
        <w:rPr>
          <w:rFonts w:ascii="Verdana" w:hAnsi="Verdana" w:cs="Arial"/>
          <w:sz w:val="18"/>
          <w:szCs w:val="18"/>
        </w:rPr>
        <w:t>Fuente: Precio de la canasta Educativa - Estudios previos para cada contrato.</w:t>
      </w:r>
    </w:p>
    <w:p w14:paraId="25887B42" w14:textId="77777777" w:rsidR="00273288" w:rsidRPr="00E33DE3" w:rsidRDefault="00273288" w:rsidP="00C65B25">
      <w:pPr>
        <w:widowControl w:val="0"/>
        <w:autoSpaceDE w:val="0"/>
        <w:autoSpaceDN w:val="0"/>
        <w:ind w:right="49"/>
        <w:jc w:val="both"/>
        <w:rPr>
          <w:rFonts w:ascii="Verdana" w:hAnsi="Verdana" w:cs="Arial"/>
          <w:sz w:val="22"/>
          <w:szCs w:val="22"/>
          <w:highlight w:val="cyan"/>
        </w:rPr>
      </w:pPr>
    </w:p>
    <w:p w14:paraId="7FED6458" w14:textId="77777777" w:rsidR="00273288" w:rsidRPr="00E33DE3" w:rsidRDefault="00273288" w:rsidP="00C65B25">
      <w:pPr>
        <w:widowControl w:val="0"/>
        <w:autoSpaceDE w:val="0"/>
        <w:autoSpaceDN w:val="0"/>
        <w:ind w:right="49"/>
        <w:jc w:val="both"/>
        <w:rPr>
          <w:rFonts w:ascii="Verdana" w:hAnsi="Verdana" w:cs="Arial"/>
          <w:sz w:val="22"/>
          <w:szCs w:val="22"/>
        </w:rPr>
      </w:pPr>
      <w:r w:rsidRPr="00E33DE3">
        <w:rPr>
          <w:rFonts w:ascii="Verdana" w:hAnsi="Verdana" w:cs="Arial"/>
          <w:sz w:val="22"/>
          <w:szCs w:val="22"/>
        </w:rPr>
        <w:t xml:space="preserve"> Lo anteriormente expuesto desvirtúa las figuras de contratación utilizadas por el Municipio de Pasto en el marco del Decreto 1851 de 2015, que regula la contratación para la prestación del servicio educativo, pues como ya se describió el servicio se presta mediante docentes oficiales para el 100% de los estudiantes matriculados en los establecimientos educativos objeto de contratación, así que debería limitarse a la contratación del arrendamiento de la infraestructura. </w:t>
      </w:r>
    </w:p>
    <w:p w14:paraId="512F8E36" w14:textId="77777777" w:rsidR="00273288" w:rsidRPr="00E33DE3" w:rsidRDefault="00273288" w:rsidP="00C65B25">
      <w:pPr>
        <w:widowControl w:val="0"/>
        <w:autoSpaceDE w:val="0"/>
        <w:autoSpaceDN w:val="0"/>
        <w:ind w:right="49"/>
        <w:jc w:val="both"/>
        <w:rPr>
          <w:rFonts w:ascii="Verdana" w:hAnsi="Verdana" w:cs="Arial"/>
          <w:sz w:val="22"/>
          <w:szCs w:val="22"/>
          <w:highlight w:val="cyan"/>
        </w:rPr>
      </w:pPr>
    </w:p>
    <w:p w14:paraId="286F8C67" w14:textId="77777777" w:rsidR="00273288" w:rsidRPr="00E33DE3" w:rsidRDefault="00273288" w:rsidP="00C65B25">
      <w:pPr>
        <w:widowControl w:val="0"/>
        <w:autoSpaceDE w:val="0"/>
        <w:autoSpaceDN w:val="0"/>
        <w:ind w:right="49"/>
        <w:jc w:val="both"/>
        <w:rPr>
          <w:rFonts w:ascii="Verdana" w:hAnsi="Verdana" w:cs="Arial"/>
          <w:sz w:val="22"/>
          <w:szCs w:val="22"/>
        </w:rPr>
      </w:pPr>
      <w:r w:rsidRPr="00E33DE3">
        <w:rPr>
          <w:rFonts w:ascii="Verdana" w:hAnsi="Verdana" w:cs="Arial"/>
          <w:sz w:val="22"/>
          <w:szCs w:val="22"/>
        </w:rPr>
        <w:t>Además de esto, la figura utilizada desvirtúa el monto del SGP – Educación que se destina a la financiación de gastos administrativos en el Municipio, al ser incluido este componente en el costo de los contratos, impidiendo validar el cumplimiento de lo establecido en el artículo 31 de la Ley 1176 de 2007.</w:t>
      </w:r>
    </w:p>
    <w:p w14:paraId="5A6A1CA4" w14:textId="77777777" w:rsidR="00273288" w:rsidRPr="00E33DE3" w:rsidRDefault="00273288" w:rsidP="00C65B25">
      <w:pPr>
        <w:jc w:val="both"/>
        <w:rPr>
          <w:rFonts w:ascii="Verdana" w:hAnsi="Verdana" w:cs="Arial"/>
          <w:sz w:val="22"/>
          <w:szCs w:val="22"/>
          <w:highlight w:val="cyan"/>
          <w:lang w:val="es-CO"/>
        </w:rPr>
      </w:pPr>
    </w:p>
    <w:p w14:paraId="33D99586" w14:textId="77777777" w:rsidR="00273288" w:rsidRPr="00E33DE3" w:rsidRDefault="00273288" w:rsidP="00C65B25">
      <w:pPr>
        <w:jc w:val="both"/>
        <w:rPr>
          <w:rFonts w:ascii="Verdana" w:hAnsi="Verdana" w:cs="Arial"/>
          <w:sz w:val="22"/>
          <w:szCs w:val="22"/>
          <w:lang w:val="es-CO"/>
        </w:rPr>
      </w:pPr>
      <w:r w:rsidRPr="00E33DE3">
        <w:rPr>
          <w:rFonts w:ascii="Verdana" w:hAnsi="Verdana" w:cs="Arial"/>
          <w:sz w:val="22"/>
          <w:szCs w:val="22"/>
          <w:lang w:val="es-CO"/>
        </w:rPr>
        <w:t>En conclusión, la Entidad Territorial no requiere contratar la prestación del servicio educativo con confesiones religiosas, ya que solo tiene necesidades de infraestructura que son solucionadas mediante los contratos de arrendamiento, sin generar sobre costos en la prestación del servicio, los cuales se traducen en el uso ineficiente de los recursos del Sistema General de Participaciones con que son financiados dichos contratos.</w:t>
      </w:r>
    </w:p>
    <w:p w14:paraId="3D49F645" w14:textId="77777777" w:rsidR="00273288" w:rsidRPr="00E33DE3" w:rsidRDefault="00273288" w:rsidP="00C65B25">
      <w:pPr>
        <w:jc w:val="both"/>
        <w:rPr>
          <w:rFonts w:ascii="Verdana" w:hAnsi="Verdana" w:cs="Arial"/>
          <w:sz w:val="22"/>
          <w:szCs w:val="22"/>
          <w:highlight w:val="cyan"/>
          <w:lang w:val="es-CO"/>
        </w:rPr>
      </w:pPr>
    </w:p>
    <w:p w14:paraId="59797E92" w14:textId="77777777" w:rsidR="00273288" w:rsidRPr="00E33DE3" w:rsidRDefault="00273288" w:rsidP="00C65B25">
      <w:pPr>
        <w:jc w:val="both"/>
        <w:rPr>
          <w:rFonts w:ascii="Verdana" w:hAnsi="Verdana" w:cs="Arial"/>
          <w:sz w:val="22"/>
          <w:szCs w:val="22"/>
          <w:lang w:val="es-CO"/>
        </w:rPr>
      </w:pPr>
      <w:r w:rsidRPr="00E33DE3">
        <w:rPr>
          <w:rFonts w:ascii="Verdana" w:hAnsi="Verdana" w:cs="Arial"/>
          <w:sz w:val="22"/>
          <w:szCs w:val="22"/>
          <w:lang w:val="es-CO"/>
        </w:rPr>
        <w:t xml:space="preserve">Con estos hechos, la Entidad Territorial desatendió los lineamientos del Decreto 1075 de 2015 que regulan la contratación del servicio educativo con terceros. De igual manera, incumplió los principios de eficacia, economía y celeridad que la Constitución Política le asigna a las autoridades administrativas en su artículo 209, así como lo consagrado en el artículo 3 de la ley 617 de 2000 al separarse </w:t>
      </w:r>
      <w:r w:rsidRPr="00E33DE3">
        <w:rPr>
          <w:rFonts w:ascii="Verdana" w:hAnsi="Verdana" w:cs="Arial"/>
          <w:sz w:val="22"/>
          <w:szCs w:val="22"/>
          <w:lang w:val="es-CO"/>
        </w:rPr>
        <w:lastRenderedPageBreak/>
        <w:t xml:space="preserve">del cumplimiento de los principios de eficiencia, economía, eficacia y equidad descritos. </w:t>
      </w:r>
    </w:p>
    <w:p w14:paraId="24F98826" w14:textId="77777777" w:rsidR="00273288" w:rsidRPr="00E33DE3" w:rsidRDefault="00273288" w:rsidP="00C65B25">
      <w:pPr>
        <w:jc w:val="both"/>
        <w:rPr>
          <w:rFonts w:ascii="Verdana" w:hAnsi="Verdana" w:cs="Arial"/>
          <w:sz w:val="22"/>
          <w:szCs w:val="22"/>
          <w:lang w:val="es-CO"/>
        </w:rPr>
      </w:pPr>
    </w:p>
    <w:p w14:paraId="13E8DCDE" w14:textId="77777777" w:rsidR="00273288" w:rsidRPr="00E33DE3" w:rsidRDefault="00273288" w:rsidP="00C65B25">
      <w:pPr>
        <w:jc w:val="both"/>
        <w:rPr>
          <w:rFonts w:ascii="Verdana" w:hAnsi="Verdana" w:cs="Arial"/>
          <w:sz w:val="22"/>
          <w:szCs w:val="22"/>
          <w:lang w:val="es-CO"/>
        </w:rPr>
      </w:pPr>
      <w:r w:rsidRPr="00E33DE3">
        <w:rPr>
          <w:rFonts w:ascii="Verdana" w:hAnsi="Verdana" w:cs="Arial"/>
          <w:sz w:val="22"/>
          <w:szCs w:val="22"/>
          <w:lang w:val="es-CO"/>
        </w:rPr>
        <w:t xml:space="preserve">Finalmente, desconoció los fines y el principio de economía de la contratación estatal establecidos en los artículos 3 y 25 de la ley 80 de 1993, respectivamente. </w:t>
      </w:r>
    </w:p>
    <w:p w14:paraId="676DF9ED" w14:textId="77777777" w:rsidR="00273288" w:rsidRPr="00E33DE3" w:rsidRDefault="00273288" w:rsidP="00C65B25">
      <w:pPr>
        <w:jc w:val="both"/>
        <w:rPr>
          <w:rFonts w:ascii="Verdana" w:hAnsi="Verdana" w:cs="Arial"/>
          <w:sz w:val="22"/>
          <w:szCs w:val="22"/>
          <w:highlight w:val="cyan"/>
          <w:lang w:val="es-CO"/>
        </w:rPr>
      </w:pPr>
    </w:p>
    <w:p w14:paraId="0119EBAB" w14:textId="77777777" w:rsidR="00273288" w:rsidRPr="00E33DE3" w:rsidRDefault="00273288" w:rsidP="00C65B25">
      <w:pPr>
        <w:jc w:val="both"/>
        <w:rPr>
          <w:rFonts w:ascii="Verdana" w:hAnsi="Verdana" w:cs="Arial"/>
          <w:sz w:val="22"/>
          <w:szCs w:val="22"/>
          <w:lang w:val="es-CO"/>
        </w:rPr>
      </w:pPr>
      <w:r w:rsidRPr="00E33DE3">
        <w:rPr>
          <w:rFonts w:ascii="Verdana" w:hAnsi="Verdana" w:cs="Arial"/>
          <w:b/>
          <w:sz w:val="22"/>
          <w:szCs w:val="22"/>
          <w:lang w:val="es-CO"/>
        </w:rPr>
        <w:t>Evidencias:</w:t>
      </w:r>
      <w:r w:rsidRPr="00E33DE3">
        <w:rPr>
          <w:rFonts w:ascii="Verdana" w:hAnsi="Verdana" w:cs="Arial"/>
          <w:sz w:val="22"/>
          <w:szCs w:val="22"/>
          <w:lang w:val="es-CO"/>
        </w:rPr>
        <w:t xml:space="preserve"> Obra en el expediente el siguiente material probatorio:</w:t>
      </w:r>
    </w:p>
    <w:p w14:paraId="5A72A82E"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191446 del 21 de febrero del 2019.</w:t>
      </w:r>
    </w:p>
    <w:p w14:paraId="7BAADB3A"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191452 del 27 de febrero del 2019.</w:t>
      </w:r>
    </w:p>
    <w:p w14:paraId="64A948AA"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191151 del 7 de febrero del 2019.</w:t>
      </w:r>
    </w:p>
    <w:p w14:paraId="4D5580B1"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191445 del 25 de febrero del 2019.</w:t>
      </w:r>
    </w:p>
    <w:p w14:paraId="6436E575"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191495 del 18 de marzo del 2019.</w:t>
      </w:r>
    </w:p>
    <w:p w14:paraId="290DAD92"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191450 del 22 de febrero del 2019.</w:t>
      </w:r>
    </w:p>
    <w:p w14:paraId="0CC87B61"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191152 del 7 de febrero del 2019.</w:t>
      </w:r>
    </w:p>
    <w:p w14:paraId="0231FAB4"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191381 del 14 de febrero del 2019.</w:t>
      </w:r>
    </w:p>
    <w:p w14:paraId="526B8349"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20828 del 31 de enero del 2020.</w:t>
      </w:r>
    </w:p>
    <w:p w14:paraId="019874B2"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201849 del 13 de marzo del 2020.</w:t>
      </w:r>
    </w:p>
    <w:p w14:paraId="50C18DBB"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200724 del 23 de enero del 2020.</w:t>
      </w:r>
    </w:p>
    <w:p w14:paraId="2C671A33"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200725 del 23 de enero del 2020.</w:t>
      </w:r>
    </w:p>
    <w:p w14:paraId="0A64DE9D"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200726 del 23 de enero del 2020.</w:t>
      </w:r>
    </w:p>
    <w:p w14:paraId="5ABCD678"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200729 del 23 de enero del 2020.</w:t>
      </w:r>
    </w:p>
    <w:p w14:paraId="197CA498"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200730 del 23 de enero del 2020.</w:t>
      </w:r>
    </w:p>
    <w:p w14:paraId="5DC31D61"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200731 del 23 de enero del 2020.</w:t>
      </w:r>
    </w:p>
    <w:p w14:paraId="214AFAFD"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20211317 del 13 de marzo de 2021.</w:t>
      </w:r>
    </w:p>
    <w:p w14:paraId="548B9333"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211323 del 9 de marzo del 2021</w:t>
      </w:r>
    </w:p>
    <w:p w14:paraId="099AFCD3"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211426 del 17 de marzo del 2021</w:t>
      </w:r>
    </w:p>
    <w:p w14:paraId="19E1D058"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211395 del 15 de marzo del 2021.</w:t>
      </w:r>
    </w:p>
    <w:p w14:paraId="07028176"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211309 del 3 de marzo del 2021.</w:t>
      </w:r>
    </w:p>
    <w:p w14:paraId="062D35E8"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221606 del 2 de febrero del 2022.</w:t>
      </w:r>
    </w:p>
    <w:p w14:paraId="0F79B4F0"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221427 del 1 de febrero del 2022</w:t>
      </w:r>
    </w:p>
    <w:p w14:paraId="4B1F22BE"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20221370 del 1 de febrero del 2022.</w:t>
      </w:r>
    </w:p>
    <w:p w14:paraId="0484BEC6"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20221590 del 28 de enero de 2022</w:t>
      </w:r>
    </w:p>
    <w:p w14:paraId="73976D0C"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221562 del 1 de febrero de 2022.</w:t>
      </w:r>
    </w:p>
    <w:p w14:paraId="133F4B44" w14:textId="77777777" w:rsidR="00273288" w:rsidRPr="00E33DE3" w:rsidRDefault="00273288" w:rsidP="00C65B25">
      <w:pPr>
        <w:pStyle w:val="Prrafodelista"/>
        <w:numPr>
          <w:ilvl w:val="0"/>
          <w:numId w:val="28"/>
        </w:numPr>
        <w:ind w:left="284" w:hanging="284"/>
        <w:jc w:val="both"/>
        <w:rPr>
          <w:rFonts w:ascii="Verdana" w:hAnsi="Verdana" w:cs="Arial"/>
          <w:sz w:val="22"/>
          <w:szCs w:val="22"/>
          <w:lang w:val="es-CO"/>
        </w:rPr>
      </w:pPr>
      <w:r w:rsidRPr="00E33DE3">
        <w:rPr>
          <w:rFonts w:ascii="Verdana" w:eastAsia="Calibri" w:hAnsi="Verdana" w:cs="Arial"/>
          <w:sz w:val="22"/>
          <w:szCs w:val="22"/>
          <w:lang w:eastAsia="en-US"/>
        </w:rPr>
        <w:t>Contrato No. 221329</w:t>
      </w:r>
      <w:r w:rsidRPr="00E33DE3">
        <w:rPr>
          <w:rFonts w:ascii="Verdana" w:hAnsi="Verdana" w:cs="Arial"/>
          <w:sz w:val="22"/>
          <w:szCs w:val="22"/>
          <w:lang w:val="es-CO"/>
        </w:rPr>
        <w:t xml:space="preserve"> del 1 de febrero el 2022.</w:t>
      </w:r>
    </w:p>
    <w:p w14:paraId="7E372460" w14:textId="77777777" w:rsidR="00273288" w:rsidRPr="00E33DE3" w:rsidRDefault="00273288" w:rsidP="00C65B25">
      <w:pPr>
        <w:jc w:val="both"/>
        <w:rPr>
          <w:rFonts w:ascii="Verdana" w:hAnsi="Verdana" w:cs="Arial"/>
          <w:sz w:val="22"/>
          <w:szCs w:val="22"/>
          <w:lang w:val="es-CO"/>
        </w:rPr>
      </w:pPr>
    </w:p>
    <w:p w14:paraId="247B6B51" w14:textId="77777777" w:rsidR="00273288" w:rsidRPr="00E33DE3" w:rsidRDefault="00273288" w:rsidP="00C65B25">
      <w:pPr>
        <w:jc w:val="both"/>
        <w:rPr>
          <w:rFonts w:ascii="Verdana" w:hAnsi="Verdana" w:cs="Arial"/>
          <w:sz w:val="22"/>
          <w:szCs w:val="22"/>
          <w:lang w:val="es-CO"/>
        </w:rPr>
      </w:pPr>
      <w:r w:rsidRPr="00E33DE3">
        <w:rPr>
          <w:rFonts w:ascii="Verdana" w:hAnsi="Verdana" w:cs="Arial"/>
          <w:sz w:val="22"/>
          <w:szCs w:val="22"/>
          <w:lang w:val="es-CO"/>
        </w:rPr>
        <w:t xml:space="preserve">Por lo anterior, el total de recursos a ser reinvertidos por el Municipio en el sector educativo-calidad son: </w:t>
      </w:r>
    </w:p>
    <w:p w14:paraId="2DD0C065" w14:textId="77777777" w:rsidR="00273288" w:rsidRPr="00E33DE3" w:rsidRDefault="00273288" w:rsidP="00C65B25">
      <w:pPr>
        <w:jc w:val="both"/>
        <w:rPr>
          <w:rFonts w:ascii="Verdana" w:hAnsi="Verdana" w:cs="Arial"/>
          <w:sz w:val="22"/>
          <w:szCs w:val="22"/>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8"/>
        <w:gridCol w:w="2670"/>
        <w:gridCol w:w="2864"/>
        <w:gridCol w:w="1292"/>
        <w:gridCol w:w="1344"/>
      </w:tblGrid>
      <w:tr w:rsidR="00273288" w:rsidRPr="00E33DE3" w14:paraId="6DD9D2EF" w14:textId="77777777" w:rsidTr="00273288">
        <w:trPr>
          <w:trHeight w:val="20"/>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B48C41"/>
            <w:vAlign w:val="center"/>
            <w:hideMark/>
          </w:tcPr>
          <w:p w14:paraId="3C719E7C"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 xml:space="preserve">Tabla 12. Resumen recursos a ser reinvertidos en el sector educativo </w:t>
            </w:r>
          </w:p>
        </w:tc>
      </w:tr>
      <w:tr w:rsidR="00273288" w:rsidRPr="00E33DE3" w14:paraId="793E88F2" w14:textId="77777777" w:rsidTr="00273288">
        <w:trPr>
          <w:trHeight w:val="20"/>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B48C41"/>
            <w:vAlign w:val="center"/>
            <w:hideMark/>
          </w:tcPr>
          <w:p w14:paraId="587E1D7F"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(Cifras en millones de pesos)</w:t>
            </w:r>
          </w:p>
        </w:tc>
      </w:tr>
      <w:tr w:rsidR="00273288" w:rsidRPr="00E33DE3" w14:paraId="66B2EE62" w14:textId="77777777" w:rsidTr="00273288">
        <w:trPr>
          <w:trHeight w:val="20"/>
          <w:tblHeader/>
        </w:trPr>
        <w:tc>
          <w:tcPr>
            <w:tcW w:w="373" w:type="pct"/>
            <w:tcBorders>
              <w:top w:val="single" w:sz="4" w:space="0" w:color="auto"/>
              <w:left w:val="single" w:sz="4" w:space="0" w:color="auto"/>
              <w:bottom w:val="single" w:sz="4" w:space="0" w:color="auto"/>
              <w:right w:val="single" w:sz="4" w:space="0" w:color="auto"/>
            </w:tcBorders>
            <w:shd w:val="clear" w:color="auto" w:fill="B48C41"/>
            <w:hideMark/>
          </w:tcPr>
          <w:p w14:paraId="6F1896C2"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Año</w:t>
            </w:r>
          </w:p>
        </w:tc>
        <w:tc>
          <w:tcPr>
            <w:tcW w:w="1512" w:type="pct"/>
            <w:tcBorders>
              <w:top w:val="single" w:sz="4" w:space="0" w:color="auto"/>
              <w:left w:val="single" w:sz="4" w:space="0" w:color="auto"/>
              <w:bottom w:val="single" w:sz="4" w:space="0" w:color="auto"/>
              <w:right w:val="single" w:sz="4" w:space="0" w:color="auto"/>
            </w:tcBorders>
            <w:shd w:val="clear" w:color="auto" w:fill="B48C41"/>
            <w:hideMark/>
          </w:tcPr>
          <w:p w14:paraId="1D5C9195"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Concepto</w:t>
            </w:r>
          </w:p>
        </w:tc>
        <w:tc>
          <w:tcPr>
            <w:tcW w:w="1622" w:type="pct"/>
            <w:tcBorders>
              <w:top w:val="single" w:sz="4" w:space="0" w:color="auto"/>
              <w:left w:val="single" w:sz="4" w:space="0" w:color="auto"/>
              <w:bottom w:val="single" w:sz="4" w:space="0" w:color="auto"/>
              <w:right w:val="single" w:sz="4" w:space="0" w:color="auto"/>
            </w:tcBorders>
            <w:shd w:val="clear" w:color="auto" w:fill="B48C41"/>
            <w:hideMark/>
          </w:tcPr>
          <w:p w14:paraId="0349B369"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Apartado</w:t>
            </w:r>
          </w:p>
        </w:tc>
        <w:tc>
          <w:tcPr>
            <w:tcW w:w="732" w:type="pct"/>
            <w:tcBorders>
              <w:top w:val="single" w:sz="4" w:space="0" w:color="auto"/>
              <w:left w:val="single" w:sz="4" w:space="0" w:color="auto"/>
              <w:bottom w:val="single" w:sz="4" w:space="0" w:color="auto"/>
              <w:right w:val="single" w:sz="4" w:space="0" w:color="auto"/>
            </w:tcBorders>
            <w:shd w:val="clear" w:color="auto" w:fill="B48C41"/>
            <w:hideMark/>
          </w:tcPr>
          <w:p w14:paraId="3D74720D"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Valor</w:t>
            </w:r>
          </w:p>
        </w:tc>
        <w:tc>
          <w:tcPr>
            <w:tcW w:w="761" w:type="pct"/>
            <w:tcBorders>
              <w:top w:val="single" w:sz="4" w:space="0" w:color="auto"/>
              <w:left w:val="single" w:sz="4" w:space="0" w:color="auto"/>
              <w:bottom w:val="single" w:sz="4" w:space="0" w:color="auto"/>
              <w:right w:val="single" w:sz="4" w:space="0" w:color="auto"/>
            </w:tcBorders>
            <w:shd w:val="clear" w:color="auto" w:fill="B48C41"/>
            <w:hideMark/>
          </w:tcPr>
          <w:p w14:paraId="37482B53"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Evidencia</w:t>
            </w:r>
          </w:p>
        </w:tc>
      </w:tr>
      <w:tr w:rsidR="00273288" w:rsidRPr="00E33DE3" w14:paraId="25B28460"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noWrap/>
            <w:vAlign w:val="center"/>
            <w:hideMark/>
          </w:tcPr>
          <w:p w14:paraId="797020A1"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2018</w:t>
            </w:r>
          </w:p>
        </w:tc>
        <w:tc>
          <w:tcPr>
            <w:tcW w:w="1512" w:type="pct"/>
            <w:tcBorders>
              <w:top w:val="single" w:sz="4" w:space="0" w:color="auto"/>
              <w:left w:val="single" w:sz="4" w:space="0" w:color="auto"/>
              <w:bottom w:val="single" w:sz="4" w:space="0" w:color="auto"/>
              <w:right w:val="single" w:sz="4" w:space="0" w:color="auto"/>
            </w:tcBorders>
            <w:vAlign w:val="center"/>
            <w:hideMark/>
          </w:tcPr>
          <w:p w14:paraId="5DA0CA6E"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Incremento de Antigüedad</w:t>
            </w:r>
          </w:p>
        </w:tc>
        <w:tc>
          <w:tcPr>
            <w:tcW w:w="1622" w:type="pct"/>
            <w:tcBorders>
              <w:top w:val="single" w:sz="4" w:space="0" w:color="auto"/>
              <w:left w:val="single" w:sz="4" w:space="0" w:color="auto"/>
              <w:bottom w:val="single" w:sz="4" w:space="0" w:color="auto"/>
              <w:right w:val="single" w:sz="4" w:space="0" w:color="auto"/>
            </w:tcBorders>
            <w:vAlign w:val="center"/>
            <w:hideMark/>
          </w:tcPr>
          <w:p w14:paraId="7C82C73B"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Inadecuado uso SGP detectado en ejecución presupuestal</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40222A81"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28</w:t>
            </w:r>
          </w:p>
        </w:tc>
        <w:tc>
          <w:tcPr>
            <w:tcW w:w="761" w:type="pct"/>
            <w:tcBorders>
              <w:top w:val="single" w:sz="4" w:space="0" w:color="auto"/>
              <w:left w:val="single" w:sz="4" w:space="0" w:color="auto"/>
              <w:bottom w:val="single" w:sz="4" w:space="0" w:color="auto"/>
              <w:right w:val="single" w:sz="4" w:space="0" w:color="auto"/>
            </w:tcBorders>
            <w:vAlign w:val="center"/>
            <w:hideMark/>
          </w:tcPr>
          <w:p w14:paraId="79C56B4E"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Ejecución Presupuestal</w:t>
            </w:r>
          </w:p>
        </w:tc>
      </w:tr>
      <w:tr w:rsidR="00273288" w:rsidRPr="00E33DE3" w14:paraId="674DDB85"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noWrap/>
            <w:vAlign w:val="center"/>
            <w:hideMark/>
          </w:tcPr>
          <w:p w14:paraId="4C8D2639" w14:textId="77777777" w:rsidR="00273288" w:rsidRPr="00E33DE3" w:rsidRDefault="00273288" w:rsidP="00C65B25">
            <w:pPr>
              <w:jc w:val="center"/>
              <w:rPr>
                <w:rFonts w:ascii="Verdana" w:eastAsia="Times New Roman" w:hAnsi="Verdana" w:cs="Arial"/>
                <w:color w:val="000000"/>
                <w:sz w:val="18"/>
                <w:szCs w:val="18"/>
                <w:lang w:val="es-CO" w:eastAsia="es-CO"/>
              </w:rPr>
            </w:pPr>
          </w:p>
        </w:tc>
        <w:tc>
          <w:tcPr>
            <w:tcW w:w="1512" w:type="pct"/>
            <w:tcBorders>
              <w:top w:val="single" w:sz="4" w:space="0" w:color="auto"/>
              <w:left w:val="single" w:sz="4" w:space="0" w:color="auto"/>
              <w:bottom w:val="single" w:sz="4" w:space="0" w:color="auto"/>
              <w:right w:val="single" w:sz="4" w:space="0" w:color="auto"/>
            </w:tcBorders>
            <w:vAlign w:val="center"/>
            <w:hideMark/>
          </w:tcPr>
          <w:p w14:paraId="5E004042" w14:textId="77777777" w:rsidR="00273288" w:rsidRPr="00E33DE3" w:rsidRDefault="00273288" w:rsidP="00C65B25">
            <w:pPr>
              <w:rPr>
                <w:rFonts w:ascii="Verdana" w:eastAsia="Times New Roman" w:hAnsi="Verdana" w:cs="Arial"/>
                <w:color w:val="000000"/>
                <w:sz w:val="18"/>
                <w:szCs w:val="18"/>
                <w:lang w:val="es-CO" w:eastAsia="es-CO"/>
              </w:rPr>
            </w:pPr>
          </w:p>
        </w:tc>
        <w:tc>
          <w:tcPr>
            <w:tcW w:w="1622" w:type="pct"/>
            <w:tcBorders>
              <w:top w:val="single" w:sz="4" w:space="0" w:color="auto"/>
              <w:left w:val="single" w:sz="4" w:space="0" w:color="auto"/>
              <w:bottom w:val="single" w:sz="4" w:space="0" w:color="auto"/>
              <w:right w:val="single" w:sz="4" w:space="0" w:color="auto"/>
            </w:tcBorders>
            <w:vAlign w:val="center"/>
            <w:hideMark/>
          </w:tcPr>
          <w:p w14:paraId="4AADFEDD" w14:textId="77777777" w:rsidR="00273288" w:rsidRPr="00E33DE3" w:rsidRDefault="00273288" w:rsidP="00C65B25">
            <w:pPr>
              <w:rPr>
                <w:rFonts w:ascii="Verdana" w:eastAsia="Times New Roman" w:hAnsi="Verdana" w:cs="Arial"/>
                <w:color w:val="000000"/>
                <w:sz w:val="18"/>
                <w:szCs w:val="18"/>
                <w:lang w:val="es-CO" w:eastAsia="es-CO"/>
              </w:rPr>
            </w:pP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10174ACA" w14:textId="77777777" w:rsidR="00273288" w:rsidRPr="00E33DE3" w:rsidRDefault="00273288" w:rsidP="00C65B25">
            <w:pPr>
              <w:jc w:val="center"/>
              <w:rPr>
                <w:rFonts w:ascii="Verdana" w:eastAsia="Times New Roman" w:hAnsi="Verdana" w:cs="Arial"/>
                <w:color w:val="000000"/>
                <w:sz w:val="18"/>
                <w:szCs w:val="18"/>
                <w:lang w:val="es-CO" w:eastAsia="es-CO"/>
              </w:rPr>
            </w:pPr>
          </w:p>
        </w:tc>
        <w:tc>
          <w:tcPr>
            <w:tcW w:w="761" w:type="pct"/>
            <w:tcBorders>
              <w:top w:val="single" w:sz="4" w:space="0" w:color="auto"/>
              <w:left w:val="single" w:sz="4" w:space="0" w:color="auto"/>
              <w:bottom w:val="single" w:sz="4" w:space="0" w:color="auto"/>
              <w:right w:val="single" w:sz="4" w:space="0" w:color="auto"/>
            </w:tcBorders>
            <w:vAlign w:val="center"/>
            <w:hideMark/>
          </w:tcPr>
          <w:p w14:paraId="689CED70" w14:textId="77777777" w:rsidR="00273288" w:rsidRPr="00E33DE3" w:rsidRDefault="00273288" w:rsidP="00C65B25">
            <w:pPr>
              <w:rPr>
                <w:rFonts w:ascii="Verdana" w:eastAsia="Times New Roman" w:hAnsi="Verdana" w:cs="Arial"/>
                <w:color w:val="000000"/>
                <w:sz w:val="18"/>
                <w:szCs w:val="18"/>
                <w:lang w:val="es-CO" w:eastAsia="es-CO"/>
              </w:rPr>
            </w:pPr>
          </w:p>
        </w:tc>
      </w:tr>
      <w:tr w:rsidR="00273288" w:rsidRPr="00E33DE3" w14:paraId="378D4A20"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noWrap/>
            <w:vAlign w:val="center"/>
            <w:hideMark/>
          </w:tcPr>
          <w:p w14:paraId="30EB647E"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lastRenderedPageBreak/>
              <w:t>2018</w:t>
            </w:r>
          </w:p>
        </w:tc>
        <w:tc>
          <w:tcPr>
            <w:tcW w:w="1512" w:type="pct"/>
            <w:tcBorders>
              <w:top w:val="single" w:sz="4" w:space="0" w:color="auto"/>
              <w:left w:val="single" w:sz="4" w:space="0" w:color="auto"/>
              <w:bottom w:val="single" w:sz="4" w:space="0" w:color="auto"/>
              <w:right w:val="single" w:sz="4" w:space="0" w:color="auto"/>
            </w:tcBorders>
            <w:vAlign w:val="center"/>
            <w:hideMark/>
          </w:tcPr>
          <w:p w14:paraId="517B142F"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Bienestar Social y estímulos administrativos al personal de las I.E.</w:t>
            </w:r>
          </w:p>
        </w:tc>
        <w:tc>
          <w:tcPr>
            <w:tcW w:w="1622" w:type="pct"/>
            <w:tcBorders>
              <w:top w:val="single" w:sz="4" w:space="0" w:color="auto"/>
              <w:left w:val="single" w:sz="4" w:space="0" w:color="auto"/>
              <w:bottom w:val="single" w:sz="4" w:space="0" w:color="auto"/>
              <w:right w:val="single" w:sz="4" w:space="0" w:color="auto"/>
            </w:tcBorders>
            <w:vAlign w:val="center"/>
            <w:hideMark/>
          </w:tcPr>
          <w:p w14:paraId="79C223D1"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Inadecuado uso SGP detectado en ejecución presupuestal</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27E4F37A"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58</w:t>
            </w:r>
          </w:p>
        </w:tc>
        <w:tc>
          <w:tcPr>
            <w:tcW w:w="761" w:type="pct"/>
            <w:tcBorders>
              <w:top w:val="single" w:sz="4" w:space="0" w:color="auto"/>
              <w:left w:val="single" w:sz="4" w:space="0" w:color="auto"/>
              <w:bottom w:val="single" w:sz="4" w:space="0" w:color="auto"/>
              <w:right w:val="single" w:sz="4" w:space="0" w:color="auto"/>
            </w:tcBorders>
            <w:vAlign w:val="center"/>
            <w:hideMark/>
          </w:tcPr>
          <w:p w14:paraId="155D4E30"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Ejecución Presupuestal</w:t>
            </w:r>
          </w:p>
        </w:tc>
      </w:tr>
      <w:tr w:rsidR="00273288" w:rsidRPr="00E33DE3" w14:paraId="05824875"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noWrap/>
            <w:vAlign w:val="center"/>
            <w:hideMark/>
          </w:tcPr>
          <w:p w14:paraId="42617A6D"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2018</w:t>
            </w:r>
          </w:p>
        </w:tc>
        <w:tc>
          <w:tcPr>
            <w:tcW w:w="1512" w:type="pct"/>
            <w:tcBorders>
              <w:top w:val="single" w:sz="4" w:space="0" w:color="auto"/>
              <w:left w:val="single" w:sz="4" w:space="0" w:color="auto"/>
              <w:bottom w:val="single" w:sz="4" w:space="0" w:color="auto"/>
              <w:right w:val="single" w:sz="4" w:space="0" w:color="auto"/>
            </w:tcBorders>
            <w:vAlign w:val="center"/>
            <w:hideMark/>
          </w:tcPr>
          <w:p w14:paraId="30A28868"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Bienestar Social y estímulos al personal directivo docente</w:t>
            </w:r>
          </w:p>
        </w:tc>
        <w:tc>
          <w:tcPr>
            <w:tcW w:w="1622" w:type="pct"/>
            <w:tcBorders>
              <w:top w:val="single" w:sz="4" w:space="0" w:color="auto"/>
              <w:left w:val="single" w:sz="4" w:space="0" w:color="auto"/>
              <w:bottom w:val="single" w:sz="4" w:space="0" w:color="auto"/>
              <w:right w:val="single" w:sz="4" w:space="0" w:color="auto"/>
            </w:tcBorders>
            <w:vAlign w:val="center"/>
            <w:hideMark/>
          </w:tcPr>
          <w:p w14:paraId="6657CB54"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Inadecuado uso SGP detectado en ejecución presupuestal</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512055A4"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18</w:t>
            </w:r>
          </w:p>
        </w:tc>
        <w:tc>
          <w:tcPr>
            <w:tcW w:w="761" w:type="pct"/>
            <w:tcBorders>
              <w:top w:val="single" w:sz="4" w:space="0" w:color="auto"/>
              <w:left w:val="single" w:sz="4" w:space="0" w:color="auto"/>
              <w:bottom w:val="single" w:sz="4" w:space="0" w:color="auto"/>
              <w:right w:val="single" w:sz="4" w:space="0" w:color="auto"/>
            </w:tcBorders>
            <w:vAlign w:val="center"/>
            <w:hideMark/>
          </w:tcPr>
          <w:p w14:paraId="608265A5"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Ejecución Presupuestal</w:t>
            </w:r>
          </w:p>
        </w:tc>
      </w:tr>
      <w:tr w:rsidR="00273288" w:rsidRPr="00E33DE3" w14:paraId="3EE7A7C0"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noWrap/>
            <w:vAlign w:val="center"/>
            <w:hideMark/>
          </w:tcPr>
          <w:p w14:paraId="722257FD"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2018</w:t>
            </w:r>
          </w:p>
        </w:tc>
        <w:tc>
          <w:tcPr>
            <w:tcW w:w="1512" w:type="pct"/>
            <w:tcBorders>
              <w:top w:val="single" w:sz="4" w:space="0" w:color="auto"/>
              <w:left w:val="single" w:sz="4" w:space="0" w:color="auto"/>
              <w:bottom w:val="single" w:sz="4" w:space="0" w:color="auto"/>
              <w:right w:val="single" w:sz="4" w:space="0" w:color="auto"/>
            </w:tcBorders>
            <w:vAlign w:val="center"/>
            <w:hideMark/>
          </w:tcPr>
          <w:p w14:paraId="2A967A8D"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Costos derivados al mejoramiento de la calidad educativa</w:t>
            </w:r>
          </w:p>
        </w:tc>
        <w:tc>
          <w:tcPr>
            <w:tcW w:w="1622" w:type="pct"/>
            <w:tcBorders>
              <w:top w:val="single" w:sz="4" w:space="0" w:color="auto"/>
              <w:left w:val="single" w:sz="4" w:space="0" w:color="auto"/>
              <w:bottom w:val="single" w:sz="4" w:space="0" w:color="auto"/>
              <w:right w:val="single" w:sz="4" w:space="0" w:color="auto"/>
            </w:tcBorders>
            <w:vAlign w:val="center"/>
            <w:hideMark/>
          </w:tcPr>
          <w:p w14:paraId="69E82D97"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Inadecuado uso SGP detectado en ejecución presupuestal</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0B29E6CE"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1.252</w:t>
            </w:r>
          </w:p>
        </w:tc>
        <w:tc>
          <w:tcPr>
            <w:tcW w:w="761" w:type="pct"/>
            <w:tcBorders>
              <w:top w:val="single" w:sz="4" w:space="0" w:color="auto"/>
              <w:left w:val="single" w:sz="4" w:space="0" w:color="auto"/>
              <w:bottom w:val="single" w:sz="4" w:space="0" w:color="auto"/>
              <w:right w:val="single" w:sz="4" w:space="0" w:color="auto"/>
            </w:tcBorders>
            <w:vAlign w:val="center"/>
            <w:hideMark/>
          </w:tcPr>
          <w:p w14:paraId="6188245B"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Ejecución Presupuestal</w:t>
            </w:r>
          </w:p>
        </w:tc>
      </w:tr>
      <w:tr w:rsidR="00273288" w:rsidRPr="00E33DE3" w14:paraId="2961FDD1"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noWrap/>
            <w:vAlign w:val="center"/>
            <w:hideMark/>
          </w:tcPr>
          <w:p w14:paraId="581B51C8"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2018</w:t>
            </w:r>
          </w:p>
        </w:tc>
        <w:tc>
          <w:tcPr>
            <w:tcW w:w="1512" w:type="pct"/>
            <w:tcBorders>
              <w:top w:val="single" w:sz="4" w:space="0" w:color="auto"/>
              <w:left w:val="single" w:sz="4" w:space="0" w:color="auto"/>
              <w:bottom w:val="single" w:sz="4" w:space="0" w:color="auto"/>
              <w:right w:val="single" w:sz="4" w:space="0" w:color="auto"/>
            </w:tcBorders>
            <w:vAlign w:val="center"/>
            <w:hideMark/>
          </w:tcPr>
          <w:p w14:paraId="2B1D481D"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Participación en los juegos nacionales docentes</w:t>
            </w:r>
          </w:p>
        </w:tc>
        <w:tc>
          <w:tcPr>
            <w:tcW w:w="1622" w:type="pct"/>
            <w:tcBorders>
              <w:top w:val="single" w:sz="4" w:space="0" w:color="auto"/>
              <w:left w:val="single" w:sz="4" w:space="0" w:color="auto"/>
              <w:bottom w:val="single" w:sz="4" w:space="0" w:color="auto"/>
              <w:right w:val="single" w:sz="4" w:space="0" w:color="auto"/>
            </w:tcBorders>
            <w:vAlign w:val="center"/>
            <w:hideMark/>
          </w:tcPr>
          <w:p w14:paraId="1D644DF0"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Inadecuado uso SGP detectado en ejecución presupuestal</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2C0EBC04"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12</w:t>
            </w:r>
          </w:p>
        </w:tc>
        <w:tc>
          <w:tcPr>
            <w:tcW w:w="761" w:type="pct"/>
            <w:tcBorders>
              <w:top w:val="single" w:sz="4" w:space="0" w:color="auto"/>
              <w:left w:val="single" w:sz="4" w:space="0" w:color="auto"/>
              <w:bottom w:val="single" w:sz="4" w:space="0" w:color="auto"/>
              <w:right w:val="single" w:sz="4" w:space="0" w:color="auto"/>
            </w:tcBorders>
            <w:vAlign w:val="center"/>
            <w:hideMark/>
          </w:tcPr>
          <w:p w14:paraId="4C4FB866"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Ejecución Presupuestal</w:t>
            </w:r>
          </w:p>
        </w:tc>
      </w:tr>
      <w:tr w:rsidR="00273288" w:rsidRPr="00E33DE3" w14:paraId="6760DEA1"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noWrap/>
            <w:vAlign w:val="center"/>
            <w:hideMark/>
          </w:tcPr>
          <w:p w14:paraId="2F530FD2"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2018</w:t>
            </w:r>
          </w:p>
        </w:tc>
        <w:tc>
          <w:tcPr>
            <w:tcW w:w="1512" w:type="pct"/>
            <w:tcBorders>
              <w:top w:val="single" w:sz="4" w:space="0" w:color="auto"/>
              <w:left w:val="single" w:sz="4" w:space="0" w:color="auto"/>
              <w:bottom w:val="single" w:sz="4" w:space="0" w:color="auto"/>
              <w:right w:val="single" w:sz="4" w:space="0" w:color="auto"/>
            </w:tcBorders>
            <w:vAlign w:val="center"/>
            <w:hideMark/>
          </w:tcPr>
          <w:p w14:paraId="2092BD6A"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Operador logístico de los eventos de la secretaría de educación</w:t>
            </w:r>
          </w:p>
        </w:tc>
        <w:tc>
          <w:tcPr>
            <w:tcW w:w="1622" w:type="pct"/>
            <w:tcBorders>
              <w:top w:val="single" w:sz="4" w:space="0" w:color="auto"/>
              <w:left w:val="single" w:sz="4" w:space="0" w:color="auto"/>
              <w:bottom w:val="single" w:sz="4" w:space="0" w:color="auto"/>
              <w:right w:val="single" w:sz="4" w:space="0" w:color="auto"/>
            </w:tcBorders>
            <w:vAlign w:val="center"/>
            <w:hideMark/>
          </w:tcPr>
          <w:p w14:paraId="387941FB"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Inadecuado uso SGP detectado en contratos</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1EE5160C"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277</w:t>
            </w:r>
          </w:p>
        </w:tc>
        <w:tc>
          <w:tcPr>
            <w:tcW w:w="761" w:type="pct"/>
            <w:tcBorders>
              <w:top w:val="single" w:sz="4" w:space="0" w:color="auto"/>
              <w:left w:val="single" w:sz="4" w:space="0" w:color="auto"/>
              <w:bottom w:val="single" w:sz="4" w:space="0" w:color="auto"/>
              <w:right w:val="single" w:sz="4" w:space="0" w:color="auto"/>
            </w:tcBorders>
            <w:vAlign w:val="center"/>
            <w:hideMark/>
          </w:tcPr>
          <w:p w14:paraId="558B985C"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Contrato No. 20182709 de 2018</w:t>
            </w:r>
          </w:p>
        </w:tc>
      </w:tr>
      <w:tr w:rsidR="00273288" w:rsidRPr="00E33DE3" w14:paraId="66E3A8D0"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noWrap/>
            <w:vAlign w:val="center"/>
            <w:hideMark/>
          </w:tcPr>
          <w:p w14:paraId="0A49C532"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2018</w:t>
            </w:r>
          </w:p>
        </w:tc>
        <w:tc>
          <w:tcPr>
            <w:tcW w:w="1512" w:type="pct"/>
            <w:tcBorders>
              <w:top w:val="single" w:sz="4" w:space="0" w:color="auto"/>
              <w:left w:val="single" w:sz="4" w:space="0" w:color="auto"/>
              <w:bottom w:val="single" w:sz="4" w:space="0" w:color="auto"/>
              <w:right w:val="single" w:sz="4" w:space="0" w:color="auto"/>
            </w:tcBorders>
            <w:vAlign w:val="center"/>
            <w:hideMark/>
          </w:tcPr>
          <w:p w14:paraId="4B1EC88F"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Capacitación a docentes y padres de familia</w:t>
            </w:r>
          </w:p>
        </w:tc>
        <w:tc>
          <w:tcPr>
            <w:tcW w:w="1622" w:type="pct"/>
            <w:tcBorders>
              <w:top w:val="single" w:sz="4" w:space="0" w:color="auto"/>
              <w:left w:val="single" w:sz="4" w:space="0" w:color="auto"/>
              <w:bottom w:val="single" w:sz="4" w:space="0" w:color="auto"/>
              <w:right w:val="single" w:sz="4" w:space="0" w:color="auto"/>
            </w:tcBorders>
            <w:vAlign w:val="center"/>
            <w:hideMark/>
          </w:tcPr>
          <w:p w14:paraId="7700F508"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Inadecuado uso SGP detectado en contratos</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7AC52100"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1.169</w:t>
            </w:r>
          </w:p>
        </w:tc>
        <w:tc>
          <w:tcPr>
            <w:tcW w:w="761" w:type="pct"/>
            <w:tcBorders>
              <w:top w:val="single" w:sz="4" w:space="0" w:color="auto"/>
              <w:left w:val="single" w:sz="4" w:space="0" w:color="auto"/>
              <w:bottom w:val="single" w:sz="4" w:space="0" w:color="auto"/>
              <w:right w:val="single" w:sz="4" w:space="0" w:color="auto"/>
            </w:tcBorders>
            <w:vAlign w:val="center"/>
            <w:hideMark/>
          </w:tcPr>
          <w:p w14:paraId="778FE8D2"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Contrato No. 20182711 de 2018</w:t>
            </w:r>
          </w:p>
        </w:tc>
      </w:tr>
      <w:tr w:rsidR="00273288" w:rsidRPr="00E33DE3" w14:paraId="08B646A7"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noWrap/>
            <w:vAlign w:val="center"/>
            <w:hideMark/>
          </w:tcPr>
          <w:p w14:paraId="46D01C63"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2018</w:t>
            </w:r>
          </w:p>
        </w:tc>
        <w:tc>
          <w:tcPr>
            <w:tcW w:w="1512" w:type="pct"/>
            <w:tcBorders>
              <w:top w:val="single" w:sz="4" w:space="0" w:color="auto"/>
              <w:left w:val="single" w:sz="4" w:space="0" w:color="auto"/>
              <w:bottom w:val="single" w:sz="4" w:space="0" w:color="auto"/>
              <w:right w:val="single" w:sz="4" w:space="0" w:color="auto"/>
            </w:tcBorders>
            <w:vAlign w:val="center"/>
            <w:hideMark/>
          </w:tcPr>
          <w:p w14:paraId="38DDE03A"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Compra de pasajes aéreos</w:t>
            </w:r>
          </w:p>
        </w:tc>
        <w:tc>
          <w:tcPr>
            <w:tcW w:w="1622" w:type="pct"/>
            <w:tcBorders>
              <w:top w:val="single" w:sz="4" w:space="0" w:color="auto"/>
              <w:left w:val="single" w:sz="4" w:space="0" w:color="auto"/>
              <w:bottom w:val="single" w:sz="4" w:space="0" w:color="auto"/>
              <w:right w:val="single" w:sz="4" w:space="0" w:color="auto"/>
            </w:tcBorders>
            <w:vAlign w:val="center"/>
            <w:hideMark/>
          </w:tcPr>
          <w:p w14:paraId="32EFD7E1"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Inadecuado uso SGP detectado en contratos</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36399F2B"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16</w:t>
            </w:r>
          </w:p>
        </w:tc>
        <w:tc>
          <w:tcPr>
            <w:tcW w:w="761" w:type="pct"/>
            <w:tcBorders>
              <w:top w:val="single" w:sz="4" w:space="0" w:color="auto"/>
              <w:left w:val="single" w:sz="4" w:space="0" w:color="auto"/>
              <w:bottom w:val="single" w:sz="4" w:space="0" w:color="auto"/>
              <w:right w:val="single" w:sz="4" w:space="0" w:color="auto"/>
            </w:tcBorders>
            <w:vAlign w:val="center"/>
            <w:hideMark/>
          </w:tcPr>
          <w:p w14:paraId="5B9BF296"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Contrato No. 20181571 de 2018</w:t>
            </w:r>
          </w:p>
        </w:tc>
      </w:tr>
      <w:tr w:rsidR="00273288" w:rsidRPr="00E33DE3" w14:paraId="146C7FB2"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noWrap/>
            <w:vAlign w:val="center"/>
            <w:hideMark/>
          </w:tcPr>
          <w:p w14:paraId="53C12632"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2018</w:t>
            </w:r>
          </w:p>
        </w:tc>
        <w:tc>
          <w:tcPr>
            <w:tcW w:w="1512" w:type="pct"/>
            <w:tcBorders>
              <w:top w:val="single" w:sz="4" w:space="0" w:color="auto"/>
              <w:left w:val="single" w:sz="4" w:space="0" w:color="auto"/>
              <w:bottom w:val="single" w:sz="4" w:space="0" w:color="auto"/>
              <w:right w:val="single" w:sz="4" w:space="0" w:color="auto"/>
            </w:tcBorders>
            <w:vAlign w:val="center"/>
            <w:hideMark/>
          </w:tcPr>
          <w:p w14:paraId="33E3287A"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Contratación de personal docente</w:t>
            </w:r>
          </w:p>
        </w:tc>
        <w:tc>
          <w:tcPr>
            <w:tcW w:w="1622" w:type="pct"/>
            <w:tcBorders>
              <w:top w:val="single" w:sz="4" w:space="0" w:color="auto"/>
              <w:left w:val="single" w:sz="4" w:space="0" w:color="auto"/>
              <w:bottom w:val="single" w:sz="4" w:space="0" w:color="auto"/>
              <w:right w:val="single" w:sz="4" w:space="0" w:color="auto"/>
            </w:tcBorders>
            <w:vAlign w:val="center"/>
            <w:hideMark/>
          </w:tcPr>
          <w:p w14:paraId="2C94A1C5"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Inadecuado uso SGP detectado en contratos</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5D0EC70D"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807</w:t>
            </w:r>
          </w:p>
        </w:tc>
        <w:tc>
          <w:tcPr>
            <w:tcW w:w="761" w:type="pct"/>
            <w:tcBorders>
              <w:top w:val="single" w:sz="4" w:space="0" w:color="auto"/>
              <w:left w:val="single" w:sz="4" w:space="0" w:color="auto"/>
              <w:bottom w:val="single" w:sz="4" w:space="0" w:color="auto"/>
              <w:right w:val="single" w:sz="4" w:space="0" w:color="auto"/>
            </w:tcBorders>
            <w:vAlign w:val="center"/>
            <w:hideMark/>
          </w:tcPr>
          <w:p w14:paraId="1AF71850"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47 contratos en total</w:t>
            </w:r>
          </w:p>
        </w:tc>
      </w:tr>
      <w:tr w:rsidR="00273288" w:rsidRPr="00E33DE3" w14:paraId="17174D74"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noWrap/>
            <w:vAlign w:val="center"/>
            <w:hideMark/>
          </w:tcPr>
          <w:p w14:paraId="216B7FD8"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2018</w:t>
            </w:r>
          </w:p>
        </w:tc>
        <w:tc>
          <w:tcPr>
            <w:tcW w:w="1512" w:type="pct"/>
            <w:tcBorders>
              <w:top w:val="single" w:sz="4" w:space="0" w:color="auto"/>
              <w:left w:val="single" w:sz="4" w:space="0" w:color="auto"/>
              <w:bottom w:val="single" w:sz="4" w:space="0" w:color="auto"/>
              <w:right w:val="single" w:sz="4" w:space="0" w:color="auto"/>
            </w:tcBorders>
            <w:vAlign w:val="center"/>
            <w:hideMark/>
          </w:tcPr>
          <w:p w14:paraId="34145371"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Compromisos financiados con excedentes del sector sin autorización previa</w:t>
            </w:r>
          </w:p>
        </w:tc>
        <w:tc>
          <w:tcPr>
            <w:tcW w:w="1622" w:type="pct"/>
            <w:tcBorders>
              <w:top w:val="single" w:sz="4" w:space="0" w:color="auto"/>
              <w:left w:val="single" w:sz="4" w:space="0" w:color="auto"/>
              <w:bottom w:val="single" w:sz="4" w:space="0" w:color="auto"/>
              <w:right w:val="single" w:sz="4" w:space="0" w:color="auto"/>
            </w:tcBorders>
            <w:vAlign w:val="center"/>
            <w:hideMark/>
          </w:tcPr>
          <w:p w14:paraId="0AD1E4F4"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Inadecuado uso de los excedentes del Sistema General de Participaciones- Educación</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31492262"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3.985</w:t>
            </w:r>
          </w:p>
        </w:tc>
        <w:tc>
          <w:tcPr>
            <w:tcW w:w="761" w:type="pct"/>
            <w:tcBorders>
              <w:top w:val="single" w:sz="4" w:space="0" w:color="auto"/>
              <w:left w:val="single" w:sz="4" w:space="0" w:color="auto"/>
              <w:bottom w:val="single" w:sz="4" w:space="0" w:color="auto"/>
              <w:right w:val="single" w:sz="4" w:space="0" w:color="auto"/>
            </w:tcBorders>
            <w:vAlign w:val="center"/>
            <w:hideMark/>
          </w:tcPr>
          <w:p w14:paraId="5DB8D6DA"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Ejecución Presupuestal</w:t>
            </w:r>
          </w:p>
        </w:tc>
      </w:tr>
      <w:tr w:rsidR="00273288" w:rsidRPr="00E33DE3" w14:paraId="2786F956"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noWrap/>
            <w:vAlign w:val="center"/>
            <w:hideMark/>
          </w:tcPr>
          <w:p w14:paraId="74030FF6"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2018</w:t>
            </w:r>
          </w:p>
        </w:tc>
        <w:tc>
          <w:tcPr>
            <w:tcW w:w="1512" w:type="pct"/>
            <w:tcBorders>
              <w:top w:val="single" w:sz="4" w:space="0" w:color="auto"/>
              <w:left w:val="single" w:sz="4" w:space="0" w:color="auto"/>
              <w:bottom w:val="single" w:sz="4" w:space="0" w:color="auto"/>
              <w:right w:val="single" w:sz="4" w:space="0" w:color="auto"/>
            </w:tcBorders>
            <w:vAlign w:val="center"/>
            <w:hideMark/>
          </w:tcPr>
          <w:p w14:paraId="348852BE"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Tipologías que supera el valor legal aprobado</w:t>
            </w:r>
          </w:p>
        </w:tc>
        <w:tc>
          <w:tcPr>
            <w:tcW w:w="1622" w:type="pct"/>
            <w:tcBorders>
              <w:top w:val="single" w:sz="4" w:space="0" w:color="auto"/>
              <w:left w:val="single" w:sz="4" w:space="0" w:color="auto"/>
              <w:bottom w:val="single" w:sz="4" w:space="0" w:color="auto"/>
              <w:right w:val="single" w:sz="4" w:space="0" w:color="auto"/>
            </w:tcBorders>
            <w:vAlign w:val="center"/>
            <w:hideMark/>
          </w:tcPr>
          <w:p w14:paraId="6CDB1EF5"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Contratación del servicio educativo y NEE superando el valor de la tipología.</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2D3F9856"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0,171</w:t>
            </w:r>
          </w:p>
        </w:tc>
        <w:tc>
          <w:tcPr>
            <w:tcW w:w="761" w:type="pct"/>
            <w:tcBorders>
              <w:top w:val="single" w:sz="4" w:space="0" w:color="auto"/>
              <w:left w:val="single" w:sz="4" w:space="0" w:color="auto"/>
              <w:bottom w:val="single" w:sz="4" w:space="0" w:color="auto"/>
              <w:right w:val="single" w:sz="4" w:space="0" w:color="auto"/>
            </w:tcBorders>
            <w:vAlign w:val="center"/>
            <w:hideMark/>
          </w:tcPr>
          <w:p w14:paraId="7BC3F47A"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Contrato No. 20181406</w:t>
            </w:r>
          </w:p>
        </w:tc>
      </w:tr>
      <w:tr w:rsidR="00273288" w:rsidRPr="00E33DE3" w14:paraId="7F8329A7"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noWrap/>
            <w:vAlign w:val="center"/>
            <w:hideMark/>
          </w:tcPr>
          <w:p w14:paraId="00182C64"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2019</w:t>
            </w:r>
          </w:p>
        </w:tc>
        <w:tc>
          <w:tcPr>
            <w:tcW w:w="1512" w:type="pct"/>
            <w:tcBorders>
              <w:top w:val="single" w:sz="4" w:space="0" w:color="auto"/>
              <w:left w:val="single" w:sz="4" w:space="0" w:color="auto"/>
              <w:bottom w:val="single" w:sz="4" w:space="0" w:color="auto"/>
              <w:right w:val="single" w:sz="4" w:space="0" w:color="auto"/>
            </w:tcBorders>
            <w:vAlign w:val="center"/>
            <w:hideMark/>
          </w:tcPr>
          <w:p w14:paraId="3A6BAB21"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Incremento de Antigüedad</w:t>
            </w:r>
          </w:p>
        </w:tc>
        <w:tc>
          <w:tcPr>
            <w:tcW w:w="1622" w:type="pct"/>
            <w:tcBorders>
              <w:top w:val="single" w:sz="4" w:space="0" w:color="auto"/>
              <w:left w:val="single" w:sz="4" w:space="0" w:color="auto"/>
              <w:bottom w:val="single" w:sz="4" w:space="0" w:color="auto"/>
              <w:right w:val="single" w:sz="4" w:space="0" w:color="auto"/>
            </w:tcBorders>
            <w:vAlign w:val="center"/>
            <w:hideMark/>
          </w:tcPr>
          <w:p w14:paraId="4F90F0AC"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Inadecuado uso SGP detectado en ejecución presupuestal</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066DDC3E"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29</w:t>
            </w:r>
          </w:p>
        </w:tc>
        <w:tc>
          <w:tcPr>
            <w:tcW w:w="761" w:type="pct"/>
            <w:tcBorders>
              <w:top w:val="single" w:sz="4" w:space="0" w:color="auto"/>
              <w:left w:val="single" w:sz="4" w:space="0" w:color="auto"/>
              <w:bottom w:val="single" w:sz="4" w:space="0" w:color="auto"/>
              <w:right w:val="single" w:sz="4" w:space="0" w:color="auto"/>
            </w:tcBorders>
            <w:vAlign w:val="center"/>
            <w:hideMark/>
          </w:tcPr>
          <w:p w14:paraId="3FA6DD43"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Ejecución Presupuestal</w:t>
            </w:r>
          </w:p>
        </w:tc>
      </w:tr>
      <w:tr w:rsidR="00273288" w:rsidRPr="00E33DE3" w14:paraId="430F61D9"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noWrap/>
            <w:vAlign w:val="center"/>
            <w:hideMark/>
          </w:tcPr>
          <w:p w14:paraId="65E1F576"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2019</w:t>
            </w:r>
          </w:p>
        </w:tc>
        <w:tc>
          <w:tcPr>
            <w:tcW w:w="1512" w:type="pct"/>
            <w:tcBorders>
              <w:top w:val="single" w:sz="4" w:space="0" w:color="auto"/>
              <w:left w:val="single" w:sz="4" w:space="0" w:color="auto"/>
              <w:bottom w:val="single" w:sz="4" w:space="0" w:color="auto"/>
              <w:right w:val="single" w:sz="4" w:space="0" w:color="auto"/>
            </w:tcBorders>
            <w:vAlign w:val="center"/>
            <w:hideMark/>
          </w:tcPr>
          <w:p w14:paraId="28928B35"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Bienestar Social y estímulos administrativos al personal de las I.E.</w:t>
            </w:r>
          </w:p>
        </w:tc>
        <w:tc>
          <w:tcPr>
            <w:tcW w:w="1622" w:type="pct"/>
            <w:tcBorders>
              <w:top w:val="single" w:sz="4" w:space="0" w:color="auto"/>
              <w:left w:val="single" w:sz="4" w:space="0" w:color="auto"/>
              <w:bottom w:val="single" w:sz="4" w:space="0" w:color="auto"/>
              <w:right w:val="single" w:sz="4" w:space="0" w:color="auto"/>
            </w:tcBorders>
            <w:vAlign w:val="center"/>
            <w:hideMark/>
          </w:tcPr>
          <w:p w14:paraId="18F333D8"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Inadecuado uso SGP detectado en ejecución presupuestal</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451892CD"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31</w:t>
            </w:r>
          </w:p>
        </w:tc>
        <w:tc>
          <w:tcPr>
            <w:tcW w:w="761" w:type="pct"/>
            <w:tcBorders>
              <w:top w:val="single" w:sz="4" w:space="0" w:color="auto"/>
              <w:left w:val="single" w:sz="4" w:space="0" w:color="auto"/>
              <w:bottom w:val="single" w:sz="4" w:space="0" w:color="auto"/>
              <w:right w:val="single" w:sz="4" w:space="0" w:color="auto"/>
            </w:tcBorders>
            <w:vAlign w:val="center"/>
            <w:hideMark/>
          </w:tcPr>
          <w:p w14:paraId="5AC49830"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Ejecución Presupuestal</w:t>
            </w:r>
          </w:p>
        </w:tc>
      </w:tr>
      <w:tr w:rsidR="00273288" w:rsidRPr="00E33DE3" w14:paraId="4FEF8932"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noWrap/>
            <w:vAlign w:val="center"/>
            <w:hideMark/>
          </w:tcPr>
          <w:p w14:paraId="402997B3"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2019</w:t>
            </w:r>
          </w:p>
        </w:tc>
        <w:tc>
          <w:tcPr>
            <w:tcW w:w="1512" w:type="pct"/>
            <w:tcBorders>
              <w:top w:val="single" w:sz="4" w:space="0" w:color="auto"/>
              <w:left w:val="single" w:sz="4" w:space="0" w:color="auto"/>
              <w:bottom w:val="single" w:sz="4" w:space="0" w:color="auto"/>
              <w:right w:val="single" w:sz="4" w:space="0" w:color="auto"/>
            </w:tcBorders>
            <w:vAlign w:val="center"/>
            <w:hideMark/>
          </w:tcPr>
          <w:p w14:paraId="16AD8E03"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Bienestar Social y estímulos al personal directivo docente</w:t>
            </w:r>
          </w:p>
        </w:tc>
        <w:tc>
          <w:tcPr>
            <w:tcW w:w="1622" w:type="pct"/>
            <w:tcBorders>
              <w:top w:val="single" w:sz="4" w:space="0" w:color="auto"/>
              <w:left w:val="single" w:sz="4" w:space="0" w:color="auto"/>
              <w:bottom w:val="single" w:sz="4" w:space="0" w:color="auto"/>
              <w:right w:val="single" w:sz="4" w:space="0" w:color="auto"/>
            </w:tcBorders>
            <w:vAlign w:val="center"/>
            <w:hideMark/>
          </w:tcPr>
          <w:p w14:paraId="1B2DD6B8"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Inadecuado uso SGP detectado en ejecución presupuestal</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48930B36"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18</w:t>
            </w:r>
          </w:p>
        </w:tc>
        <w:tc>
          <w:tcPr>
            <w:tcW w:w="761" w:type="pct"/>
            <w:tcBorders>
              <w:top w:val="single" w:sz="4" w:space="0" w:color="auto"/>
              <w:left w:val="single" w:sz="4" w:space="0" w:color="auto"/>
              <w:bottom w:val="single" w:sz="4" w:space="0" w:color="auto"/>
              <w:right w:val="single" w:sz="4" w:space="0" w:color="auto"/>
            </w:tcBorders>
            <w:vAlign w:val="center"/>
            <w:hideMark/>
          </w:tcPr>
          <w:p w14:paraId="4C220390"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Ejecución Presupuestal</w:t>
            </w:r>
          </w:p>
        </w:tc>
      </w:tr>
      <w:tr w:rsidR="00273288" w:rsidRPr="00E33DE3" w14:paraId="4E0A4165"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noWrap/>
            <w:vAlign w:val="center"/>
            <w:hideMark/>
          </w:tcPr>
          <w:p w14:paraId="336F33DB"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2019</w:t>
            </w:r>
          </w:p>
        </w:tc>
        <w:tc>
          <w:tcPr>
            <w:tcW w:w="1512" w:type="pct"/>
            <w:tcBorders>
              <w:top w:val="single" w:sz="4" w:space="0" w:color="auto"/>
              <w:left w:val="single" w:sz="4" w:space="0" w:color="auto"/>
              <w:bottom w:val="single" w:sz="4" w:space="0" w:color="auto"/>
              <w:right w:val="single" w:sz="4" w:space="0" w:color="auto"/>
            </w:tcBorders>
            <w:vAlign w:val="center"/>
            <w:hideMark/>
          </w:tcPr>
          <w:p w14:paraId="4C253997"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Viáticos y gastos de viaje participación juegos nacionales</w:t>
            </w:r>
          </w:p>
        </w:tc>
        <w:tc>
          <w:tcPr>
            <w:tcW w:w="1622" w:type="pct"/>
            <w:tcBorders>
              <w:top w:val="single" w:sz="4" w:space="0" w:color="auto"/>
              <w:left w:val="single" w:sz="4" w:space="0" w:color="auto"/>
              <w:bottom w:val="single" w:sz="4" w:space="0" w:color="auto"/>
              <w:right w:val="single" w:sz="4" w:space="0" w:color="auto"/>
            </w:tcBorders>
            <w:vAlign w:val="center"/>
            <w:hideMark/>
          </w:tcPr>
          <w:p w14:paraId="4B1F3850"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Inadecuado uso SGP detectado en ejecución presupuestal</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07C02278"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17</w:t>
            </w:r>
          </w:p>
        </w:tc>
        <w:tc>
          <w:tcPr>
            <w:tcW w:w="761" w:type="pct"/>
            <w:tcBorders>
              <w:top w:val="single" w:sz="4" w:space="0" w:color="auto"/>
              <w:left w:val="single" w:sz="4" w:space="0" w:color="auto"/>
              <w:bottom w:val="single" w:sz="4" w:space="0" w:color="auto"/>
              <w:right w:val="single" w:sz="4" w:space="0" w:color="auto"/>
            </w:tcBorders>
            <w:vAlign w:val="center"/>
            <w:hideMark/>
          </w:tcPr>
          <w:p w14:paraId="70F6FB0E"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Ejecución Presupuestal</w:t>
            </w:r>
          </w:p>
        </w:tc>
      </w:tr>
      <w:tr w:rsidR="00273288" w:rsidRPr="00E33DE3" w14:paraId="2DD27677"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noWrap/>
            <w:vAlign w:val="center"/>
            <w:hideMark/>
          </w:tcPr>
          <w:p w14:paraId="7A7B9C86"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2019</w:t>
            </w:r>
          </w:p>
        </w:tc>
        <w:tc>
          <w:tcPr>
            <w:tcW w:w="1512" w:type="pct"/>
            <w:tcBorders>
              <w:top w:val="single" w:sz="4" w:space="0" w:color="auto"/>
              <w:left w:val="single" w:sz="4" w:space="0" w:color="auto"/>
              <w:bottom w:val="single" w:sz="4" w:space="0" w:color="auto"/>
              <w:right w:val="single" w:sz="4" w:space="0" w:color="auto"/>
            </w:tcBorders>
            <w:vAlign w:val="center"/>
            <w:hideMark/>
          </w:tcPr>
          <w:p w14:paraId="7330C2E7"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Participación en los juegos nacionales docentes</w:t>
            </w:r>
          </w:p>
        </w:tc>
        <w:tc>
          <w:tcPr>
            <w:tcW w:w="1622" w:type="pct"/>
            <w:tcBorders>
              <w:top w:val="single" w:sz="4" w:space="0" w:color="auto"/>
              <w:left w:val="single" w:sz="4" w:space="0" w:color="auto"/>
              <w:bottom w:val="single" w:sz="4" w:space="0" w:color="auto"/>
              <w:right w:val="single" w:sz="4" w:space="0" w:color="auto"/>
            </w:tcBorders>
            <w:vAlign w:val="center"/>
            <w:hideMark/>
          </w:tcPr>
          <w:p w14:paraId="30B20C6F"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Inadecuado uso SGP detectado en ejecución presupuestal</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3993C32F"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3</w:t>
            </w:r>
          </w:p>
        </w:tc>
        <w:tc>
          <w:tcPr>
            <w:tcW w:w="761" w:type="pct"/>
            <w:tcBorders>
              <w:top w:val="single" w:sz="4" w:space="0" w:color="auto"/>
              <w:left w:val="single" w:sz="4" w:space="0" w:color="auto"/>
              <w:bottom w:val="single" w:sz="4" w:space="0" w:color="auto"/>
              <w:right w:val="single" w:sz="4" w:space="0" w:color="auto"/>
            </w:tcBorders>
            <w:vAlign w:val="center"/>
            <w:hideMark/>
          </w:tcPr>
          <w:p w14:paraId="74B3B923"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Ejecución Presupuestal</w:t>
            </w:r>
          </w:p>
        </w:tc>
      </w:tr>
      <w:tr w:rsidR="00273288" w:rsidRPr="00E33DE3" w14:paraId="41CE125A"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noWrap/>
            <w:vAlign w:val="center"/>
            <w:hideMark/>
          </w:tcPr>
          <w:p w14:paraId="7E178BB8"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2019</w:t>
            </w:r>
          </w:p>
        </w:tc>
        <w:tc>
          <w:tcPr>
            <w:tcW w:w="1512" w:type="pct"/>
            <w:tcBorders>
              <w:top w:val="single" w:sz="4" w:space="0" w:color="auto"/>
              <w:left w:val="single" w:sz="4" w:space="0" w:color="auto"/>
              <w:bottom w:val="single" w:sz="4" w:space="0" w:color="auto"/>
              <w:right w:val="single" w:sz="4" w:space="0" w:color="auto"/>
            </w:tcBorders>
            <w:vAlign w:val="center"/>
            <w:hideMark/>
          </w:tcPr>
          <w:p w14:paraId="6857FF89"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Capacitación, viáticos y gastos de viaje rectores y directores de las IEM y CEM.</w:t>
            </w:r>
          </w:p>
        </w:tc>
        <w:tc>
          <w:tcPr>
            <w:tcW w:w="1622" w:type="pct"/>
            <w:tcBorders>
              <w:top w:val="single" w:sz="4" w:space="0" w:color="auto"/>
              <w:left w:val="single" w:sz="4" w:space="0" w:color="auto"/>
              <w:bottom w:val="single" w:sz="4" w:space="0" w:color="auto"/>
              <w:right w:val="single" w:sz="4" w:space="0" w:color="auto"/>
            </w:tcBorders>
            <w:vAlign w:val="center"/>
            <w:hideMark/>
          </w:tcPr>
          <w:p w14:paraId="12F327FA"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Inadecuado uso SGP detectado en ejecución presupuestal</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1551694E"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73</w:t>
            </w:r>
          </w:p>
        </w:tc>
        <w:tc>
          <w:tcPr>
            <w:tcW w:w="761" w:type="pct"/>
            <w:tcBorders>
              <w:top w:val="single" w:sz="4" w:space="0" w:color="auto"/>
              <w:left w:val="single" w:sz="4" w:space="0" w:color="auto"/>
              <w:bottom w:val="single" w:sz="4" w:space="0" w:color="auto"/>
              <w:right w:val="single" w:sz="4" w:space="0" w:color="auto"/>
            </w:tcBorders>
            <w:vAlign w:val="center"/>
            <w:hideMark/>
          </w:tcPr>
          <w:p w14:paraId="6F4193C0"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Ejecución Presupuestal</w:t>
            </w:r>
          </w:p>
        </w:tc>
      </w:tr>
      <w:tr w:rsidR="00273288" w:rsidRPr="00E33DE3" w14:paraId="3A79353E"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noWrap/>
            <w:vAlign w:val="center"/>
            <w:hideMark/>
          </w:tcPr>
          <w:p w14:paraId="19A2EC3A"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lastRenderedPageBreak/>
              <w:t>2019</w:t>
            </w:r>
          </w:p>
        </w:tc>
        <w:tc>
          <w:tcPr>
            <w:tcW w:w="1512" w:type="pct"/>
            <w:tcBorders>
              <w:top w:val="single" w:sz="4" w:space="0" w:color="auto"/>
              <w:left w:val="single" w:sz="4" w:space="0" w:color="auto"/>
              <w:bottom w:val="single" w:sz="4" w:space="0" w:color="auto"/>
              <w:right w:val="single" w:sz="4" w:space="0" w:color="auto"/>
            </w:tcBorders>
            <w:vAlign w:val="center"/>
            <w:hideMark/>
          </w:tcPr>
          <w:p w14:paraId="1A4D2545"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Operador logístico de los eventos de la secretaría de educación</w:t>
            </w:r>
          </w:p>
        </w:tc>
        <w:tc>
          <w:tcPr>
            <w:tcW w:w="1622" w:type="pct"/>
            <w:tcBorders>
              <w:top w:val="single" w:sz="4" w:space="0" w:color="auto"/>
              <w:left w:val="single" w:sz="4" w:space="0" w:color="auto"/>
              <w:bottom w:val="single" w:sz="4" w:space="0" w:color="auto"/>
              <w:right w:val="single" w:sz="4" w:space="0" w:color="auto"/>
            </w:tcBorders>
            <w:vAlign w:val="center"/>
            <w:hideMark/>
          </w:tcPr>
          <w:p w14:paraId="1C9B8463"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Inadecuado uso SGP detectado en contratos</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153285E9"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113</w:t>
            </w:r>
          </w:p>
        </w:tc>
        <w:tc>
          <w:tcPr>
            <w:tcW w:w="761" w:type="pct"/>
            <w:tcBorders>
              <w:top w:val="single" w:sz="4" w:space="0" w:color="auto"/>
              <w:left w:val="single" w:sz="4" w:space="0" w:color="auto"/>
              <w:bottom w:val="single" w:sz="4" w:space="0" w:color="auto"/>
              <w:right w:val="single" w:sz="4" w:space="0" w:color="auto"/>
            </w:tcBorders>
            <w:vAlign w:val="center"/>
            <w:hideMark/>
          </w:tcPr>
          <w:p w14:paraId="4E47FB1C"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Contratos No. 20191602, 20193054 y 20192990 de 2019</w:t>
            </w:r>
          </w:p>
        </w:tc>
      </w:tr>
      <w:tr w:rsidR="00273288" w:rsidRPr="00E33DE3" w14:paraId="68F32F62"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noWrap/>
            <w:vAlign w:val="center"/>
            <w:hideMark/>
          </w:tcPr>
          <w:p w14:paraId="56FC5DB8"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2019</w:t>
            </w:r>
          </w:p>
        </w:tc>
        <w:tc>
          <w:tcPr>
            <w:tcW w:w="1512" w:type="pct"/>
            <w:tcBorders>
              <w:top w:val="single" w:sz="4" w:space="0" w:color="auto"/>
              <w:left w:val="single" w:sz="4" w:space="0" w:color="auto"/>
              <w:bottom w:val="single" w:sz="4" w:space="0" w:color="auto"/>
              <w:right w:val="single" w:sz="4" w:space="0" w:color="auto"/>
            </w:tcBorders>
            <w:vAlign w:val="center"/>
            <w:hideMark/>
          </w:tcPr>
          <w:p w14:paraId="2AA43FA6"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Contratación de personal docente</w:t>
            </w:r>
          </w:p>
        </w:tc>
        <w:tc>
          <w:tcPr>
            <w:tcW w:w="1622" w:type="pct"/>
            <w:tcBorders>
              <w:top w:val="single" w:sz="4" w:space="0" w:color="auto"/>
              <w:left w:val="single" w:sz="4" w:space="0" w:color="auto"/>
              <w:bottom w:val="single" w:sz="4" w:space="0" w:color="auto"/>
              <w:right w:val="single" w:sz="4" w:space="0" w:color="auto"/>
            </w:tcBorders>
            <w:vAlign w:val="center"/>
            <w:hideMark/>
          </w:tcPr>
          <w:p w14:paraId="7A2A9B0B"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Inadecuado uso SGP detectado en contratos</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4F8AE9BC" w14:textId="77777777" w:rsidR="00273288" w:rsidRPr="00E33DE3" w:rsidRDefault="00B3428E" w:rsidP="00C65B25">
            <w:pPr>
              <w:jc w:val="center"/>
              <w:rPr>
                <w:rFonts w:ascii="Verdana" w:eastAsia="Times New Roman" w:hAnsi="Verdana" w:cs="Arial"/>
                <w:color w:val="000000"/>
                <w:sz w:val="18"/>
                <w:szCs w:val="18"/>
                <w:lang w:val="es-CO" w:eastAsia="es-CO"/>
              </w:rPr>
            </w:pPr>
            <w:hyperlink r:id="rId13" w:anchor="RANGE!_ftn1" w:history="1">
              <w:r w:rsidR="00273288" w:rsidRPr="00E33DE3">
                <w:rPr>
                  <w:rStyle w:val="Hipervnculo"/>
                  <w:rFonts w:ascii="Verdana" w:eastAsia="Times New Roman" w:hAnsi="Verdana" w:cs="Arial"/>
                  <w:color w:val="000000" w:themeColor="text1"/>
                  <w:sz w:val="18"/>
                  <w:szCs w:val="18"/>
                  <w:lang w:val="es-CO" w:eastAsia="es-CO"/>
                </w:rPr>
                <w:t xml:space="preserve"> 863 </w:t>
              </w:r>
            </w:hyperlink>
          </w:p>
        </w:tc>
        <w:tc>
          <w:tcPr>
            <w:tcW w:w="761" w:type="pct"/>
            <w:tcBorders>
              <w:top w:val="single" w:sz="4" w:space="0" w:color="auto"/>
              <w:left w:val="single" w:sz="4" w:space="0" w:color="auto"/>
              <w:bottom w:val="single" w:sz="4" w:space="0" w:color="auto"/>
              <w:right w:val="single" w:sz="4" w:space="0" w:color="auto"/>
            </w:tcBorders>
            <w:vAlign w:val="center"/>
            <w:hideMark/>
          </w:tcPr>
          <w:p w14:paraId="1F35AB23"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81 contratos en total</w:t>
            </w:r>
          </w:p>
        </w:tc>
      </w:tr>
      <w:tr w:rsidR="00273288" w:rsidRPr="00E33DE3" w14:paraId="25ACC405"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noWrap/>
            <w:vAlign w:val="center"/>
            <w:hideMark/>
          </w:tcPr>
          <w:p w14:paraId="546DC25A"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2019</w:t>
            </w:r>
          </w:p>
        </w:tc>
        <w:tc>
          <w:tcPr>
            <w:tcW w:w="1512" w:type="pct"/>
            <w:tcBorders>
              <w:top w:val="single" w:sz="4" w:space="0" w:color="auto"/>
              <w:left w:val="single" w:sz="4" w:space="0" w:color="auto"/>
              <w:bottom w:val="single" w:sz="4" w:space="0" w:color="auto"/>
              <w:right w:val="single" w:sz="4" w:space="0" w:color="auto"/>
            </w:tcBorders>
            <w:vAlign w:val="center"/>
            <w:hideMark/>
          </w:tcPr>
          <w:p w14:paraId="11C5EB49"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Compromisos financiados con excedentes del sector sin autorización previa</w:t>
            </w:r>
          </w:p>
        </w:tc>
        <w:tc>
          <w:tcPr>
            <w:tcW w:w="1622" w:type="pct"/>
            <w:tcBorders>
              <w:top w:val="single" w:sz="4" w:space="0" w:color="auto"/>
              <w:left w:val="single" w:sz="4" w:space="0" w:color="auto"/>
              <w:bottom w:val="single" w:sz="4" w:space="0" w:color="auto"/>
              <w:right w:val="single" w:sz="4" w:space="0" w:color="auto"/>
            </w:tcBorders>
            <w:vAlign w:val="center"/>
            <w:hideMark/>
          </w:tcPr>
          <w:p w14:paraId="70E01B45"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Inadecuado uso de los excedentes del Sistema General de Participaciones- Educación</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60831868"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981</w:t>
            </w:r>
          </w:p>
        </w:tc>
        <w:tc>
          <w:tcPr>
            <w:tcW w:w="761" w:type="pct"/>
            <w:tcBorders>
              <w:top w:val="single" w:sz="4" w:space="0" w:color="auto"/>
              <w:left w:val="single" w:sz="4" w:space="0" w:color="auto"/>
              <w:bottom w:val="single" w:sz="4" w:space="0" w:color="auto"/>
              <w:right w:val="single" w:sz="4" w:space="0" w:color="auto"/>
            </w:tcBorders>
            <w:vAlign w:val="center"/>
            <w:hideMark/>
          </w:tcPr>
          <w:p w14:paraId="204C2ED1"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Ejecución Presupuestal</w:t>
            </w:r>
          </w:p>
        </w:tc>
      </w:tr>
      <w:tr w:rsidR="00273288" w:rsidRPr="00E33DE3" w14:paraId="6CCA5710"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noWrap/>
            <w:vAlign w:val="center"/>
            <w:hideMark/>
          </w:tcPr>
          <w:p w14:paraId="6FE8C137"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2019</w:t>
            </w:r>
          </w:p>
        </w:tc>
        <w:tc>
          <w:tcPr>
            <w:tcW w:w="1512" w:type="pct"/>
            <w:tcBorders>
              <w:top w:val="single" w:sz="4" w:space="0" w:color="auto"/>
              <w:left w:val="single" w:sz="4" w:space="0" w:color="auto"/>
              <w:bottom w:val="single" w:sz="4" w:space="0" w:color="auto"/>
              <w:right w:val="single" w:sz="4" w:space="0" w:color="auto"/>
            </w:tcBorders>
            <w:vAlign w:val="center"/>
            <w:hideMark/>
          </w:tcPr>
          <w:p w14:paraId="4F494D2C"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Tipologías que supera el valor legal aprobado</w:t>
            </w:r>
          </w:p>
        </w:tc>
        <w:tc>
          <w:tcPr>
            <w:tcW w:w="1622" w:type="pct"/>
            <w:tcBorders>
              <w:top w:val="single" w:sz="4" w:space="0" w:color="auto"/>
              <w:left w:val="single" w:sz="4" w:space="0" w:color="auto"/>
              <w:bottom w:val="single" w:sz="4" w:space="0" w:color="auto"/>
              <w:right w:val="single" w:sz="4" w:space="0" w:color="auto"/>
            </w:tcBorders>
            <w:vAlign w:val="center"/>
            <w:hideMark/>
          </w:tcPr>
          <w:p w14:paraId="4A2263EE"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Contratación del servicio educativo y NEE superando el valor de la tipología.</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24607E39"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65</w:t>
            </w:r>
          </w:p>
        </w:tc>
        <w:tc>
          <w:tcPr>
            <w:tcW w:w="761" w:type="pct"/>
            <w:tcBorders>
              <w:top w:val="single" w:sz="4" w:space="0" w:color="auto"/>
              <w:left w:val="single" w:sz="4" w:space="0" w:color="auto"/>
              <w:bottom w:val="single" w:sz="4" w:space="0" w:color="auto"/>
              <w:right w:val="single" w:sz="4" w:space="0" w:color="auto"/>
            </w:tcBorders>
            <w:vAlign w:val="center"/>
            <w:hideMark/>
          </w:tcPr>
          <w:p w14:paraId="24D7259A"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Contratos No. 20191339 y 20191495</w:t>
            </w:r>
          </w:p>
        </w:tc>
      </w:tr>
      <w:tr w:rsidR="00273288" w:rsidRPr="00E33DE3" w14:paraId="00DAF51F"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noWrap/>
            <w:vAlign w:val="center"/>
            <w:hideMark/>
          </w:tcPr>
          <w:p w14:paraId="297B0403"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2019</w:t>
            </w:r>
          </w:p>
        </w:tc>
        <w:tc>
          <w:tcPr>
            <w:tcW w:w="1512" w:type="pct"/>
            <w:tcBorders>
              <w:top w:val="single" w:sz="4" w:space="0" w:color="auto"/>
              <w:left w:val="single" w:sz="4" w:space="0" w:color="auto"/>
              <w:bottom w:val="single" w:sz="4" w:space="0" w:color="auto"/>
              <w:right w:val="single" w:sz="4" w:space="0" w:color="auto"/>
            </w:tcBorders>
            <w:vAlign w:val="center"/>
            <w:hideMark/>
          </w:tcPr>
          <w:p w14:paraId="6F55C306"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Ineficiencia en la contratación de la prestación de servicios</w:t>
            </w:r>
          </w:p>
        </w:tc>
        <w:tc>
          <w:tcPr>
            <w:tcW w:w="1622" w:type="pct"/>
            <w:tcBorders>
              <w:top w:val="single" w:sz="4" w:space="0" w:color="auto"/>
              <w:left w:val="single" w:sz="4" w:space="0" w:color="auto"/>
              <w:bottom w:val="single" w:sz="4" w:space="0" w:color="auto"/>
              <w:right w:val="single" w:sz="4" w:space="0" w:color="auto"/>
            </w:tcBorders>
            <w:vAlign w:val="center"/>
            <w:hideMark/>
          </w:tcPr>
          <w:p w14:paraId="4827B883"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Ineficiencia en el uso de los recursos públicos.</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36DE52D5"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1.286</w:t>
            </w:r>
          </w:p>
        </w:tc>
        <w:tc>
          <w:tcPr>
            <w:tcW w:w="761" w:type="pct"/>
            <w:tcBorders>
              <w:top w:val="single" w:sz="4" w:space="0" w:color="auto"/>
              <w:left w:val="single" w:sz="4" w:space="0" w:color="auto"/>
              <w:bottom w:val="single" w:sz="4" w:space="0" w:color="auto"/>
              <w:right w:val="single" w:sz="4" w:space="0" w:color="auto"/>
            </w:tcBorders>
            <w:vAlign w:val="center"/>
            <w:hideMark/>
          </w:tcPr>
          <w:p w14:paraId="0A1C75AC"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Contratos de prestación de servicios</w:t>
            </w:r>
          </w:p>
        </w:tc>
      </w:tr>
      <w:tr w:rsidR="00273288" w:rsidRPr="00E33DE3" w14:paraId="15CD6DA7"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noWrap/>
            <w:vAlign w:val="center"/>
            <w:hideMark/>
          </w:tcPr>
          <w:p w14:paraId="6AFA4B20" w14:textId="77777777" w:rsidR="00273288" w:rsidRPr="00E33DE3" w:rsidRDefault="00273288" w:rsidP="00C65B25">
            <w:pPr>
              <w:jc w:val="center"/>
              <w:rPr>
                <w:rFonts w:ascii="Verdana" w:eastAsia="Times New Roman" w:hAnsi="Verdana" w:cs="Arial"/>
                <w:color w:val="000000"/>
                <w:sz w:val="18"/>
                <w:szCs w:val="18"/>
                <w:lang w:val="es-CO" w:eastAsia="es-CO"/>
              </w:rPr>
            </w:pPr>
          </w:p>
        </w:tc>
        <w:tc>
          <w:tcPr>
            <w:tcW w:w="1512" w:type="pct"/>
            <w:tcBorders>
              <w:top w:val="single" w:sz="4" w:space="0" w:color="auto"/>
              <w:left w:val="single" w:sz="4" w:space="0" w:color="auto"/>
              <w:bottom w:val="single" w:sz="4" w:space="0" w:color="auto"/>
              <w:right w:val="single" w:sz="4" w:space="0" w:color="auto"/>
            </w:tcBorders>
            <w:vAlign w:val="center"/>
            <w:hideMark/>
          </w:tcPr>
          <w:p w14:paraId="1F20F28E" w14:textId="77777777" w:rsidR="00273288" w:rsidRPr="00E33DE3" w:rsidRDefault="00273288" w:rsidP="00C65B25">
            <w:pPr>
              <w:rPr>
                <w:rFonts w:ascii="Verdana" w:eastAsia="Times New Roman" w:hAnsi="Verdana" w:cs="Arial"/>
                <w:color w:val="000000"/>
                <w:sz w:val="18"/>
                <w:szCs w:val="18"/>
                <w:lang w:val="es-CO" w:eastAsia="es-CO"/>
              </w:rPr>
            </w:pPr>
          </w:p>
        </w:tc>
        <w:tc>
          <w:tcPr>
            <w:tcW w:w="1622" w:type="pct"/>
            <w:tcBorders>
              <w:top w:val="single" w:sz="4" w:space="0" w:color="auto"/>
              <w:left w:val="single" w:sz="4" w:space="0" w:color="auto"/>
              <w:bottom w:val="single" w:sz="4" w:space="0" w:color="auto"/>
              <w:right w:val="single" w:sz="4" w:space="0" w:color="auto"/>
            </w:tcBorders>
            <w:vAlign w:val="center"/>
            <w:hideMark/>
          </w:tcPr>
          <w:p w14:paraId="4E05EE34" w14:textId="77777777" w:rsidR="00273288" w:rsidRPr="00E33DE3" w:rsidRDefault="00273288" w:rsidP="00C65B25">
            <w:pPr>
              <w:rPr>
                <w:rFonts w:ascii="Verdana" w:eastAsia="Times New Roman" w:hAnsi="Verdana" w:cs="Arial"/>
                <w:color w:val="000000"/>
                <w:sz w:val="18"/>
                <w:szCs w:val="18"/>
                <w:lang w:val="es-CO" w:eastAsia="es-CO"/>
              </w:rPr>
            </w:pP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549018B5" w14:textId="77777777" w:rsidR="00273288" w:rsidRPr="00E33DE3" w:rsidRDefault="00273288" w:rsidP="00C65B25">
            <w:pPr>
              <w:jc w:val="center"/>
              <w:rPr>
                <w:rFonts w:ascii="Verdana" w:eastAsia="Times New Roman" w:hAnsi="Verdana" w:cs="Arial"/>
                <w:color w:val="000000"/>
                <w:sz w:val="18"/>
                <w:szCs w:val="18"/>
                <w:lang w:val="es-CO" w:eastAsia="es-CO"/>
              </w:rPr>
            </w:pPr>
          </w:p>
        </w:tc>
        <w:tc>
          <w:tcPr>
            <w:tcW w:w="761" w:type="pct"/>
            <w:tcBorders>
              <w:top w:val="single" w:sz="4" w:space="0" w:color="auto"/>
              <w:left w:val="single" w:sz="4" w:space="0" w:color="auto"/>
              <w:bottom w:val="single" w:sz="4" w:space="0" w:color="auto"/>
              <w:right w:val="single" w:sz="4" w:space="0" w:color="auto"/>
            </w:tcBorders>
            <w:vAlign w:val="center"/>
            <w:hideMark/>
          </w:tcPr>
          <w:p w14:paraId="3710AD19" w14:textId="77777777" w:rsidR="00273288" w:rsidRPr="00E33DE3" w:rsidRDefault="00273288" w:rsidP="00C65B25">
            <w:pPr>
              <w:rPr>
                <w:rFonts w:ascii="Verdana" w:eastAsia="Times New Roman" w:hAnsi="Verdana" w:cs="Arial"/>
                <w:color w:val="000000"/>
                <w:sz w:val="18"/>
                <w:szCs w:val="18"/>
                <w:lang w:val="es-CO" w:eastAsia="es-CO"/>
              </w:rPr>
            </w:pPr>
          </w:p>
        </w:tc>
      </w:tr>
      <w:tr w:rsidR="00273288" w:rsidRPr="00E33DE3" w14:paraId="1175DF4F"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noWrap/>
            <w:vAlign w:val="center"/>
            <w:hideMark/>
          </w:tcPr>
          <w:p w14:paraId="04F463C8"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2020</w:t>
            </w:r>
          </w:p>
        </w:tc>
        <w:tc>
          <w:tcPr>
            <w:tcW w:w="1512" w:type="pct"/>
            <w:tcBorders>
              <w:top w:val="single" w:sz="4" w:space="0" w:color="auto"/>
              <w:left w:val="single" w:sz="4" w:space="0" w:color="auto"/>
              <w:bottom w:val="single" w:sz="4" w:space="0" w:color="auto"/>
              <w:right w:val="single" w:sz="4" w:space="0" w:color="auto"/>
            </w:tcBorders>
            <w:vAlign w:val="center"/>
            <w:hideMark/>
          </w:tcPr>
          <w:p w14:paraId="2EA4A767"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Incremento de Antigüedad</w:t>
            </w:r>
          </w:p>
        </w:tc>
        <w:tc>
          <w:tcPr>
            <w:tcW w:w="1622" w:type="pct"/>
            <w:tcBorders>
              <w:top w:val="single" w:sz="4" w:space="0" w:color="auto"/>
              <w:left w:val="single" w:sz="4" w:space="0" w:color="auto"/>
              <w:bottom w:val="single" w:sz="4" w:space="0" w:color="auto"/>
              <w:right w:val="single" w:sz="4" w:space="0" w:color="auto"/>
            </w:tcBorders>
            <w:vAlign w:val="center"/>
            <w:hideMark/>
          </w:tcPr>
          <w:p w14:paraId="7DB6F9A6"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Inadecuado uso SGP detectado en ejecución presupuestal</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6F945056"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6</w:t>
            </w:r>
          </w:p>
        </w:tc>
        <w:tc>
          <w:tcPr>
            <w:tcW w:w="761" w:type="pct"/>
            <w:tcBorders>
              <w:top w:val="single" w:sz="4" w:space="0" w:color="auto"/>
              <w:left w:val="single" w:sz="4" w:space="0" w:color="auto"/>
              <w:bottom w:val="single" w:sz="4" w:space="0" w:color="auto"/>
              <w:right w:val="single" w:sz="4" w:space="0" w:color="auto"/>
            </w:tcBorders>
            <w:vAlign w:val="center"/>
            <w:hideMark/>
          </w:tcPr>
          <w:p w14:paraId="27DAD6F9"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Información enviada por la E.T</w:t>
            </w:r>
          </w:p>
        </w:tc>
      </w:tr>
      <w:tr w:rsidR="00273288" w:rsidRPr="00E33DE3" w14:paraId="3E22B556"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vAlign w:val="center"/>
            <w:hideMark/>
          </w:tcPr>
          <w:p w14:paraId="72048CCC"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2020</w:t>
            </w:r>
          </w:p>
        </w:tc>
        <w:tc>
          <w:tcPr>
            <w:tcW w:w="1512" w:type="pct"/>
            <w:tcBorders>
              <w:top w:val="single" w:sz="4" w:space="0" w:color="auto"/>
              <w:left w:val="single" w:sz="4" w:space="0" w:color="auto"/>
              <w:bottom w:val="single" w:sz="4" w:space="0" w:color="auto"/>
              <w:right w:val="single" w:sz="4" w:space="0" w:color="auto"/>
            </w:tcBorders>
            <w:vAlign w:val="center"/>
            <w:hideMark/>
          </w:tcPr>
          <w:p w14:paraId="339A69AB"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Tipologías que supera el valor legal aprobado</w:t>
            </w:r>
          </w:p>
        </w:tc>
        <w:tc>
          <w:tcPr>
            <w:tcW w:w="1622" w:type="pct"/>
            <w:tcBorders>
              <w:top w:val="single" w:sz="4" w:space="0" w:color="auto"/>
              <w:left w:val="single" w:sz="4" w:space="0" w:color="auto"/>
              <w:bottom w:val="single" w:sz="4" w:space="0" w:color="auto"/>
              <w:right w:val="single" w:sz="4" w:space="0" w:color="auto"/>
            </w:tcBorders>
            <w:vAlign w:val="center"/>
            <w:hideMark/>
          </w:tcPr>
          <w:p w14:paraId="45D48CD4"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Contratación del servicio educativo y NEE superando el valor de la tipología.</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062B7457"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55</w:t>
            </w:r>
          </w:p>
        </w:tc>
        <w:tc>
          <w:tcPr>
            <w:tcW w:w="761" w:type="pct"/>
            <w:tcBorders>
              <w:top w:val="single" w:sz="4" w:space="0" w:color="auto"/>
              <w:left w:val="single" w:sz="4" w:space="0" w:color="auto"/>
              <w:bottom w:val="single" w:sz="4" w:space="0" w:color="auto"/>
              <w:right w:val="single" w:sz="4" w:space="0" w:color="auto"/>
            </w:tcBorders>
            <w:vAlign w:val="center"/>
            <w:hideMark/>
          </w:tcPr>
          <w:p w14:paraId="4C1AE07B"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Contratos No. 20201849 y 20200728</w:t>
            </w:r>
          </w:p>
        </w:tc>
      </w:tr>
      <w:tr w:rsidR="00273288" w:rsidRPr="00E33DE3" w14:paraId="729CCEBE"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vAlign w:val="center"/>
            <w:hideMark/>
          </w:tcPr>
          <w:p w14:paraId="5493783C"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2020</w:t>
            </w:r>
          </w:p>
        </w:tc>
        <w:tc>
          <w:tcPr>
            <w:tcW w:w="1512" w:type="pct"/>
            <w:tcBorders>
              <w:top w:val="single" w:sz="4" w:space="0" w:color="auto"/>
              <w:left w:val="single" w:sz="4" w:space="0" w:color="auto"/>
              <w:bottom w:val="single" w:sz="4" w:space="0" w:color="auto"/>
              <w:right w:val="single" w:sz="4" w:space="0" w:color="auto"/>
            </w:tcBorders>
            <w:vAlign w:val="center"/>
            <w:hideMark/>
          </w:tcPr>
          <w:p w14:paraId="38788764"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Ineficiencia en la contratación de la prestación de servicios</w:t>
            </w:r>
          </w:p>
        </w:tc>
        <w:tc>
          <w:tcPr>
            <w:tcW w:w="1622" w:type="pct"/>
            <w:tcBorders>
              <w:top w:val="single" w:sz="4" w:space="0" w:color="auto"/>
              <w:left w:val="single" w:sz="4" w:space="0" w:color="auto"/>
              <w:bottom w:val="single" w:sz="4" w:space="0" w:color="auto"/>
              <w:right w:val="single" w:sz="4" w:space="0" w:color="auto"/>
            </w:tcBorders>
            <w:vAlign w:val="center"/>
            <w:hideMark/>
          </w:tcPr>
          <w:p w14:paraId="02EEC8E5"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Ineficiencia en el uso de los recursos públicos.</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1D9DAA32"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1.428</w:t>
            </w:r>
          </w:p>
        </w:tc>
        <w:tc>
          <w:tcPr>
            <w:tcW w:w="761" w:type="pct"/>
            <w:tcBorders>
              <w:top w:val="single" w:sz="4" w:space="0" w:color="auto"/>
              <w:left w:val="single" w:sz="4" w:space="0" w:color="auto"/>
              <w:bottom w:val="single" w:sz="4" w:space="0" w:color="auto"/>
              <w:right w:val="single" w:sz="4" w:space="0" w:color="auto"/>
            </w:tcBorders>
            <w:vAlign w:val="center"/>
            <w:hideMark/>
          </w:tcPr>
          <w:p w14:paraId="44971210"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Contratos de prestación de servicios</w:t>
            </w:r>
          </w:p>
        </w:tc>
      </w:tr>
      <w:tr w:rsidR="00273288" w:rsidRPr="00E33DE3" w14:paraId="578502AA"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vAlign w:val="center"/>
            <w:hideMark/>
          </w:tcPr>
          <w:p w14:paraId="04B4548D"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2021</w:t>
            </w:r>
          </w:p>
        </w:tc>
        <w:tc>
          <w:tcPr>
            <w:tcW w:w="1512" w:type="pct"/>
            <w:tcBorders>
              <w:top w:val="single" w:sz="4" w:space="0" w:color="auto"/>
              <w:left w:val="single" w:sz="4" w:space="0" w:color="auto"/>
              <w:bottom w:val="single" w:sz="4" w:space="0" w:color="auto"/>
              <w:right w:val="single" w:sz="4" w:space="0" w:color="auto"/>
            </w:tcBorders>
            <w:vAlign w:val="center"/>
            <w:hideMark/>
          </w:tcPr>
          <w:p w14:paraId="151C4CB6"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Incremento de Antigüedad</w:t>
            </w:r>
          </w:p>
        </w:tc>
        <w:tc>
          <w:tcPr>
            <w:tcW w:w="1622" w:type="pct"/>
            <w:tcBorders>
              <w:top w:val="single" w:sz="4" w:space="0" w:color="auto"/>
              <w:left w:val="single" w:sz="4" w:space="0" w:color="auto"/>
              <w:bottom w:val="single" w:sz="4" w:space="0" w:color="auto"/>
              <w:right w:val="single" w:sz="4" w:space="0" w:color="auto"/>
            </w:tcBorders>
            <w:vAlign w:val="center"/>
            <w:hideMark/>
          </w:tcPr>
          <w:p w14:paraId="79B7B163"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Inadecuado uso SGP detectado en ejecución presupuestal</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171D29EA"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15</w:t>
            </w:r>
          </w:p>
        </w:tc>
        <w:tc>
          <w:tcPr>
            <w:tcW w:w="761" w:type="pct"/>
            <w:tcBorders>
              <w:top w:val="single" w:sz="4" w:space="0" w:color="auto"/>
              <w:left w:val="single" w:sz="4" w:space="0" w:color="auto"/>
              <w:bottom w:val="single" w:sz="4" w:space="0" w:color="auto"/>
              <w:right w:val="single" w:sz="4" w:space="0" w:color="auto"/>
            </w:tcBorders>
            <w:vAlign w:val="center"/>
            <w:hideMark/>
          </w:tcPr>
          <w:p w14:paraId="54DDAEBA"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Información enviada por la E.T</w:t>
            </w:r>
          </w:p>
        </w:tc>
      </w:tr>
      <w:tr w:rsidR="00273288" w:rsidRPr="00E33DE3" w14:paraId="57B5A132"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vAlign w:val="center"/>
            <w:hideMark/>
          </w:tcPr>
          <w:p w14:paraId="24C41F95"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2021</w:t>
            </w:r>
          </w:p>
        </w:tc>
        <w:tc>
          <w:tcPr>
            <w:tcW w:w="1512" w:type="pct"/>
            <w:tcBorders>
              <w:top w:val="single" w:sz="4" w:space="0" w:color="auto"/>
              <w:left w:val="single" w:sz="4" w:space="0" w:color="auto"/>
              <w:bottom w:val="single" w:sz="4" w:space="0" w:color="auto"/>
              <w:right w:val="single" w:sz="4" w:space="0" w:color="auto"/>
            </w:tcBorders>
            <w:vAlign w:val="center"/>
            <w:hideMark/>
          </w:tcPr>
          <w:p w14:paraId="12FC5938"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Tipologías que supera el valor legal aprobado</w:t>
            </w:r>
          </w:p>
        </w:tc>
        <w:tc>
          <w:tcPr>
            <w:tcW w:w="1622" w:type="pct"/>
            <w:tcBorders>
              <w:top w:val="single" w:sz="4" w:space="0" w:color="auto"/>
              <w:left w:val="single" w:sz="4" w:space="0" w:color="auto"/>
              <w:bottom w:val="single" w:sz="4" w:space="0" w:color="auto"/>
              <w:right w:val="single" w:sz="4" w:space="0" w:color="auto"/>
            </w:tcBorders>
            <w:vAlign w:val="center"/>
            <w:hideMark/>
          </w:tcPr>
          <w:p w14:paraId="75F774C2"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Contratación del servicio educativo y NEE superando el valor de la tipología.</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31473841"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305</w:t>
            </w:r>
          </w:p>
        </w:tc>
        <w:tc>
          <w:tcPr>
            <w:tcW w:w="761" w:type="pct"/>
            <w:tcBorders>
              <w:top w:val="single" w:sz="4" w:space="0" w:color="auto"/>
              <w:left w:val="single" w:sz="4" w:space="0" w:color="auto"/>
              <w:bottom w:val="single" w:sz="4" w:space="0" w:color="auto"/>
              <w:right w:val="single" w:sz="4" w:space="0" w:color="auto"/>
            </w:tcBorders>
            <w:vAlign w:val="center"/>
            <w:hideMark/>
          </w:tcPr>
          <w:p w14:paraId="1445E02C"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Contratos No. 20211328 y 20211447</w:t>
            </w:r>
          </w:p>
        </w:tc>
      </w:tr>
      <w:tr w:rsidR="00273288" w:rsidRPr="00E33DE3" w14:paraId="1613D19D"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vAlign w:val="center"/>
            <w:hideMark/>
          </w:tcPr>
          <w:p w14:paraId="6DF5D141"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2021</w:t>
            </w:r>
          </w:p>
        </w:tc>
        <w:tc>
          <w:tcPr>
            <w:tcW w:w="1512" w:type="pct"/>
            <w:tcBorders>
              <w:top w:val="single" w:sz="4" w:space="0" w:color="auto"/>
              <w:left w:val="single" w:sz="4" w:space="0" w:color="auto"/>
              <w:bottom w:val="single" w:sz="4" w:space="0" w:color="auto"/>
              <w:right w:val="single" w:sz="4" w:space="0" w:color="auto"/>
            </w:tcBorders>
            <w:vAlign w:val="center"/>
            <w:hideMark/>
          </w:tcPr>
          <w:p w14:paraId="0A699F81"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Ineficiencia en la contratación de la prestación de servicios</w:t>
            </w:r>
          </w:p>
        </w:tc>
        <w:tc>
          <w:tcPr>
            <w:tcW w:w="1622" w:type="pct"/>
            <w:tcBorders>
              <w:top w:val="single" w:sz="4" w:space="0" w:color="auto"/>
              <w:left w:val="single" w:sz="4" w:space="0" w:color="auto"/>
              <w:bottom w:val="single" w:sz="4" w:space="0" w:color="auto"/>
              <w:right w:val="single" w:sz="4" w:space="0" w:color="auto"/>
            </w:tcBorders>
            <w:vAlign w:val="center"/>
            <w:hideMark/>
          </w:tcPr>
          <w:p w14:paraId="1118D921"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Ineficiencia en el uso de los recursos públicos.</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014E827C"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1.094</w:t>
            </w:r>
          </w:p>
        </w:tc>
        <w:tc>
          <w:tcPr>
            <w:tcW w:w="761" w:type="pct"/>
            <w:tcBorders>
              <w:top w:val="single" w:sz="4" w:space="0" w:color="auto"/>
              <w:left w:val="single" w:sz="4" w:space="0" w:color="auto"/>
              <w:bottom w:val="single" w:sz="4" w:space="0" w:color="auto"/>
              <w:right w:val="single" w:sz="4" w:space="0" w:color="auto"/>
            </w:tcBorders>
            <w:vAlign w:val="center"/>
            <w:hideMark/>
          </w:tcPr>
          <w:p w14:paraId="3BF08B11"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Contratos de prestación de servicios</w:t>
            </w:r>
          </w:p>
        </w:tc>
      </w:tr>
      <w:tr w:rsidR="00273288" w:rsidRPr="00E33DE3" w14:paraId="680B3A51"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vAlign w:val="center"/>
            <w:hideMark/>
          </w:tcPr>
          <w:p w14:paraId="115D2916"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2022</w:t>
            </w:r>
          </w:p>
        </w:tc>
        <w:tc>
          <w:tcPr>
            <w:tcW w:w="1512" w:type="pct"/>
            <w:tcBorders>
              <w:top w:val="single" w:sz="4" w:space="0" w:color="auto"/>
              <w:left w:val="single" w:sz="4" w:space="0" w:color="auto"/>
              <w:bottom w:val="single" w:sz="4" w:space="0" w:color="auto"/>
              <w:right w:val="single" w:sz="4" w:space="0" w:color="auto"/>
            </w:tcBorders>
            <w:vAlign w:val="center"/>
            <w:hideMark/>
          </w:tcPr>
          <w:p w14:paraId="3DFDFB8C"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Incremento de Antigüedad</w:t>
            </w:r>
          </w:p>
        </w:tc>
        <w:tc>
          <w:tcPr>
            <w:tcW w:w="1622" w:type="pct"/>
            <w:tcBorders>
              <w:top w:val="single" w:sz="4" w:space="0" w:color="auto"/>
              <w:left w:val="single" w:sz="4" w:space="0" w:color="auto"/>
              <w:bottom w:val="single" w:sz="4" w:space="0" w:color="auto"/>
              <w:right w:val="single" w:sz="4" w:space="0" w:color="auto"/>
            </w:tcBorders>
            <w:vAlign w:val="center"/>
            <w:hideMark/>
          </w:tcPr>
          <w:p w14:paraId="53A7F96F"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Inadecuado uso SGP detectado en ejecución presupuestal</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6E18ED6A"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18</w:t>
            </w:r>
          </w:p>
        </w:tc>
        <w:tc>
          <w:tcPr>
            <w:tcW w:w="761" w:type="pct"/>
            <w:tcBorders>
              <w:top w:val="single" w:sz="4" w:space="0" w:color="auto"/>
              <w:left w:val="single" w:sz="4" w:space="0" w:color="auto"/>
              <w:bottom w:val="single" w:sz="4" w:space="0" w:color="auto"/>
              <w:right w:val="single" w:sz="4" w:space="0" w:color="auto"/>
            </w:tcBorders>
            <w:vAlign w:val="center"/>
            <w:hideMark/>
          </w:tcPr>
          <w:p w14:paraId="4D58F065"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Información enviada por la E.T</w:t>
            </w:r>
          </w:p>
        </w:tc>
      </w:tr>
      <w:tr w:rsidR="00273288" w:rsidRPr="00E33DE3" w14:paraId="62AAFDF2"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vAlign w:val="center"/>
            <w:hideMark/>
          </w:tcPr>
          <w:p w14:paraId="11C91749"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2022</w:t>
            </w:r>
          </w:p>
        </w:tc>
        <w:tc>
          <w:tcPr>
            <w:tcW w:w="1512" w:type="pct"/>
            <w:tcBorders>
              <w:top w:val="single" w:sz="4" w:space="0" w:color="auto"/>
              <w:left w:val="single" w:sz="4" w:space="0" w:color="auto"/>
              <w:bottom w:val="single" w:sz="4" w:space="0" w:color="auto"/>
              <w:right w:val="single" w:sz="4" w:space="0" w:color="auto"/>
            </w:tcBorders>
            <w:vAlign w:val="center"/>
            <w:hideMark/>
          </w:tcPr>
          <w:p w14:paraId="6A8F0789"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Tipologías que supera el valor legal aprobado</w:t>
            </w:r>
          </w:p>
        </w:tc>
        <w:tc>
          <w:tcPr>
            <w:tcW w:w="1622" w:type="pct"/>
            <w:tcBorders>
              <w:top w:val="single" w:sz="4" w:space="0" w:color="auto"/>
              <w:left w:val="single" w:sz="4" w:space="0" w:color="auto"/>
              <w:bottom w:val="single" w:sz="4" w:space="0" w:color="auto"/>
              <w:right w:val="single" w:sz="4" w:space="0" w:color="auto"/>
            </w:tcBorders>
            <w:vAlign w:val="center"/>
            <w:hideMark/>
          </w:tcPr>
          <w:p w14:paraId="0C20FF92"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Contratación del servicio educativo y NEE superando el valor de la tipología.</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68F92D9F"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209</w:t>
            </w:r>
          </w:p>
        </w:tc>
        <w:tc>
          <w:tcPr>
            <w:tcW w:w="761" w:type="pct"/>
            <w:tcBorders>
              <w:top w:val="single" w:sz="4" w:space="0" w:color="auto"/>
              <w:left w:val="single" w:sz="4" w:space="0" w:color="auto"/>
              <w:bottom w:val="single" w:sz="4" w:space="0" w:color="auto"/>
              <w:right w:val="single" w:sz="4" w:space="0" w:color="auto"/>
            </w:tcBorders>
            <w:vAlign w:val="center"/>
            <w:hideMark/>
          </w:tcPr>
          <w:p w14:paraId="3A5825B2"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Contrato No. 20221380</w:t>
            </w:r>
          </w:p>
        </w:tc>
      </w:tr>
      <w:tr w:rsidR="00273288" w:rsidRPr="00E33DE3" w14:paraId="729E7112" w14:textId="77777777" w:rsidTr="00273288">
        <w:trPr>
          <w:trHeight w:val="20"/>
        </w:trPr>
        <w:tc>
          <w:tcPr>
            <w:tcW w:w="373" w:type="pct"/>
            <w:tcBorders>
              <w:top w:val="single" w:sz="4" w:space="0" w:color="auto"/>
              <w:left w:val="single" w:sz="4" w:space="0" w:color="auto"/>
              <w:bottom w:val="single" w:sz="4" w:space="0" w:color="auto"/>
              <w:right w:val="single" w:sz="4" w:space="0" w:color="auto"/>
            </w:tcBorders>
            <w:vAlign w:val="center"/>
            <w:hideMark/>
          </w:tcPr>
          <w:p w14:paraId="54DD166A"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2022</w:t>
            </w:r>
          </w:p>
        </w:tc>
        <w:tc>
          <w:tcPr>
            <w:tcW w:w="1512" w:type="pct"/>
            <w:tcBorders>
              <w:top w:val="single" w:sz="4" w:space="0" w:color="auto"/>
              <w:left w:val="single" w:sz="4" w:space="0" w:color="auto"/>
              <w:bottom w:val="single" w:sz="4" w:space="0" w:color="auto"/>
              <w:right w:val="single" w:sz="4" w:space="0" w:color="auto"/>
            </w:tcBorders>
            <w:vAlign w:val="center"/>
            <w:hideMark/>
          </w:tcPr>
          <w:p w14:paraId="40B1B0C2"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Ineficiencia en la contratación de la prestación de servicios</w:t>
            </w:r>
          </w:p>
        </w:tc>
        <w:tc>
          <w:tcPr>
            <w:tcW w:w="1622" w:type="pct"/>
            <w:tcBorders>
              <w:top w:val="single" w:sz="4" w:space="0" w:color="auto"/>
              <w:left w:val="single" w:sz="4" w:space="0" w:color="auto"/>
              <w:bottom w:val="single" w:sz="4" w:space="0" w:color="auto"/>
              <w:right w:val="single" w:sz="4" w:space="0" w:color="auto"/>
            </w:tcBorders>
            <w:vAlign w:val="center"/>
            <w:hideMark/>
          </w:tcPr>
          <w:p w14:paraId="7BD6CA8E"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Ineficiencia en el uso de los recursos públicos.</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7A259FBF" w14:textId="77777777" w:rsidR="00273288" w:rsidRPr="00E33DE3" w:rsidRDefault="00273288" w:rsidP="00C65B25">
            <w:pPr>
              <w:jc w:val="cente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1.980</w:t>
            </w:r>
          </w:p>
        </w:tc>
        <w:tc>
          <w:tcPr>
            <w:tcW w:w="761" w:type="pct"/>
            <w:tcBorders>
              <w:top w:val="single" w:sz="4" w:space="0" w:color="auto"/>
              <w:left w:val="single" w:sz="4" w:space="0" w:color="auto"/>
              <w:bottom w:val="single" w:sz="4" w:space="0" w:color="auto"/>
              <w:right w:val="single" w:sz="4" w:space="0" w:color="auto"/>
            </w:tcBorders>
            <w:vAlign w:val="center"/>
            <w:hideMark/>
          </w:tcPr>
          <w:p w14:paraId="106E4D76" w14:textId="77777777" w:rsidR="00273288" w:rsidRPr="00E33DE3" w:rsidRDefault="00273288" w:rsidP="00C65B25">
            <w:pPr>
              <w:rPr>
                <w:rFonts w:ascii="Verdana" w:eastAsia="Times New Roman" w:hAnsi="Verdana" w:cs="Arial"/>
                <w:color w:val="000000"/>
                <w:sz w:val="18"/>
                <w:szCs w:val="18"/>
                <w:lang w:val="es-CO" w:eastAsia="es-CO"/>
              </w:rPr>
            </w:pPr>
            <w:r w:rsidRPr="00E33DE3">
              <w:rPr>
                <w:rFonts w:ascii="Verdana" w:eastAsia="Times New Roman" w:hAnsi="Verdana" w:cs="Arial"/>
                <w:color w:val="000000" w:themeColor="text1"/>
                <w:sz w:val="18"/>
                <w:szCs w:val="18"/>
                <w:lang w:val="es-CO" w:eastAsia="es-CO"/>
              </w:rPr>
              <w:t>Contratos de prestación de servicios</w:t>
            </w:r>
          </w:p>
        </w:tc>
      </w:tr>
      <w:tr w:rsidR="00273288" w:rsidRPr="00E33DE3" w14:paraId="36B2F06B" w14:textId="77777777" w:rsidTr="00273288">
        <w:trPr>
          <w:trHeight w:val="333"/>
        </w:trPr>
        <w:tc>
          <w:tcPr>
            <w:tcW w:w="1884" w:type="pct"/>
            <w:gridSpan w:val="2"/>
            <w:tcBorders>
              <w:top w:val="single" w:sz="4" w:space="0" w:color="auto"/>
              <w:left w:val="single" w:sz="4" w:space="0" w:color="auto"/>
              <w:bottom w:val="single" w:sz="4" w:space="0" w:color="auto"/>
              <w:right w:val="single" w:sz="4" w:space="0" w:color="auto"/>
            </w:tcBorders>
            <w:shd w:val="clear" w:color="auto" w:fill="B48C41"/>
            <w:hideMark/>
          </w:tcPr>
          <w:p w14:paraId="4364AB23"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TOTAL REINVERSIÓN</w:t>
            </w:r>
          </w:p>
        </w:tc>
        <w:tc>
          <w:tcPr>
            <w:tcW w:w="1622" w:type="pct"/>
            <w:tcBorders>
              <w:top w:val="single" w:sz="4" w:space="0" w:color="auto"/>
              <w:left w:val="single" w:sz="4" w:space="0" w:color="auto"/>
              <w:bottom w:val="single" w:sz="4" w:space="0" w:color="auto"/>
              <w:right w:val="single" w:sz="4" w:space="0" w:color="auto"/>
            </w:tcBorders>
            <w:shd w:val="clear" w:color="auto" w:fill="B48C41"/>
            <w:hideMark/>
          </w:tcPr>
          <w:p w14:paraId="08063143" w14:textId="77777777" w:rsidR="00273288" w:rsidRPr="00E33DE3" w:rsidRDefault="00273288" w:rsidP="00C65B25">
            <w:pPr>
              <w:rPr>
                <w:rFonts w:ascii="Verdana" w:eastAsia="Times New Roman" w:hAnsi="Verdana" w:cs="Arial"/>
                <w:b/>
                <w:bCs/>
                <w:color w:val="FFFFFF"/>
                <w:sz w:val="18"/>
                <w:szCs w:val="18"/>
                <w:lang w:val="es-CO" w:eastAsia="es-CO"/>
              </w:rPr>
            </w:pPr>
          </w:p>
        </w:tc>
        <w:tc>
          <w:tcPr>
            <w:tcW w:w="732" w:type="pct"/>
            <w:tcBorders>
              <w:top w:val="single" w:sz="4" w:space="0" w:color="auto"/>
              <w:left w:val="single" w:sz="4" w:space="0" w:color="auto"/>
              <w:bottom w:val="single" w:sz="4" w:space="0" w:color="auto"/>
              <w:right w:val="single" w:sz="4" w:space="0" w:color="auto"/>
            </w:tcBorders>
            <w:shd w:val="clear" w:color="auto" w:fill="B48C41"/>
            <w:vAlign w:val="center"/>
            <w:hideMark/>
          </w:tcPr>
          <w:p w14:paraId="709C9F1E"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eastAsia="Times New Roman" w:hAnsi="Verdana" w:cs="Arial"/>
                <w:b/>
                <w:bCs/>
                <w:color w:val="FFFFFF" w:themeColor="background1"/>
                <w:sz w:val="18"/>
                <w:szCs w:val="18"/>
                <w:lang w:val="es-CO" w:eastAsia="es-CO"/>
              </w:rPr>
              <w:t>16.211</w:t>
            </w:r>
          </w:p>
        </w:tc>
        <w:tc>
          <w:tcPr>
            <w:tcW w:w="761" w:type="pct"/>
            <w:tcBorders>
              <w:top w:val="single" w:sz="4" w:space="0" w:color="auto"/>
              <w:left w:val="single" w:sz="4" w:space="0" w:color="auto"/>
              <w:bottom w:val="single" w:sz="4" w:space="0" w:color="auto"/>
              <w:right w:val="single" w:sz="4" w:space="0" w:color="auto"/>
            </w:tcBorders>
            <w:shd w:val="clear" w:color="auto" w:fill="B48C41"/>
            <w:hideMark/>
          </w:tcPr>
          <w:p w14:paraId="4391428D" w14:textId="77777777" w:rsidR="00273288" w:rsidRPr="00E33DE3" w:rsidRDefault="00273288" w:rsidP="00C65B25">
            <w:pPr>
              <w:rPr>
                <w:rFonts w:ascii="Verdana" w:eastAsia="Times New Roman" w:hAnsi="Verdana" w:cs="Arial"/>
                <w:b/>
                <w:bCs/>
                <w:color w:val="FFFFFF"/>
                <w:sz w:val="18"/>
                <w:szCs w:val="18"/>
                <w:lang w:val="es-CO" w:eastAsia="es-CO"/>
              </w:rPr>
            </w:pPr>
          </w:p>
        </w:tc>
      </w:tr>
    </w:tbl>
    <w:p w14:paraId="09BE0082" w14:textId="77777777" w:rsidR="00273288" w:rsidRPr="00E33DE3" w:rsidRDefault="00273288" w:rsidP="00C65B25">
      <w:pPr>
        <w:jc w:val="both"/>
        <w:rPr>
          <w:rFonts w:ascii="Verdana" w:hAnsi="Verdana" w:cs="Arial"/>
          <w:sz w:val="22"/>
          <w:szCs w:val="22"/>
          <w:lang w:val="es-CO"/>
        </w:rPr>
      </w:pPr>
    </w:p>
    <w:p w14:paraId="59262137" w14:textId="77777777" w:rsidR="00273288" w:rsidRPr="00E33DE3" w:rsidRDefault="00273288" w:rsidP="00C65B25">
      <w:pPr>
        <w:pStyle w:val="Ttulo1"/>
        <w:spacing w:before="0"/>
        <w:jc w:val="both"/>
        <w:rPr>
          <w:rFonts w:ascii="Verdana" w:hAnsi="Verdana"/>
          <w:szCs w:val="22"/>
        </w:rPr>
      </w:pPr>
      <w:r w:rsidRPr="00E33DE3">
        <w:rPr>
          <w:rFonts w:ascii="Verdana" w:hAnsi="Verdana"/>
          <w:szCs w:val="22"/>
        </w:rPr>
        <w:lastRenderedPageBreak/>
        <w:t>EVENTO DE RIESGO 9.10. “No publicar los actos administrativos, contratos, convenios e informes, cuando la ley lo exija”.</w:t>
      </w:r>
    </w:p>
    <w:p w14:paraId="26D51858" w14:textId="77777777" w:rsidR="00273288" w:rsidRPr="00E33DE3" w:rsidRDefault="00273288" w:rsidP="00C65B25">
      <w:pPr>
        <w:rPr>
          <w:rFonts w:ascii="Verdana" w:hAnsi="Verdana"/>
          <w:sz w:val="22"/>
          <w:szCs w:val="22"/>
        </w:rPr>
      </w:pPr>
    </w:p>
    <w:p w14:paraId="5813A7E2" w14:textId="77777777" w:rsidR="00273288" w:rsidRPr="00E33DE3" w:rsidRDefault="00273288" w:rsidP="00C65B25">
      <w:pPr>
        <w:pStyle w:val="Sinespaciado"/>
        <w:jc w:val="both"/>
        <w:rPr>
          <w:rFonts w:ascii="Verdana" w:hAnsi="Verdana" w:cs="Arial"/>
          <w:lang w:val="es-ES"/>
        </w:rPr>
      </w:pPr>
      <w:r w:rsidRPr="00E33DE3">
        <w:rPr>
          <w:rFonts w:ascii="Verdana" w:hAnsi="Verdana" w:cs="Arial"/>
          <w:lang w:val="es-ES"/>
        </w:rPr>
        <w:t>El Decreto 1082 de 2015 establece en el artículo 2.2.1.1.1.7.1 que: “</w:t>
      </w:r>
      <w:r w:rsidRPr="00E33DE3">
        <w:rPr>
          <w:rFonts w:ascii="Verdana" w:hAnsi="Verdana" w:cs="Arial"/>
          <w:i/>
          <w:lang w:val="es-ES"/>
        </w:rPr>
        <w:t>La Entidad Estatal está obligada a publicar en el SECOP los Documentos del Proceso y los actos administrativos del Proceso de Contratación, dentro de los tres (3) días siguientes a su expedición […]</w:t>
      </w:r>
      <w:r w:rsidRPr="00E33DE3">
        <w:rPr>
          <w:rFonts w:ascii="Verdana" w:hAnsi="Verdana" w:cs="Arial"/>
          <w:lang w:val="es-ES"/>
        </w:rPr>
        <w:t>”. De la misma forma, el artículo 2.1.1.2.1.8 del Decreto 1081 de 2015 demanda que, “</w:t>
      </w:r>
      <w:r w:rsidRPr="00E33DE3">
        <w:rPr>
          <w:rFonts w:ascii="Verdana" w:hAnsi="Verdana" w:cs="Arial"/>
          <w:i/>
          <w:lang w:val="es-ES"/>
        </w:rPr>
        <w:t>para efectos del cumplimiento de la obligación contenida en el literal g) del artículo 11 de la Ley 1712 de 2014, relativa a la información sobre la ejecución de contratos, el sujeto obligado debe publicar las aprobaciones, autorizaciones, requerimientos o informes del supervisor o del interventor, que prueben la ejecución del contrato</w:t>
      </w:r>
      <w:r w:rsidRPr="00E33DE3">
        <w:rPr>
          <w:rFonts w:ascii="Verdana" w:hAnsi="Verdana" w:cs="Arial"/>
          <w:lang w:val="es-ES"/>
        </w:rPr>
        <w:t>”.</w:t>
      </w:r>
    </w:p>
    <w:p w14:paraId="051C609F" w14:textId="77777777" w:rsidR="00273288" w:rsidRPr="00E33DE3" w:rsidRDefault="00273288" w:rsidP="00C65B25">
      <w:pPr>
        <w:pStyle w:val="Sinespaciado"/>
        <w:jc w:val="both"/>
        <w:rPr>
          <w:rFonts w:ascii="Verdana" w:hAnsi="Verdana" w:cs="Arial"/>
        </w:rPr>
      </w:pPr>
    </w:p>
    <w:p w14:paraId="2CB36D3C" w14:textId="77777777" w:rsidR="00273288" w:rsidRPr="00E33DE3" w:rsidRDefault="00273288" w:rsidP="00C65B25">
      <w:pPr>
        <w:jc w:val="both"/>
        <w:rPr>
          <w:rFonts w:ascii="Verdana" w:hAnsi="Verdana" w:cs="Arial"/>
          <w:sz w:val="22"/>
          <w:szCs w:val="22"/>
          <w:lang w:val="es-CO"/>
        </w:rPr>
      </w:pPr>
      <w:r w:rsidRPr="00E33DE3">
        <w:rPr>
          <w:rFonts w:ascii="Verdana" w:hAnsi="Verdana" w:cs="Arial"/>
          <w:sz w:val="22"/>
          <w:szCs w:val="22"/>
          <w:lang w:val="es-CO"/>
        </w:rPr>
        <w:t>Al contrastar el listado de contratos suministrado por la Entidad Territorial con el reporte generado directamente desde SECOP, se evidenció que el Municipio de Pasto no publicó toda la información relevante y necesaria de los procesos contractuales. A continuación, se citan algunos de los casos estudiados:</w:t>
      </w:r>
    </w:p>
    <w:p w14:paraId="7A72567C" w14:textId="77777777" w:rsidR="00273288" w:rsidRPr="00E33DE3" w:rsidRDefault="00273288" w:rsidP="00C65B25">
      <w:pPr>
        <w:jc w:val="both"/>
        <w:rPr>
          <w:rFonts w:ascii="Verdana" w:hAnsi="Verdana" w:cs="Arial"/>
          <w:sz w:val="22"/>
          <w:szCs w:val="22"/>
          <w:lang w:val="es-CO"/>
        </w:rPr>
      </w:pPr>
    </w:p>
    <w:p w14:paraId="0F6CBC06" w14:textId="77777777" w:rsidR="00273288" w:rsidRPr="00E33DE3" w:rsidRDefault="00273288" w:rsidP="00C65B25">
      <w:pPr>
        <w:jc w:val="both"/>
        <w:rPr>
          <w:rFonts w:ascii="Verdana" w:hAnsi="Verdana" w:cs="Arial"/>
          <w:b/>
          <w:bCs/>
          <w:sz w:val="22"/>
          <w:szCs w:val="22"/>
          <w:u w:val="single"/>
        </w:rPr>
      </w:pPr>
      <w:r w:rsidRPr="00E33DE3">
        <w:rPr>
          <w:rFonts w:ascii="Verdana" w:hAnsi="Verdana" w:cs="Arial"/>
          <w:b/>
          <w:bCs/>
          <w:sz w:val="22"/>
          <w:szCs w:val="22"/>
          <w:u w:val="single"/>
        </w:rPr>
        <w:t>Vigencia 2018</w:t>
      </w:r>
    </w:p>
    <w:p w14:paraId="5975F816" w14:textId="77777777" w:rsidR="00273288" w:rsidRPr="00E33DE3" w:rsidRDefault="00273288" w:rsidP="00C65B25">
      <w:pPr>
        <w:jc w:val="both"/>
        <w:rPr>
          <w:rFonts w:ascii="Verdana" w:hAnsi="Verdana" w:cs="Arial"/>
          <w:sz w:val="22"/>
          <w:szCs w:val="22"/>
        </w:rPr>
      </w:pPr>
    </w:p>
    <w:p w14:paraId="1DBB4FE4" w14:textId="77777777" w:rsidR="00273288" w:rsidRPr="00E33DE3" w:rsidRDefault="00273288" w:rsidP="0016616F">
      <w:pPr>
        <w:pStyle w:val="Prrafodelista"/>
        <w:numPr>
          <w:ilvl w:val="0"/>
          <w:numId w:val="33"/>
        </w:numPr>
        <w:ind w:left="284" w:hanging="284"/>
        <w:jc w:val="both"/>
        <w:rPr>
          <w:rFonts w:ascii="Verdana" w:hAnsi="Verdana" w:cs="Arial"/>
          <w:sz w:val="22"/>
          <w:szCs w:val="22"/>
        </w:rPr>
      </w:pPr>
      <w:r w:rsidRPr="00E33DE3">
        <w:rPr>
          <w:rFonts w:ascii="Verdana" w:hAnsi="Verdana" w:cs="Arial"/>
          <w:b/>
          <w:sz w:val="22"/>
          <w:szCs w:val="22"/>
        </w:rPr>
        <w:t>Proceso No. 20183024 del 28 de noviembre de 2018</w:t>
      </w:r>
      <w:r w:rsidRPr="00E33DE3">
        <w:rPr>
          <w:rStyle w:val="Refdenotaalpie"/>
          <w:rFonts w:ascii="Verdana" w:hAnsi="Verdana" w:cs="Arial"/>
          <w:sz w:val="22"/>
          <w:szCs w:val="22"/>
        </w:rPr>
        <w:footnoteReference w:id="6"/>
      </w:r>
      <w:r w:rsidRPr="00E33DE3">
        <w:rPr>
          <w:rFonts w:ascii="Verdana" w:hAnsi="Verdana" w:cs="Arial"/>
          <w:sz w:val="22"/>
          <w:szCs w:val="22"/>
        </w:rPr>
        <w:t xml:space="preserve"> con objeto: “</w:t>
      </w:r>
      <w:r w:rsidRPr="00E33DE3">
        <w:rPr>
          <w:rFonts w:ascii="Verdana" w:hAnsi="Verdana" w:cs="Arial"/>
          <w:i/>
          <w:sz w:val="22"/>
          <w:szCs w:val="22"/>
        </w:rPr>
        <w:t>el contratista se compromete con el municipio a realizar la reposición de mobiliario en todas las sedes educativas del sector urbano del municipio de Pasto exceptuando únicamente a las sedes educativas que actualmente adelantan proyectos de construcción de nueva infraestructura educativa y cuya dotación se realizará en la vigencia 2019</w:t>
      </w:r>
      <w:r w:rsidRPr="00E33DE3">
        <w:rPr>
          <w:rFonts w:ascii="Verdana" w:hAnsi="Verdana" w:cs="Arial"/>
          <w:sz w:val="22"/>
          <w:szCs w:val="22"/>
        </w:rPr>
        <w:t>”, por valor de $2,299 millones suscrito con el contratista DOTAESCOL LTDA. Se identifica como fuente de financiación el SGP y el FONPET. Sin embargo, al revisar los documentos asociados al proceso se evidencia la falta de los siguientes:</w:t>
      </w:r>
    </w:p>
    <w:p w14:paraId="35F4A6E2" w14:textId="77777777" w:rsidR="00273288" w:rsidRPr="00E33DE3" w:rsidRDefault="00273288" w:rsidP="00C65B25">
      <w:pPr>
        <w:pStyle w:val="Prrafodelista"/>
        <w:ind w:left="284"/>
        <w:jc w:val="both"/>
        <w:rPr>
          <w:rFonts w:ascii="Verdana" w:hAnsi="Verdana" w:cs="Arial"/>
          <w:sz w:val="22"/>
          <w:szCs w:val="22"/>
        </w:rPr>
      </w:pPr>
    </w:p>
    <w:p w14:paraId="05B309C4" w14:textId="77777777" w:rsidR="00273288" w:rsidRPr="00E33DE3" w:rsidRDefault="00273288" w:rsidP="0016616F">
      <w:pPr>
        <w:pStyle w:val="Prrafodelista"/>
        <w:numPr>
          <w:ilvl w:val="0"/>
          <w:numId w:val="34"/>
        </w:numPr>
        <w:ind w:left="284" w:hanging="284"/>
        <w:jc w:val="both"/>
        <w:rPr>
          <w:rFonts w:ascii="Verdana" w:hAnsi="Verdana" w:cs="Arial"/>
          <w:sz w:val="22"/>
          <w:szCs w:val="22"/>
        </w:rPr>
      </w:pPr>
      <w:r w:rsidRPr="00E33DE3">
        <w:rPr>
          <w:rFonts w:ascii="Verdana" w:hAnsi="Verdana" w:cs="Arial"/>
          <w:sz w:val="22"/>
          <w:szCs w:val="22"/>
        </w:rPr>
        <w:t>Informes de supervisión</w:t>
      </w:r>
    </w:p>
    <w:p w14:paraId="408A59A1" w14:textId="77777777" w:rsidR="00273288" w:rsidRPr="00E33DE3" w:rsidRDefault="00273288" w:rsidP="0016616F">
      <w:pPr>
        <w:pStyle w:val="Prrafodelista"/>
        <w:numPr>
          <w:ilvl w:val="0"/>
          <w:numId w:val="34"/>
        </w:numPr>
        <w:ind w:left="284" w:hanging="284"/>
        <w:jc w:val="both"/>
        <w:rPr>
          <w:rFonts w:ascii="Verdana" w:hAnsi="Verdana" w:cs="Arial"/>
          <w:sz w:val="22"/>
          <w:szCs w:val="22"/>
        </w:rPr>
      </w:pPr>
      <w:r w:rsidRPr="00E33DE3">
        <w:rPr>
          <w:rFonts w:ascii="Verdana" w:hAnsi="Verdana" w:cs="Arial"/>
          <w:sz w:val="22"/>
          <w:szCs w:val="22"/>
        </w:rPr>
        <w:t>Acta de Inicio</w:t>
      </w:r>
    </w:p>
    <w:p w14:paraId="169D3C86" w14:textId="77777777" w:rsidR="00273288" w:rsidRPr="00E33DE3" w:rsidRDefault="00273288" w:rsidP="0016616F">
      <w:pPr>
        <w:pStyle w:val="Prrafodelista"/>
        <w:numPr>
          <w:ilvl w:val="0"/>
          <w:numId w:val="34"/>
        </w:numPr>
        <w:ind w:left="284" w:hanging="284"/>
        <w:jc w:val="both"/>
        <w:rPr>
          <w:rFonts w:ascii="Verdana" w:hAnsi="Verdana" w:cs="Arial"/>
          <w:sz w:val="22"/>
          <w:szCs w:val="22"/>
        </w:rPr>
      </w:pPr>
      <w:r w:rsidRPr="00E33DE3">
        <w:rPr>
          <w:rFonts w:ascii="Verdana" w:hAnsi="Verdana" w:cs="Arial"/>
          <w:sz w:val="22"/>
          <w:szCs w:val="22"/>
        </w:rPr>
        <w:t>Contrato</w:t>
      </w:r>
    </w:p>
    <w:p w14:paraId="29279BA6" w14:textId="77777777" w:rsidR="00273288" w:rsidRPr="00E33DE3" w:rsidRDefault="00273288" w:rsidP="00C65B25">
      <w:pPr>
        <w:jc w:val="both"/>
        <w:rPr>
          <w:rFonts w:ascii="Verdana" w:hAnsi="Verdana" w:cs="Arial"/>
          <w:sz w:val="22"/>
          <w:szCs w:val="22"/>
        </w:rPr>
      </w:pPr>
    </w:p>
    <w:p w14:paraId="6F8B0745" w14:textId="77777777" w:rsidR="00273288" w:rsidRPr="00E33DE3" w:rsidRDefault="00273288" w:rsidP="0016616F">
      <w:pPr>
        <w:pStyle w:val="Prrafodelista"/>
        <w:numPr>
          <w:ilvl w:val="0"/>
          <w:numId w:val="33"/>
        </w:numPr>
        <w:ind w:left="284" w:hanging="284"/>
        <w:jc w:val="both"/>
        <w:rPr>
          <w:rFonts w:ascii="Verdana" w:hAnsi="Verdana" w:cs="Arial"/>
          <w:sz w:val="22"/>
          <w:szCs w:val="22"/>
        </w:rPr>
      </w:pPr>
      <w:r w:rsidRPr="00E33DE3">
        <w:rPr>
          <w:rFonts w:ascii="Verdana" w:hAnsi="Verdana" w:cs="Arial"/>
          <w:b/>
          <w:sz w:val="22"/>
          <w:szCs w:val="22"/>
        </w:rPr>
        <w:t>Proceso No. 20180991 - Contrato No. 20180991 del 17 de enero de 2018</w:t>
      </w:r>
      <w:r w:rsidRPr="00E33DE3">
        <w:rPr>
          <w:rStyle w:val="Refdenotaalpie"/>
          <w:rFonts w:ascii="Verdana" w:hAnsi="Verdana" w:cs="Arial"/>
          <w:sz w:val="22"/>
          <w:szCs w:val="22"/>
        </w:rPr>
        <w:footnoteReference w:id="7"/>
      </w:r>
      <w:r w:rsidRPr="00E33DE3">
        <w:rPr>
          <w:rFonts w:ascii="Verdana" w:hAnsi="Verdana" w:cs="Arial"/>
          <w:b/>
          <w:sz w:val="22"/>
          <w:szCs w:val="22"/>
        </w:rPr>
        <w:t xml:space="preserve"> </w:t>
      </w:r>
      <w:r w:rsidRPr="00E33DE3">
        <w:rPr>
          <w:rFonts w:ascii="Verdana" w:hAnsi="Verdana" w:cs="Arial"/>
          <w:sz w:val="22"/>
          <w:szCs w:val="22"/>
        </w:rPr>
        <w:t>con objeto de: “</w:t>
      </w:r>
      <w:r w:rsidRPr="00E33DE3">
        <w:rPr>
          <w:rFonts w:ascii="Verdana" w:hAnsi="Verdana" w:cs="Arial"/>
          <w:i/>
          <w:sz w:val="22"/>
          <w:szCs w:val="22"/>
        </w:rPr>
        <w:t>prestar sus servicios profesionales como Licenciado en Música, a la Secretaría de Educación Municipal, con idoneidad y capacidad según los requerimientos de la dependencia y en cumplimiento de funciones de esta, con el fin de que coadyuve al logro de metas y objetivos institucionales como docente de Contrabajo</w:t>
      </w:r>
      <w:r w:rsidRPr="00E33DE3">
        <w:rPr>
          <w:rFonts w:ascii="Verdana" w:hAnsi="Verdana" w:cs="Arial"/>
          <w:sz w:val="22"/>
          <w:szCs w:val="22"/>
        </w:rPr>
        <w:t>”, por valor de $19 millones financiados con SGP- Educación y FONPET. La entidad incumple su obligación de publicar los siguientes documentos en la plataforma SECOP:</w:t>
      </w:r>
    </w:p>
    <w:p w14:paraId="43A2C559" w14:textId="77777777" w:rsidR="00273288" w:rsidRPr="00E33DE3" w:rsidRDefault="00273288" w:rsidP="00C65B25">
      <w:pPr>
        <w:pStyle w:val="Prrafodelista"/>
        <w:ind w:left="284"/>
        <w:jc w:val="both"/>
        <w:rPr>
          <w:rFonts w:ascii="Verdana" w:hAnsi="Verdana" w:cs="Arial"/>
          <w:sz w:val="22"/>
          <w:szCs w:val="22"/>
        </w:rPr>
      </w:pPr>
    </w:p>
    <w:p w14:paraId="5679B4BB" w14:textId="77777777" w:rsidR="00273288" w:rsidRPr="00E33DE3" w:rsidRDefault="00273288" w:rsidP="0016616F">
      <w:pPr>
        <w:pStyle w:val="Prrafodelista"/>
        <w:numPr>
          <w:ilvl w:val="0"/>
          <w:numId w:val="34"/>
        </w:numPr>
        <w:ind w:left="284" w:hanging="284"/>
        <w:jc w:val="both"/>
        <w:rPr>
          <w:rFonts w:ascii="Verdana" w:hAnsi="Verdana" w:cs="Arial"/>
          <w:sz w:val="22"/>
          <w:szCs w:val="22"/>
        </w:rPr>
      </w:pPr>
      <w:r w:rsidRPr="00E33DE3">
        <w:rPr>
          <w:rFonts w:ascii="Verdana" w:hAnsi="Verdana" w:cs="Arial"/>
          <w:sz w:val="22"/>
          <w:szCs w:val="22"/>
        </w:rPr>
        <w:lastRenderedPageBreak/>
        <w:t>Informes de supervisión</w:t>
      </w:r>
    </w:p>
    <w:p w14:paraId="16175C21" w14:textId="77777777" w:rsidR="00273288" w:rsidRPr="00E33DE3" w:rsidRDefault="00273288" w:rsidP="0016616F">
      <w:pPr>
        <w:pStyle w:val="Prrafodelista"/>
        <w:numPr>
          <w:ilvl w:val="0"/>
          <w:numId w:val="34"/>
        </w:numPr>
        <w:ind w:left="284" w:hanging="284"/>
        <w:jc w:val="both"/>
        <w:rPr>
          <w:rFonts w:ascii="Verdana" w:hAnsi="Verdana" w:cs="Arial"/>
          <w:sz w:val="22"/>
          <w:szCs w:val="22"/>
        </w:rPr>
      </w:pPr>
      <w:r w:rsidRPr="00E33DE3">
        <w:rPr>
          <w:rFonts w:ascii="Verdana" w:hAnsi="Verdana" w:cs="Arial"/>
          <w:sz w:val="22"/>
          <w:szCs w:val="22"/>
        </w:rPr>
        <w:t xml:space="preserve">Informes de actividades por parte del contratista. </w:t>
      </w:r>
    </w:p>
    <w:p w14:paraId="19360A93" w14:textId="77777777" w:rsidR="00273288" w:rsidRPr="00E33DE3" w:rsidRDefault="00273288" w:rsidP="0016616F">
      <w:pPr>
        <w:pStyle w:val="Prrafodelista"/>
        <w:numPr>
          <w:ilvl w:val="0"/>
          <w:numId w:val="34"/>
        </w:numPr>
        <w:ind w:left="284" w:hanging="284"/>
        <w:jc w:val="both"/>
        <w:rPr>
          <w:rFonts w:ascii="Verdana" w:hAnsi="Verdana" w:cs="Arial"/>
          <w:sz w:val="22"/>
          <w:szCs w:val="22"/>
        </w:rPr>
      </w:pPr>
      <w:r w:rsidRPr="00E33DE3">
        <w:rPr>
          <w:rFonts w:ascii="Verdana" w:hAnsi="Verdana" w:cs="Arial"/>
          <w:sz w:val="22"/>
          <w:szCs w:val="22"/>
        </w:rPr>
        <w:t xml:space="preserve">Liquidación. </w:t>
      </w:r>
    </w:p>
    <w:p w14:paraId="49405FCD" w14:textId="77777777" w:rsidR="00273288" w:rsidRPr="00E33DE3" w:rsidRDefault="00273288" w:rsidP="00C65B25">
      <w:pPr>
        <w:pStyle w:val="Prrafodelista"/>
        <w:jc w:val="both"/>
        <w:rPr>
          <w:rFonts w:ascii="Verdana" w:hAnsi="Verdana" w:cs="Arial"/>
          <w:sz w:val="22"/>
          <w:szCs w:val="22"/>
        </w:rPr>
      </w:pPr>
    </w:p>
    <w:p w14:paraId="45A8105E" w14:textId="77777777" w:rsidR="00273288" w:rsidRPr="00E33DE3" w:rsidRDefault="00273288" w:rsidP="0016616F">
      <w:pPr>
        <w:pStyle w:val="Prrafodelista"/>
        <w:numPr>
          <w:ilvl w:val="0"/>
          <w:numId w:val="33"/>
        </w:numPr>
        <w:ind w:left="284" w:hanging="284"/>
        <w:jc w:val="both"/>
        <w:rPr>
          <w:rFonts w:ascii="Verdana" w:hAnsi="Verdana" w:cs="Arial"/>
          <w:sz w:val="22"/>
          <w:szCs w:val="22"/>
        </w:rPr>
      </w:pPr>
      <w:r w:rsidRPr="00E33DE3">
        <w:rPr>
          <w:rFonts w:ascii="Verdana" w:hAnsi="Verdana" w:cs="Arial"/>
          <w:b/>
          <w:sz w:val="22"/>
          <w:szCs w:val="22"/>
        </w:rPr>
        <w:t>Proceso No. 2018-066 - Contrato No. 20181571 del 24 de mayo de 2018</w:t>
      </w:r>
      <w:r w:rsidRPr="00E33DE3">
        <w:rPr>
          <w:rStyle w:val="Refdenotaalpie"/>
          <w:rFonts w:ascii="Verdana" w:hAnsi="Verdana" w:cs="Arial"/>
          <w:sz w:val="22"/>
          <w:szCs w:val="22"/>
        </w:rPr>
        <w:footnoteReference w:id="8"/>
      </w:r>
      <w:r w:rsidRPr="00E33DE3">
        <w:rPr>
          <w:rFonts w:ascii="Verdana" w:hAnsi="Verdana" w:cs="Arial"/>
          <w:b/>
          <w:sz w:val="22"/>
          <w:szCs w:val="22"/>
        </w:rPr>
        <w:t xml:space="preserve"> </w:t>
      </w:r>
      <w:r w:rsidRPr="00E33DE3">
        <w:rPr>
          <w:rFonts w:ascii="Verdana" w:hAnsi="Verdana" w:cs="Arial"/>
          <w:sz w:val="22"/>
          <w:szCs w:val="22"/>
        </w:rPr>
        <w:t xml:space="preserve">con objeto de: </w:t>
      </w:r>
      <w:r w:rsidRPr="00E33DE3">
        <w:rPr>
          <w:rFonts w:ascii="Verdana" w:hAnsi="Verdana" w:cs="Arial"/>
          <w:i/>
          <w:sz w:val="22"/>
          <w:szCs w:val="22"/>
        </w:rPr>
        <w:t xml:space="preserve">“El CONTRATISTA se compromete para con el MUNICIPIO a suministrar pasajes aéreos nacionales e internacionales para los talleristas invitados a las actividades programadas por la Secretaría de Educación – Red de escuelas de música, en el marco del cumplimiento de los objetivos del plan de desarrollo del municipio, “Pasto Educado Constructor de Paz” </w:t>
      </w:r>
      <w:r w:rsidRPr="00E33DE3">
        <w:rPr>
          <w:rFonts w:ascii="Verdana" w:hAnsi="Verdana" w:cs="Arial"/>
          <w:sz w:val="22"/>
          <w:szCs w:val="22"/>
        </w:rPr>
        <w:t>por un valor de $16 millones financiados con SGP-FONPET y suscrito con el contratista Carlos Eduardo Jiménez Ortega. El Municipio incumple su obligación de publicar los siguientes documentos en la plataforma SECOP:</w:t>
      </w:r>
    </w:p>
    <w:p w14:paraId="5B88B845" w14:textId="77777777" w:rsidR="00273288" w:rsidRPr="00E33DE3" w:rsidRDefault="00273288" w:rsidP="00C65B25">
      <w:pPr>
        <w:pStyle w:val="Prrafodelista"/>
        <w:ind w:left="284"/>
        <w:jc w:val="both"/>
        <w:rPr>
          <w:rFonts w:ascii="Verdana" w:hAnsi="Verdana" w:cs="Arial"/>
          <w:sz w:val="22"/>
          <w:szCs w:val="22"/>
        </w:rPr>
      </w:pPr>
    </w:p>
    <w:p w14:paraId="27120BE8" w14:textId="77777777" w:rsidR="00273288" w:rsidRPr="00E33DE3" w:rsidRDefault="00273288" w:rsidP="0016616F">
      <w:pPr>
        <w:pStyle w:val="Prrafodelista"/>
        <w:numPr>
          <w:ilvl w:val="0"/>
          <w:numId w:val="34"/>
        </w:numPr>
        <w:ind w:left="284" w:hanging="284"/>
        <w:jc w:val="both"/>
        <w:rPr>
          <w:rFonts w:ascii="Verdana" w:hAnsi="Verdana" w:cs="Arial"/>
          <w:sz w:val="22"/>
          <w:szCs w:val="22"/>
        </w:rPr>
      </w:pPr>
      <w:r w:rsidRPr="00E33DE3">
        <w:rPr>
          <w:rFonts w:ascii="Verdana" w:hAnsi="Verdana" w:cs="Arial"/>
          <w:sz w:val="22"/>
          <w:szCs w:val="22"/>
        </w:rPr>
        <w:t xml:space="preserve">Certificado de disponibilidad presupuestal. </w:t>
      </w:r>
    </w:p>
    <w:p w14:paraId="7A5F78C7" w14:textId="77777777" w:rsidR="00273288" w:rsidRPr="00E33DE3" w:rsidRDefault="00273288" w:rsidP="0016616F">
      <w:pPr>
        <w:pStyle w:val="Prrafodelista"/>
        <w:numPr>
          <w:ilvl w:val="0"/>
          <w:numId w:val="34"/>
        </w:numPr>
        <w:ind w:left="284" w:hanging="284"/>
        <w:jc w:val="both"/>
        <w:rPr>
          <w:rFonts w:ascii="Verdana" w:hAnsi="Verdana" w:cs="Arial"/>
          <w:sz w:val="22"/>
          <w:szCs w:val="22"/>
        </w:rPr>
      </w:pPr>
      <w:r w:rsidRPr="00E33DE3">
        <w:rPr>
          <w:rFonts w:ascii="Verdana" w:hAnsi="Verdana" w:cs="Arial"/>
          <w:sz w:val="22"/>
          <w:szCs w:val="22"/>
        </w:rPr>
        <w:t xml:space="preserve">Registro presupuestal. </w:t>
      </w:r>
    </w:p>
    <w:p w14:paraId="3BA95EA8" w14:textId="77777777" w:rsidR="00273288" w:rsidRPr="00E33DE3" w:rsidRDefault="00273288" w:rsidP="0016616F">
      <w:pPr>
        <w:pStyle w:val="Prrafodelista"/>
        <w:numPr>
          <w:ilvl w:val="0"/>
          <w:numId w:val="34"/>
        </w:numPr>
        <w:ind w:left="284" w:hanging="284"/>
        <w:jc w:val="both"/>
        <w:rPr>
          <w:rFonts w:ascii="Verdana" w:hAnsi="Verdana" w:cs="Arial"/>
          <w:sz w:val="22"/>
          <w:szCs w:val="22"/>
        </w:rPr>
      </w:pPr>
      <w:r w:rsidRPr="00E33DE3">
        <w:rPr>
          <w:rFonts w:ascii="Verdana" w:hAnsi="Verdana" w:cs="Arial"/>
          <w:sz w:val="22"/>
          <w:szCs w:val="22"/>
        </w:rPr>
        <w:t xml:space="preserve">Acta de inicio. </w:t>
      </w:r>
    </w:p>
    <w:p w14:paraId="6BA13051" w14:textId="77777777" w:rsidR="00273288" w:rsidRPr="00E33DE3" w:rsidRDefault="00273288" w:rsidP="0016616F">
      <w:pPr>
        <w:pStyle w:val="Prrafodelista"/>
        <w:numPr>
          <w:ilvl w:val="0"/>
          <w:numId w:val="34"/>
        </w:numPr>
        <w:ind w:left="284" w:hanging="284"/>
        <w:jc w:val="both"/>
        <w:rPr>
          <w:rFonts w:ascii="Verdana" w:hAnsi="Verdana" w:cs="Arial"/>
          <w:sz w:val="22"/>
          <w:szCs w:val="22"/>
        </w:rPr>
      </w:pPr>
      <w:r w:rsidRPr="00E33DE3">
        <w:rPr>
          <w:rFonts w:ascii="Verdana" w:hAnsi="Verdana" w:cs="Arial"/>
          <w:sz w:val="22"/>
          <w:szCs w:val="22"/>
        </w:rPr>
        <w:t xml:space="preserve">Minuta contractual. </w:t>
      </w:r>
    </w:p>
    <w:p w14:paraId="21C772BD" w14:textId="77777777" w:rsidR="00273288" w:rsidRPr="00E33DE3" w:rsidRDefault="00273288" w:rsidP="0016616F">
      <w:pPr>
        <w:pStyle w:val="Prrafodelista"/>
        <w:numPr>
          <w:ilvl w:val="0"/>
          <w:numId w:val="34"/>
        </w:numPr>
        <w:ind w:left="284" w:hanging="284"/>
        <w:jc w:val="both"/>
        <w:rPr>
          <w:rFonts w:ascii="Verdana" w:hAnsi="Verdana" w:cs="Arial"/>
          <w:sz w:val="22"/>
          <w:szCs w:val="22"/>
        </w:rPr>
      </w:pPr>
      <w:r w:rsidRPr="00E33DE3">
        <w:rPr>
          <w:rFonts w:ascii="Verdana" w:hAnsi="Verdana" w:cs="Arial"/>
          <w:sz w:val="22"/>
          <w:szCs w:val="22"/>
        </w:rPr>
        <w:t xml:space="preserve">Informes de seguimiento. </w:t>
      </w:r>
    </w:p>
    <w:p w14:paraId="7B8971EE" w14:textId="77777777" w:rsidR="00273288" w:rsidRPr="00E33DE3" w:rsidRDefault="00273288" w:rsidP="00C65B25">
      <w:pPr>
        <w:pStyle w:val="Prrafodelista"/>
        <w:ind w:left="1050"/>
        <w:jc w:val="both"/>
        <w:rPr>
          <w:rFonts w:ascii="Verdana" w:hAnsi="Verdana" w:cs="Arial"/>
          <w:b/>
          <w:bCs/>
          <w:sz w:val="22"/>
          <w:szCs w:val="22"/>
        </w:rPr>
      </w:pPr>
    </w:p>
    <w:p w14:paraId="62E4BD48" w14:textId="77777777" w:rsidR="00273288" w:rsidRPr="00E33DE3" w:rsidRDefault="00273288" w:rsidP="00C65B25">
      <w:pPr>
        <w:pStyle w:val="Prrafodelista"/>
        <w:ind w:left="0"/>
        <w:jc w:val="both"/>
        <w:rPr>
          <w:rFonts w:ascii="Verdana" w:hAnsi="Verdana" w:cs="Arial"/>
          <w:b/>
          <w:bCs/>
          <w:sz w:val="22"/>
          <w:szCs w:val="22"/>
          <w:u w:val="single"/>
        </w:rPr>
      </w:pPr>
      <w:r w:rsidRPr="00E33DE3">
        <w:rPr>
          <w:rFonts w:ascii="Verdana" w:hAnsi="Verdana" w:cs="Arial"/>
          <w:b/>
          <w:bCs/>
          <w:sz w:val="22"/>
          <w:szCs w:val="22"/>
          <w:u w:val="single"/>
        </w:rPr>
        <w:t xml:space="preserve">Vigencia 2019 </w:t>
      </w:r>
    </w:p>
    <w:p w14:paraId="7C3E5CE0" w14:textId="77777777" w:rsidR="00273288" w:rsidRPr="00E33DE3" w:rsidRDefault="00273288" w:rsidP="00C65B25">
      <w:pPr>
        <w:pStyle w:val="Prrafodelista"/>
        <w:ind w:left="284"/>
        <w:jc w:val="both"/>
        <w:rPr>
          <w:rFonts w:ascii="Verdana" w:hAnsi="Verdana" w:cs="Arial"/>
          <w:sz w:val="22"/>
          <w:szCs w:val="22"/>
        </w:rPr>
      </w:pPr>
    </w:p>
    <w:p w14:paraId="7F7E08E3" w14:textId="77777777" w:rsidR="00273288" w:rsidRPr="00E33DE3" w:rsidRDefault="00273288" w:rsidP="0016616F">
      <w:pPr>
        <w:pStyle w:val="Prrafodelista"/>
        <w:numPr>
          <w:ilvl w:val="0"/>
          <w:numId w:val="33"/>
        </w:numPr>
        <w:ind w:left="284" w:hanging="284"/>
        <w:jc w:val="both"/>
        <w:rPr>
          <w:rFonts w:ascii="Verdana" w:hAnsi="Verdana" w:cs="Arial"/>
          <w:sz w:val="22"/>
          <w:szCs w:val="22"/>
        </w:rPr>
      </w:pPr>
      <w:r w:rsidRPr="00E33DE3">
        <w:rPr>
          <w:rFonts w:ascii="Verdana" w:hAnsi="Verdana" w:cs="Arial"/>
          <w:b/>
          <w:sz w:val="22"/>
          <w:szCs w:val="22"/>
        </w:rPr>
        <w:t>Proceso No. 20191152 - Contrato 191152 del 04 de febrero de 2019</w:t>
      </w:r>
      <w:r w:rsidRPr="00E33DE3">
        <w:rPr>
          <w:rStyle w:val="Refdenotaalpie"/>
          <w:rFonts w:ascii="Verdana" w:hAnsi="Verdana" w:cs="Arial"/>
          <w:sz w:val="22"/>
          <w:szCs w:val="22"/>
        </w:rPr>
        <w:footnoteReference w:id="9"/>
      </w:r>
      <w:r w:rsidRPr="00E33DE3">
        <w:rPr>
          <w:rFonts w:ascii="Verdana" w:hAnsi="Verdana" w:cs="Arial"/>
          <w:b/>
          <w:sz w:val="22"/>
          <w:szCs w:val="22"/>
        </w:rPr>
        <w:t xml:space="preserve"> </w:t>
      </w:r>
      <w:r w:rsidRPr="00E33DE3">
        <w:rPr>
          <w:rFonts w:ascii="Verdana" w:hAnsi="Verdana" w:cs="Arial"/>
          <w:sz w:val="22"/>
          <w:szCs w:val="22"/>
        </w:rPr>
        <w:t>con objeto de: “</w:t>
      </w:r>
      <w:r w:rsidRPr="00E33DE3">
        <w:rPr>
          <w:rFonts w:ascii="Verdana" w:hAnsi="Verdana" w:cs="Arial"/>
          <w:i/>
          <w:sz w:val="22"/>
          <w:szCs w:val="22"/>
        </w:rPr>
        <w:t>la promoción e Implementación de estrategias de desarrollo pedagógico por parte de la entidad de confesión religiosa FUNDACION MARIA DE NAZARETH en la Institución Educativa Municipal María de Nazareth, a 2180 estudiantes relacionados en la lista de estudiantes aprobada por la SEM Pasto y que se relacionan en el Sistema de Matrícula SIMAT para el año lectivo 2019, conforme a la Canasta Educativa que hace parte integral del contrato</w:t>
      </w:r>
      <w:r w:rsidRPr="00E33DE3">
        <w:rPr>
          <w:rFonts w:ascii="Verdana" w:hAnsi="Verdana" w:cs="Arial"/>
          <w:sz w:val="22"/>
          <w:szCs w:val="22"/>
        </w:rPr>
        <w:t>”, por valor de $1,047 millones, suscrito con el contratista FUNDACION MARIA DE NAZARETH. Se identifica como fuente de financiación el SGP-Educación. Sin embargo, al revisar los documentos asociados al proceso se evidencia la falta de los siguientes:</w:t>
      </w:r>
    </w:p>
    <w:p w14:paraId="2127F510" w14:textId="77777777" w:rsidR="00273288" w:rsidRPr="00E33DE3" w:rsidRDefault="00273288" w:rsidP="00C65B25">
      <w:pPr>
        <w:pStyle w:val="Prrafodelista"/>
        <w:ind w:left="284"/>
        <w:jc w:val="both"/>
        <w:rPr>
          <w:rFonts w:ascii="Verdana" w:hAnsi="Verdana" w:cs="Arial"/>
          <w:sz w:val="22"/>
          <w:szCs w:val="22"/>
        </w:rPr>
      </w:pPr>
    </w:p>
    <w:p w14:paraId="14F11F63" w14:textId="77777777" w:rsidR="00273288" w:rsidRPr="00E33DE3" w:rsidRDefault="00273288" w:rsidP="0016616F">
      <w:pPr>
        <w:pStyle w:val="Prrafodelista"/>
        <w:numPr>
          <w:ilvl w:val="0"/>
          <w:numId w:val="34"/>
        </w:numPr>
        <w:ind w:left="284" w:hanging="284"/>
        <w:jc w:val="both"/>
        <w:rPr>
          <w:rFonts w:ascii="Verdana" w:hAnsi="Verdana" w:cs="Arial"/>
          <w:sz w:val="22"/>
          <w:szCs w:val="22"/>
        </w:rPr>
      </w:pPr>
      <w:r w:rsidRPr="00E33DE3">
        <w:rPr>
          <w:rFonts w:ascii="Verdana" w:hAnsi="Verdana" w:cs="Arial"/>
          <w:sz w:val="22"/>
          <w:szCs w:val="22"/>
        </w:rPr>
        <w:t>Informes de supervisión.</w:t>
      </w:r>
    </w:p>
    <w:p w14:paraId="014DD1C4" w14:textId="77777777" w:rsidR="00273288" w:rsidRPr="00E33DE3" w:rsidRDefault="00273288" w:rsidP="0016616F">
      <w:pPr>
        <w:pStyle w:val="Prrafodelista"/>
        <w:numPr>
          <w:ilvl w:val="0"/>
          <w:numId w:val="34"/>
        </w:numPr>
        <w:ind w:left="284" w:hanging="284"/>
        <w:jc w:val="both"/>
        <w:rPr>
          <w:rFonts w:ascii="Verdana" w:hAnsi="Verdana" w:cs="Arial"/>
          <w:sz w:val="22"/>
          <w:szCs w:val="22"/>
        </w:rPr>
      </w:pPr>
      <w:r w:rsidRPr="00E33DE3">
        <w:rPr>
          <w:rFonts w:ascii="Verdana" w:hAnsi="Verdana" w:cs="Arial"/>
          <w:sz w:val="22"/>
          <w:szCs w:val="22"/>
        </w:rPr>
        <w:t>Acta de inicio.</w:t>
      </w:r>
    </w:p>
    <w:p w14:paraId="2174F38B" w14:textId="77777777" w:rsidR="00273288" w:rsidRPr="00E33DE3" w:rsidRDefault="00273288" w:rsidP="00C65B25">
      <w:pPr>
        <w:ind w:left="360"/>
        <w:jc w:val="both"/>
        <w:rPr>
          <w:rFonts w:ascii="Verdana" w:hAnsi="Verdana" w:cs="Arial"/>
          <w:b/>
          <w:sz w:val="22"/>
          <w:szCs w:val="22"/>
        </w:rPr>
      </w:pPr>
    </w:p>
    <w:p w14:paraId="1EAFDCD6" w14:textId="77777777" w:rsidR="00273288" w:rsidRPr="00E33DE3" w:rsidRDefault="00273288" w:rsidP="0016616F">
      <w:pPr>
        <w:pStyle w:val="Prrafodelista"/>
        <w:numPr>
          <w:ilvl w:val="0"/>
          <w:numId w:val="33"/>
        </w:numPr>
        <w:ind w:left="284" w:hanging="284"/>
        <w:jc w:val="both"/>
        <w:rPr>
          <w:rFonts w:ascii="Verdana" w:hAnsi="Verdana" w:cs="Arial"/>
          <w:sz w:val="22"/>
          <w:szCs w:val="22"/>
        </w:rPr>
      </w:pPr>
      <w:r w:rsidRPr="00E33DE3">
        <w:rPr>
          <w:rFonts w:ascii="Verdana" w:hAnsi="Verdana" w:cs="Arial"/>
          <w:b/>
          <w:sz w:val="22"/>
          <w:szCs w:val="22"/>
        </w:rPr>
        <w:t>Proceso No. 20191451 - Contrato No. 191450 del 05 de marzo de 2019</w:t>
      </w:r>
      <w:r w:rsidRPr="00E33DE3">
        <w:rPr>
          <w:rStyle w:val="Refdenotaalpie"/>
          <w:rFonts w:ascii="Verdana" w:hAnsi="Verdana" w:cs="Arial"/>
          <w:sz w:val="22"/>
          <w:szCs w:val="22"/>
        </w:rPr>
        <w:footnoteReference w:id="10"/>
      </w:r>
      <w:r w:rsidRPr="00E33DE3">
        <w:rPr>
          <w:rFonts w:ascii="Verdana" w:hAnsi="Verdana" w:cs="Arial"/>
          <w:sz w:val="22"/>
          <w:szCs w:val="22"/>
        </w:rPr>
        <w:t xml:space="preserve"> con objeto de: “</w:t>
      </w:r>
      <w:r w:rsidRPr="00E33DE3">
        <w:rPr>
          <w:rFonts w:ascii="Verdana" w:hAnsi="Verdana" w:cs="Arial"/>
          <w:i/>
          <w:sz w:val="22"/>
          <w:szCs w:val="22"/>
        </w:rPr>
        <w:t xml:space="preserve">Prestar los servicios de apoyo pedagógico, a la secretaría de educación, con idoneidad y capacidad según los requerimientos de la dependencia y en el cumplimiento de funciones de la misma, con el fin de que coadyuve al logro de metas y objetivos institucionales para el </w:t>
      </w:r>
      <w:r w:rsidRPr="00E33DE3">
        <w:rPr>
          <w:rFonts w:ascii="Verdana" w:hAnsi="Verdana" w:cs="Arial"/>
          <w:i/>
          <w:sz w:val="22"/>
          <w:szCs w:val="22"/>
        </w:rPr>
        <w:lastRenderedPageBreak/>
        <w:t>fortalecimiento de los procesos de organización del servicio educativo y de apoyo pedagógico de la atención a personal en la situación de diversidad funcional y talento excepcionales en el marco de la educación inclusiva en los 49 establecimientos educativos oficiales del municipio de Pasto</w:t>
      </w:r>
      <w:r w:rsidRPr="00E33DE3">
        <w:rPr>
          <w:rFonts w:ascii="Verdana" w:hAnsi="Verdana" w:cs="Arial"/>
          <w:sz w:val="22"/>
          <w:szCs w:val="22"/>
        </w:rPr>
        <w:t>”, por valor de $1.216 millones, suscrito con la Institución Universitaria Cesmag. La Entidad incumple su obligación de publicar los siguientes documentos en la plataforma SECOP:</w:t>
      </w:r>
    </w:p>
    <w:p w14:paraId="5BB7CBB4" w14:textId="77777777" w:rsidR="00273288" w:rsidRPr="00E33DE3" w:rsidRDefault="00273288" w:rsidP="00C65B25">
      <w:pPr>
        <w:pStyle w:val="Prrafodelista"/>
        <w:ind w:left="284"/>
        <w:jc w:val="both"/>
        <w:rPr>
          <w:rFonts w:ascii="Verdana" w:hAnsi="Verdana" w:cs="Arial"/>
          <w:sz w:val="22"/>
          <w:szCs w:val="22"/>
        </w:rPr>
      </w:pPr>
    </w:p>
    <w:p w14:paraId="350EA54D" w14:textId="77777777" w:rsidR="00273288" w:rsidRPr="00E33DE3" w:rsidRDefault="00273288" w:rsidP="0016616F">
      <w:pPr>
        <w:pStyle w:val="Prrafodelista"/>
        <w:numPr>
          <w:ilvl w:val="0"/>
          <w:numId w:val="34"/>
        </w:numPr>
        <w:ind w:left="284" w:hanging="284"/>
        <w:jc w:val="both"/>
        <w:rPr>
          <w:rFonts w:ascii="Verdana" w:hAnsi="Verdana" w:cs="Arial"/>
          <w:sz w:val="22"/>
          <w:szCs w:val="22"/>
        </w:rPr>
      </w:pPr>
      <w:r w:rsidRPr="00E33DE3">
        <w:rPr>
          <w:rFonts w:ascii="Verdana" w:hAnsi="Verdana" w:cs="Arial"/>
          <w:sz w:val="22"/>
          <w:szCs w:val="22"/>
        </w:rPr>
        <w:t>Informes de supervisión.</w:t>
      </w:r>
    </w:p>
    <w:p w14:paraId="0DE84228" w14:textId="77777777" w:rsidR="00273288" w:rsidRPr="00E33DE3" w:rsidRDefault="00273288" w:rsidP="00C65B25">
      <w:pPr>
        <w:ind w:left="360"/>
        <w:jc w:val="both"/>
        <w:rPr>
          <w:rFonts w:ascii="Verdana" w:hAnsi="Verdana" w:cs="Arial"/>
          <w:sz w:val="22"/>
          <w:szCs w:val="22"/>
        </w:rPr>
      </w:pPr>
    </w:p>
    <w:p w14:paraId="223EC170" w14:textId="77777777" w:rsidR="00273288" w:rsidRPr="00E33DE3" w:rsidRDefault="00273288" w:rsidP="0016616F">
      <w:pPr>
        <w:pStyle w:val="Prrafodelista"/>
        <w:numPr>
          <w:ilvl w:val="0"/>
          <w:numId w:val="33"/>
        </w:numPr>
        <w:ind w:left="284" w:hanging="284"/>
        <w:jc w:val="both"/>
        <w:rPr>
          <w:rFonts w:ascii="Verdana" w:hAnsi="Verdana" w:cs="Arial"/>
          <w:sz w:val="22"/>
          <w:szCs w:val="22"/>
        </w:rPr>
      </w:pPr>
      <w:r w:rsidRPr="00E33DE3">
        <w:rPr>
          <w:rFonts w:ascii="Verdana" w:hAnsi="Verdana" w:cs="Arial"/>
          <w:b/>
          <w:sz w:val="22"/>
          <w:szCs w:val="22"/>
        </w:rPr>
        <w:t>Proceso No. 20190246 - Contrato No. 20190246 del 02 de enero de 2019</w:t>
      </w:r>
      <w:r w:rsidRPr="00E33DE3">
        <w:rPr>
          <w:rStyle w:val="Refdenotaalpie"/>
          <w:rFonts w:ascii="Verdana" w:hAnsi="Verdana" w:cs="Arial"/>
          <w:bCs/>
          <w:sz w:val="22"/>
          <w:szCs w:val="22"/>
        </w:rPr>
        <w:footnoteReference w:id="11"/>
      </w:r>
      <w:r w:rsidRPr="00E33DE3">
        <w:rPr>
          <w:rFonts w:ascii="Verdana" w:hAnsi="Verdana" w:cs="Arial"/>
          <w:b/>
          <w:sz w:val="22"/>
          <w:szCs w:val="22"/>
        </w:rPr>
        <w:t xml:space="preserve"> </w:t>
      </w:r>
      <w:r w:rsidRPr="00E33DE3">
        <w:rPr>
          <w:rFonts w:ascii="Verdana" w:hAnsi="Verdana" w:cs="Arial"/>
          <w:sz w:val="22"/>
          <w:szCs w:val="22"/>
        </w:rPr>
        <w:t>con objeto de: “</w:t>
      </w:r>
      <w:r w:rsidRPr="00E33DE3">
        <w:rPr>
          <w:rFonts w:ascii="Verdana" w:hAnsi="Verdana" w:cs="Arial"/>
          <w:i/>
          <w:sz w:val="22"/>
          <w:szCs w:val="22"/>
        </w:rPr>
        <w:t>El/La contratista se compromete para con el Municipio a prestar sus servicios de apoyo a la gestión de la Secretaría de Educación, para las C.E.M. y/o I.E.M., con idoneidad y capacidad según los requerimientos de la dependencia y en cumplimiento de funciones de la misma, con el fin de que coadyuve al logro de metas y objetivos institucionales como conserje</w:t>
      </w:r>
      <w:r w:rsidRPr="00E33DE3">
        <w:rPr>
          <w:rFonts w:ascii="Verdana" w:hAnsi="Verdana" w:cs="Arial"/>
          <w:sz w:val="22"/>
          <w:szCs w:val="22"/>
        </w:rPr>
        <w:t>”, por valor de $11 millones financiados con recursos del SGP - Educación con el contratista JESUS ARMANDO ROSERO SALAZAR. La Entidad incumple su obligación de publicar los siguientes documentos en la plataforma SECOP:</w:t>
      </w:r>
    </w:p>
    <w:p w14:paraId="5C8FB569" w14:textId="77777777" w:rsidR="00273288" w:rsidRPr="00E33DE3" w:rsidRDefault="00273288" w:rsidP="00C65B25">
      <w:pPr>
        <w:pStyle w:val="Prrafodelista"/>
        <w:ind w:left="284"/>
        <w:jc w:val="both"/>
        <w:rPr>
          <w:rFonts w:ascii="Verdana" w:hAnsi="Verdana" w:cs="Arial"/>
          <w:sz w:val="22"/>
          <w:szCs w:val="22"/>
        </w:rPr>
      </w:pPr>
    </w:p>
    <w:p w14:paraId="102F612D" w14:textId="77777777" w:rsidR="00273288" w:rsidRPr="00E33DE3" w:rsidRDefault="00273288" w:rsidP="0016616F">
      <w:pPr>
        <w:pStyle w:val="Prrafodelista"/>
        <w:numPr>
          <w:ilvl w:val="0"/>
          <w:numId w:val="34"/>
        </w:numPr>
        <w:ind w:left="284" w:hanging="284"/>
        <w:jc w:val="both"/>
        <w:rPr>
          <w:rFonts w:ascii="Verdana" w:hAnsi="Verdana" w:cs="Arial"/>
          <w:sz w:val="22"/>
          <w:szCs w:val="22"/>
        </w:rPr>
      </w:pPr>
      <w:r w:rsidRPr="00E33DE3">
        <w:rPr>
          <w:rFonts w:ascii="Verdana" w:hAnsi="Verdana" w:cs="Arial"/>
          <w:sz w:val="22"/>
          <w:szCs w:val="22"/>
        </w:rPr>
        <w:t>Informes de supervisión.</w:t>
      </w:r>
    </w:p>
    <w:p w14:paraId="04AFC1A2" w14:textId="77777777" w:rsidR="00273288" w:rsidRPr="00E33DE3" w:rsidRDefault="00273288" w:rsidP="0016616F">
      <w:pPr>
        <w:pStyle w:val="Prrafodelista"/>
        <w:numPr>
          <w:ilvl w:val="0"/>
          <w:numId w:val="34"/>
        </w:numPr>
        <w:ind w:left="284" w:hanging="284"/>
        <w:jc w:val="both"/>
        <w:rPr>
          <w:rFonts w:ascii="Verdana" w:hAnsi="Verdana" w:cs="Arial"/>
          <w:sz w:val="22"/>
          <w:szCs w:val="22"/>
        </w:rPr>
      </w:pPr>
      <w:r w:rsidRPr="00E33DE3">
        <w:rPr>
          <w:rFonts w:ascii="Verdana" w:hAnsi="Verdana" w:cs="Arial"/>
          <w:sz w:val="22"/>
          <w:szCs w:val="22"/>
        </w:rPr>
        <w:t>Acta de liquidación del contrato.</w:t>
      </w:r>
    </w:p>
    <w:p w14:paraId="65A425DD" w14:textId="77777777" w:rsidR="00273288" w:rsidRPr="00E33DE3" w:rsidRDefault="00273288" w:rsidP="00C65B25">
      <w:pPr>
        <w:pStyle w:val="Prrafodelista"/>
        <w:ind w:left="1050"/>
        <w:jc w:val="both"/>
        <w:rPr>
          <w:rFonts w:ascii="Verdana" w:hAnsi="Verdana" w:cs="Arial"/>
          <w:sz w:val="22"/>
          <w:szCs w:val="22"/>
        </w:rPr>
      </w:pPr>
    </w:p>
    <w:p w14:paraId="654D6A19" w14:textId="77777777" w:rsidR="00273288" w:rsidRPr="00E33DE3" w:rsidRDefault="00273288" w:rsidP="00C65B25">
      <w:pPr>
        <w:pStyle w:val="Prrafodelista"/>
        <w:ind w:left="0"/>
        <w:jc w:val="both"/>
        <w:rPr>
          <w:rFonts w:ascii="Verdana" w:hAnsi="Verdana" w:cs="Arial"/>
          <w:b/>
          <w:bCs/>
          <w:sz w:val="22"/>
          <w:szCs w:val="22"/>
          <w:u w:val="single"/>
        </w:rPr>
      </w:pPr>
      <w:r w:rsidRPr="00E33DE3">
        <w:rPr>
          <w:rFonts w:ascii="Verdana" w:hAnsi="Verdana" w:cs="Arial"/>
          <w:b/>
          <w:bCs/>
          <w:sz w:val="22"/>
          <w:szCs w:val="22"/>
          <w:u w:val="single"/>
        </w:rPr>
        <w:t>Vigencia 2020</w:t>
      </w:r>
    </w:p>
    <w:p w14:paraId="65EC209D" w14:textId="77777777" w:rsidR="00273288" w:rsidRPr="00E33DE3" w:rsidRDefault="00273288" w:rsidP="00C65B25">
      <w:pPr>
        <w:pStyle w:val="Prrafodelista"/>
        <w:ind w:left="360"/>
        <w:jc w:val="both"/>
        <w:rPr>
          <w:rFonts w:ascii="Verdana" w:hAnsi="Verdana" w:cs="Arial"/>
          <w:b/>
          <w:bCs/>
          <w:sz w:val="22"/>
          <w:szCs w:val="22"/>
        </w:rPr>
      </w:pPr>
    </w:p>
    <w:p w14:paraId="2EAC1794"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xml:space="preserve">Para la vigencia 2020 se evidencia que para los contratos </w:t>
      </w:r>
      <w:r w:rsidRPr="00E33DE3">
        <w:rPr>
          <w:rFonts w:ascii="Verdana" w:hAnsi="Verdana" w:cs="Arial"/>
          <w:b/>
          <w:sz w:val="22"/>
          <w:szCs w:val="22"/>
        </w:rPr>
        <w:t>No. 20201849 del 13 de marzo de 2020 (No. Proceso: 20201849)</w:t>
      </w:r>
      <w:r w:rsidRPr="00E33DE3">
        <w:rPr>
          <w:rStyle w:val="Refdenotaalpie"/>
          <w:rFonts w:ascii="Verdana" w:hAnsi="Verdana" w:cs="Arial"/>
          <w:bCs/>
          <w:sz w:val="22"/>
          <w:szCs w:val="22"/>
        </w:rPr>
        <w:footnoteReference w:id="12"/>
      </w:r>
      <w:r w:rsidRPr="00E33DE3">
        <w:rPr>
          <w:rFonts w:ascii="Verdana" w:hAnsi="Verdana" w:cs="Arial"/>
          <w:b/>
          <w:sz w:val="22"/>
          <w:szCs w:val="22"/>
        </w:rPr>
        <w:t xml:space="preserve"> </w:t>
      </w:r>
      <w:r w:rsidRPr="00E33DE3">
        <w:rPr>
          <w:rFonts w:ascii="Verdana" w:hAnsi="Verdana" w:cs="Arial"/>
          <w:bCs/>
          <w:sz w:val="22"/>
          <w:szCs w:val="22"/>
        </w:rPr>
        <w:t>suscrito con</w:t>
      </w:r>
      <w:r w:rsidRPr="00E33DE3">
        <w:rPr>
          <w:rFonts w:ascii="Verdana" w:hAnsi="Verdana" w:cs="Arial"/>
          <w:b/>
          <w:sz w:val="22"/>
          <w:szCs w:val="22"/>
        </w:rPr>
        <w:t xml:space="preserve"> </w:t>
      </w:r>
      <w:r w:rsidRPr="00E33DE3">
        <w:rPr>
          <w:rFonts w:ascii="Verdana" w:hAnsi="Verdana" w:cs="Arial"/>
          <w:i/>
          <w:sz w:val="22"/>
          <w:szCs w:val="22"/>
        </w:rPr>
        <w:t>LA UNIVERSIDAD DE NARIÑO</w:t>
      </w:r>
      <w:r w:rsidRPr="00E33DE3">
        <w:rPr>
          <w:rFonts w:ascii="Verdana" w:hAnsi="Verdana" w:cs="Arial"/>
          <w:sz w:val="22"/>
          <w:szCs w:val="22"/>
        </w:rPr>
        <w:t xml:space="preserve"> para la prestación de servicio Educativo</w:t>
      </w:r>
      <w:r w:rsidRPr="00E33DE3">
        <w:rPr>
          <w:rFonts w:ascii="Verdana" w:hAnsi="Verdana" w:cs="Arial"/>
          <w:i/>
          <w:sz w:val="22"/>
          <w:szCs w:val="22"/>
        </w:rPr>
        <w:t xml:space="preserve">, </w:t>
      </w:r>
      <w:r w:rsidRPr="00E33DE3">
        <w:rPr>
          <w:rFonts w:ascii="Verdana" w:hAnsi="Verdana" w:cs="Arial"/>
          <w:sz w:val="22"/>
          <w:szCs w:val="22"/>
        </w:rPr>
        <w:t xml:space="preserve">por valor de $2,841 millones y </w:t>
      </w:r>
      <w:r w:rsidRPr="00E33DE3">
        <w:rPr>
          <w:rFonts w:ascii="Verdana" w:hAnsi="Verdana" w:cs="Arial"/>
          <w:b/>
          <w:sz w:val="22"/>
          <w:szCs w:val="22"/>
        </w:rPr>
        <w:t>No. 20200736 del 27 de enero de 2020 (No. Proceso: 20200736)</w:t>
      </w:r>
      <w:r w:rsidRPr="00E33DE3">
        <w:rPr>
          <w:rStyle w:val="Refdenotaalpie"/>
          <w:rFonts w:ascii="Verdana" w:hAnsi="Verdana" w:cs="Arial"/>
          <w:sz w:val="22"/>
          <w:szCs w:val="22"/>
        </w:rPr>
        <w:footnoteReference w:id="13"/>
      </w:r>
      <w:r w:rsidRPr="00E33DE3">
        <w:rPr>
          <w:rFonts w:ascii="Verdana" w:hAnsi="Verdana" w:cs="Arial"/>
          <w:sz w:val="22"/>
          <w:szCs w:val="22"/>
        </w:rPr>
        <w:t xml:space="preserve"> con la UNION TEMPORAL VALLE DE ATRIZ para</w:t>
      </w:r>
      <w:r w:rsidRPr="00E33DE3">
        <w:rPr>
          <w:rFonts w:ascii="Verdana" w:hAnsi="Verdana" w:cs="Arial"/>
          <w:i/>
          <w:sz w:val="22"/>
          <w:szCs w:val="22"/>
        </w:rPr>
        <w:t xml:space="preserve"> Implementación del Programa de Alimentación Escolar</w:t>
      </w:r>
      <w:r w:rsidRPr="00E33DE3">
        <w:rPr>
          <w:rFonts w:ascii="Verdana" w:hAnsi="Verdana" w:cs="Arial"/>
          <w:sz w:val="22"/>
          <w:szCs w:val="22"/>
        </w:rPr>
        <w:t xml:space="preserve"> por valor de $1.734 millones y el </w:t>
      </w:r>
      <w:r w:rsidRPr="00E33DE3">
        <w:rPr>
          <w:rFonts w:ascii="Verdana" w:hAnsi="Verdana" w:cs="Arial"/>
          <w:b/>
          <w:sz w:val="22"/>
          <w:szCs w:val="22"/>
        </w:rPr>
        <w:t>Contrato No. 200993 del 31 de enero de 2020 (No. Proceso: 20200993)</w:t>
      </w:r>
      <w:r w:rsidRPr="00E33DE3">
        <w:rPr>
          <w:rStyle w:val="Refdenotaalpie"/>
          <w:rFonts w:ascii="Verdana" w:hAnsi="Verdana" w:cs="Arial"/>
          <w:sz w:val="22"/>
          <w:szCs w:val="22"/>
        </w:rPr>
        <w:footnoteReference w:id="14"/>
      </w:r>
      <w:r w:rsidRPr="00E33DE3">
        <w:rPr>
          <w:rFonts w:ascii="Verdana" w:hAnsi="Verdana" w:cs="Arial"/>
          <w:sz w:val="22"/>
          <w:szCs w:val="22"/>
        </w:rPr>
        <w:t xml:space="preserve"> suscrito con UNIVERSIDAD CESMAG para la prestación de </w:t>
      </w:r>
      <w:r w:rsidRPr="00E33DE3">
        <w:rPr>
          <w:rFonts w:ascii="Verdana" w:hAnsi="Verdana" w:cs="Arial"/>
          <w:i/>
          <w:sz w:val="22"/>
          <w:szCs w:val="22"/>
        </w:rPr>
        <w:t>servicios de apoyo pedagógico de la atención estudiantes con NEE</w:t>
      </w:r>
      <w:r w:rsidRPr="00E33DE3">
        <w:rPr>
          <w:rFonts w:ascii="Verdana" w:hAnsi="Verdana" w:cs="Arial"/>
          <w:sz w:val="22"/>
          <w:szCs w:val="22"/>
        </w:rPr>
        <w:t xml:space="preserve"> por valor de $1,300 millones, la Entidad incumple la obligación de publicar los siguientes documentos en la plataforma SECOP:</w:t>
      </w:r>
    </w:p>
    <w:p w14:paraId="1B115BDD" w14:textId="77777777" w:rsidR="00273288" w:rsidRPr="00E33DE3" w:rsidRDefault="00273288" w:rsidP="00C65B25">
      <w:pPr>
        <w:pStyle w:val="Prrafodelista"/>
        <w:ind w:left="284"/>
        <w:jc w:val="both"/>
        <w:rPr>
          <w:rFonts w:ascii="Verdana" w:hAnsi="Verdana" w:cs="Arial"/>
          <w:sz w:val="22"/>
          <w:szCs w:val="22"/>
        </w:rPr>
      </w:pPr>
    </w:p>
    <w:p w14:paraId="03FDF1A0" w14:textId="77777777" w:rsidR="00273288" w:rsidRPr="00E33DE3" w:rsidRDefault="00273288" w:rsidP="0016616F">
      <w:pPr>
        <w:pStyle w:val="Prrafodelista"/>
        <w:numPr>
          <w:ilvl w:val="0"/>
          <w:numId w:val="34"/>
        </w:numPr>
        <w:ind w:left="284" w:hanging="284"/>
        <w:jc w:val="both"/>
        <w:rPr>
          <w:rFonts w:ascii="Verdana" w:hAnsi="Verdana" w:cs="Arial"/>
          <w:sz w:val="22"/>
          <w:szCs w:val="22"/>
        </w:rPr>
      </w:pPr>
      <w:r w:rsidRPr="00E33DE3">
        <w:rPr>
          <w:rFonts w:ascii="Verdana" w:hAnsi="Verdana" w:cs="Arial"/>
          <w:sz w:val="22"/>
          <w:szCs w:val="22"/>
        </w:rPr>
        <w:t>Informes de supervisión.</w:t>
      </w:r>
    </w:p>
    <w:p w14:paraId="402B2D6A" w14:textId="77777777" w:rsidR="00273288" w:rsidRPr="00E33DE3" w:rsidRDefault="00273288" w:rsidP="0016616F">
      <w:pPr>
        <w:pStyle w:val="Prrafodelista"/>
        <w:numPr>
          <w:ilvl w:val="0"/>
          <w:numId w:val="34"/>
        </w:numPr>
        <w:ind w:left="284" w:hanging="284"/>
        <w:jc w:val="both"/>
        <w:rPr>
          <w:rFonts w:ascii="Verdana" w:hAnsi="Verdana" w:cs="Arial"/>
          <w:sz w:val="22"/>
          <w:szCs w:val="22"/>
        </w:rPr>
      </w:pPr>
      <w:r w:rsidRPr="00E33DE3">
        <w:rPr>
          <w:rFonts w:ascii="Verdana" w:hAnsi="Verdana" w:cs="Arial"/>
          <w:sz w:val="22"/>
          <w:szCs w:val="22"/>
        </w:rPr>
        <w:t>Acta de liquidación del contrato.</w:t>
      </w:r>
    </w:p>
    <w:p w14:paraId="537A0E61" w14:textId="77777777" w:rsidR="00273288" w:rsidRPr="00E33DE3" w:rsidRDefault="00273288" w:rsidP="00C65B25">
      <w:pPr>
        <w:jc w:val="both"/>
        <w:rPr>
          <w:rFonts w:ascii="Verdana" w:hAnsi="Verdana" w:cs="Arial"/>
          <w:sz w:val="22"/>
          <w:szCs w:val="22"/>
        </w:rPr>
      </w:pPr>
    </w:p>
    <w:p w14:paraId="0C867509" w14:textId="77777777" w:rsidR="00273288" w:rsidRPr="00E33DE3" w:rsidRDefault="00273288" w:rsidP="00C65B25">
      <w:pPr>
        <w:jc w:val="both"/>
        <w:rPr>
          <w:rFonts w:ascii="Verdana" w:hAnsi="Verdana" w:cs="Arial"/>
          <w:b/>
          <w:sz w:val="22"/>
          <w:szCs w:val="22"/>
          <w:u w:val="single"/>
        </w:rPr>
      </w:pPr>
      <w:r w:rsidRPr="00E33DE3">
        <w:rPr>
          <w:rFonts w:ascii="Verdana" w:hAnsi="Verdana" w:cs="Arial"/>
          <w:b/>
          <w:bCs/>
          <w:sz w:val="22"/>
          <w:szCs w:val="22"/>
          <w:u w:val="single"/>
        </w:rPr>
        <w:lastRenderedPageBreak/>
        <w:t>Vigencia 2021</w:t>
      </w:r>
      <w:r w:rsidRPr="00E33DE3">
        <w:rPr>
          <w:rFonts w:ascii="Verdana" w:hAnsi="Verdana" w:cs="Arial"/>
          <w:b/>
          <w:sz w:val="22"/>
          <w:szCs w:val="22"/>
          <w:u w:val="single"/>
        </w:rPr>
        <w:t xml:space="preserve"> </w:t>
      </w:r>
    </w:p>
    <w:p w14:paraId="1D448CEC" w14:textId="77777777" w:rsidR="00273288" w:rsidRPr="00E33DE3" w:rsidRDefault="00273288" w:rsidP="00C65B25">
      <w:pPr>
        <w:jc w:val="both"/>
        <w:rPr>
          <w:rFonts w:ascii="Verdana" w:hAnsi="Verdana" w:cs="Arial"/>
          <w:sz w:val="22"/>
          <w:szCs w:val="22"/>
          <w:highlight w:val="yellow"/>
        </w:rPr>
      </w:pPr>
    </w:p>
    <w:p w14:paraId="69DF0B7B" w14:textId="77777777" w:rsidR="00273288" w:rsidRPr="00E33DE3" w:rsidRDefault="00273288" w:rsidP="00C65B25">
      <w:pPr>
        <w:jc w:val="both"/>
        <w:rPr>
          <w:rFonts w:ascii="Verdana" w:hAnsi="Verdana" w:cs="Arial"/>
          <w:b/>
          <w:bCs/>
          <w:sz w:val="22"/>
          <w:szCs w:val="22"/>
        </w:rPr>
      </w:pPr>
      <w:r w:rsidRPr="00E33DE3">
        <w:rPr>
          <w:rFonts w:ascii="Verdana" w:hAnsi="Verdana" w:cs="Arial"/>
          <w:sz w:val="22"/>
          <w:szCs w:val="22"/>
        </w:rPr>
        <w:t>Para la vigencia 2021, en los contratos de arrendamiento</w:t>
      </w:r>
      <w:r w:rsidRPr="00E33DE3">
        <w:rPr>
          <w:rFonts w:ascii="Verdana" w:hAnsi="Verdana" w:cs="Arial"/>
          <w:b/>
          <w:bCs/>
          <w:sz w:val="22"/>
          <w:szCs w:val="22"/>
        </w:rPr>
        <w:t xml:space="preserve"> No. 20210598 </w:t>
      </w:r>
      <w:r w:rsidRPr="00E33DE3">
        <w:rPr>
          <w:rFonts w:ascii="Verdana" w:hAnsi="Verdana" w:cs="Arial"/>
          <w:b/>
          <w:sz w:val="22"/>
          <w:szCs w:val="22"/>
        </w:rPr>
        <w:t>del 20 de enero de 2021 (No. Proceso: CD-2021-581)</w:t>
      </w:r>
      <w:r w:rsidRPr="00E33DE3">
        <w:rPr>
          <w:rStyle w:val="Refdenotaalpie"/>
          <w:rFonts w:ascii="Verdana" w:hAnsi="Verdana" w:cs="Arial"/>
          <w:b/>
          <w:sz w:val="22"/>
          <w:szCs w:val="22"/>
        </w:rPr>
        <w:footnoteReference w:id="15"/>
      </w:r>
      <w:r w:rsidRPr="00E33DE3">
        <w:rPr>
          <w:rFonts w:ascii="Verdana" w:hAnsi="Verdana" w:cs="Arial"/>
          <w:b/>
          <w:sz w:val="22"/>
          <w:szCs w:val="22"/>
        </w:rPr>
        <w:t xml:space="preserve"> y No. 20210597 del 18 de enero de 2021 (No. Proceso: CD-2021-580)</w:t>
      </w:r>
      <w:r w:rsidRPr="00E33DE3">
        <w:rPr>
          <w:rStyle w:val="Refdenotaalpie"/>
          <w:rFonts w:ascii="Verdana" w:hAnsi="Verdana" w:cs="Arial"/>
          <w:b/>
          <w:sz w:val="22"/>
          <w:szCs w:val="22"/>
        </w:rPr>
        <w:footnoteReference w:id="16"/>
      </w:r>
      <w:r w:rsidRPr="00E33DE3">
        <w:rPr>
          <w:rFonts w:ascii="Verdana" w:hAnsi="Verdana" w:cs="Arial"/>
          <w:b/>
          <w:sz w:val="22"/>
          <w:szCs w:val="22"/>
        </w:rPr>
        <w:t xml:space="preserve"> </w:t>
      </w:r>
      <w:r w:rsidRPr="00E33DE3">
        <w:rPr>
          <w:rFonts w:ascii="Verdana" w:hAnsi="Verdana" w:cs="Arial"/>
          <w:bCs/>
          <w:sz w:val="22"/>
          <w:szCs w:val="22"/>
        </w:rPr>
        <w:t>suscritos con el Club Leones de Pasto por $53 millones y con RML Constructora S.A.S por $240 millones respectivamente,</w:t>
      </w:r>
      <w:r w:rsidRPr="00E33DE3">
        <w:rPr>
          <w:rFonts w:ascii="Verdana" w:hAnsi="Verdana"/>
          <w:sz w:val="22"/>
          <w:szCs w:val="22"/>
        </w:rPr>
        <w:t xml:space="preserve"> </w:t>
      </w:r>
      <w:r w:rsidRPr="00E33DE3">
        <w:rPr>
          <w:rFonts w:ascii="Verdana" w:hAnsi="Verdana" w:cs="Arial"/>
          <w:bCs/>
          <w:sz w:val="22"/>
          <w:szCs w:val="22"/>
        </w:rPr>
        <w:t>financiados con recursos del SGP. La Entidad incumple la obligación de publicar los siguientes documentos en la plataforma SECOP:</w:t>
      </w:r>
    </w:p>
    <w:p w14:paraId="2CC84E0B" w14:textId="77777777" w:rsidR="00273288" w:rsidRPr="00E33DE3" w:rsidRDefault="00273288" w:rsidP="00C65B25">
      <w:pPr>
        <w:jc w:val="both"/>
        <w:rPr>
          <w:rFonts w:ascii="Verdana" w:hAnsi="Verdana" w:cs="Arial"/>
          <w:b/>
          <w:bCs/>
          <w:sz w:val="22"/>
          <w:szCs w:val="22"/>
        </w:rPr>
      </w:pPr>
    </w:p>
    <w:p w14:paraId="1B66C61A" w14:textId="77777777" w:rsidR="00273288" w:rsidRPr="00E33DE3" w:rsidRDefault="00273288" w:rsidP="0016616F">
      <w:pPr>
        <w:pStyle w:val="Prrafodelista"/>
        <w:numPr>
          <w:ilvl w:val="0"/>
          <w:numId w:val="34"/>
        </w:numPr>
        <w:ind w:left="284" w:hanging="284"/>
        <w:jc w:val="both"/>
        <w:rPr>
          <w:rFonts w:ascii="Verdana" w:hAnsi="Verdana" w:cs="Arial"/>
          <w:sz w:val="22"/>
          <w:szCs w:val="22"/>
        </w:rPr>
      </w:pPr>
      <w:r w:rsidRPr="00E33DE3">
        <w:rPr>
          <w:rFonts w:ascii="Verdana" w:hAnsi="Verdana" w:cs="Arial"/>
          <w:sz w:val="22"/>
          <w:szCs w:val="22"/>
        </w:rPr>
        <w:t>Registro Presupuestal</w:t>
      </w:r>
    </w:p>
    <w:p w14:paraId="50CA9F92" w14:textId="77777777" w:rsidR="00273288" w:rsidRPr="00E33DE3" w:rsidRDefault="00273288" w:rsidP="0016616F">
      <w:pPr>
        <w:pStyle w:val="Prrafodelista"/>
        <w:numPr>
          <w:ilvl w:val="0"/>
          <w:numId w:val="34"/>
        </w:numPr>
        <w:ind w:left="284" w:hanging="284"/>
        <w:jc w:val="both"/>
        <w:rPr>
          <w:rFonts w:ascii="Verdana" w:hAnsi="Verdana" w:cs="Arial"/>
          <w:sz w:val="22"/>
          <w:szCs w:val="22"/>
        </w:rPr>
      </w:pPr>
      <w:r w:rsidRPr="00E33DE3">
        <w:rPr>
          <w:rFonts w:ascii="Verdana" w:hAnsi="Verdana" w:cs="Arial"/>
          <w:sz w:val="22"/>
          <w:szCs w:val="22"/>
        </w:rPr>
        <w:t>Informes de supervisión</w:t>
      </w:r>
    </w:p>
    <w:p w14:paraId="085892DD" w14:textId="77777777" w:rsidR="00273288" w:rsidRPr="00E33DE3" w:rsidRDefault="00273288" w:rsidP="0016616F">
      <w:pPr>
        <w:pStyle w:val="Prrafodelista"/>
        <w:numPr>
          <w:ilvl w:val="0"/>
          <w:numId w:val="34"/>
        </w:numPr>
        <w:ind w:left="284" w:hanging="284"/>
        <w:jc w:val="both"/>
        <w:rPr>
          <w:rFonts w:ascii="Verdana" w:hAnsi="Verdana" w:cs="Arial"/>
          <w:sz w:val="22"/>
          <w:szCs w:val="22"/>
        </w:rPr>
      </w:pPr>
      <w:r w:rsidRPr="00E33DE3">
        <w:rPr>
          <w:rFonts w:ascii="Verdana" w:hAnsi="Verdana" w:cs="Arial"/>
          <w:sz w:val="22"/>
          <w:szCs w:val="22"/>
        </w:rPr>
        <w:t>Acta de liquidación</w:t>
      </w:r>
    </w:p>
    <w:p w14:paraId="4906CE33" w14:textId="77777777" w:rsidR="00273288" w:rsidRPr="00E33DE3" w:rsidRDefault="00273288" w:rsidP="00C65B25">
      <w:pPr>
        <w:jc w:val="both"/>
        <w:rPr>
          <w:rFonts w:ascii="Verdana" w:hAnsi="Verdana" w:cs="Arial"/>
          <w:sz w:val="22"/>
          <w:szCs w:val="22"/>
        </w:rPr>
      </w:pPr>
    </w:p>
    <w:p w14:paraId="252150EC" w14:textId="77777777" w:rsidR="00273288" w:rsidRPr="00E33DE3" w:rsidRDefault="00273288" w:rsidP="00C65B25">
      <w:pPr>
        <w:jc w:val="both"/>
        <w:rPr>
          <w:rFonts w:ascii="Verdana" w:hAnsi="Verdana" w:cs="Arial"/>
          <w:bCs/>
          <w:sz w:val="22"/>
          <w:szCs w:val="22"/>
        </w:rPr>
      </w:pPr>
      <w:r w:rsidRPr="00E33DE3">
        <w:rPr>
          <w:rFonts w:ascii="Verdana" w:hAnsi="Verdana" w:cs="Arial"/>
          <w:bCs/>
          <w:sz w:val="22"/>
          <w:szCs w:val="22"/>
        </w:rPr>
        <w:t xml:space="preserve">Adicionalmente, para el </w:t>
      </w:r>
      <w:r w:rsidRPr="00E33DE3">
        <w:rPr>
          <w:rFonts w:ascii="Verdana" w:hAnsi="Verdana" w:cs="Arial"/>
          <w:b/>
          <w:bCs/>
          <w:sz w:val="22"/>
          <w:szCs w:val="22"/>
        </w:rPr>
        <w:t xml:space="preserve">Contrato No. 20210851 </w:t>
      </w:r>
      <w:r w:rsidRPr="00E33DE3">
        <w:rPr>
          <w:rFonts w:ascii="Verdana" w:hAnsi="Verdana" w:cs="Arial"/>
          <w:b/>
          <w:sz w:val="22"/>
          <w:szCs w:val="22"/>
        </w:rPr>
        <w:t>del 11 de febrero de 2021 (No. Proceso: CM-2020-3)</w:t>
      </w:r>
      <w:r w:rsidRPr="00E33DE3">
        <w:rPr>
          <w:rStyle w:val="Refdenotaalpie"/>
          <w:rFonts w:ascii="Verdana" w:hAnsi="Verdana" w:cs="Arial"/>
          <w:b/>
          <w:sz w:val="22"/>
          <w:szCs w:val="22"/>
        </w:rPr>
        <w:footnoteReference w:id="17"/>
      </w:r>
      <w:r w:rsidRPr="00E33DE3">
        <w:rPr>
          <w:rFonts w:ascii="Verdana" w:hAnsi="Verdana" w:cs="Arial"/>
          <w:b/>
          <w:sz w:val="22"/>
          <w:szCs w:val="22"/>
        </w:rPr>
        <w:t xml:space="preserve"> </w:t>
      </w:r>
      <w:r w:rsidRPr="00E33DE3">
        <w:rPr>
          <w:rFonts w:ascii="Verdana" w:hAnsi="Verdana" w:cs="Arial"/>
          <w:bCs/>
          <w:sz w:val="22"/>
          <w:szCs w:val="22"/>
        </w:rPr>
        <w:t xml:space="preserve">con objeto </w:t>
      </w:r>
      <w:r w:rsidRPr="00E33DE3">
        <w:rPr>
          <w:rFonts w:ascii="Verdana" w:hAnsi="Verdana" w:cs="Arial"/>
          <w:bCs/>
          <w:i/>
          <w:iCs/>
          <w:sz w:val="22"/>
          <w:szCs w:val="22"/>
        </w:rPr>
        <w:t>“realizar la Interventoría Integral conforme a los lineamientos Técnico-administrativos, estándares y condiciones mínimas de la Resolución No. 29452 de 2017, las Resoluciones 006 y 007 de 2020 expedidas por la Unidad Administrativa Especial Para La Alimentación Escolar - Alimentos para Aprender – y el Decreto 1075 de 2015 sobre el Contrato de operación del PAE – 2021</w:t>
      </w:r>
      <w:r w:rsidRPr="00E33DE3">
        <w:rPr>
          <w:rFonts w:ascii="Verdana" w:hAnsi="Verdana" w:cs="Arial"/>
          <w:bCs/>
          <w:sz w:val="22"/>
          <w:szCs w:val="22"/>
        </w:rPr>
        <w:t>”, por $746 millones financiados con recursos del SGP. La Entidad incumple la obligación de publicar los siguientes documentos en la plataforma SECOP:</w:t>
      </w:r>
    </w:p>
    <w:p w14:paraId="0A2A31C6" w14:textId="77777777" w:rsidR="00273288" w:rsidRPr="00E33DE3" w:rsidRDefault="00273288" w:rsidP="00C65B25">
      <w:pPr>
        <w:jc w:val="both"/>
        <w:rPr>
          <w:rFonts w:ascii="Verdana" w:hAnsi="Verdana" w:cs="Arial"/>
          <w:bCs/>
          <w:sz w:val="22"/>
          <w:szCs w:val="22"/>
        </w:rPr>
      </w:pPr>
    </w:p>
    <w:p w14:paraId="0FC429B6" w14:textId="77777777" w:rsidR="00273288" w:rsidRPr="00E33DE3" w:rsidRDefault="00273288" w:rsidP="0016616F">
      <w:pPr>
        <w:pStyle w:val="Prrafodelista"/>
        <w:numPr>
          <w:ilvl w:val="0"/>
          <w:numId w:val="34"/>
        </w:numPr>
        <w:ind w:left="284" w:hanging="284"/>
        <w:jc w:val="both"/>
        <w:rPr>
          <w:rFonts w:ascii="Verdana" w:hAnsi="Verdana" w:cs="Arial"/>
          <w:sz w:val="22"/>
          <w:szCs w:val="22"/>
        </w:rPr>
      </w:pPr>
      <w:r w:rsidRPr="00E33DE3">
        <w:rPr>
          <w:rFonts w:ascii="Verdana" w:hAnsi="Verdana" w:cs="Arial"/>
          <w:sz w:val="22"/>
          <w:szCs w:val="22"/>
        </w:rPr>
        <w:t>Registro Presupuestal</w:t>
      </w:r>
    </w:p>
    <w:p w14:paraId="7380E81B" w14:textId="77777777" w:rsidR="00273288" w:rsidRPr="00E33DE3" w:rsidRDefault="00273288" w:rsidP="0016616F">
      <w:pPr>
        <w:pStyle w:val="Prrafodelista"/>
        <w:numPr>
          <w:ilvl w:val="0"/>
          <w:numId w:val="34"/>
        </w:numPr>
        <w:ind w:left="284" w:hanging="284"/>
        <w:jc w:val="both"/>
        <w:rPr>
          <w:rFonts w:ascii="Verdana" w:hAnsi="Verdana" w:cs="Arial"/>
          <w:bCs/>
          <w:sz w:val="22"/>
          <w:szCs w:val="22"/>
        </w:rPr>
      </w:pPr>
      <w:r w:rsidRPr="00E33DE3">
        <w:rPr>
          <w:rFonts w:ascii="Verdana" w:hAnsi="Verdana" w:cs="Arial"/>
          <w:sz w:val="22"/>
          <w:szCs w:val="22"/>
        </w:rPr>
        <w:t>Informe</w:t>
      </w:r>
      <w:r w:rsidRPr="00E33DE3">
        <w:rPr>
          <w:rFonts w:ascii="Verdana" w:hAnsi="Verdana" w:cs="Arial"/>
          <w:bCs/>
          <w:sz w:val="22"/>
          <w:szCs w:val="22"/>
        </w:rPr>
        <w:t>s de supervisión</w:t>
      </w:r>
    </w:p>
    <w:p w14:paraId="33554E78" w14:textId="77777777" w:rsidR="00273288" w:rsidRPr="00E33DE3" w:rsidRDefault="00273288" w:rsidP="00C65B25">
      <w:pPr>
        <w:jc w:val="both"/>
        <w:rPr>
          <w:rFonts w:ascii="Verdana" w:hAnsi="Verdana" w:cs="Arial"/>
          <w:bCs/>
          <w:sz w:val="22"/>
          <w:szCs w:val="22"/>
        </w:rPr>
      </w:pPr>
    </w:p>
    <w:p w14:paraId="6AB01268" w14:textId="77777777" w:rsidR="00273288" w:rsidRPr="00E33DE3" w:rsidRDefault="00273288" w:rsidP="00C65B25">
      <w:pPr>
        <w:jc w:val="both"/>
        <w:rPr>
          <w:rFonts w:ascii="Verdana" w:hAnsi="Verdana" w:cs="Arial"/>
          <w:b/>
          <w:bCs/>
          <w:sz w:val="22"/>
          <w:szCs w:val="22"/>
          <w:u w:val="single"/>
        </w:rPr>
      </w:pPr>
      <w:r w:rsidRPr="00E33DE3">
        <w:rPr>
          <w:rFonts w:ascii="Verdana" w:hAnsi="Verdana" w:cs="Arial"/>
          <w:b/>
          <w:bCs/>
          <w:sz w:val="22"/>
          <w:szCs w:val="22"/>
          <w:u w:val="single"/>
        </w:rPr>
        <w:t>Vigencia 2022</w:t>
      </w:r>
    </w:p>
    <w:p w14:paraId="7FBEFE30" w14:textId="77777777" w:rsidR="00273288" w:rsidRPr="00E33DE3" w:rsidRDefault="00273288" w:rsidP="00C65B25">
      <w:pPr>
        <w:jc w:val="both"/>
        <w:rPr>
          <w:rFonts w:ascii="Verdana" w:hAnsi="Verdana" w:cs="Arial"/>
          <w:sz w:val="22"/>
          <w:szCs w:val="22"/>
        </w:rPr>
      </w:pPr>
    </w:p>
    <w:p w14:paraId="5D2A728B" w14:textId="77777777" w:rsidR="00273288" w:rsidRPr="00E33DE3" w:rsidRDefault="00273288" w:rsidP="0016616F">
      <w:pPr>
        <w:pStyle w:val="Prrafodelista"/>
        <w:numPr>
          <w:ilvl w:val="0"/>
          <w:numId w:val="33"/>
        </w:numPr>
        <w:ind w:left="284" w:hanging="284"/>
        <w:jc w:val="both"/>
        <w:rPr>
          <w:rFonts w:ascii="Verdana" w:hAnsi="Verdana" w:cs="Arial"/>
          <w:sz w:val="22"/>
          <w:szCs w:val="22"/>
        </w:rPr>
      </w:pPr>
      <w:r w:rsidRPr="00E33DE3">
        <w:rPr>
          <w:rFonts w:ascii="Verdana" w:hAnsi="Verdana" w:cs="Arial"/>
          <w:b/>
          <w:sz w:val="22"/>
          <w:szCs w:val="22"/>
        </w:rPr>
        <w:t>Contrato No. 20221503 del 27 de enero de 2022 (No. Proceso: CD-2022-1510)</w:t>
      </w:r>
      <w:r w:rsidRPr="00E33DE3">
        <w:rPr>
          <w:rStyle w:val="Refdenotaalpie"/>
          <w:rFonts w:ascii="Verdana" w:hAnsi="Verdana" w:cs="Arial"/>
          <w:sz w:val="22"/>
          <w:szCs w:val="22"/>
        </w:rPr>
        <w:footnoteReference w:id="18"/>
      </w:r>
      <w:r w:rsidRPr="00E33DE3">
        <w:rPr>
          <w:rFonts w:ascii="Verdana" w:hAnsi="Verdana" w:cs="Arial"/>
          <w:sz w:val="22"/>
          <w:szCs w:val="22"/>
        </w:rPr>
        <w:t xml:space="preserve"> con objeto de: “</w:t>
      </w:r>
      <w:r w:rsidRPr="00E33DE3">
        <w:rPr>
          <w:rFonts w:ascii="Verdana" w:hAnsi="Verdana" w:cs="Arial"/>
          <w:i/>
          <w:sz w:val="22"/>
          <w:szCs w:val="22"/>
        </w:rPr>
        <w:t xml:space="preserve">El contratista se compromete para con el Municipio a prestar los servicios de apoyo a la gestión con sus propios medios y con plena autonomía técnica y administrativa como apoyo pedagógico a la Secretaría de Educación, con idoneidad y capacidad según los requerimientos de la dependencia y en cumplimiento de funciones de la misma, con el fin de que coadyuve al logro de metas y objetivos institucionales para el fortalecimiento de los procesos de organización del servicio educativo y de </w:t>
      </w:r>
      <w:r w:rsidRPr="00E33DE3">
        <w:rPr>
          <w:rFonts w:ascii="Verdana" w:hAnsi="Verdana" w:cs="Arial"/>
          <w:i/>
          <w:sz w:val="22"/>
          <w:szCs w:val="22"/>
        </w:rPr>
        <w:lastRenderedPageBreak/>
        <w:t>apoyo pedagógico de la atención a personas en situación de diversidad funcional y talentos excepcionales en el marco de la educación inclusiva en los establecimientos educativos del Municipio de Pasto. Contemplados dentro del proyecto “Apoyo Pedagógico para la atención educativa de la población, en situación de discapacidad y/o talentos excepcionales en el marco de la educación inclusiva vigencia 2022 en el Municipio de Pasto "(Código PAA: AP1)</w:t>
      </w:r>
      <w:r w:rsidRPr="00E33DE3">
        <w:rPr>
          <w:rFonts w:ascii="Verdana" w:hAnsi="Verdana" w:cs="Arial"/>
          <w:sz w:val="22"/>
          <w:szCs w:val="22"/>
        </w:rPr>
        <w:t>”, por valor de $1,324 millones financiados con recursos del SGP. La Entidad incumple la obligación de publicar los siguientes documentos en la plataforma SECOP:</w:t>
      </w:r>
    </w:p>
    <w:p w14:paraId="4079291F" w14:textId="77777777" w:rsidR="00273288" w:rsidRPr="00E33DE3" w:rsidRDefault="00273288" w:rsidP="00C65B25">
      <w:pPr>
        <w:pStyle w:val="Prrafodelista"/>
        <w:ind w:left="284"/>
        <w:jc w:val="both"/>
        <w:rPr>
          <w:rFonts w:ascii="Verdana" w:hAnsi="Verdana" w:cs="Arial"/>
          <w:sz w:val="22"/>
          <w:szCs w:val="22"/>
        </w:rPr>
      </w:pPr>
    </w:p>
    <w:p w14:paraId="032B4FF3" w14:textId="77777777" w:rsidR="00273288" w:rsidRPr="00E33DE3" w:rsidRDefault="00273288" w:rsidP="0016616F">
      <w:pPr>
        <w:pStyle w:val="Prrafodelista"/>
        <w:numPr>
          <w:ilvl w:val="0"/>
          <w:numId w:val="34"/>
        </w:numPr>
        <w:ind w:left="284" w:hanging="284"/>
        <w:jc w:val="both"/>
        <w:rPr>
          <w:rFonts w:ascii="Verdana" w:hAnsi="Verdana" w:cs="Arial"/>
          <w:sz w:val="22"/>
          <w:szCs w:val="22"/>
        </w:rPr>
      </w:pPr>
      <w:r w:rsidRPr="00E33DE3">
        <w:rPr>
          <w:rFonts w:ascii="Verdana" w:hAnsi="Verdana" w:cs="Arial"/>
          <w:sz w:val="22"/>
          <w:szCs w:val="22"/>
        </w:rPr>
        <w:t>Registro Presupuestal</w:t>
      </w:r>
    </w:p>
    <w:p w14:paraId="2FA6CDE8" w14:textId="77777777" w:rsidR="00273288" w:rsidRPr="00E33DE3" w:rsidRDefault="00273288" w:rsidP="0016616F">
      <w:pPr>
        <w:pStyle w:val="Prrafodelista"/>
        <w:numPr>
          <w:ilvl w:val="0"/>
          <w:numId w:val="34"/>
        </w:numPr>
        <w:ind w:left="284" w:hanging="284"/>
        <w:jc w:val="both"/>
        <w:rPr>
          <w:rFonts w:ascii="Verdana" w:hAnsi="Verdana" w:cs="Arial"/>
          <w:bCs/>
          <w:sz w:val="22"/>
          <w:szCs w:val="22"/>
        </w:rPr>
      </w:pPr>
      <w:r w:rsidRPr="00E33DE3">
        <w:rPr>
          <w:rFonts w:ascii="Verdana" w:hAnsi="Verdana" w:cs="Arial"/>
          <w:sz w:val="22"/>
          <w:szCs w:val="22"/>
        </w:rPr>
        <w:t>Informes</w:t>
      </w:r>
      <w:r w:rsidRPr="00E33DE3">
        <w:rPr>
          <w:rFonts w:ascii="Verdana" w:hAnsi="Verdana" w:cs="Arial"/>
          <w:bCs/>
          <w:sz w:val="22"/>
          <w:szCs w:val="22"/>
        </w:rPr>
        <w:t xml:space="preserve"> de supervisión</w:t>
      </w:r>
    </w:p>
    <w:p w14:paraId="2D3612B4" w14:textId="77777777" w:rsidR="00273288" w:rsidRPr="00E33DE3" w:rsidRDefault="00273288" w:rsidP="00C65B25">
      <w:pPr>
        <w:jc w:val="both"/>
        <w:rPr>
          <w:rFonts w:ascii="Verdana" w:hAnsi="Verdana" w:cs="Arial"/>
          <w:sz w:val="22"/>
          <w:szCs w:val="22"/>
        </w:rPr>
      </w:pPr>
    </w:p>
    <w:p w14:paraId="0E785092" w14:textId="77777777" w:rsidR="00273288" w:rsidRPr="00E33DE3" w:rsidRDefault="00273288" w:rsidP="0016616F">
      <w:pPr>
        <w:pStyle w:val="Prrafodelista"/>
        <w:numPr>
          <w:ilvl w:val="0"/>
          <w:numId w:val="33"/>
        </w:numPr>
        <w:ind w:left="284" w:hanging="284"/>
        <w:jc w:val="both"/>
        <w:rPr>
          <w:rFonts w:ascii="Verdana" w:hAnsi="Verdana" w:cs="Arial"/>
          <w:sz w:val="22"/>
          <w:szCs w:val="22"/>
        </w:rPr>
      </w:pPr>
      <w:r w:rsidRPr="00E33DE3">
        <w:rPr>
          <w:rFonts w:ascii="Verdana" w:hAnsi="Verdana" w:cs="Arial"/>
          <w:b/>
          <w:bCs/>
          <w:sz w:val="22"/>
          <w:szCs w:val="22"/>
        </w:rPr>
        <w:t>Contrato No 20221370 del 1 de febrero de 2022 (No. Proceso: CD-2022-1360)</w:t>
      </w:r>
      <w:r w:rsidRPr="00E33DE3">
        <w:rPr>
          <w:rStyle w:val="Refdenotaalpie"/>
          <w:rFonts w:ascii="Verdana" w:hAnsi="Verdana" w:cs="Arial"/>
          <w:sz w:val="22"/>
          <w:szCs w:val="22"/>
        </w:rPr>
        <w:footnoteReference w:id="19"/>
      </w:r>
      <w:r w:rsidRPr="00E33DE3">
        <w:rPr>
          <w:rFonts w:ascii="Verdana" w:hAnsi="Verdana" w:cs="Arial"/>
          <w:sz w:val="22"/>
          <w:szCs w:val="22"/>
        </w:rPr>
        <w:t xml:space="preserve"> con objeto de: “</w:t>
      </w:r>
      <w:r w:rsidRPr="00E33DE3">
        <w:rPr>
          <w:rFonts w:ascii="Verdana" w:hAnsi="Verdana" w:cs="Arial"/>
          <w:i/>
          <w:iCs/>
          <w:sz w:val="22"/>
          <w:szCs w:val="22"/>
        </w:rPr>
        <w:t xml:space="preserve">Es la promoción e Implementación de estrategias de desarrollo pedagógico por parte de la </w:t>
      </w:r>
      <w:r w:rsidRPr="00E33DE3">
        <w:rPr>
          <w:rFonts w:ascii="Verdana" w:hAnsi="Verdana" w:cs="Arial"/>
          <w:b/>
          <w:bCs/>
          <w:i/>
          <w:iCs/>
          <w:sz w:val="22"/>
          <w:szCs w:val="22"/>
        </w:rPr>
        <w:t>entidad</w:t>
      </w:r>
      <w:r w:rsidRPr="00E33DE3">
        <w:rPr>
          <w:rFonts w:ascii="Verdana" w:hAnsi="Verdana" w:cs="Arial"/>
          <w:i/>
          <w:iCs/>
          <w:sz w:val="22"/>
          <w:szCs w:val="22"/>
        </w:rPr>
        <w:t xml:space="preserve"> de confesión religiosa ASOCIACION ESCOLAR MARIA GORETTI en la Institución Educativa Municipal María Goretti, a 1458 estudiantes relacionados en la lista de estudiantes aprobada por la SEM Pasto y que se relacionan en el Sistema de Matricula SIMAT para el año electivo 2022, conforme a la Canasta Educativa que hace parte integral del contrato.</w:t>
      </w:r>
      <w:r w:rsidRPr="00E33DE3">
        <w:rPr>
          <w:rFonts w:ascii="Verdana" w:hAnsi="Verdana" w:cs="Arial"/>
          <w:sz w:val="22"/>
          <w:szCs w:val="22"/>
        </w:rPr>
        <w:t>”, por valor de $1,188 millones con la Asociación Escolar María Goretti, con cargo a los recursos del SGP Educación. La Entidad incumple la obligación de publicar los siguientes documentos en la plataforma SECOP:</w:t>
      </w:r>
    </w:p>
    <w:p w14:paraId="38B7A7F6" w14:textId="77777777" w:rsidR="00273288" w:rsidRPr="00E33DE3" w:rsidRDefault="00273288" w:rsidP="00C65B25">
      <w:pPr>
        <w:pStyle w:val="Prrafodelista"/>
        <w:ind w:left="284"/>
        <w:jc w:val="both"/>
        <w:rPr>
          <w:rFonts w:ascii="Verdana" w:hAnsi="Verdana" w:cs="Arial"/>
          <w:sz w:val="22"/>
          <w:szCs w:val="22"/>
        </w:rPr>
      </w:pPr>
    </w:p>
    <w:p w14:paraId="78B367AC" w14:textId="77777777" w:rsidR="00273288" w:rsidRPr="00E33DE3" w:rsidRDefault="00273288" w:rsidP="0016616F">
      <w:pPr>
        <w:pStyle w:val="Prrafodelista"/>
        <w:numPr>
          <w:ilvl w:val="0"/>
          <w:numId w:val="34"/>
        </w:numPr>
        <w:ind w:left="284" w:hanging="284"/>
        <w:jc w:val="both"/>
        <w:rPr>
          <w:rFonts w:ascii="Verdana" w:hAnsi="Verdana" w:cs="Arial"/>
          <w:sz w:val="22"/>
          <w:szCs w:val="22"/>
        </w:rPr>
      </w:pPr>
      <w:r w:rsidRPr="00E33DE3">
        <w:rPr>
          <w:rFonts w:ascii="Verdana" w:hAnsi="Verdana" w:cs="Arial"/>
          <w:sz w:val="22"/>
          <w:szCs w:val="22"/>
        </w:rPr>
        <w:t>Minuta Contractual</w:t>
      </w:r>
    </w:p>
    <w:p w14:paraId="159D337D" w14:textId="77777777" w:rsidR="00273288" w:rsidRPr="00E33DE3" w:rsidRDefault="00273288" w:rsidP="00C65B25">
      <w:pPr>
        <w:jc w:val="both"/>
        <w:rPr>
          <w:rFonts w:ascii="Verdana" w:hAnsi="Verdana" w:cs="Arial"/>
          <w:sz w:val="22"/>
          <w:szCs w:val="22"/>
        </w:rPr>
      </w:pPr>
    </w:p>
    <w:p w14:paraId="4ACCFB95" w14:textId="77777777" w:rsidR="00273288" w:rsidRPr="00E33DE3" w:rsidRDefault="00273288" w:rsidP="0016616F">
      <w:pPr>
        <w:pStyle w:val="Prrafodelista"/>
        <w:numPr>
          <w:ilvl w:val="0"/>
          <w:numId w:val="33"/>
        </w:numPr>
        <w:ind w:left="284" w:hanging="284"/>
        <w:jc w:val="both"/>
        <w:rPr>
          <w:rFonts w:ascii="Verdana" w:hAnsi="Verdana" w:cs="Arial"/>
          <w:sz w:val="22"/>
          <w:szCs w:val="22"/>
        </w:rPr>
      </w:pPr>
      <w:r w:rsidRPr="00E33DE3">
        <w:rPr>
          <w:rFonts w:ascii="Verdana" w:hAnsi="Verdana" w:cs="Arial"/>
          <w:b/>
          <w:sz w:val="22"/>
          <w:szCs w:val="22"/>
        </w:rPr>
        <w:t>Contrato No 20222782 del 14 de junio de 2022 (No. Proceso: LP-2022-15)</w:t>
      </w:r>
      <w:r w:rsidRPr="00E33DE3">
        <w:rPr>
          <w:rStyle w:val="Refdenotaalpie"/>
          <w:rFonts w:ascii="Verdana" w:hAnsi="Verdana" w:cs="Arial"/>
          <w:sz w:val="22"/>
          <w:szCs w:val="22"/>
        </w:rPr>
        <w:footnoteReference w:id="20"/>
      </w:r>
      <w:r w:rsidRPr="00E33DE3">
        <w:rPr>
          <w:rFonts w:ascii="Verdana" w:hAnsi="Verdana" w:cs="Arial"/>
          <w:sz w:val="22"/>
          <w:szCs w:val="22"/>
        </w:rPr>
        <w:t xml:space="preserve"> con objeto de: “</w:t>
      </w:r>
      <w:r w:rsidRPr="00E33DE3">
        <w:rPr>
          <w:rFonts w:ascii="Verdana" w:hAnsi="Verdana" w:cs="Arial"/>
          <w:i/>
          <w:sz w:val="22"/>
          <w:szCs w:val="22"/>
        </w:rPr>
        <w:t>El objeto del Contrato es la prestación del servicio y ejecución del Programa de Alimentación Escolar (PAE) con destino a los niños, niñas, adolescentes y jóvenes focalizados y registrados en el Sistema Integrado de Matrícula (SIMAT) como estudiantes de las instituciones educativas oficiales de los 47 Establecimientos Educativos del Municipio de Pasto, cuyas características técnicas, administrativas y financieras se encuentran detalladas en le Ficha Técnica y el Contrato, fundamentados en la Resolución No. 335 de 2021 del MEN, por la cual se expiden los lineamientos técnicos – administrativos, los estándares y las condiciones mínimas del programa de alimentación escolar- PAE, por la Unidad Administrativa Especial para la Alimentación Escolar Alimentos para Aprender.</w:t>
      </w:r>
      <w:r w:rsidRPr="00E33DE3">
        <w:rPr>
          <w:rFonts w:ascii="Verdana" w:hAnsi="Verdana" w:cs="Arial"/>
          <w:sz w:val="22"/>
          <w:szCs w:val="22"/>
        </w:rPr>
        <w:t xml:space="preserve">”, por valor de $7,893 millones financiados con recursos del SGP- EDUCACIÓN, PAE. La Entidad </w:t>
      </w:r>
      <w:r w:rsidRPr="00E33DE3">
        <w:rPr>
          <w:rFonts w:ascii="Verdana" w:hAnsi="Verdana" w:cs="Arial"/>
          <w:sz w:val="22"/>
          <w:szCs w:val="22"/>
        </w:rPr>
        <w:lastRenderedPageBreak/>
        <w:t>incumple la obligación de publicar los siguientes documentos en la plataforma SECOP:</w:t>
      </w:r>
    </w:p>
    <w:p w14:paraId="34DC4D4F" w14:textId="77777777" w:rsidR="00273288" w:rsidRPr="00E33DE3" w:rsidRDefault="00273288" w:rsidP="00C65B25">
      <w:pPr>
        <w:pStyle w:val="Prrafodelista"/>
        <w:ind w:left="284"/>
        <w:jc w:val="both"/>
        <w:rPr>
          <w:rFonts w:ascii="Verdana" w:hAnsi="Verdana" w:cs="Arial"/>
          <w:sz w:val="22"/>
          <w:szCs w:val="22"/>
        </w:rPr>
      </w:pPr>
    </w:p>
    <w:p w14:paraId="028EA2CC" w14:textId="77777777" w:rsidR="00273288" w:rsidRPr="00E33DE3" w:rsidRDefault="00273288" w:rsidP="0016616F">
      <w:pPr>
        <w:pStyle w:val="Prrafodelista"/>
        <w:numPr>
          <w:ilvl w:val="0"/>
          <w:numId w:val="34"/>
        </w:numPr>
        <w:ind w:left="284" w:hanging="284"/>
        <w:jc w:val="both"/>
        <w:rPr>
          <w:rFonts w:ascii="Verdana" w:hAnsi="Verdana" w:cs="Arial"/>
          <w:sz w:val="22"/>
          <w:szCs w:val="22"/>
        </w:rPr>
      </w:pPr>
      <w:r w:rsidRPr="00E33DE3">
        <w:rPr>
          <w:rFonts w:ascii="Verdana" w:hAnsi="Verdana" w:cs="Arial"/>
          <w:sz w:val="22"/>
          <w:szCs w:val="22"/>
        </w:rPr>
        <w:t>Registro Presupuestal</w:t>
      </w:r>
    </w:p>
    <w:p w14:paraId="35083072" w14:textId="77777777" w:rsidR="00273288" w:rsidRPr="00E33DE3" w:rsidRDefault="00273288" w:rsidP="0016616F">
      <w:pPr>
        <w:pStyle w:val="Prrafodelista"/>
        <w:numPr>
          <w:ilvl w:val="0"/>
          <w:numId w:val="34"/>
        </w:numPr>
        <w:ind w:left="284" w:hanging="284"/>
        <w:jc w:val="both"/>
        <w:rPr>
          <w:rFonts w:ascii="Verdana" w:hAnsi="Verdana" w:cs="Arial"/>
          <w:sz w:val="22"/>
          <w:szCs w:val="22"/>
        </w:rPr>
      </w:pPr>
      <w:r w:rsidRPr="00E33DE3">
        <w:rPr>
          <w:rFonts w:ascii="Verdana" w:hAnsi="Verdana" w:cs="Arial"/>
          <w:sz w:val="22"/>
          <w:szCs w:val="22"/>
        </w:rPr>
        <w:t>Certificado de Disponibilidad presupuestal.</w:t>
      </w:r>
    </w:p>
    <w:p w14:paraId="16375212" w14:textId="77777777" w:rsidR="00273288" w:rsidRPr="00E33DE3" w:rsidRDefault="00273288" w:rsidP="0016616F">
      <w:pPr>
        <w:pStyle w:val="Prrafodelista"/>
        <w:numPr>
          <w:ilvl w:val="0"/>
          <w:numId w:val="34"/>
        </w:numPr>
        <w:ind w:left="284" w:hanging="284"/>
        <w:jc w:val="both"/>
        <w:rPr>
          <w:rFonts w:ascii="Verdana" w:hAnsi="Verdana" w:cs="Arial"/>
          <w:sz w:val="22"/>
          <w:szCs w:val="22"/>
        </w:rPr>
      </w:pPr>
      <w:r w:rsidRPr="00E33DE3">
        <w:rPr>
          <w:rFonts w:ascii="Verdana" w:hAnsi="Verdana" w:cs="Arial"/>
          <w:sz w:val="22"/>
          <w:szCs w:val="22"/>
        </w:rPr>
        <w:t>Informes</w:t>
      </w:r>
      <w:r w:rsidRPr="00E33DE3">
        <w:rPr>
          <w:rFonts w:ascii="Verdana" w:hAnsi="Verdana" w:cs="Arial"/>
          <w:bCs/>
          <w:sz w:val="22"/>
          <w:szCs w:val="22"/>
        </w:rPr>
        <w:t xml:space="preserve"> de Supervisión</w:t>
      </w:r>
    </w:p>
    <w:p w14:paraId="6354400C" w14:textId="77777777" w:rsidR="00273288" w:rsidRPr="00E33DE3" w:rsidRDefault="00273288" w:rsidP="00C65B25">
      <w:pPr>
        <w:jc w:val="both"/>
        <w:rPr>
          <w:rFonts w:ascii="Verdana" w:hAnsi="Verdana" w:cs="Arial"/>
          <w:sz w:val="22"/>
          <w:szCs w:val="22"/>
        </w:rPr>
      </w:pPr>
    </w:p>
    <w:p w14:paraId="3229FF73"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En consecuencia, la Entidad Territorial incumple lo establecido en el Decreto 1082 de 2015 en su artículo 2.2.1.1.1.7.1 y en el artículo 2.1.1.2.1.8 del Decreto 1081 de 2015, por cuanto omite su responsabilidad de dar amplia publicidad a los procesos de contratación y la documentación que los soporta.</w:t>
      </w:r>
    </w:p>
    <w:p w14:paraId="1039B89F" w14:textId="77777777" w:rsidR="00273288" w:rsidRPr="00E33DE3" w:rsidRDefault="00273288" w:rsidP="00C65B25">
      <w:pPr>
        <w:jc w:val="both"/>
        <w:rPr>
          <w:rFonts w:ascii="Verdana" w:hAnsi="Verdana" w:cs="Arial"/>
          <w:sz w:val="22"/>
          <w:szCs w:val="22"/>
        </w:rPr>
      </w:pPr>
    </w:p>
    <w:p w14:paraId="116C5713" w14:textId="77777777" w:rsidR="00273288" w:rsidRPr="00E33DE3" w:rsidRDefault="00273288" w:rsidP="00C65B25">
      <w:pPr>
        <w:rPr>
          <w:rFonts w:ascii="Verdana" w:hAnsi="Verdana" w:cs="Arial"/>
          <w:sz w:val="22"/>
          <w:szCs w:val="22"/>
          <w:lang w:val="es-ES_tradnl"/>
        </w:rPr>
      </w:pPr>
      <w:r w:rsidRPr="00E33DE3">
        <w:rPr>
          <w:rFonts w:ascii="Verdana" w:hAnsi="Verdana" w:cs="Arial"/>
          <w:b/>
          <w:sz w:val="22"/>
          <w:szCs w:val="22"/>
          <w:lang w:val="es-ES_tradnl"/>
        </w:rPr>
        <w:t xml:space="preserve">Evidencia: </w:t>
      </w:r>
      <w:r w:rsidRPr="00E33DE3">
        <w:rPr>
          <w:rFonts w:ascii="Verdana" w:hAnsi="Verdana" w:cs="Arial"/>
          <w:sz w:val="22"/>
          <w:szCs w:val="22"/>
          <w:lang w:val="es-ES_tradnl"/>
        </w:rPr>
        <w:t>Obra en el expediente el siguiente material probatorio:</w:t>
      </w:r>
    </w:p>
    <w:p w14:paraId="045526EF"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Consulta SECOP del proceso No. 20183024 - Medio magnético.</w:t>
      </w:r>
    </w:p>
    <w:p w14:paraId="51C346AF"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Consulta SECOP del proceso No. 20180991- Medio magnético.</w:t>
      </w:r>
    </w:p>
    <w:p w14:paraId="4B7B99B1"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Consulta SECOP del proceso No. 2018-066 - Medio magnético.</w:t>
      </w:r>
    </w:p>
    <w:p w14:paraId="5FC3E747"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Consulta SECOP del proceso No. 20191152 - Medio magnético.</w:t>
      </w:r>
    </w:p>
    <w:p w14:paraId="798C6FAC"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Consulta SECOP del proceso No. 20191451 - Medio magnético.</w:t>
      </w:r>
    </w:p>
    <w:p w14:paraId="1BA5145F"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Consulta SECOP del proceso No. 20190246- Medio magnético.</w:t>
      </w:r>
    </w:p>
    <w:p w14:paraId="270B2FCB"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Consulta SECOP del proceso No. 20201849 - Medio magnético.</w:t>
      </w:r>
    </w:p>
    <w:p w14:paraId="733549D2"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Consulta SECOP del proceso No. 20200736- Medio magnético.</w:t>
      </w:r>
    </w:p>
    <w:p w14:paraId="5E5DFDA4"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Consulta SECOP del proceso No. 20200993- Medio magnético.</w:t>
      </w:r>
    </w:p>
    <w:p w14:paraId="56D85C43"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Consulta SECOP del proceso No. CD-2021-581 - Medio magnético</w:t>
      </w:r>
    </w:p>
    <w:p w14:paraId="45584E75"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Consulta SECOP del proceso No. CD-2021-580 - Medio magnético</w:t>
      </w:r>
    </w:p>
    <w:p w14:paraId="67C6A95B"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Consulta SECOP del proceso No. CM-2020-3 - Medio magnético</w:t>
      </w:r>
    </w:p>
    <w:p w14:paraId="4B5BF381"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Consulta SECOP del proceso No. CD-2022-1510 - Medio magnético</w:t>
      </w:r>
    </w:p>
    <w:p w14:paraId="219987D6"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Consulta SECOP del proceso No. CD-2022-1360 - Medio magnético</w:t>
      </w:r>
    </w:p>
    <w:p w14:paraId="19FCECC5" w14:textId="77777777" w:rsidR="00273288" w:rsidRPr="00E33DE3" w:rsidRDefault="00273288" w:rsidP="00C65B25">
      <w:pPr>
        <w:pStyle w:val="Prrafodelista"/>
        <w:numPr>
          <w:ilvl w:val="0"/>
          <w:numId w:val="28"/>
        </w:numPr>
        <w:ind w:left="284" w:hanging="284"/>
        <w:jc w:val="both"/>
        <w:rPr>
          <w:rFonts w:ascii="Verdana" w:hAnsi="Verdana" w:cs="Arial"/>
          <w:sz w:val="22"/>
          <w:szCs w:val="22"/>
          <w:lang w:val="es-ES_tradnl"/>
        </w:rPr>
      </w:pPr>
      <w:r w:rsidRPr="00E33DE3">
        <w:rPr>
          <w:rFonts w:ascii="Verdana" w:eastAsia="Calibri" w:hAnsi="Verdana" w:cs="Arial"/>
          <w:sz w:val="22"/>
          <w:szCs w:val="22"/>
          <w:lang w:eastAsia="en-US"/>
        </w:rPr>
        <w:t>Consulta</w:t>
      </w:r>
      <w:r w:rsidRPr="00E33DE3">
        <w:rPr>
          <w:rFonts w:ascii="Verdana" w:hAnsi="Verdana" w:cs="Arial"/>
          <w:sz w:val="22"/>
          <w:szCs w:val="22"/>
          <w:lang w:val="es-CO"/>
        </w:rPr>
        <w:t xml:space="preserve"> SECOP</w:t>
      </w:r>
      <w:r w:rsidRPr="00E33DE3">
        <w:rPr>
          <w:rFonts w:ascii="Verdana" w:hAnsi="Verdana" w:cs="Arial"/>
          <w:sz w:val="22"/>
          <w:szCs w:val="22"/>
        </w:rPr>
        <w:t xml:space="preserve"> del proceso </w:t>
      </w:r>
      <w:r w:rsidRPr="00E33DE3">
        <w:rPr>
          <w:rFonts w:ascii="Verdana" w:hAnsi="Verdana" w:cs="Arial"/>
          <w:sz w:val="22"/>
          <w:szCs w:val="22"/>
          <w:shd w:val="clear" w:color="auto" w:fill="FFFFFF"/>
        </w:rPr>
        <w:t xml:space="preserve">No. LP-2022-15 </w:t>
      </w:r>
      <w:r w:rsidRPr="00E33DE3">
        <w:rPr>
          <w:rFonts w:ascii="Verdana" w:hAnsi="Verdana" w:cs="Arial"/>
          <w:sz w:val="22"/>
          <w:szCs w:val="22"/>
        </w:rPr>
        <w:t>- Medio magnético</w:t>
      </w:r>
    </w:p>
    <w:p w14:paraId="1713F4BF" w14:textId="77777777" w:rsidR="00273288" w:rsidRPr="00E33DE3" w:rsidRDefault="00273288" w:rsidP="00C65B25">
      <w:pPr>
        <w:jc w:val="both"/>
        <w:rPr>
          <w:rFonts w:ascii="Verdana" w:hAnsi="Verdana" w:cs="Arial"/>
          <w:sz w:val="22"/>
          <w:szCs w:val="22"/>
          <w:lang w:val="es-CO"/>
        </w:rPr>
      </w:pPr>
    </w:p>
    <w:p w14:paraId="73A0F92F" w14:textId="77777777" w:rsidR="00273288" w:rsidRPr="00E33DE3" w:rsidRDefault="00273288" w:rsidP="00C65B25">
      <w:pPr>
        <w:jc w:val="both"/>
        <w:rPr>
          <w:rFonts w:ascii="Verdana" w:hAnsi="Verdana" w:cs="Arial"/>
          <w:b/>
          <w:bCs/>
          <w:sz w:val="22"/>
          <w:szCs w:val="22"/>
          <w:lang w:val="es-CO"/>
        </w:rPr>
      </w:pPr>
      <w:r w:rsidRPr="00E33DE3">
        <w:rPr>
          <w:rFonts w:ascii="Verdana" w:hAnsi="Verdana" w:cs="Arial"/>
          <w:b/>
          <w:bCs/>
          <w:sz w:val="22"/>
          <w:szCs w:val="22"/>
          <w:lang w:val="es-CO"/>
        </w:rPr>
        <w:t>EVENTO DE RIESGO 9.17 “SUSCRIPCIÓN, MODIFICACIÓN O EJECUCIÓN DE CONTRATOS CUYO OBJETO O ACTIVIDADES CONTRACTUALES NO ASEGUREN LA PRESTACIÓN DEL SERVICIO EN LAS CONDICIONES DEFINIDAS POR LA NORMATIVIDAD VIGENTE, NO CUMPLAN CON LOS FINES PARA LOS CUALES ESTÁN DESTINADOS LOS RECURSOS, O NO ASEGUREN EL CUMPLIMIENTO DE METAS DE CONTINUIDAD, COBERTURA Y CALIDAD EN LOS SERVICIOS.”</w:t>
      </w:r>
    </w:p>
    <w:p w14:paraId="018469F4" w14:textId="77777777" w:rsidR="00273288" w:rsidRPr="00E33DE3" w:rsidRDefault="00273288" w:rsidP="00C65B25">
      <w:pPr>
        <w:jc w:val="both"/>
        <w:rPr>
          <w:rFonts w:ascii="Verdana" w:hAnsi="Verdana" w:cs="Arial"/>
          <w:b/>
          <w:bCs/>
          <w:sz w:val="22"/>
          <w:szCs w:val="22"/>
          <w:lang w:val="es-CO"/>
        </w:rPr>
      </w:pPr>
    </w:p>
    <w:p w14:paraId="4FE15C14" w14:textId="77777777" w:rsidR="00273288" w:rsidRPr="00E33DE3" w:rsidRDefault="00273288" w:rsidP="00C65B25">
      <w:pPr>
        <w:pStyle w:val="Ttulo3"/>
        <w:numPr>
          <w:ilvl w:val="0"/>
          <w:numId w:val="46"/>
        </w:numPr>
        <w:spacing w:before="0"/>
        <w:ind w:left="426" w:hanging="426"/>
        <w:jc w:val="both"/>
        <w:rPr>
          <w:rFonts w:ascii="Verdana" w:hAnsi="Verdana"/>
          <w:b/>
          <w:bCs/>
          <w:color w:val="auto"/>
          <w:sz w:val="22"/>
          <w:szCs w:val="22"/>
        </w:rPr>
      </w:pPr>
      <w:r w:rsidRPr="00E33DE3">
        <w:rPr>
          <w:rFonts w:ascii="Verdana" w:hAnsi="Verdana"/>
          <w:b/>
          <w:bCs/>
          <w:color w:val="auto"/>
          <w:sz w:val="22"/>
          <w:szCs w:val="22"/>
        </w:rPr>
        <w:t>Entrega extemporánea de la dotación.</w:t>
      </w:r>
    </w:p>
    <w:p w14:paraId="13964C14" w14:textId="77777777" w:rsidR="00273288" w:rsidRPr="00E33DE3" w:rsidRDefault="00273288" w:rsidP="00C65B25">
      <w:pPr>
        <w:rPr>
          <w:rFonts w:ascii="Verdana" w:hAnsi="Verdana" w:cs="Arial"/>
          <w:color w:val="FF0000"/>
          <w:sz w:val="22"/>
          <w:szCs w:val="22"/>
        </w:rPr>
      </w:pPr>
    </w:p>
    <w:p w14:paraId="07F14DEC" w14:textId="77777777" w:rsidR="00273288" w:rsidRPr="00E33DE3" w:rsidRDefault="00273288" w:rsidP="00C65B25">
      <w:pPr>
        <w:jc w:val="both"/>
        <w:rPr>
          <w:rFonts w:ascii="Verdana" w:hAnsi="Verdana" w:cs="Arial"/>
          <w:sz w:val="22"/>
          <w:szCs w:val="22"/>
          <w:lang w:eastAsia="en-US"/>
        </w:rPr>
      </w:pPr>
      <w:r w:rsidRPr="00E33DE3">
        <w:rPr>
          <w:rFonts w:ascii="Verdana" w:hAnsi="Verdana" w:cs="Arial"/>
          <w:sz w:val="22"/>
          <w:szCs w:val="22"/>
          <w:lang w:eastAsia="en-US"/>
        </w:rPr>
        <w:t>Los empleados públicos del nivel territorial del Sector Educación que devenguen una remuneración mensual inferior a dos veces el salario mínimo legal mensual vigente tienen derecho, a partir de la vigencia del Decreto 1919 de 2002, a recibir como dotación material de calzado y vestido apropiado para las labores que desempeñen, en los términos previstos en la Ley 70 de 1988 y el Decreto reglamentario 1978 de 1989.</w:t>
      </w:r>
    </w:p>
    <w:p w14:paraId="4F47021E" w14:textId="77777777" w:rsidR="00273288" w:rsidRPr="00E33DE3" w:rsidRDefault="00273288" w:rsidP="00C65B25">
      <w:pPr>
        <w:jc w:val="both"/>
        <w:rPr>
          <w:rFonts w:ascii="Verdana" w:hAnsi="Verdana" w:cs="Arial"/>
          <w:sz w:val="22"/>
          <w:szCs w:val="22"/>
        </w:rPr>
      </w:pPr>
    </w:p>
    <w:p w14:paraId="72291941"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Para lo cual, el Ministerio de Educación Nacional en virtud del artículo 15 de la Ley 715 de 2001, mensualmente gira los recursos del Sistema General de Participaciones del Sector Educación en el Componente Prestación de Servicios para el pago de personal docente y administrativo de las instituciones educativas públicas y las contribuciones inherentes a la nómina y sus prestaciones sociales, con lo cual se debe financiar entre otros conceptos la dotación para los empleados públicos del nivel territorial que adquieran el derecho. Al respecto el Ministerio de Educación Nacional mediante la Directiva 04 de 2003 señaló:</w:t>
      </w:r>
    </w:p>
    <w:p w14:paraId="2DBAC315" w14:textId="77777777" w:rsidR="00273288" w:rsidRPr="00E33DE3" w:rsidRDefault="00273288" w:rsidP="00C65B25">
      <w:pPr>
        <w:jc w:val="both"/>
        <w:rPr>
          <w:rFonts w:ascii="Verdana" w:hAnsi="Verdana" w:cs="Arial"/>
          <w:sz w:val="22"/>
          <w:szCs w:val="22"/>
        </w:rPr>
      </w:pPr>
    </w:p>
    <w:p w14:paraId="70DAC8D4" w14:textId="77777777" w:rsidR="00273288" w:rsidRPr="00E33DE3" w:rsidRDefault="00273288" w:rsidP="00C65B25">
      <w:pPr>
        <w:ind w:left="567" w:right="49"/>
        <w:jc w:val="both"/>
        <w:rPr>
          <w:rFonts w:ascii="Verdana" w:hAnsi="Verdana" w:cs="Arial"/>
          <w:sz w:val="22"/>
          <w:szCs w:val="22"/>
        </w:rPr>
      </w:pPr>
      <w:r w:rsidRPr="00E33DE3">
        <w:rPr>
          <w:rFonts w:ascii="Verdana" w:hAnsi="Verdana" w:cs="Arial"/>
          <w:sz w:val="22"/>
          <w:szCs w:val="22"/>
        </w:rPr>
        <w:t>“</w:t>
      </w:r>
      <w:r w:rsidRPr="00E33DE3">
        <w:rPr>
          <w:rFonts w:ascii="Verdana" w:hAnsi="Verdana" w:cs="Arial"/>
          <w:i/>
          <w:iCs/>
          <w:sz w:val="22"/>
          <w:szCs w:val="22"/>
        </w:rPr>
        <w:t>Los Departamentos y municipios certificados, con los recursos que se giran mensualmente para prestación de servicios, deberán hacer las respectivas reservas y provisiones para las prestaciones sociales que no son de exigibilidad mensual, tales como: primas de vacaciones, de navidad y dotación del personal docente y administrativo según Ley 70 de 1988</w:t>
      </w:r>
      <w:r w:rsidRPr="00E33DE3">
        <w:rPr>
          <w:rFonts w:ascii="Verdana" w:hAnsi="Verdana" w:cs="Arial"/>
          <w:sz w:val="22"/>
          <w:szCs w:val="22"/>
        </w:rPr>
        <w:t>”.</w:t>
      </w:r>
    </w:p>
    <w:p w14:paraId="145762CE" w14:textId="77777777" w:rsidR="00273288" w:rsidRPr="00E33DE3" w:rsidRDefault="00273288" w:rsidP="00C65B25">
      <w:pPr>
        <w:jc w:val="both"/>
        <w:rPr>
          <w:rFonts w:ascii="Verdana" w:hAnsi="Verdana" w:cs="Arial"/>
          <w:sz w:val="22"/>
          <w:szCs w:val="22"/>
        </w:rPr>
      </w:pPr>
    </w:p>
    <w:p w14:paraId="777640FD"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Adicionalmente, la Ley 70 de 1988 y el Decreto reglamentario 1978 de 1989 determinan que esta prestación deberá reconocerse cada cuatro (4) meses durante la respectiva vigencia fiscal.</w:t>
      </w:r>
      <w:r w:rsidRPr="00E33DE3">
        <w:rPr>
          <w:rFonts w:ascii="Verdana" w:eastAsia="Times New Roman" w:hAnsi="Verdana" w:cs="Arial"/>
          <w:sz w:val="22"/>
          <w:szCs w:val="22"/>
          <w:lang w:eastAsia="en-US"/>
        </w:rPr>
        <w:t xml:space="preserve"> </w:t>
      </w:r>
      <w:r w:rsidRPr="00E33DE3">
        <w:rPr>
          <w:rFonts w:ascii="Verdana" w:hAnsi="Verdana" w:cs="Arial"/>
          <w:sz w:val="22"/>
          <w:szCs w:val="22"/>
        </w:rPr>
        <w:t xml:space="preserve">Por lo tanto, el municipio de Pasto debió entregar en cada vigencia el 30 de abril, el 30 de agosto y el 30 de diciembre el material de calzado y vestido para los empleados públicos del nivel territorial que cumplan con los requisitos establecidos en la normatividad vigente. </w:t>
      </w:r>
    </w:p>
    <w:p w14:paraId="0EA8270B" w14:textId="77777777" w:rsidR="00273288" w:rsidRPr="00E33DE3" w:rsidRDefault="00273288" w:rsidP="00C65B25">
      <w:pPr>
        <w:jc w:val="both"/>
        <w:rPr>
          <w:rFonts w:ascii="Verdana" w:hAnsi="Verdana" w:cs="Arial"/>
          <w:sz w:val="22"/>
          <w:szCs w:val="22"/>
        </w:rPr>
      </w:pPr>
    </w:p>
    <w:p w14:paraId="63EE91A8"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Sin embargo, en una clara inobservancia de lo indicado con anterioridad, en la vigencia 2018 el Municipio de Pasto contrató el suministro de la dotación con posterioridad a las dos primeras entregas puesto que suscribió el contrato No.18286 hasta el 28 de septiembre de 2018. Este tenía por objeto la entrega de tarjetas electrónicas canjeables y recargables para la dotación de calzado y vestido de labor del personal femenino y masculino de la Alcaldía de Pasto. El contrato fue suscrito con SODEXO Servicio de Beneficios e Incentivos S.A, con el cual se pactó un valor unitario de las dotaciones para los funcionarios administrativos de $561 mil y de $318 mil para los docentes; el valor total del contrato fue de $1.153 millones, de los cuales $731 millones corresponden al costo de las dotaciones de los funcionarios de la Secretaría de Educación y de los docentes. No obstante, en el expediente contractual del mismo, no se evidencia informes de supervisión para corroborar el proceso de entrega de la dotación.</w:t>
      </w:r>
    </w:p>
    <w:p w14:paraId="5256D0DE" w14:textId="77777777" w:rsidR="00273288" w:rsidRPr="00E33DE3" w:rsidRDefault="00273288" w:rsidP="00C65B25">
      <w:pPr>
        <w:jc w:val="both"/>
        <w:rPr>
          <w:rFonts w:ascii="Verdana" w:hAnsi="Verdana" w:cs="Arial"/>
          <w:sz w:val="22"/>
          <w:szCs w:val="22"/>
        </w:rPr>
      </w:pPr>
    </w:p>
    <w:p w14:paraId="6797B1A2"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xml:space="preserve">Ahora bien, en relación con la entrega de la dotación de la vigencia 2019, la Entidad Territorial suscribió el contrato de suministro No.193066 el 25 de septiembre de 2019, con las contratitas Inversiones Sarhem de Colombia S.A, con el objeto de entregar tarjetas electrónicas canjeables y recargables para la dotación de calzado y vestido de labor del personal femenino y masculino de la Alcaldía de Pasto. El monto pactado por dotación fue de $579 mil para los administrativos y de $328 mil para los docentes, el valor total del contrato fue </w:t>
      </w:r>
      <w:r w:rsidRPr="00E33DE3">
        <w:rPr>
          <w:rFonts w:ascii="Verdana" w:hAnsi="Verdana" w:cs="Arial"/>
          <w:sz w:val="22"/>
          <w:szCs w:val="22"/>
        </w:rPr>
        <w:lastRenderedPageBreak/>
        <w:t>de $1.181 millones de los cuales $742 millones corresponden al valor de los administrativos de la Secretaría de Educación y de los docentes del municipio. Al igual que en 2018, en este expediente contractual no se evidencia informes de supervisión para corroborar el proceso de entrega de la dotación.</w:t>
      </w:r>
    </w:p>
    <w:p w14:paraId="41867DA7" w14:textId="77777777" w:rsidR="00273288" w:rsidRPr="00E33DE3" w:rsidRDefault="00273288" w:rsidP="00C65B25">
      <w:pPr>
        <w:jc w:val="both"/>
        <w:rPr>
          <w:rFonts w:ascii="Verdana" w:hAnsi="Verdana" w:cs="Arial"/>
          <w:sz w:val="22"/>
          <w:szCs w:val="22"/>
        </w:rPr>
      </w:pPr>
    </w:p>
    <w:p w14:paraId="5F8F356D"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Por otra parte, respecto al suministro de la dotación de la vigencia 2020, no se encontró en SECOP el contrato suscrito por la Entidad Territorial para dicha entrega. De igual manera, se revisó el listado de contratos remitido por la entidad a marzo del 2020 y no se evidencia proceso contractual suscrito para el inicio de la entrega de la dotación en abril (primera fecha según lo establecido por la ley).</w:t>
      </w:r>
    </w:p>
    <w:p w14:paraId="14017490" w14:textId="77777777" w:rsidR="00273288" w:rsidRPr="00E33DE3" w:rsidRDefault="00273288" w:rsidP="00C65B25">
      <w:pPr>
        <w:jc w:val="both"/>
        <w:rPr>
          <w:rFonts w:ascii="Verdana" w:hAnsi="Verdana" w:cs="Arial"/>
          <w:sz w:val="22"/>
          <w:szCs w:val="22"/>
        </w:rPr>
      </w:pPr>
    </w:p>
    <w:p w14:paraId="16E16340"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Así mismo, esta dirección solicitó a la Entidad mediante radicado número 2-2022-046148 del 10 de octubre de 2022, los contratos de suministro de dotación correspondientes a las vigencias 2021 y 2022 para verificar la entrega oportuna en tales años. Al respecto, el Municipio de Pasto remitió copia del contrato de dotación para la vigencia 2021 con</w:t>
      </w:r>
      <w:r w:rsidRPr="00E33DE3">
        <w:rPr>
          <w:rFonts w:ascii="Verdana" w:hAnsi="Verdana"/>
          <w:sz w:val="22"/>
          <w:szCs w:val="22"/>
        </w:rPr>
        <w:t xml:space="preserve"> </w:t>
      </w:r>
      <w:r w:rsidRPr="00E33DE3">
        <w:rPr>
          <w:rFonts w:ascii="Verdana" w:hAnsi="Verdana" w:cs="Arial"/>
          <w:sz w:val="22"/>
          <w:szCs w:val="22"/>
        </w:rPr>
        <w:t>su respectivo informe de supervisión y un cuadro donde se relaciona el personal al cual fue entregada la última dotación. Una vez revisada dicha información se encontró que:</w:t>
      </w:r>
    </w:p>
    <w:p w14:paraId="5FA944CC" w14:textId="77777777" w:rsidR="00273288" w:rsidRPr="00E33DE3" w:rsidRDefault="00273288" w:rsidP="00C65B25">
      <w:pPr>
        <w:jc w:val="both"/>
        <w:rPr>
          <w:rFonts w:ascii="Verdana" w:hAnsi="Verdana" w:cs="Arial"/>
          <w:sz w:val="22"/>
          <w:szCs w:val="22"/>
        </w:rPr>
      </w:pPr>
    </w:p>
    <w:p w14:paraId="7BC128F0"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El contrato No. 20213238 se suscribió con SOLUFINAR S.A.S después del plazo estipulado en la ley para la entrega de las primeras dos dotaciones de la vigencia 2021 (abril y agosto). Dicho contrato, cuyo objeto era la entrega de tarjetas electrónicas canjeables y recargables para la dotación de calzado y vestido de labor del personal femenino y masculino de la Alcaldía de Pasto, fue suscrito el 15 de septiembre de 2021 por valor de $1.098 millones de los cuales $569 millones correspondían al costo de 324 tarjetas electrónicas para el personal de la Secretaría de educación y $2 millones a dotación de 2 docentes.</w:t>
      </w:r>
    </w:p>
    <w:p w14:paraId="3C4C6F6E" w14:textId="77777777" w:rsidR="00273288" w:rsidRPr="00E33DE3" w:rsidRDefault="00273288" w:rsidP="00C65B25">
      <w:pPr>
        <w:jc w:val="both"/>
        <w:rPr>
          <w:rFonts w:ascii="Verdana" w:hAnsi="Verdana" w:cs="Arial"/>
          <w:sz w:val="22"/>
          <w:szCs w:val="22"/>
        </w:rPr>
      </w:pPr>
    </w:p>
    <w:p w14:paraId="5B5BACB2"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xml:space="preserve">El informe de supervisión del contrato No. 20213238 indica que, al 21 de diciembre del 2021, el contratista había cumplido con todas las obligaciones contractuales para el suministro de la dotación. Así mismo, la Entidad anexa un certificado del 16 de diciembre de 2021, emitido por el representante legal de SOLUFINAR S.A.S, por medio del cual se confirma que el 15 de diciembre se realizó la recarga virtual de las tarjetas electrónicas por el valor correspondiente a la entrega de la tercera y última dotación de 545 funcionarios del Municipio. En este orden de ideas, si bien la entrega de la tercera dotación del 2021 se hizo dentro del plazo establecido por la ley, la Entidad Territorial entregó de forma extemporánea la dotación de los dos primeros cuatrimestres del 2021 tal como sucedió en 2018 y 2019. </w:t>
      </w:r>
    </w:p>
    <w:p w14:paraId="66FD0B6B" w14:textId="77777777" w:rsidR="00687D19" w:rsidRPr="00E33DE3" w:rsidRDefault="00687D19" w:rsidP="00687D19">
      <w:pPr>
        <w:jc w:val="both"/>
        <w:rPr>
          <w:rFonts w:ascii="Verdana" w:hAnsi="Verdana" w:cs="Arial"/>
          <w:sz w:val="22"/>
          <w:szCs w:val="22"/>
        </w:rPr>
      </w:pPr>
    </w:p>
    <w:p w14:paraId="14ABF126"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xml:space="preserve">Respecto a la vigencia 2022, la entidad territorial suscribió el contrato No. 20223565 con SOLUFINAR S.A.S el día 30 de noviembre de 2022 con acta de inicio del 12 de diciembre de 2022 cuyo plazo de ejecución se efectuó desde dicha fecha hasta el 31 de diciembre de 2022. De esta manera la oficina de </w:t>
      </w:r>
      <w:r w:rsidRPr="00E33DE3">
        <w:rPr>
          <w:rFonts w:ascii="Verdana" w:hAnsi="Verdana" w:cs="Arial"/>
          <w:sz w:val="22"/>
          <w:szCs w:val="22"/>
        </w:rPr>
        <w:lastRenderedPageBreak/>
        <w:t>almacén certificó la entrada de los bonos canjeables por dotación el día 14 de diciembre de 2022 para “</w:t>
      </w:r>
      <w:r w:rsidRPr="00E33DE3">
        <w:rPr>
          <w:rFonts w:ascii="Verdana" w:hAnsi="Verdana" w:cs="Arial"/>
          <w:i/>
          <w:iCs/>
          <w:sz w:val="22"/>
          <w:szCs w:val="22"/>
        </w:rPr>
        <w:t>1RA, 2DA y 3RA dotación</w:t>
      </w:r>
      <w:r w:rsidRPr="00E33DE3">
        <w:rPr>
          <w:rFonts w:ascii="Verdana" w:hAnsi="Verdana" w:cs="Arial"/>
          <w:sz w:val="22"/>
          <w:szCs w:val="22"/>
        </w:rPr>
        <w:t>”</w:t>
      </w:r>
      <w:r w:rsidR="0016616F" w:rsidRPr="00E33DE3">
        <w:rPr>
          <w:rFonts w:ascii="Verdana" w:hAnsi="Verdana" w:cs="Arial"/>
          <w:sz w:val="22"/>
          <w:szCs w:val="22"/>
        </w:rPr>
        <w:t>,</w:t>
      </w:r>
      <w:r w:rsidRPr="00E33DE3">
        <w:rPr>
          <w:rFonts w:ascii="Verdana" w:hAnsi="Verdana" w:cs="Arial"/>
          <w:sz w:val="22"/>
          <w:szCs w:val="22"/>
        </w:rPr>
        <w:t xml:space="preserve"> lo que señala que recién en dicha fecha la entidad </w:t>
      </w:r>
      <w:r w:rsidR="0016616F" w:rsidRPr="00E33DE3">
        <w:rPr>
          <w:rFonts w:ascii="Verdana" w:hAnsi="Verdana" w:cs="Arial"/>
          <w:sz w:val="22"/>
          <w:szCs w:val="22"/>
        </w:rPr>
        <w:t xml:space="preserve">recibió </w:t>
      </w:r>
      <w:r w:rsidRPr="00E33DE3">
        <w:rPr>
          <w:rFonts w:ascii="Verdana" w:hAnsi="Verdana" w:cs="Arial"/>
          <w:sz w:val="22"/>
          <w:szCs w:val="22"/>
        </w:rPr>
        <w:t>la totalidad de las dotaciones. Por tanto, la entrega de las primeras dos dotaciones con fecha máxima del 30 de abril y del 31 de agosto fue realizada de forma extemporánea, siendo reiterativa la práctica de vigencias anteriores.</w:t>
      </w:r>
    </w:p>
    <w:p w14:paraId="234EFA26" w14:textId="77777777" w:rsidR="00273288" w:rsidRPr="00E33DE3" w:rsidRDefault="00273288" w:rsidP="00C65B25">
      <w:pPr>
        <w:jc w:val="both"/>
        <w:rPr>
          <w:rFonts w:ascii="Verdana" w:hAnsi="Verdana" w:cs="Arial"/>
          <w:sz w:val="22"/>
          <w:szCs w:val="22"/>
        </w:rPr>
      </w:pPr>
    </w:p>
    <w:p w14:paraId="27DF5840"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xml:space="preserve">Por su parte, para la vigencia 2023 la entidad territorial suscribió el contrato No. 20233911 con SOLUFINAR S.A.S el día 24 de agosto de 2023 con acta de inicio de fecha del 1 de septiembre de 2023. Sobre dicho proceso aún no se han cargado a SECOP los informes de supervisión ni la certificación de entrada de dichas dotaciones por parte del almacén de la entidad. Sin embargo, dada la fecha del acta de inicio del proceso se puede constatar que las dos primeras entregas se surtieron de forma extemporánea </w:t>
      </w:r>
      <w:r w:rsidR="00687D19" w:rsidRPr="00E33DE3">
        <w:rPr>
          <w:rFonts w:ascii="Verdana" w:hAnsi="Verdana" w:cs="Arial"/>
          <w:sz w:val="22"/>
          <w:szCs w:val="22"/>
        </w:rPr>
        <w:t>de conformidad con la normatividad vigente</w:t>
      </w:r>
      <w:r w:rsidRPr="00E33DE3">
        <w:rPr>
          <w:rFonts w:ascii="Verdana" w:hAnsi="Verdana" w:cs="Arial"/>
          <w:sz w:val="22"/>
          <w:szCs w:val="22"/>
        </w:rPr>
        <w:t>.</w:t>
      </w:r>
    </w:p>
    <w:p w14:paraId="3E495DED" w14:textId="77777777" w:rsidR="00273288" w:rsidRPr="00E33DE3" w:rsidRDefault="00273288" w:rsidP="00C65B25">
      <w:pPr>
        <w:jc w:val="both"/>
        <w:rPr>
          <w:rFonts w:ascii="Verdana" w:hAnsi="Verdana" w:cs="Arial"/>
          <w:sz w:val="22"/>
          <w:szCs w:val="22"/>
        </w:rPr>
      </w:pPr>
    </w:p>
    <w:p w14:paraId="1FA51C4D"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xml:space="preserve">Ahora bien, después de analizar los expedientes contractuales del suministro de la dotación al personal para las vigencias 2018, 2019, 2021, 2022 y 2023, se evidenció que la Entidad Territorial solo publicó en SECOP el informe de supervisión de la dotación de las vigencias 2021 y 2022, este se emitió el 21 de diciembre del 2021 para el contrato No. 20213238 cuyo plazo de ejecución era desde el 15 de septiembre hasta el 31 de diciembre, y en el cual se mencionaba la entrega de las tres dotaciones del año por medio de tarjetas electrónicas. </w:t>
      </w:r>
    </w:p>
    <w:p w14:paraId="1C3B693A" w14:textId="77777777" w:rsidR="00273288" w:rsidRPr="00E33DE3" w:rsidRDefault="00273288" w:rsidP="00C65B25">
      <w:pPr>
        <w:jc w:val="both"/>
        <w:rPr>
          <w:rFonts w:ascii="Verdana" w:hAnsi="Verdana" w:cs="Arial"/>
          <w:sz w:val="22"/>
          <w:szCs w:val="22"/>
        </w:rPr>
      </w:pPr>
    </w:p>
    <w:p w14:paraId="2E4092D7"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xml:space="preserve">Si bien, en el informe de 2021 remitido por la Entidad Territorial, se evidencia que el encargado de la supervisión, en este caso la Subsecretaria de la Oficina de Talento Humano, dio por cumplidas cada una de las obligaciones contractuales, el Municipio de Pasto no hace envío de los listados que soporten la entrega de las tarjetas electrónicas a los funcionarios de la secretaría de educación, ni al personal docente. </w:t>
      </w:r>
    </w:p>
    <w:p w14:paraId="7E4E017E" w14:textId="77777777" w:rsidR="00273288" w:rsidRPr="00E33DE3" w:rsidRDefault="00273288" w:rsidP="00C65B25">
      <w:pPr>
        <w:jc w:val="both"/>
        <w:rPr>
          <w:rFonts w:ascii="Verdana" w:hAnsi="Verdana" w:cs="Arial"/>
          <w:sz w:val="22"/>
          <w:szCs w:val="22"/>
        </w:rPr>
      </w:pPr>
    </w:p>
    <w:p w14:paraId="119C323E"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Igualmente, no es posible evidenciar en dicho informe los comprobantes de las recargas realizadas a las tarjetas que fueron entregadas a cada funcionario, es decir, el valor de cada dotación. En relación con esto, la Entidad solo allegó a esta Dirección un certificado emitido por el contratista SOLUFINAR S.A. en el que confirma que se hizo la recarga de las tarjetas por los valores correspondientes a la tercera dotación, anexando un listado en el que se relacionan los nombres de los funcionarios de la administración municipal con sus respectivos números de tarjeta electrónica y el valor que debía ser transferido para cada uno. Aun así, este certificado no adjunta ningún comprobante de las recargas, por lo que no es posible corroborar dicha información.</w:t>
      </w:r>
    </w:p>
    <w:p w14:paraId="3040248E" w14:textId="77777777" w:rsidR="00273288" w:rsidRPr="00E33DE3" w:rsidRDefault="00273288" w:rsidP="00C65B25">
      <w:pPr>
        <w:jc w:val="both"/>
        <w:rPr>
          <w:rFonts w:ascii="Verdana" w:hAnsi="Verdan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132"/>
        <w:gridCol w:w="1393"/>
        <w:gridCol w:w="3490"/>
        <w:gridCol w:w="2111"/>
      </w:tblGrid>
      <w:tr w:rsidR="00273288" w:rsidRPr="00E33DE3" w14:paraId="2CDC6924" w14:textId="77777777" w:rsidTr="00273288">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48C41"/>
            <w:vAlign w:val="center"/>
            <w:hideMark/>
          </w:tcPr>
          <w:p w14:paraId="27C71F9F" w14:textId="77777777" w:rsidR="00273288" w:rsidRPr="00E33DE3" w:rsidRDefault="00273288" w:rsidP="00C65B25">
            <w:pPr>
              <w:jc w:val="center"/>
              <w:rPr>
                <w:rFonts w:ascii="Verdana" w:hAnsi="Verdana" w:cs="Arial"/>
                <w:b/>
                <w:bCs/>
                <w:color w:val="FFFFFF" w:themeColor="background1"/>
                <w:sz w:val="18"/>
                <w:szCs w:val="18"/>
              </w:rPr>
            </w:pPr>
            <w:r w:rsidRPr="00E33DE3">
              <w:rPr>
                <w:rFonts w:ascii="Verdana" w:hAnsi="Verdana" w:cs="Arial"/>
                <w:b/>
                <w:bCs/>
                <w:color w:val="FFFFFF" w:themeColor="background1"/>
                <w:sz w:val="18"/>
                <w:szCs w:val="18"/>
              </w:rPr>
              <w:lastRenderedPageBreak/>
              <w:t>Año</w:t>
            </w:r>
          </w:p>
        </w:tc>
        <w:tc>
          <w:tcPr>
            <w:tcW w:w="992" w:type="dxa"/>
            <w:tcBorders>
              <w:top w:val="single" w:sz="4" w:space="0" w:color="auto"/>
              <w:left w:val="single" w:sz="4" w:space="0" w:color="auto"/>
              <w:bottom w:val="single" w:sz="4" w:space="0" w:color="auto"/>
              <w:right w:val="single" w:sz="4" w:space="0" w:color="auto"/>
            </w:tcBorders>
            <w:shd w:val="clear" w:color="auto" w:fill="B48C41"/>
            <w:vAlign w:val="center"/>
            <w:hideMark/>
          </w:tcPr>
          <w:p w14:paraId="1D14EDE8" w14:textId="77777777" w:rsidR="00273288" w:rsidRPr="00E33DE3" w:rsidRDefault="00273288" w:rsidP="00C65B25">
            <w:pPr>
              <w:jc w:val="center"/>
              <w:rPr>
                <w:rFonts w:ascii="Verdana" w:hAnsi="Verdana" w:cs="Arial"/>
                <w:b/>
                <w:bCs/>
                <w:color w:val="FFFFFF" w:themeColor="background1"/>
                <w:sz w:val="18"/>
                <w:szCs w:val="18"/>
              </w:rPr>
            </w:pPr>
            <w:r w:rsidRPr="00E33DE3">
              <w:rPr>
                <w:rFonts w:ascii="Verdana" w:hAnsi="Verdana" w:cs="Arial"/>
                <w:b/>
                <w:bCs/>
                <w:color w:val="FFFFFF" w:themeColor="background1"/>
                <w:sz w:val="18"/>
                <w:szCs w:val="18"/>
              </w:rPr>
              <w:t>No. contrato</w:t>
            </w:r>
          </w:p>
        </w:tc>
        <w:tc>
          <w:tcPr>
            <w:tcW w:w="1277" w:type="dxa"/>
            <w:tcBorders>
              <w:top w:val="single" w:sz="4" w:space="0" w:color="auto"/>
              <w:left w:val="single" w:sz="4" w:space="0" w:color="auto"/>
              <w:bottom w:val="single" w:sz="4" w:space="0" w:color="auto"/>
              <w:right w:val="single" w:sz="4" w:space="0" w:color="auto"/>
            </w:tcBorders>
            <w:shd w:val="clear" w:color="auto" w:fill="B48C41"/>
            <w:vAlign w:val="center"/>
            <w:hideMark/>
          </w:tcPr>
          <w:p w14:paraId="46F79A46" w14:textId="77777777" w:rsidR="00273288" w:rsidRPr="00E33DE3" w:rsidRDefault="00273288" w:rsidP="00C65B25">
            <w:pPr>
              <w:jc w:val="center"/>
              <w:rPr>
                <w:rFonts w:ascii="Verdana" w:hAnsi="Verdana" w:cs="Arial"/>
                <w:b/>
                <w:bCs/>
                <w:color w:val="FFFFFF" w:themeColor="background1"/>
                <w:sz w:val="18"/>
                <w:szCs w:val="18"/>
              </w:rPr>
            </w:pPr>
            <w:r w:rsidRPr="00E33DE3">
              <w:rPr>
                <w:rFonts w:ascii="Verdana" w:hAnsi="Verdana" w:cs="Arial"/>
                <w:b/>
                <w:bCs/>
                <w:color w:val="FFFFFF" w:themeColor="background1"/>
                <w:sz w:val="18"/>
                <w:szCs w:val="18"/>
              </w:rPr>
              <w:t>Valor contrato ($millones)</w:t>
            </w:r>
          </w:p>
        </w:tc>
        <w:tc>
          <w:tcPr>
            <w:tcW w:w="3685" w:type="dxa"/>
            <w:tcBorders>
              <w:top w:val="single" w:sz="4" w:space="0" w:color="auto"/>
              <w:left w:val="single" w:sz="4" w:space="0" w:color="auto"/>
              <w:bottom w:val="single" w:sz="4" w:space="0" w:color="auto"/>
              <w:right w:val="single" w:sz="4" w:space="0" w:color="auto"/>
            </w:tcBorders>
            <w:shd w:val="clear" w:color="auto" w:fill="B48C41"/>
            <w:vAlign w:val="center"/>
            <w:hideMark/>
          </w:tcPr>
          <w:p w14:paraId="23E643BA" w14:textId="77777777" w:rsidR="00273288" w:rsidRPr="00E33DE3" w:rsidRDefault="00273288" w:rsidP="00C65B25">
            <w:pPr>
              <w:jc w:val="center"/>
              <w:rPr>
                <w:rFonts w:ascii="Verdana" w:hAnsi="Verdana" w:cs="Arial"/>
                <w:b/>
                <w:bCs/>
                <w:color w:val="FFFFFF" w:themeColor="background1"/>
                <w:sz w:val="18"/>
                <w:szCs w:val="18"/>
              </w:rPr>
            </w:pPr>
            <w:r w:rsidRPr="00E33DE3">
              <w:rPr>
                <w:rFonts w:ascii="Verdana" w:hAnsi="Verdana" w:cs="Arial"/>
                <w:b/>
                <w:bCs/>
                <w:color w:val="FFFFFF" w:themeColor="background1"/>
                <w:sz w:val="18"/>
                <w:szCs w:val="18"/>
              </w:rPr>
              <w:t>Tipo contractual</w:t>
            </w:r>
          </w:p>
        </w:tc>
        <w:tc>
          <w:tcPr>
            <w:tcW w:w="2170" w:type="dxa"/>
            <w:tcBorders>
              <w:top w:val="single" w:sz="4" w:space="0" w:color="auto"/>
              <w:left w:val="single" w:sz="4" w:space="0" w:color="auto"/>
              <w:bottom w:val="single" w:sz="4" w:space="0" w:color="auto"/>
              <w:right w:val="single" w:sz="4" w:space="0" w:color="auto"/>
            </w:tcBorders>
            <w:shd w:val="clear" w:color="auto" w:fill="B48C41"/>
            <w:vAlign w:val="center"/>
            <w:hideMark/>
          </w:tcPr>
          <w:p w14:paraId="53C0F74F" w14:textId="77777777" w:rsidR="00273288" w:rsidRPr="00E33DE3" w:rsidRDefault="00273288" w:rsidP="00C65B25">
            <w:pPr>
              <w:jc w:val="center"/>
              <w:rPr>
                <w:rFonts w:ascii="Verdana" w:hAnsi="Verdana" w:cs="Arial"/>
                <w:b/>
                <w:bCs/>
                <w:color w:val="FFFFFF" w:themeColor="background1"/>
                <w:sz w:val="18"/>
                <w:szCs w:val="18"/>
              </w:rPr>
            </w:pPr>
            <w:r w:rsidRPr="00E33DE3">
              <w:rPr>
                <w:rFonts w:ascii="Verdana" w:hAnsi="Verdana" w:cs="Arial"/>
                <w:b/>
                <w:bCs/>
                <w:color w:val="FFFFFF" w:themeColor="background1"/>
                <w:sz w:val="18"/>
                <w:szCs w:val="18"/>
              </w:rPr>
              <w:t>Informes de Seguimiento</w:t>
            </w:r>
          </w:p>
        </w:tc>
      </w:tr>
      <w:tr w:rsidR="00273288" w:rsidRPr="00E33DE3" w14:paraId="18D3A3C8" w14:textId="77777777" w:rsidTr="00273288">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1EBA62F2" w14:textId="77777777" w:rsidR="00273288" w:rsidRPr="00E33DE3" w:rsidRDefault="00273288" w:rsidP="00C65B25">
            <w:pPr>
              <w:jc w:val="center"/>
              <w:outlineLvl w:val="1"/>
              <w:rPr>
                <w:rFonts w:ascii="Verdana" w:hAnsi="Verdana" w:cs="Arial"/>
                <w:sz w:val="18"/>
                <w:szCs w:val="18"/>
              </w:rPr>
            </w:pPr>
            <w:r w:rsidRPr="00E33DE3">
              <w:rPr>
                <w:rFonts w:ascii="Verdana" w:hAnsi="Verdana" w:cs="Arial"/>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72A1B9" w14:textId="77777777" w:rsidR="00273288" w:rsidRPr="00E33DE3" w:rsidRDefault="00273288" w:rsidP="00C65B25">
            <w:pPr>
              <w:jc w:val="center"/>
              <w:outlineLvl w:val="1"/>
              <w:rPr>
                <w:rFonts w:ascii="Verdana" w:hAnsi="Verdana" w:cs="Arial"/>
                <w:sz w:val="18"/>
                <w:szCs w:val="18"/>
              </w:rPr>
            </w:pPr>
            <w:r w:rsidRPr="00E33DE3">
              <w:rPr>
                <w:rFonts w:ascii="Verdana" w:hAnsi="Verdana" w:cs="Arial"/>
                <w:sz w:val="18"/>
                <w:szCs w:val="18"/>
              </w:rPr>
              <w:t>20182861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BB31ECF" w14:textId="77777777" w:rsidR="00273288" w:rsidRPr="00E33DE3" w:rsidRDefault="00273288" w:rsidP="00C65B25">
            <w:pPr>
              <w:jc w:val="center"/>
              <w:outlineLvl w:val="1"/>
              <w:rPr>
                <w:rFonts w:ascii="Verdana" w:hAnsi="Verdana" w:cs="Arial"/>
                <w:sz w:val="18"/>
                <w:szCs w:val="18"/>
              </w:rPr>
            </w:pPr>
            <w:r w:rsidRPr="00E33DE3">
              <w:rPr>
                <w:rFonts w:ascii="Verdana" w:hAnsi="Verdana" w:cs="Arial"/>
                <w:sz w:val="18"/>
                <w:szCs w:val="18"/>
              </w:rPr>
              <w:t>710</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1B1B48E" w14:textId="77777777" w:rsidR="00273288" w:rsidRPr="00E33DE3" w:rsidRDefault="00273288" w:rsidP="00C65B25">
            <w:pPr>
              <w:outlineLvl w:val="1"/>
              <w:rPr>
                <w:rFonts w:ascii="Verdana" w:hAnsi="Verdana" w:cs="Arial"/>
                <w:sz w:val="18"/>
                <w:szCs w:val="18"/>
              </w:rPr>
            </w:pPr>
            <w:r w:rsidRPr="00E33DE3">
              <w:rPr>
                <w:rFonts w:ascii="Verdana" w:hAnsi="Verdana" w:cs="Arial"/>
                <w:sz w:val="18"/>
                <w:szCs w:val="18"/>
              </w:rPr>
              <w:t>Suministro de Dotación SODEXO SEVICIOS DE BENEFICIOS E INENTIVOS COLOMBIA SA</w:t>
            </w:r>
          </w:p>
        </w:tc>
        <w:tc>
          <w:tcPr>
            <w:tcW w:w="2170" w:type="dxa"/>
            <w:tcBorders>
              <w:top w:val="single" w:sz="4" w:space="0" w:color="auto"/>
              <w:left w:val="single" w:sz="4" w:space="0" w:color="auto"/>
              <w:bottom w:val="single" w:sz="4" w:space="0" w:color="auto"/>
              <w:right w:val="single" w:sz="4" w:space="0" w:color="auto"/>
            </w:tcBorders>
            <w:vAlign w:val="center"/>
            <w:hideMark/>
          </w:tcPr>
          <w:p w14:paraId="59687EC1" w14:textId="77777777" w:rsidR="00273288" w:rsidRPr="00E33DE3" w:rsidRDefault="00273288" w:rsidP="00C65B25">
            <w:pPr>
              <w:outlineLvl w:val="1"/>
              <w:rPr>
                <w:rFonts w:ascii="Verdana" w:hAnsi="Verdana" w:cs="Arial"/>
                <w:sz w:val="18"/>
                <w:szCs w:val="18"/>
              </w:rPr>
            </w:pPr>
            <w:r w:rsidRPr="00E33DE3">
              <w:rPr>
                <w:rFonts w:ascii="Verdana" w:hAnsi="Verdana" w:cs="Arial"/>
                <w:sz w:val="18"/>
                <w:szCs w:val="18"/>
              </w:rPr>
              <w:t>No se encuentran publicados en el SECOP</w:t>
            </w:r>
          </w:p>
        </w:tc>
      </w:tr>
      <w:tr w:rsidR="00273288" w:rsidRPr="00E33DE3" w14:paraId="03BF8411" w14:textId="77777777" w:rsidTr="00273288">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0A3EF831" w14:textId="77777777" w:rsidR="00273288" w:rsidRPr="00E33DE3" w:rsidRDefault="00273288" w:rsidP="00C65B25">
            <w:pPr>
              <w:jc w:val="center"/>
              <w:outlineLvl w:val="1"/>
              <w:rPr>
                <w:rFonts w:ascii="Verdana" w:hAnsi="Verdana" w:cs="Arial"/>
                <w:sz w:val="18"/>
                <w:szCs w:val="18"/>
              </w:rPr>
            </w:pPr>
            <w:r w:rsidRPr="00E33DE3">
              <w:rPr>
                <w:rFonts w:ascii="Verdana" w:hAnsi="Verdana" w:cs="Arial"/>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C41CAF" w14:textId="77777777" w:rsidR="00273288" w:rsidRPr="00E33DE3" w:rsidRDefault="00273288" w:rsidP="00C65B25">
            <w:pPr>
              <w:jc w:val="center"/>
              <w:outlineLvl w:val="1"/>
              <w:rPr>
                <w:rFonts w:ascii="Verdana" w:hAnsi="Verdana" w:cs="Arial"/>
                <w:sz w:val="18"/>
                <w:szCs w:val="18"/>
              </w:rPr>
            </w:pPr>
            <w:r w:rsidRPr="00E33DE3">
              <w:rPr>
                <w:rFonts w:ascii="Verdana" w:hAnsi="Verdana" w:cs="Arial"/>
                <w:sz w:val="18"/>
                <w:szCs w:val="18"/>
              </w:rPr>
              <w:t>20193066</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A8D37D8" w14:textId="77777777" w:rsidR="00273288" w:rsidRPr="00E33DE3" w:rsidRDefault="00273288" w:rsidP="00C65B25">
            <w:pPr>
              <w:jc w:val="center"/>
              <w:outlineLvl w:val="1"/>
              <w:rPr>
                <w:rFonts w:ascii="Verdana" w:hAnsi="Verdana" w:cs="Arial"/>
                <w:sz w:val="18"/>
                <w:szCs w:val="18"/>
              </w:rPr>
            </w:pPr>
            <w:r w:rsidRPr="00E33DE3">
              <w:rPr>
                <w:rFonts w:ascii="Verdana" w:hAnsi="Verdana" w:cs="Arial"/>
                <w:sz w:val="18"/>
                <w:szCs w:val="18"/>
              </w:rPr>
              <w:t>742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6A4443F" w14:textId="77777777" w:rsidR="00273288" w:rsidRPr="00E33DE3" w:rsidRDefault="00273288" w:rsidP="00C65B25">
            <w:pPr>
              <w:outlineLvl w:val="1"/>
              <w:rPr>
                <w:rFonts w:ascii="Verdana" w:hAnsi="Verdana" w:cs="Arial"/>
                <w:sz w:val="18"/>
                <w:szCs w:val="18"/>
              </w:rPr>
            </w:pPr>
            <w:r w:rsidRPr="00E33DE3">
              <w:rPr>
                <w:rFonts w:ascii="Verdana" w:hAnsi="Verdana" w:cs="Arial"/>
                <w:sz w:val="18"/>
                <w:szCs w:val="18"/>
              </w:rPr>
              <w:t>Suministro de Dotación INVERSIONES SARHEM DE COLOMBIA SAS</w:t>
            </w:r>
          </w:p>
        </w:tc>
        <w:tc>
          <w:tcPr>
            <w:tcW w:w="2170" w:type="dxa"/>
            <w:tcBorders>
              <w:top w:val="single" w:sz="4" w:space="0" w:color="auto"/>
              <w:left w:val="single" w:sz="4" w:space="0" w:color="auto"/>
              <w:bottom w:val="single" w:sz="4" w:space="0" w:color="auto"/>
              <w:right w:val="single" w:sz="4" w:space="0" w:color="auto"/>
            </w:tcBorders>
            <w:vAlign w:val="center"/>
            <w:hideMark/>
          </w:tcPr>
          <w:p w14:paraId="36DAD238" w14:textId="77777777" w:rsidR="00273288" w:rsidRPr="00E33DE3" w:rsidRDefault="00273288" w:rsidP="00C65B25">
            <w:pPr>
              <w:outlineLvl w:val="1"/>
              <w:rPr>
                <w:rFonts w:ascii="Verdana" w:hAnsi="Verdana" w:cs="Arial"/>
                <w:sz w:val="18"/>
                <w:szCs w:val="18"/>
              </w:rPr>
            </w:pPr>
            <w:r w:rsidRPr="00E33DE3">
              <w:rPr>
                <w:rFonts w:ascii="Verdana" w:hAnsi="Verdana" w:cs="Arial"/>
                <w:sz w:val="18"/>
                <w:szCs w:val="18"/>
              </w:rPr>
              <w:t>No se encuentran publicados en el SECOP</w:t>
            </w:r>
          </w:p>
        </w:tc>
      </w:tr>
      <w:tr w:rsidR="00273288" w:rsidRPr="00E33DE3" w14:paraId="6B233C57" w14:textId="77777777" w:rsidTr="00273288">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653A2BDB" w14:textId="77777777" w:rsidR="00273288" w:rsidRPr="00E33DE3" w:rsidRDefault="00273288" w:rsidP="00C65B25">
            <w:pPr>
              <w:jc w:val="center"/>
              <w:outlineLvl w:val="1"/>
              <w:rPr>
                <w:rFonts w:ascii="Verdana" w:hAnsi="Verdana" w:cs="Arial"/>
                <w:sz w:val="18"/>
                <w:szCs w:val="18"/>
              </w:rPr>
            </w:pPr>
            <w:r w:rsidRPr="00E33DE3">
              <w:rPr>
                <w:rFonts w:ascii="Verdana" w:hAnsi="Verdana" w:cs="Arial"/>
                <w:sz w:val="18"/>
                <w:szCs w:val="18"/>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B16CCB" w14:textId="77777777" w:rsidR="00273288" w:rsidRPr="00E33DE3" w:rsidRDefault="00273288" w:rsidP="00C65B25">
            <w:pPr>
              <w:jc w:val="center"/>
              <w:outlineLvl w:val="1"/>
              <w:rPr>
                <w:rFonts w:ascii="Verdana" w:hAnsi="Verdana" w:cs="Arial"/>
                <w:sz w:val="18"/>
                <w:szCs w:val="18"/>
              </w:rPr>
            </w:pPr>
            <w:r w:rsidRPr="00E33DE3">
              <w:rPr>
                <w:rFonts w:ascii="Verdana" w:hAnsi="Verdana" w:cs="Arial"/>
                <w:sz w:val="18"/>
                <w:szCs w:val="18"/>
              </w:rPr>
              <w:t>20213238</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8A7615E" w14:textId="77777777" w:rsidR="00273288" w:rsidRPr="00E33DE3" w:rsidRDefault="00273288" w:rsidP="00C65B25">
            <w:pPr>
              <w:jc w:val="center"/>
              <w:outlineLvl w:val="1"/>
              <w:rPr>
                <w:rFonts w:ascii="Verdana" w:hAnsi="Verdana" w:cs="Arial"/>
                <w:sz w:val="18"/>
                <w:szCs w:val="18"/>
              </w:rPr>
            </w:pPr>
            <w:r w:rsidRPr="00E33DE3">
              <w:rPr>
                <w:rFonts w:ascii="Verdana" w:hAnsi="Verdana" w:cs="Arial"/>
                <w:sz w:val="18"/>
                <w:szCs w:val="18"/>
              </w:rPr>
              <w:t>1.094</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84F20C6" w14:textId="77777777" w:rsidR="00273288" w:rsidRPr="00E33DE3" w:rsidRDefault="00273288" w:rsidP="00C65B25">
            <w:pPr>
              <w:outlineLvl w:val="1"/>
              <w:rPr>
                <w:rFonts w:ascii="Verdana" w:hAnsi="Verdana" w:cs="Arial"/>
                <w:sz w:val="18"/>
                <w:szCs w:val="18"/>
              </w:rPr>
            </w:pPr>
            <w:r w:rsidRPr="00E33DE3">
              <w:rPr>
                <w:rFonts w:ascii="Verdana" w:hAnsi="Verdana" w:cs="Arial"/>
                <w:sz w:val="18"/>
                <w:szCs w:val="18"/>
              </w:rPr>
              <w:t>Suministro de Dotación SOLUFINAR S.A.</w:t>
            </w:r>
          </w:p>
        </w:tc>
        <w:tc>
          <w:tcPr>
            <w:tcW w:w="2170" w:type="dxa"/>
            <w:tcBorders>
              <w:top w:val="single" w:sz="4" w:space="0" w:color="auto"/>
              <w:left w:val="single" w:sz="4" w:space="0" w:color="auto"/>
              <w:bottom w:val="single" w:sz="4" w:space="0" w:color="auto"/>
              <w:right w:val="single" w:sz="4" w:space="0" w:color="auto"/>
            </w:tcBorders>
            <w:vAlign w:val="center"/>
            <w:hideMark/>
          </w:tcPr>
          <w:p w14:paraId="6EA92CA9" w14:textId="77777777" w:rsidR="00273288" w:rsidRPr="00E33DE3" w:rsidRDefault="00273288" w:rsidP="00C65B25">
            <w:pPr>
              <w:ind w:left="218" w:hanging="218"/>
              <w:outlineLvl w:val="1"/>
              <w:rPr>
                <w:rFonts w:ascii="Verdana" w:hAnsi="Verdana" w:cs="Arial"/>
                <w:sz w:val="18"/>
                <w:szCs w:val="18"/>
              </w:rPr>
            </w:pPr>
            <w:r w:rsidRPr="00E33DE3">
              <w:rPr>
                <w:rFonts w:ascii="Verdana" w:hAnsi="Verdana" w:cs="Arial"/>
                <w:sz w:val="18"/>
                <w:szCs w:val="18"/>
              </w:rPr>
              <w:t>1. 21/12/2021</w:t>
            </w:r>
          </w:p>
        </w:tc>
      </w:tr>
      <w:tr w:rsidR="00273288" w:rsidRPr="00E33DE3" w14:paraId="210793AD" w14:textId="77777777" w:rsidTr="00273288">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41CEB3A4" w14:textId="77777777" w:rsidR="00273288" w:rsidRPr="00E33DE3" w:rsidRDefault="00273288" w:rsidP="00C65B25">
            <w:pPr>
              <w:jc w:val="center"/>
              <w:rPr>
                <w:rFonts w:ascii="Verdana" w:hAnsi="Verdana" w:cs="Arial"/>
                <w:sz w:val="18"/>
                <w:szCs w:val="18"/>
              </w:rPr>
            </w:pPr>
            <w:r w:rsidRPr="00E33DE3">
              <w:rPr>
                <w:rFonts w:ascii="Verdana" w:hAnsi="Verdana" w:cs="Arial"/>
                <w:sz w:val="18"/>
                <w:szCs w:val="18"/>
              </w:rPr>
              <w:t>2022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CE72EB" w14:textId="77777777" w:rsidR="00273288" w:rsidRPr="00E33DE3" w:rsidRDefault="00273288" w:rsidP="00C65B25">
            <w:pPr>
              <w:jc w:val="center"/>
              <w:rPr>
                <w:rFonts w:ascii="Verdana" w:hAnsi="Verdana" w:cs="Arial"/>
                <w:sz w:val="18"/>
                <w:szCs w:val="18"/>
              </w:rPr>
            </w:pPr>
            <w:r w:rsidRPr="00E33DE3">
              <w:rPr>
                <w:rFonts w:ascii="Verdana" w:hAnsi="Verdana" w:cs="Arial"/>
                <w:sz w:val="18"/>
                <w:szCs w:val="18"/>
              </w:rPr>
              <w:t>20223565</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81B8121" w14:textId="77777777" w:rsidR="00273288" w:rsidRPr="00E33DE3" w:rsidRDefault="00273288" w:rsidP="00C65B25">
            <w:pPr>
              <w:jc w:val="center"/>
              <w:rPr>
                <w:rFonts w:ascii="Verdana" w:hAnsi="Verdana" w:cs="Arial"/>
                <w:sz w:val="18"/>
                <w:szCs w:val="18"/>
              </w:rPr>
            </w:pPr>
            <w:r w:rsidRPr="00E33DE3">
              <w:rPr>
                <w:rFonts w:ascii="Verdana" w:hAnsi="Verdana" w:cs="Arial"/>
                <w:sz w:val="18"/>
                <w:szCs w:val="18"/>
              </w:rPr>
              <w:t>1260</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235AE13" w14:textId="77777777" w:rsidR="00273288" w:rsidRPr="00E33DE3" w:rsidRDefault="00273288" w:rsidP="00C65B25">
            <w:pPr>
              <w:outlineLvl w:val="1"/>
              <w:rPr>
                <w:rFonts w:ascii="Verdana" w:hAnsi="Verdana" w:cs="Arial"/>
                <w:sz w:val="18"/>
                <w:szCs w:val="18"/>
              </w:rPr>
            </w:pPr>
            <w:r w:rsidRPr="00E33DE3">
              <w:rPr>
                <w:rFonts w:ascii="Verdana" w:hAnsi="Verdana" w:cs="Arial"/>
                <w:sz w:val="18"/>
                <w:szCs w:val="18"/>
              </w:rPr>
              <w:t>Suministro de Dotación SOLUFINAR S.A.</w:t>
            </w:r>
          </w:p>
        </w:tc>
        <w:tc>
          <w:tcPr>
            <w:tcW w:w="2170" w:type="dxa"/>
            <w:tcBorders>
              <w:top w:val="single" w:sz="4" w:space="0" w:color="auto"/>
              <w:left w:val="single" w:sz="4" w:space="0" w:color="auto"/>
              <w:bottom w:val="single" w:sz="4" w:space="0" w:color="auto"/>
              <w:right w:val="single" w:sz="4" w:space="0" w:color="auto"/>
            </w:tcBorders>
            <w:vAlign w:val="center"/>
            <w:hideMark/>
          </w:tcPr>
          <w:p w14:paraId="5063D5A2" w14:textId="77777777" w:rsidR="00273288" w:rsidRPr="00E33DE3" w:rsidRDefault="00273288" w:rsidP="00C65B25">
            <w:pPr>
              <w:rPr>
                <w:rFonts w:ascii="Verdana" w:hAnsi="Verdana" w:cs="Arial"/>
                <w:sz w:val="18"/>
                <w:szCs w:val="18"/>
              </w:rPr>
            </w:pPr>
            <w:r w:rsidRPr="00E33DE3">
              <w:rPr>
                <w:rFonts w:ascii="Verdana" w:hAnsi="Verdana" w:cs="Arial"/>
                <w:sz w:val="18"/>
                <w:szCs w:val="18"/>
              </w:rPr>
              <w:t>1. 14/12/2022</w:t>
            </w:r>
          </w:p>
        </w:tc>
      </w:tr>
      <w:tr w:rsidR="00273288" w:rsidRPr="00E33DE3" w14:paraId="4F57A7C0" w14:textId="77777777" w:rsidTr="00273288">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3AB915EF" w14:textId="77777777" w:rsidR="00273288" w:rsidRPr="00E33DE3" w:rsidRDefault="00273288" w:rsidP="00C65B25">
            <w:pPr>
              <w:jc w:val="center"/>
              <w:rPr>
                <w:rFonts w:ascii="Verdana" w:hAnsi="Verdana" w:cs="Arial"/>
                <w:sz w:val="18"/>
                <w:szCs w:val="18"/>
              </w:rPr>
            </w:pPr>
            <w:r w:rsidRPr="00E33DE3">
              <w:rPr>
                <w:rFonts w:ascii="Verdana" w:hAnsi="Verdana" w:cs="Arial"/>
                <w:sz w:val="18"/>
                <w:szCs w:val="18"/>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8B539A" w14:textId="77777777" w:rsidR="00273288" w:rsidRPr="00E33DE3" w:rsidRDefault="00273288" w:rsidP="00C65B25">
            <w:pPr>
              <w:jc w:val="center"/>
              <w:rPr>
                <w:rFonts w:ascii="Verdana" w:hAnsi="Verdana" w:cs="Arial"/>
                <w:sz w:val="18"/>
                <w:szCs w:val="18"/>
              </w:rPr>
            </w:pPr>
            <w:r w:rsidRPr="00E33DE3">
              <w:rPr>
                <w:rFonts w:ascii="Verdana" w:hAnsi="Verdana" w:cs="Arial"/>
                <w:sz w:val="18"/>
                <w:szCs w:val="18"/>
              </w:rPr>
              <w:t>20233911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1133CB9" w14:textId="77777777" w:rsidR="00273288" w:rsidRPr="00E33DE3" w:rsidRDefault="00273288" w:rsidP="00C65B25">
            <w:pPr>
              <w:jc w:val="center"/>
              <w:rPr>
                <w:rFonts w:ascii="Verdana" w:hAnsi="Verdana" w:cs="Arial"/>
                <w:sz w:val="18"/>
                <w:szCs w:val="18"/>
              </w:rPr>
            </w:pPr>
            <w:r w:rsidRPr="00E33DE3">
              <w:rPr>
                <w:rFonts w:ascii="Verdana" w:hAnsi="Verdana" w:cs="Arial"/>
                <w:sz w:val="18"/>
                <w:szCs w:val="18"/>
              </w:rPr>
              <w:t>1325</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A0D4FC2" w14:textId="77777777" w:rsidR="00273288" w:rsidRPr="00E33DE3" w:rsidRDefault="00273288" w:rsidP="00C65B25">
            <w:pPr>
              <w:outlineLvl w:val="1"/>
              <w:rPr>
                <w:rFonts w:ascii="Verdana" w:hAnsi="Verdana" w:cs="Arial"/>
                <w:sz w:val="18"/>
                <w:szCs w:val="18"/>
              </w:rPr>
            </w:pPr>
            <w:r w:rsidRPr="00E33DE3">
              <w:rPr>
                <w:rFonts w:ascii="Verdana" w:hAnsi="Verdana" w:cs="Arial"/>
                <w:sz w:val="18"/>
                <w:szCs w:val="18"/>
              </w:rPr>
              <w:t>Suministro de Dotación SOLUFINAR S.A.</w:t>
            </w:r>
          </w:p>
        </w:tc>
        <w:tc>
          <w:tcPr>
            <w:tcW w:w="2170" w:type="dxa"/>
            <w:tcBorders>
              <w:top w:val="single" w:sz="4" w:space="0" w:color="auto"/>
              <w:left w:val="single" w:sz="4" w:space="0" w:color="auto"/>
              <w:bottom w:val="single" w:sz="4" w:space="0" w:color="auto"/>
              <w:right w:val="single" w:sz="4" w:space="0" w:color="auto"/>
            </w:tcBorders>
            <w:vAlign w:val="center"/>
            <w:hideMark/>
          </w:tcPr>
          <w:p w14:paraId="6BB9BB69" w14:textId="77777777" w:rsidR="00273288" w:rsidRPr="00E33DE3" w:rsidRDefault="00273288" w:rsidP="00C65B25">
            <w:pPr>
              <w:rPr>
                <w:rFonts w:ascii="Verdana" w:hAnsi="Verdana" w:cs="Arial"/>
                <w:sz w:val="18"/>
                <w:szCs w:val="18"/>
              </w:rPr>
            </w:pPr>
            <w:r w:rsidRPr="00E33DE3">
              <w:rPr>
                <w:rFonts w:ascii="Verdana" w:hAnsi="Verdana" w:cs="Arial"/>
                <w:sz w:val="18"/>
                <w:szCs w:val="18"/>
              </w:rPr>
              <w:t>No se encuentran publicados en el SECOP</w:t>
            </w:r>
          </w:p>
        </w:tc>
      </w:tr>
    </w:tbl>
    <w:p w14:paraId="70CB4D49" w14:textId="77777777" w:rsidR="00273288" w:rsidRPr="00E33DE3" w:rsidRDefault="00273288" w:rsidP="00C65B25">
      <w:pPr>
        <w:jc w:val="both"/>
        <w:rPr>
          <w:rFonts w:ascii="Verdana" w:hAnsi="Verdana" w:cs="Arial"/>
          <w:sz w:val="22"/>
          <w:szCs w:val="22"/>
        </w:rPr>
      </w:pPr>
    </w:p>
    <w:p w14:paraId="4260CFDF"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Adicionalmente, se evidenció en los contratos de suministro de dotación que la Entidad Territorial no publicó en SECOP los informes de las vigencias 2018, 2019 y 2023, y para el 2021 solo publicó un informe de supervisión que carece de elementos que permitan soportar la entrega efectiva de la dotación al personal administrativo de la secretaría de educación y al personal docente.</w:t>
      </w:r>
    </w:p>
    <w:p w14:paraId="17137CA6" w14:textId="77777777" w:rsidR="00273288" w:rsidRPr="00E33DE3" w:rsidRDefault="00273288" w:rsidP="00C65B25">
      <w:pPr>
        <w:jc w:val="both"/>
        <w:rPr>
          <w:rFonts w:ascii="Verdana" w:hAnsi="Verdana" w:cs="Arial"/>
          <w:sz w:val="22"/>
          <w:szCs w:val="22"/>
        </w:rPr>
      </w:pPr>
    </w:p>
    <w:p w14:paraId="61A1AF97"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Por lo anterior, la Entidad Territorial ha venido incumpliendo con la entrega de la dotación en los términos establecidos en la Ley 70 de 1988 y su Decreto reglamentario, exponiéndose a demandas laborales por la omisión de sus obligaciones como empleador, cuyo pago puede hacerse exigible con cargo a los recursos destinados a la prestación del servicio educativo.</w:t>
      </w:r>
    </w:p>
    <w:p w14:paraId="12DA120B" w14:textId="77777777" w:rsidR="00273288" w:rsidRPr="00E33DE3" w:rsidRDefault="00273288" w:rsidP="00C65B25">
      <w:pPr>
        <w:jc w:val="both"/>
        <w:rPr>
          <w:rFonts w:ascii="Verdana" w:hAnsi="Verdana" w:cs="Arial"/>
          <w:sz w:val="22"/>
          <w:szCs w:val="22"/>
        </w:rPr>
      </w:pPr>
    </w:p>
    <w:p w14:paraId="52F2EFD6"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Sin perjuicio de lo anterior, la Dirección General de Apoyo Fiscal ha considerado que si la Entidad Territorial por falta de planeación y administración del recurso para la entrega del calzado y vestuario conforme la ley, genera deudas por este concepto, estos pasivos no deben ser financiados con recursos excedentes del Sistema General de Participaciones, ni con cargo a los recursos del Presupuesto General de la Nación, al carecer de fundamento legal y constitucional de acuerdo al artículo 148 de la Ley 1450 de 2011, dado que se originó por la omisión de la Entidad Territorial que contradijo el ordenamiento jurídico, posición que recogió el Ministerio de Educación Nacional hasta la expedición de la Circular 18 de 2016.</w:t>
      </w:r>
    </w:p>
    <w:p w14:paraId="4CE7B54A" w14:textId="77777777" w:rsidR="00273288" w:rsidRPr="00E33DE3" w:rsidRDefault="00273288" w:rsidP="00C65B25">
      <w:pPr>
        <w:jc w:val="both"/>
        <w:rPr>
          <w:rFonts w:ascii="Verdana" w:hAnsi="Verdana" w:cs="Arial"/>
          <w:b/>
          <w:bCs/>
          <w:sz w:val="22"/>
          <w:szCs w:val="22"/>
        </w:rPr>
      </w:pPr>
    </w:p>
    <w:p w14:paraId="7022BBD6" w14:textId="77777777" w:rsidR="00273288" w:rsidRPr="00E33DE3" w:rsidRDefault="00273288" w:rsidP="00C65B25">
      <w:pPr>
        <w:jc w:val="both"/>
        <w:rPr>
          <w:rFonts w:ascii="Verdana" w:hAnsi="Verdana" w:cs="Arial"/>
          <w:sz w:val="22"/>
          <w:szCs w:val="22"/>
        </w:rPr>
      </w:pPr>
      <w:r w:rsidRPr="00E33DE3">
        <w:rPr>
          <w:rFonts w:ascii="Verdana" w:hAnsi="Verdana" w:cs="Arial"/>
          <w:b/>
          <w:bCs/>
          <w:sz w:val="22"/>
          <w:szCs w:val="22"/>
        </w:rPr>
        <w:t xml:space="preserve">Evidencia: </w:t>
      </w:r>
      <w:r w:rsidRPr="00E33DE3">
        <w:rPr>
          <w:rFonts w:ascii="Verdana" w:hAnsi="Verdana" w:cs="Arial"/>
          <w:sz w:val="22"/>
          <w:szCs w:val="22"/>
        </w:rPr>
        <w:t>Obra en el expediente el siguiente material probatorio:</w:t>
      </w:r>
    </w:p>
    <w:p w14:paraId="7F8CE66B"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eastAsia="en-US"/>
        </w:rPr>
      </w:pPr>
      <w:r w:rsidRPr="00E33DE3">
        <w:rPr>
          <w:rFonts w:ascii="Verdana" w:eastAsia="Calibri" w:hAnsi="Verdana" w:cs="Arial"/>
          <w:sz w:val="22"/>
          <w:szCs w:val="22"/>
          <w:lang w:eastAsia="en-US"/>
        </w:rPr>
        <w:t xml:space="preserve">Contrato No.18286 del 28 de septiembre de 2018. </w:t>
      </w:r>
    </w:p>
    <w:p w14:paraId="5B708371"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eastAsia="en-US"/>
        </w:rPr>
      </w:pPr>
      <w:r w:rsidRPr="00E33DE3">
        <w:rPr>
          <w:rFonts w:ascii="Verdana" w:eastAsia="Calibri" w:hAnsi="Verdana" w:cs="Arial"/>
          <w:sz w:val="22"/>
          <w:szCs w:val="22"/>
          <w:lang w:eastAsia="en-US"/>
        </w:rPr>
        <w:t xml:space="preserve">Contrato No.193066 del 25 de septiembre de 2019. </w:t>
      </w:r>
    </w:p>
    <w:p w14:paraId="066F6789"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eastAsia="en-US"/>
        </w:rPr>
      </w:pPr>
      <w:r w:rsidRPr="00E33DE3">
        <w:rPr>
          <w:rFonts w:ascii="Verdana" w:eastAsia="Calibri" w:hAnsi="Verdana" w:cs="Arial"/>
          <w:sz w:val="22"/>
          <w:szCs w:val="22"/>
          <w:lang w:eastAsia="en-US"/>
        </w:rPr>
        <w:t>Cuadro listado de contratación de sector educativo para las vigencias 2018 – 2019 – 2020</w:t>
      </w:r>
    </w:p>
    <w:p w14:paraId="7AE3B24E"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eastAsia="en-US"/>
        </w:rPr>
      </w:pPr>
      <w:r w:rsidRPr="00E33DE3">
        <w:rPr>
          <w:rFonts w:ascii="Verdana" w:eastAsia="Calibri" w:hAnsi="Verdana" w:cs="Arial"/>
          <w:sz w:val="22"/>
          <w:szCs w:val="22"/>
          <w:lang w:eastAsia="en-US"/>
        </w:rPr>
        <w:t xml:space="preserve">Link de consulta realizada el 4 de marzo del 2020 </w:t>
      </w:r>
      <w:hyperlink r:id="rId14" w:history="1">
        <w:r w:rsidRPr="00E33DE3">
          <w:rPr>
            <w:rStyle w:val="Hipervnculo"/>
            <w:rFonts w:ascii="Verdana" w:eastAsia="Calibri" w:hAnsi="Verdana" w:cs="Arial"/>
            <w:sz w:val="22"/>
            <w:szCs w:val="22"/>
            <w:lang w:eastAsia="en-US"/>
          </w:rPr>
          <w:t>https://www.contratos.gov.co/consultas/resultadoListadoProcesos.jsp#</w:t>
        </w:r>
      </w:hyperlink>
      <w:r w:rsidRPr="00E33DE3">
        <w:rPr>
          <w:rFonts w:ascii="Verdana" w:eastAsia="Calibri" w:hAnsi="Verdana" w:cs="Arial"/>
          <w:sz w:val="22"/>
          <w:szCs w:val="22"/>
          <w:lang w:eastAsia="en-US"/>
        </w:rPr>
        <w:t xml:space="preserve"> </w:t>
      </w:r>
    </w:p>
    <w:p w14:paraId="0C3C5BBE"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eastAsia="en-US"/>
        </w:rPr>
      </w:pPr>
      <w:r w:rsidRPr="00E33DE3">
        <w:rPr>
          <w:rFonts w:ascii="Verdana" w:eastAsia="Calibri" w:hAnsi="Verdana" w:cs="Arial"/>
          <w:sz w:val="22"/>
          <w:szCs w:val="22"/>
          <w:lang w:eastAsia="en-US"/>
        </w:rPr>
        <w:t>Contrato No. 20213238 del 15 de septiembre de 2021</w:t>
      </w:r>
    </w:p>
    <w:p w14:paraId="02982FD0"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eastAsia="en-US"/>
        </w:rPr>
      </w:pPr>
      <w:r w:rsidRPr="00E33DE3">
        <w:rPr>
          <w:rFonts w:ascii="Verdana" w:eastAsia="Calibri" w:hAnsi="Verdana" w:cs="Arial"/>
          <w:sz w:val="22"/>
          <w:szCs w:val="22"/>
          <w:lang w:eastAsia="en-US"/>
        </w:rPr>
        <w:t>Informe de Supervisión Contrato No. 20213238 del 21/12/2021</w:t>
      </w:r>
    </w:p>
    <w:p w14:paraId="236F0359"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eastAsia="en-US"/>
        </w:rPr>
      </w:pPr>
      <w:r w:rsidRPr="00E33DE3">
        <w:rPr>
          <w:rFonts w:ascii="Verdana" w:eastAsia="Calibri" w:hAnsi="Verdana" w:cs="Arial"/>
          <w:sz w:val="22"/>
          <w:szCs w:val="22"/>
          <w:lang w:eastAsia="en-US"/>
        </w:rPr>
        <w:lastRenderedPageBreak/>
        <w:t>Certificado Contratista SOLUFINAR S.A. Contrato No. 20213238 del 15 de septiembre de 2021.</w:t>
      </w:r>
    </w:p>
    <w:p w14:paraId="74E03D6E"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eastAsia="en-US"/>
        </w:rPr>
      </w:pPr>
      <w:r w:rsidRPr="00E33DE3">
        <w:rPr>
          <w:rFonts w:ascii="Verdana" w:eastAsia="Calibri" w:hAnsi="Verdana" w:cs="Arial"/>
          <w:sz w:val="22"/>
          <w:szCs w:val="22"/>
          <w:lang w:eastAsia="en-US"/>
        </w:rPr>
        <w:t>Requerimiento Dotación Contrato No. 20213238 del 15 de septiembre de 2021.</w:t>
      </w:r>
    </w:p>
    <w:p w14:paraId="59A19C78"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eastAsia="en-US"/>
        </w:rPr>
      </w:pPr>
      <w:r w:rsidRPr="00E33DE3">
        <w:rPr>
          <w:rFonts w:ascii="Verdana" w:eastAsia="Calibri" w:hAnsi="Verdana" w:cs="Arial"/>
          <w:sz w:val="22"/>
          <w:szCs w:val="22"/>
          <w:lang w:eastAsia="en-US"/>
        </w:rPr>
        <w:t>Documento 1490/1206-2022 enviado por la Entidad Territorial sobre la dotación de 2022.</w:t>
      </w:r>
    </w:p>
    <w:p w14:paraId="27FC9D02" w14:textId="77777777" w:rsidR="00273288" w:rsidRPr="00E33DE3" w:rsidRDefault="00273288" w:rsidP="00C65B25">
      <w:pPr>
        <w:pStyle w:val="Prrafodelista"/>
        <w:numPr>
          <w:ilvl w:val="0"/>
          <w:numId w:val="28"/>
        </w:numPr>
        <w:ind w:left="284" w:hanging="284"/>
        <w:jc w:val="both"/>
        <w:rPr>
          <w:rFonts w:ascii="Verdana" w:hAnsi="Verdana" w:cs="Arial"/>
          <w:sz w:val="22"/>
          <w:szCs w:val="22"/>
        </w:rPr>
      </w:pPr>
      <w:r w:rsidRPr="00E33DE3">
        <w:rPr>
          <w:rFonts w:ascii="Verdana" w:eastAsia="Calibri" w:hAnsi="Verdana" w:cs="Arial"/>
          <w:sz w:val="22"/>
          <w:szCs w:val="22"/>
          <w:lang w:eastAsia="en-US"/>
        </w:rPr>
        <w:t>Cuadro</w:t>
      </w:r>
      <w:r w:rsidRPr="00E33DE3">
        <w:rPr>
          <w:rFonts w:ascii="Verdana" w:hAnsi="Verdana" w:cs="Arial"/>
          <w:sz w:val="22"/>
          <w:szCs w:val="22"/>
        </w:rPr>
        <w:t xml:space="preserve"> listado de contratación de sector educativo para la vigencia 2022.</w:t>
      </w:r>
    </w:p>
    <w:p w14:paraId="21202168" w14:textId="77777777" w:rsidR="00273288" w:rsidRPr="00E33DE3" w:rsidRDefault="00273288" w:rsidP="00C65B25">
      <w:pPr>
        <w:jc w:val="both"/>
        <w:rPr>
          <w:rFonts w:ascii="Verdana" w:hAnsi="Verdana" w:cs="Arial"/>
          <w:b/>
          <w:bCs/>
          <w:sz w:val="22"/>
          <w:szCs w:val="22"/>
          <w:lang w:val="es-CO"/>
        </w:rPr>
      </w:pPr>
    </w:p>
    <w:p w14:paraId="68AE57CA" w14:textId="77777777" w:rsidR="00273288" w:rsidRPr="00E33DE3" w:rsidRDefault="00273288" w:rsidP="00C65B25">
      <w:pPr>
        <w:pStyle w:val="Ttulo1"/>
        <w:spacing w:before="0"/>
        <w:jc w:val="both"/>
        <w:rPr>
          <w:rFonts w:ascii="Verdana" w:hAnsi="Verdana"/>
          <w:szCs w:val="22"/>
        </w:rPr>
      </w:pPr>
      <w:r w:rsidRPr="00E33DE3">
        <w:rPr>
          <w:rFonts w:ascii="Verdana" w:hAnsi="Verdana"/>
          <w:szCs w:val="22"/>
          <w:lang w:val="es-CO"/>
        </w:rPr>
        <w:t>EVENTO DE RIESGO 9.18 “Aquella situación que, del análisis de la información obtenida en cualquier tiempo, resulte de inminente riesgo para la prestación adecuada del servicio, el cumplimiento de las metas de continuidad, cobertura y calidad en los servicios, o constituya desviación, uso indebido, ineficiente o inadecuado de los recursos del Sistema General de Participaciones”.</w:t>
      </w:r>
    </w:p>
    <w:p w14:paraId="036AC564" w14:textId="77777777" w:rsidR="00273288" w:rsidRPr="00E33DE3" w:rsidRDefault="00273288" w:rsidP="00C65B25">
      <w:pPr>
        <w:jc w:val="both"/>
        <w:rPr>
          <w:rFonts w:ascii="Verdana" w:hAnsi="Verdana" w:cs="Arial"/>
          <w:sz w:val="22"/>
          <w:szCs w:val="22"/>
        </w:rPr>
      </w:pPr>
    </w:p>
    <w:p w14:paraId="32233B1C" w14:textId="77777777" w:rsidR="00273288" w:rsidRPr="00E33DE3" w:rsidRDefault="00273288" w:rsidP="00C65B25">
      <w:pPr>
        <w:pStyle w:val="Ttulo3"/>
        <w:numPr>
          <w:ilvl w:val="0"/>
          <w:numId w:val="47"/>
        </w:numPr>
        <w:spacing w:before="0"/>
        <w:ind w:left="426" w:hanging="426"/>
        <w:jc w:val="both"/>
        <w:rPr>
          <w:rFonts w:ascii="Verdana" w:hAnsi="Verdana"/>
          <w:b/>
          <w:bCs/>
          <w:color w:val="auto"/>
          <w:sz w:val="22"/>
          <w:szCs w:val="22"/>
        </w:rPr>
      </w:pPr>
      <w:r w:rsidRPr="00E33DE3">
        <w:rPr>
          <w:rFonts w:ascii="Verdana" w:hAnsi="Verdana"/>
          <w:b/>
          <w:bCs/>
          <w:color w:val="auto"/>
          <w:sz w:val="22"/>
          <w:szCs w:val="22"/>
        </w:rPr>
        <w:t>Falta de ejecución de los recursos de conectividad y NEE.</w:t>
      </w:r>
    </w:p>
    <w:p w14:paraId="0C9F7A57" w14:textId="77777777" w:rsidR="00273288" w:rsidRPr="00E33DE3" w:rsidRDefault="00273288" w:rsidP="00C65B25">
      <w:pPr>
        <w:rPr>
          <w:rFonts w:ascii="Verdana" w:hAnsi="Verdana" w:cs="Arial"/>
          <w:sz w:val="22"/>
          <w:szCs w:val="22"/>
        </w:rPr>
      </w:pPr>
    </w:p>
    <w:p w14:paraId="5D2514ED" w14:textId="77777777" w:rsidR="00273288" w:rsidRPr="00E33DE3" w:rsidRDefault="00273288" w:rsidP="00C65B25">
      <w:pPr>
        <w:jc w:val="both"/>
        <w:rPr>
          <w:rFonts w:ascii="Verdana" w:hAnsi="Verdana" w:cs="Arial"/>
          <w:sz w:val="22"/>
          <w:szCs w:val="22"/>
          <w:lang w:val="es-CO"/>
        </w:rPr>
      </w:pPr>
      <w:r w:rsidRPr="00E33DE3">
        <w:rPr>
          <w:rFonts w:ascii="Verdana" w:hAnsi="Verdana" w:cs="Arial"/>
          <w:sz w:val="22"/>
          <w:szCs w:val="22"/>
          <w:lang w:val="es-CO"/>
        </w:rPr>
        <w:t>Las ETC deben operar cumpliendo los fines y el principio de economía de la contratación estatal definidos en los artículos 3° y 25° de la Ley 80 de 1993, los cuales establecen que se debe garantizar el cumplimiento de los fines estatales y la continua y eficiente prestación de los servicios públicos. En el mismo sentido, el principio de la planeación de la contratación estatal establecido en el artículo 25 de la Ley 80 de 1993 y en los artículos 2.2.1.1.1.6.1, 2.2.1.1.1.6.3 y 2.2.1.1.2.1.1 del Decreto 1082 del 2015, por cuanto es un deber de las entidades el análisis necesario para conocer el sector relativo al objeto del proceso de contratación desde la perspectiva legal, comercial, financiera, organizacional, técnica, y de análisis de riesgo indicados en los estudios y documentos previos, además por cuanto es uno de los pilares en la actividad contractual, por ser un parámetro de control y organización tanto en lo económico como en lo logístico.</w:t>
      </w:r>
    </w:p>
    <w:p w14:paraId="72A0A036" w14:textId="77777777" w:rsidR="00273288" w:rsidRPr="00E33DE3" w:rsidRDefault="00273288" w:rsidP="00C65B25">
      <w:pPr>
        <w:jc w:val="both"/>
        <w:rPr>
          <w:rFonts w:ascii="Verdana" w:hAnsi="Verdana" w:cs="Arial"/>
          <w:sz w:val="22"/>
          <w:szCs w:val="22"/>
          <w:lang w:val="es-CO"/>
        </w:rPr>
      </w:pPr>
    </w:p>
    <w:p w14:paraId="172F28D6" w14:textId="77777777" w:rsidR="00273288" w:rsidRPr="00E33DE3" w:rsidRDefault="00273288" w:rsidP="00C65B25">
      <w:pPr>
        <w:shd w:val="clear" w:color="auto" w:fill="FFFFFF"/>
        <w:jc w:val="both"/>
        <w:rPr>
          <w:rFonts w:ascii="Verdana" w:hAnsi="Verdana" w:cs="Arial"/>
          <w:sz w:val="22"/>
          <w:szCs w:val="22"/>
        </w:rPr>
      </w:pPr>
      <w:r w:rsidRPr="00E33DE3">
        <w:rPr>
          <w:rFonts w:ascii="Verdana" w:hAnsi="Verdana" w:cs="Arial"/>
          <w:sz w:val="22"/>
          <w:szCs w:val="22"/>
          <w:lang w:val="es-CO"/>
        </w:rPr>
        <w:t xml:space="preserve">La no ejecución de los recursos de NEE y conectividad, durante la vigencia para la cual fueron asignados, genera que los mismos se constituyan en recursos de balance al cierre del año fiscal y deben ser destinados de conformidad con lo establecido en el artículo 148 de la Ley 1450 de 2011. </w:t>
      </w:r>
      <w:r w:rsidRPr="00E33DE3">
        <w:rPr>
          <w:rFonts w:ascii="Verdana" w:hAnsi="Verdana" w:cs="Arial"/>
          <w:sz w:val="22"/>
          <w:szCs w:val="22"/>
          <w:bdr w:val="none" w:sz="0" w:space="0" w:color="auto" w:frame="1"/>
          <w:lang w:val="es-ES_tradnl"/>
        </w:rPr>
        <w:t>Con lo cual se está incurriendo en una indebida gestión fiscal, contemplada en el artículo 3 de la Ley 610 de 2000 que establece:</w:t>
      </w:r>
      <w:r w:rsidRPr="00E33DE3">
        <w:rPr>
          <w:rFonts w:ascii="Verdana" w:hAnsi="Verdana" w:cs="Arial"/>
          <w:sz w:val="22"/>
          <w:szCs w:val="22"/>
        </w:rPr>
        <w:t> </w:t>
      </w:r>
    </w:p>
    <w:p w14:paraId="073E5EE8" w14:textId="77777777" w:rsidR="00273288" w:rsidRPr="00E33DE3" w:rsidRDefault="00273288" w:rsidP="00C65B25">
      <w:pPr>
        <w:shd w:val="clear" w:color="auto" w:fill="FFFFFF"/>
        <w:ind w:left="708" w:right="49"/>
        <w:jc w:val="both"/>
        <w:rPr>
          <w:rFonts w:ascii="Verdana" w:hAnsi="Verdana" w:cs="Arial"/>
          <w:i/>
          <w:iCs/>
          <w:sz w:val="22"/>
          <w:szCs w:val="22"/>
          <w:bdr w:val="none" w:sz="0" w:space="0" w:color="auto" w:frame="1"/>
          <w:lang w:val="es-ES_tradnl"/>
        </w:rPr>
      </w:pPr>
    </w:p>
    <w:p w14:paraId="7ECB907E" w14:textId="77777777" w:rsidR="00273288" w:rsidRPr="00E33DE3" w:rsidRDefault="00273288" w:rsidP="00C65B25">
      <w:pPr>
        <w:shd w:val="clear" w:color="auto" w:fill="FFFFFF"/>
        <w:ind w:left="567" w:right="49"/>
        <w:jc w:val="both"/>
        <w:rPr>
          <w:rFonts w:ascii="Verdana" w:hAnsi="Verdana" w:cs="Arial"/>
          <w:sz w:val="22"/>
          <w:szCs w:val="22"/>
        </w:rPr>
      </w:pPr>
      <w:r w:rsidRPr="00E33DE3">
        <w:rPr>
          <w:rFonts w:ascii="Verdana" w:hAnsi="Verdana" w:cs="Arial"/>
          <w:i/>
          <w:iCs/>
          <w:sz w:val="22"/>
          <w:szCs w:val="22"/>
          <w:bdr w:val="none" w:sz="0" w:space="0" w:color="auto" w:frame="1"/>
          <w:lang w:val="es-ES_tradnl"/>
        </w:rPr>
        <w:t xml:space="preserve">“Artículo 3º. Gestión fiscal. Para los efectos de la presente ley, se entiende por gestión fiscal el conjunto de actividades económicas, jurídicas y tecnológicas, que realizan los servidores públicos y las personas de derecho privado que manejen o administren recursos o fondos públicos, tendientes a la adecuada y correcta adquisición, planeación, conservación, administración, custodia, explotación, enajenación, consumo, adjudicación, gasto, inversión y disposición de los bienes públicos, así </w:t>
      </w:r>
      <w:r w:rsidRPr="00E33DE3">
        <w:rPr>
          <w:rFonts w:ascii="Verdana" w:hAnsi="Verdana" w:cs="Arial"/>
          <w:i/>
          <w:iCs/>
          <w:sz w:val="22"/>
          <w:szCs w:val="22"/>
          <w:bdr w:val="none" w:sz="0" w:space="0" w:color="auto" w:frame="1"/>
          <w:lang w:val="es-ES_tradnl"/>
        </w:rPr>
        <w:lastRenderedPageBreak/>
        <w:t>como a la recaudación, manejo e inversión de sus rentas en orden a cumplir los fines esenciales del Estado, con sujeción a los principios de legalidad, eficiencia, economía, eficacia, equidad, imparcialidad, moralidad, transparencia, publicidad y valoración de los costos ambientales”.</w:t>
      </w:r>
      <w:r w:rsidRPr="00E33DE3">
        <w:rPr>
          <w:rFonts w:ascii="Verdana" w:hAnsi="Verdana" w:cs="Arial"/>
          <w:sz w:val="22"/>
          <w:szCs w:val="22"/>
        </w:rPr>
        <w:t> </w:t>
      </w:r>
    </w:p>
    <w:p w14:paraId="6273240A" w14:textId="77777777" w:rsidR="00273288" w:rsidRPr="00E33DE3" w:rsidRDefault="00273288" w:rsidP="00C65B25">
      <w:pPr>
        <w:jc w:val="both"/>
        <w:rPr>
          <w:rFonts w:ascii="Verdana" w:hAnsi="Verdana" w:cs="Arial"/>
          <w:sz w:val="22"/>
          <w:szCs w:val="22"/>
        </w:rPr>
      </w:pPr>
    </w:p>
    <w:p w14:paraId="763A6D9E" w14:textId="77777777" w:rsidR="00273288" w:rsidRPr="00E33DE3" w:rsidRDefault="00273288" w:rsidP="00C65B25">
      <w:pPr>
        <w:jc w:val="both"/>
        <w:rPr>
          <w:rFonts w:ascii="Verdana" w:hAnsi="Verdana" w:cs="Arial"/>
          <w:sz w:val="22"/>
          <w:szCs w:val="22"/>
          <w:lang w:val="es-CO"/>
        </w:rPr>
      </w:pPr>
      <w:r w:rsidRPr="00E33DE3">
        <w:rPr>
          <w:rFonts w:ascii="Verdana" w:hAnsi="Verdana" w:cs="Arial"/>
          <w:sz w:val="22"/>
          <w:szCs w:val="22"/>
          <w:lang w:val="es-CO"/>
        </w:rPr>
        <w:t xml:space="preserve">Del análisis de las ejecuciones presupuestales enviadas por la entidad, se evidenció que para la vigencia 2018 el Municipio no comprometió recursos para conectividad, siendo asignados $570 millones mediante Documento de Distribución DD-38-2018 para tal efecto. Para la vigencia 2019 el Ministerio de Educación Nacional asignó al Municipio $1.542 millones para atender a la población con Necesidad Educativas Especiales de su jurisdicción, de los cuales la Entidad solo comprometió $1.248 millones, faltando por ejecutar $294 millones. </w:t>
      </w:r>
    </w:p>
    <w:p w14:paraId="3A8C4C5F" w14:textId="77777777" w:rsidR="00273288" w:rsidRPr="00E33DE3" w:rsidRDefault="00273288" w:rsidP="00C65B25">
      <w:pPr>
        <w:jc w:val="both"/>
        <w:rPr>
          <w:rFonts w:ascii="Verdana" w:hAnsi="Verdana" w:cs="Arial"/>
          <w:sz w:val="22"/>
          <w:szCs w:val="22"/>
          <w:lang w:val="es-CO"/>
        </w:rPr>
      </w:pPr>
    </w:p>
    <w:p w14:paraId="335AA9A9" w14:textId="77777777" w:rsidR="00273288" w:rsidRPr="00E33DE3" w:rsidRDefault="00273288" w:rsidP="00C65B25">
      <w:pPr>
        <w:jc w:val="both"/>
        <w:rPr>
          <w:rFonts w:ascii="Verdana" w:hAnsi="Verdana" w:cs="Arial"/>
          <w:sz w:val="22"/>
          <w:szCs w:val="22"/>
          <w:lang w:val="es-CO"/>
        </w:rPr>
      </w:pPr>
      <w:r w:rsidRPr="00E33DE3">
        <w:rPr>
          <w:rFonts w:ascii="Verdana" w:hAnsi="Verdana" w:cs="Arial"/>
          <w:sz w:val="22"/>
          <w:szCs w:val="22"/>
          <w:lang w:val="es-CO"/>
        </w:rPr>
        <w:t>Los anteriores hallazgos concuerdan con lo expuesto por el Ministerio de Educación Nacional en el acta de visita al Municipio, durante los días 12 a 14 de junio de la vigencia 2019, en la cual mencionan acerca de los recursos de conectividad: “</w:t>
      </w:r>
      <w:r w:rsidRPr="00E33DE3">
        <w:rPr>
          <w:rFonts w:ascii="Verdana" w:hAnsi="Verdana" w:cs="Arial"/>
          <w:i/>
          <w:sz w:val="22"/>
          <w:szCs w:val="22"/>
          <w:lang w:val="es-CO"/>
        </w:rPr>
        <w:t>la entidad está apropiando recursos en un 100%, Pero no hubo compromisos. Situación preocupante considerando que en la vigencia 2017 ejecutó el 42% de los recursos”.</w:t>
      </w:r>
    </w:p>
    <w:p w14:paraId="382B875F" w14:textId="77777777" w:rsidR="00273288" w:rsidRPr="00E33DE3" w:rsidRDefault="00273288" w:rsidP="00C65B25">
      <w:pPr>
        <w:jc w:val="both"/>
        <w:rPr>
          <w:rFonts w:ascii="Verdana" w:hAnsi="Verdana" w:cs="Arial"/>
          <w:i/>
          <w:sz w:val="22"/>
          <w:szCs w:val="22"/>
          <w:lang w:val="es-CO"/>
        </w:rPr>
      </w:pPr>
    </w:p>
    <w:p w14:paraId="78F50C38" w14:textId="77777777" w:rsidR="00273288" w:rsidRPr="00E33DE3" w:rsidRDefault="00273288" w:rsidP="00C65B25">
      <w:pPr>
        <w:jc w:val="both"/>
        <w:rPr>
          <w:rFonts w:ascii="Verdana" w:hAnsi="Verdana" w:cs="Arial"/>
          <w:sz w:val="22"/>
          <w:szCs w:val="22"/>
          <w:lang w:val="es-CO"/>
        </w:rPr>
      </w:pPr>
      <w:r w:rsidRPr="00E33DE3">
        <w:rPr>
          <w:rFonts w:ascii="Verdana" w:hAnsi="Verdana" w:cs="Arial"/>
          <w:sz w:val="22"/>
          <w:szCs w:val="22"/>
          <w:lang w:val="es-CO"/>
        </w:rPr>
        <w:t xml:space="preserve">Frente a las vigencias 2020-2022, la entidad territorial reportó en FUT y CUIPO haber comprometido los recursos de conectividad y NEE de la siguiente manera (cifras en millones de pesos): </w:t>
      </w:r>
    </w:p>
    <w:p w14:paraId="6BE2AFD6" w14:textId="77777777" w:rsidR="00273288" w:rsidRPr="00E33DE3" w:rsidRDefault="00273288" w:rsidP="00C65B25">
      <w:pPr>
        <w:jc w:val="both"/>
        <w:rPr>
          <w:rFonts w:ascii="Verdana" w:hAnsi="Verdana" w:cs="Arial"/>
          <w:sz w:val="22"/>
          <w:szCs w:val="22"/>
          <w:lang w:val="es-CO"/>
        </w:rPr>
      </w:pPr>
    </w:p>
    <w:tbl>
      <w:tblPr>
        <w:tblW w:w="8824" w:type="dxa"/>
        <w:tblCellMar>
          <w:left w:w="0" w:type="dxa"/>
          <w:right w:w="0" w:type="dxa"/>
        </w:tblCellMar>
        <w:tblLook w:val="04A0" w:firstRow="1" w:lastRow="0" w:firstColumn="1" w:lastColumn="0" w:noHBand="0" w:noVBand="1"/>
      </w:tblPr>
      <w:tblGrid>
        <w:gridCol w:w="876"/>
        <w:gridCol w:w="1397"/>
        <w:gridCol w:w="1425"/>
        <w:gridCol w:w="1235"/>
        <w:gridCol w:w="1236"/>
        <w:gridCol w:w="1404"/>
        <w:gridCol w:w="1235"/>
        <w:gridCol w:w="16"/>
      </w:tblGrid>
      <w:tr w:rsidR="00273288" w:rsidRPr="00E33DE3" w14:paraId="0F998379" w14:textId="77777777" w:rsidTr="00273288">
        <w:trPr>
          <w:gridAfter w:val="1"/>
          <w:trHeight w:val="292"/>
        </w:trPr>
        <w:tc>
          <w:tcPr>
            <w:tcW w:w="868" w:type="dxa"/>
            <w:vMerge w:val="restart"/>
            <w:tcBorders>
              <w:top w:val="single" w:sz="8" w:space="0" w:color="auto"/>
              <w:left w:val="single" w:sz="8" w:space="0" w:color="auto"/>
              <w:bottom w:val="nil"/>
              <w:right w:val="single" w:sz="4" w:space="0" w:color="auto"/>
            </w:tcBorders>
            <w:shd w:val="clear" w:color="auto" w:fill="B48C41"/>
            <w:vAlign w:val="center"/>
            <w:hideMark/>
          </w:tcPr>
          <w:p w14:paraId="7280895E" w14:textId="77777777" w:rsidR="00273288" w:rsidRPr="00E33DE3" w:rsidRDefault="00273288" w:rsidP="00C65B25">
            <w:pPr>
              <w:jc w:val="center"/>
              <w:rPr>
                <w:rFonts w:ascii="Verdana" w:eastAsia="Times New Roman" w:hAnsi="Verdana" w:cs="Arial"/>
                <w:b/>
                <w:bCs/>
                <w:color w:val="FFFFFF"/>
                <w:sz w:val="18"/>
                <w:szCs w:val="18"/>
                <w:lang w:val="es-CO" w:eastAsia="es-CO"/>
              </w:rPr>
            </w:pPr>
            <w:r w:rsidRPr="00E33DE3">
              <w:rPr>
                <w:rFonts w:ascii="Verdana" w:hAnsi="Verdana" w:cs="Arial"/>
                <w:b/>
                <w:bCs/>
                <w:color w:val="FFFFFF" w:themeColor="background1"/>
                <w:sz w:val="18"/>
                <w:szCs w:val="18"/>
              </w:rPr>
              <w:t xml:space="preserve">Vigencia </w:t>
            </w:r>
          </w:p>
        </w:tc>
        <w:tc>
          <w:tcPr>
            <w:tcW w:w="4071" w:type="dxa"/>
            <w:gridSpan w:val="3"/>
            <w:vMerge w:val="restart"/>
            <w:tcBorders>
              <w:top w:val="single" w:sz="8" w:space="0" w:color="auto"/>
              <w:left w:val="single" w:sz="4" w:space="0" w:color="auto"/>
              <w:bottom w:val="nil"/>
              <w:right w:val="single" w:sz="4" w:space="0" w:color="auto"/>
            </w:tcBorders>
            <w:shd w:val="clear" w:color="auto" w:fill="B48C41"/>
            <w:vAlign w:val="center"/>
            <w:hideMark/>
          </w:tcPr>
          <w:p w14:paraId="4822D941" w14:textId="77777777" w:rsidR="00273288" w:rsidRPr="00E33DE3" w:rsidRDefault="00273288" w:rsidP="00C65B25">
            <w:pPr>
              <w:jc w:val="center"/>
              <w:rPr>
                <w:rFonts w:ascii="Verdana" w:hAnsi="Verdana" w:cs="Arial"/>
                <w:b/>
                <w:bCs/>
                <w:color w:val="FFFFFF"/>
                <w:sz w:val="18"/>
                <w:szCs w:val="18"/>
              </w:rPr>
            </w:pPr>
            <w:r w:rsidRPr="00E33DE3">
              <w:rPr>
                <w:rFonts w:ascii="Verdana" w:hAnsi="Verdana" w:cs="Arial"/>
                <w:b/>
                <w:bCs/>
                <w:color w:val="FFFFFF" w:themeColor="background1"/>
                <w:sz w:val="18"/>
                <w:szCs w:val="18"/>
              </w:rPr>
              <w:t xml:space="preserve"> CONECTIVIDAD </w:t>
            </w:r>
          </w:p>
        </w:tc>
        <w:tc>
          <w:tcPr>
            <w:tcW w:w="3885" w:type="dxa"/>
            <w:gridSpan w:val="3"/>
            <w:vMerge w:val="restart"/>
            <w:tcBorders>
              <w:top w:val="single" w:sz="8" w:space="0" w:color="auto"/>
              <w:left w:val="single" w:sz="4" w:space="0" w:color="auto"/>
              <w:bottom w:val="nil"/>
              <w:right w:val="single" w:sz="8" w:space="0" w:color="000000" w:themeColor="text1"/>
            </w:tcBorders>
            <w:shd w:val="clear" w:color="auto" w:fill="B48C41"/>
            <w:vAlign w:val="center"/>
            <w:hideMark/>
          </w:tcPr>
          <w:p w14:paraId="7BF5610F" w14:textId="77777777" w:rsidR="00273288" w:rsidRPr="00E33DE3" w:rsidRDefault="00273288" w:rsidP="00C65B25">
            <w:pPr>
              <w:jc w:val="center"/>
              <w:rPr>
                <w:rFonts w:ascii="Verdana" w:hAnsi="Verdana" w:cs="Arial"/>
                <w:b/>
                <w:bCs/>
                <w:color w:val="FFFFFF"/>
                <w:sz w:val="18"/>
                <w:szCs w:val="18"/>
              </w:rPr>
            </w:pPr>
            <w:r w:rsidRPr="00E33DE3">
              <w:rPr>
                <w:rFonts w:ascii="Verdana" w:hAnsi="Verdana" w:cs="Arial"/>
                <w:b/>
                <w:bCs/>
                <w:color w:val="FFFFFF" w:themeColor="background1"/>
                <w:sz w:val="18"/>
                <w:szCs w:val="18"/>
              </w:rPr>
              <w:t xml:space="preserve"> NECESIDADES EDUCATIVAS ESPECIALES </w:t>
            </w:r>
          </w:p>
        </w:tc>
      </w:tr>
      <w:tr w:rsidR="00273288" w:rsidRPr="00E33DE3" w14:paraId="701C76D5" w14:textId="77777777" w:rsidTr="00273288">
        <w:trPr>
          <w:trHeight w:val="276"/>
        </w:trPr>
        <w:tc>
          <w:tcPr>
            <w:tcW w:w="0" w:type="auto"/>
            <w:vMerge/>
            <w:tcBorders>
              <w:top w:val="single" w:sz="8" w:space="0" w:color="auto"/>
              <w:left w:val="single" w:sz="8" w:space="0" w:color="auto"/>
              <w:bottom w:val="nil"/>
              <w:right w:val="single" w:sz="4" w:space="0" w:color="auto"/>
            </w:tcBorders>
            <w:vAlign w:val="center"/>
            <w:hideMark/>
          </w:tcPr>
          <w:p w14:paraId="0F5578B9" w14:textId="77777777" w:rsidR="00273288" w:rsidRPr="00E33DE3" w:rsidRDefault="00273288" w:rsidP="00C65B25">
            <w:pPr>
              <w:rPr>
                <w:rFonts w:ascii="Verdana" w:eastAsia="Times New Roman" w:hAnsi="Verdana" w:cs="Arial"/>
                <w:b/>
                <w:bCs/>
                <w:color w:val="FFFFFF"/>
                <w:sz w:val="18"/>
                <w:szCs w:val="18"/>
                <w:lang w:val="es-CO" w:eastAsia="es-CO"/>
              </w:rPr>
            </w:pPr>
          </w:p>
        </w:tc>
        <w:tc>
          <w:tcPr>
            <w:tcW w:w="0" w:type="auto"/>
            <w:gridSpan w:val="3"/>
            <w:vMerge/>
            <w:tcBorders>
              <w:top w:val="single" w:sz="8" w:space="0" w:color="auto"/>
              <w:left w:val="single" w:sz="4" w:space="0" w:color="auto"/>
              <w:bottom w:val="nil"/>
              <w:right w:val="single" w:sz="4" w:space="0" w:color="auto"/>
            </w:tcBorders>
            <w:vAlign w:val="center"/>
            <w:hideMark/>
          </w:tcPr>
          <w:p w14:paraId="5D051AC9" w14:textId="77777777" w:rsidR="00273288" w:rsidRPr="00E33DE3" w:rsidRDefault="00273288" w:rsidP="00C65B25">
            <w:pPr>
              <w:rPr>
                <w:rFonts w:ascii="Verdana" w:hAnsi="Verdana" w:cs="Arial"/>
                <w:b/>
                <w:bCs/>
                <w:color w:val="FFFFFF"/>
                <w:sz w:val="18"/>
                <w:szCs w:val="18"/>
              </w:rPr>
            </w:pPr>
          </w:p>
        </w:tc>
        <w:tc>
          <w:tcPr>
            <w:tcW w:w="0" w:type="auto"/>
            <w:gridSpan w:val="3"/>
            <w:vMerge/>
            <w:tcBorders>
              <w:top w:val="single" w:sz="8" w:space="0" w:color="auto"/>
              <w:left w:val="single" w:sz="4" w:space="0" w:color="auto"/>
              <w:bottom w:val="nil"/>
              <w:right w:val="single" w:sz="8" w:space="0" w:color="000000" w:themeColor="text1"/>
            </w:tcBorders>
            <w:vAlign w:val="center"/>
            <w:hideMark/>
          </w:tcPr>
          <w:p w14:paraId="27E17919" w14:textId="77777777" w:rsidR="00273288" w:rsidRPr="00E33DE3" w:rsidRDefault="00273288" w:rsidP="00C65B25">
            <w:pPr>
              <w:rPr>
                <w:rFonts w:ascii="Verdana" w:hAnsi="Verdana" w:cs="Arial"/>
                <w:b/>
                <w:bCs/>
                <w:color w:val="FFFFFF"/>
                <w:sz w:val="18"/>
                <w:szCs w:val="18"/>
              </w:rPr>
            </w:pPr>
          </w:p>
        </w:tc>
        <w:tc>
          <w:tcPr>
            <w:tcW w:w="0" w:type="auto"/>
            <w:vAlign w:val="center"/>
            <w:hideMark/>
          </w:tcPr>
          <w:p w14:paraId="0FEF7306" w14:textId="77777777" w:rsidR="00273288" w:rsidRPr="00E33DE3" w:rsidRDefault="00273288" w:rsidP="00C65B25">
            <w:pPr>
              <w:rPr>
                <w:rFonts w:ascii="Verdana" w:hAnsi="Verdana" w:cs="Arial"/>
                <w:b/>
                <w:bCs/>
                <w:color w:val="FFFFFF"/>
                <w:sz w:val="18"/>
                <w:szCs w:val="18"/>
              </w:rPr>
            </w:pPr>
          </w:p>
        </w:tc>
      </w:tr>
      <w:tr w:rsidR="00273288" w:rsidRPr="00E33DE3" w14:paraId="5ED90D46" w14:textId="77777777" w:rsidTr="00273288">
        <w:trPr>
          <w:trHeight w:val="20"/>
        </w:trPr>
        <w:tc>
          <w:tcPr>
            <w:tcW w:w="868" w:type="dxa"/>
            <w:tcBorders>
              <w:top w:val="nil"/>
              <w:left w:val="single" w:sz="8" w:space="0" w:color="auto"/>
              <w:bottom w:val="single" w:sz="4" w:space="0" w:color="auto"/>
              <w:right w:val="single" w:sz="4" w:space="0" w:color="auto"/>
            </w:tcBorders>
            <w:shd w:val="clear" w:color="auto" w:fill="AEAAAA"/>
            <w:vAlign w:val="center"/>
            <w:hideMark/>
          </w:tcPr>
          <w:p w14:paraId="0F07B86D" w14:textId="77777777" w:rsidR="00273288" w:rsidRPr="00E33DE3" w:rsidRDefault="00273288" w:rsidP="00C65B25">
            <w:pPr>
              <w:jc w:val="center"/>
              <w:rPr>
                <w:rFonts w:ascii="Verdana" w:hAnsi="Verdana" w:cs="Arial"/>
                <w:b/>
                <w:bCs/>
                <w:color w:val="FFFFFF" w:themeColor="background1"/>
                <w:sz w:val="18"/>
                <w:szCs w:val="18"/>
              </w:rPr>
            </w:pPr>
            <w:r w:rsidRPr="00E33DE3">
              <w:rPr>
                <w:rFonts w:ascii="Verdana" w:hAnsi="Verdana" w:cs="Arial"/>
                <w:b/>
                <w:bCs/>
                <w:color w:val="FFFFFF" w:themeColor="background1"/>
                <w:sz w:val="18"/>
                <w:szCs w:val="18"/>
              </w:rPr>
              <w:t> </w:t>
            </w:r>
          </w:p>
        </w:tc>
        <w:tc>
          <w:tcPr>
            <w:tcW w:w="1405" w:type="dxa"/>
            <w:tcBorders>
              <w:top w:val="nil"/>
              <w:left w:val="nil"/>
              <w:bottom w:val="single" w:sz="4" w:space="0" w:color="auto"/>
              <w:right w:val="single" w:sz="4" w:space="0" w:color="auto"/>
            </w:tcBorders>
            <w:shd w:val="clear" w:color="auto" w:fill="F1EADA"/>
            <w:vAlign w:val="center"/>
            <w:hideMark/>
          </w:tcPr>
          <w:p w14:paraId="363AE891" w14:textId="77777777" w:rsidR="00273288" w:rsidRPr="00E33DE3" w:rsidRDefault="00273288" w:rsidP="00C65B25">
            <w:pPr>
              <w:jc w:val="center"/>
              <w:rPr>
                <w:rFonts w:ascii="Verdana" w:hAnsi="Verdana" w:cs="Arial"/>
                <w:b/>
                <w:bCs/>
                <w:color w:val="000000" w:themeColor="text1"/>
                <w:sz w:val="18"/>
                <w:szCs w:val="18"/>
              </w:rPr>
            </w:pPr>
            <w:r w:rsidRPr="00E33DE3">
              <w:rPr>
                <w:rFonts w:ascii="Verdana" w:hAnsi="Verdana" w:cs="Arial"/>
                <w:b/>
                <w:bCs/>
                <w:color w:val="000000" w:themeColor="text1"/>
                <w:sz w:val="18"/>
                <w:szCs w:val="18"/>
              </w:rPr>
              <w:t xml:space="preserve">Asignación </w:t>
            </w:r>
          </w:p>
        </w:tc>
        <w:tc>
          <w:tcPr>
            <w:tcW w:w="1426" w:type="dxa"/>
            <w:tcBorders>
              <w:top w:val="nil"/>
              <w:left w:val="nil"/>
              <w:bottom w:val="single" w:sz="4" w:space="0" w:color="auto"/>
              <w:right w:val="single" w:sz="4" w:space="0" w:color="auto"/>
            </w:tcBorders>
            <w:shd w:val="clear" w:color="auto" w:fill="F1EADA"/>
            <w:vAlign w:val="center"/>
            <w:hideMark/>
          </w:tcPr>
          <w:p w14:paraId="0CF8DAA5" w14:textId="77777777" w:rsidR="00273288" w:rsidRPr="00E33DE3" w:rsidRDefault="00273288" w:rsidP="00C65B25">
            <w:pPr>
              <w:jc w:val="center"/>
              <w:rPr>
                <w:rFonts w:ascii="Verdana" w:hAnsi="Verdana" w:cs="Arial"/>
                <w:b/>
                <w:bCs/>
                <w:color w:val="000000" w:themeColor="text1"/>
                <w:sz w:val="18"/>
                <w:szCs w:val="18"/>
              </w:rPr>
            </w:pPr>
            <w:r w:rsidRPr="00E33DE3">
              <w:rPr>
                <w:rFonts w:ascii="Verdana" w:hAnsi="Verdana" w:cs="Arial"/>
                <w:b/>
                <w:bCs/>
                <w:color w:val="000000" w:themeColor="text1"/>
                <w:sz w:val="18"/>
                <w:szCs w:val="18"/>
              </w:rPr>
              <w:t>Compromisos</w:t>
            </w:r>
          </w:p>
        </w:tc>
        <w:tc>
          <w:tcPr>
            <w:tcW w:w="1240" w:type="dxa"/>
            <w:tcBorders>
              <w:top w:val="nil"/>
              <w:left w:val="nil"/>
              <w:bottom w:val="single" w:sz="4" w:space="0" w:color="auto"/>
              <w:right w:val="single" w:sz="4" w:space="0" w:color="auto"/>
            </w:tcBorders>
            <w:shd w:val="clear" w:color="auto" w:fill="F1EADA"/>
            <w:vAlign w:val="center"/>
            <w:hideMark/>
          </w:tcPr>
          <w:p w14:paraId="41E8A8DC" w14:textId="77777777" w:rsidR="00273288" w:rsidRPr="00E33DE3" w:rsidRDefault="00273288" w:rsidP="00C65B25">
            <w:pPr>
              <w:jc w:val="center"/>
              <w:rPr>
                <w:rFonts w:ascii="Verdana" w:hAnsi="Verdana" w:cs="Arial"/>
                <w:b/>
                <w:bCs/>
                <w:color w:val="000000" w:themeColor="text1"/>
                <w:sz w:val="18"/>
                <w:szCs w:val="18"/>
              </w:rPr>
            </w:pPr>
            <w:r w:rsidRPr="00E33DE3">
              <w:rPr>
                <w:rFonts w:ascii="Verdana" w:hAnsi="Verdana" w:cs="Arial"/>
                <w:b/>
                <w:bCs/>
                <w:color w:val="000000" w:themeColor="text1"/>
                <w:sz w:val="18"/>
                <w:szCs w:val="18"/>
              </w:rPr>
              <w:t>Diferencia</w:t>
            </w:r>
          </w:p>
        </w:tc>
        <w:tc>
          <w:tcPr>
            <w:tcW w:w="1240" w:type="dxa"/>
            <w:tcBorders>
              <w:top w:val="nil"/>
              <w:left w:val="nil"/>
              <w:bottom w:val="single" w:sz="4" w:space="0" w:color="auto"/>
              <w:right w:val="single" w:sz="4" w:space="0" w:color="auto"/>
            </w:tcBorders>
            <w:shd w:val="clear" w:color="auto" w:fill="F1EADA"/>
            <w:vAlign w:val="center"/>
            <w:hideMark/>
          </w:tcPr>
          <w:p w14:paraId="15A2CD40" w14:textId="77777777" w:rsidR="00273288" w:rsidRPr="00E33DE3" w:rsidRDefault="00273288" w:rsidP="00C65B25">
            <w:pPr>
              <w:jc w:val="center"/>
              <w:rPr>
                <w:rFonts w:ascii="Verdana" w:hAnsi="Verdana" w:cs="Arial"/>
                <w:b/>
                <w:bCs/>
                <w:color w:val="000000" w:themeColor="text1"/>
                <w:sz w:val="18"/>
                <w:szCs w:val="18"/>
              </w:rPr>
            </w:pPr>
            <w:r w:rsidRPr="00E33DE3">
              <w:rPr>
                <w:rFonts w:ascii="Verdana" w:hAnsi="Verdana" w:cs="Arial"/>
                <w:b/>
                <w:bCs/>
                <w:color w:val="000000" w:themeColor="text1"/>
                <w:sz w:val="18"/>
                <w:szCs w:val="18"/>
              </w:rPr>
              <w:t xml:space="preserve">Asignación </w:t>
            </w:r>
          </w:p>
        </w:tc>
        <w:tc>
          <w:tcPr>
            <w:tcW w:w="1405" w:type="dxa"/>
            <w:tcBorders>
              <w:top w:val="nil"/>
              <w:left w:val="nil"/>
              <w:bottom w:val="single" w:sz="4" w:space="0" w:color="auto"/>
              <w:right w:val="single" w:sz="4" w:space="0" w:color="auto"/>
            </w:tcBorders>
            <w:shd w:val="clear" w:color="auto" w:fill="F1EADA"/>
            <w:vAlign w:val="center"/>
            <w:hideMark/>
          </w:tcPr>
          <w:p w14:paraId="21A8D51C" w14:textId="77777777" w:rsidR="00273288" w:rsidRPr="00E33DE3" w:rsidRDefault="00273288" w:rsidP="00C65B25">
            <w:pPr>
              <w:jc w:val="center"/>
              <w:rPr>
                <w:rFonts w:ascii="Verdana" w:hAnsi="Verdana" w:cs="Arial"/>
                <w:b/>
                <w:bCs/>
                <w:color w:val="000000" w:themeColor="text1"/>
                <w:sz w:val="18"/>
                <w:szCs w:val="18"/>
              </w:rPr>
            </w:pPr>
            <w:r w:rsidRPr="00E33DE3">
              <w:rPr>
                <w:rFonts w:ascii="Verdana" w:hAnsi="Verdana" w:cs="Arial"/>
                <w:b/>
                <w:bCs/>
                <w:color w:val="000000" w:themeColor="text1"/>
                <w:sz w:val="18"/>
                <w:szCs w:val="18"/>
              </w:rPr>
              <w:t>Compromisos</w:t>
            </w:r>
          </w:p>
        </w:tc>
        <w:tc>
          <w:tcPr>
            <w:tcW w:w="1240" w:type="dxa"/>
            <w:tcBorders>
              <w:top w:val="nil"/>
              <w:left w:val="nil"/>
              <w:bottom w:val="single" w:sz="4" w:space="0" w:color="auto"/>
              <w:right w:val="single" w:sz="8" w:space="0" w:color="auto"/>
            </w:tcBorders>
            <w:shd w:val="clear" w:color="auto" w:fill="F1EADA"/>
            <w:vAlign w:val="center"/>
            <w:hideMark/>
          </w:tcPr>
          <w:p w14:paraId="65046A3D" w14:textId="77777777" w:rsidR="00273288" w:rsidRPr="00E33DE3" w:rsidRDefault="00273288" w:rsidP="00C65B25">
            <w:pPr>
              <w:jc w:val="center"/>
              <w:rPr>
                <w:rFonts w:ascii="Verdana" w:hAnsi="Verdana" w:cs="Arial"/>
                <w:b/>
                <w:bCs/>
                <w:color w:val="000000" w:themeColor="text1"/>
                <w:sz w:val="18"/>
                <w:szCs w:val="18"/>
              </w:rPr>
            </w:pPr>
            <w:r w:rsidRPr="00E33DE3">
              <w:rPr>
                <w:rFonts w:ascii="Verdana" w:hAnsi="Verdana" w:cs="Arial"/>
                <w:b/>
                <w:bCs/>
                <w:color w:val="000000" w:themeColor="text1"/>
                <w:sz w:val="18"/>
                <w:szCs w:val="18"/>
              </w:rPr>
              <w:t>Diferencia</w:t>
            </w:r>
          </w:p>
        </w:tc>
        <w:tc>
          <w:tcPr>
            <w:tcW w:w="0" w:type="auto"/>
            <w:vAlign w:val="center"/>
            <w:hideMark/>
          </w:tcPr>
          <w:p w14:paraId="756C828B" w14:textId="77777777" w:rsidR="00273288" w:rsidRPr="00E33DE3" w:rsidRDefault="00273288" w:rsidP="00C65B25">
            <w:pPr>
              <w:rPr>
                <w:rFonts w:ascii="Verdana" w:hAnsi="Verdana" w:cs="Arial"/>
                <w:b/>
                <w:bCs/>
                <w:color w:val="000000" w:themeColor="text1"/>
                <w:sz w:val="18"/>
                <w:szCs w:val="18"/>
              </w:rPr>
            </w:pPr>
          </w:p>
        </w:tc>
      </w:tr>
      <w:tr w:rsidR="00273288" w:rsidRPr="00E33DE3" w14:paraId="38787CEB" w14:textId="77777777" w:rsidTr="00273288">
        <w:trPr>
          <w:trHeight w:val="20"/>
        </w:trPr>
        <w:tc>
          <w:tcPr>
            <w:tcW w:w="0" w:type="auto"/>
            <w:tcBorders>
              <w:top w:val="nil"/>
              <w:left w:val="single" w:sz="8" w:space="0" w:color="auto"/>
              <w:bottom w:val="single" w:sz="4" w:space="0" w:color="auto"/>
              <w:right w:val="single" w:sz="4" w:space="0" w:color="auto"/>
            </w:tcBorders>
            <w:noWrap/>
            <w:vAlign w:val="center"/>
            <w:hideMark/>
          </w:tcPr>
          <w:p w14:paraId="47DF1D28" w14:textId="77777777" w:rsidR="00273288" w:rsidRPr="00E33DE3" w:rsidRDefault="00273288" w:rsidP="00C65B25">
            <w:pPr>
              <w:jc w:val="right"/>
              <w:rPr>
                <w:rFonts w:ascii="Verdana" w:hAnsi="Verdana" w:cs="Arial"/>
                <w:b/>
                <w:bCs/>
                <w:color w:val="000000"/>
                <w:sz w:val="18"/>
                <w:szCs w:val="18"/>
              </w:rPr>
            </w:pPr>
            <w:r w:rsidRPr="00E33DE3">
              <w:rPr>
                <w:rFonts w:ascii="Verdana" w:hAnsi="Verdana" w:cs="Arial"/>
                <w:b/>
                <w:bCs/>
                <w:color w:val="000000" w:themeColor="text1"/>
                <w:sz w:val="18"/>
                <w:szCs w:val="18"/>
                <w:lang w:val="en-US"/>
              </w:rPr>
              <w:t>2020</w:t>
            </w:r>
          </w:p>
        </w:tc>
        <w:tc>
          <w:tcPr>
            <w:tcW w:w="0" w:type="auto"/>
            <w:tcBorders>
              <w:top w:val="nil"/>
              <w:left w:val="nil"/>
              <w:bottom w:val="single" w:sz="4" w:space="0" w:color="auto"/>
              <w:right w:val="single" w:sz="4" w:space="0" w:color="auto"/>
            </w:tcBorders>
            <w:noWrap/>
            <w:vAlign w:val="center"/>
            <w:hideMark/>
          </w:tcPr>
          <w:p w14:paraId="556E627E" w14:textId="77777777" w:rsidR="00273288" w:rsidRPr="00E33DE3" w:rsidRDefault="00273288" w:rsidP="00C65B25">
            <w:pPr>
              <w:jc w:val="center"/>
              <w:rPr>
                <w:rFonts w:ascii="Verdana" w:hAnsi="Verdana" w:cs="Arial"/>
                <w:color w:val="000000"/>
                <w:sz w:val="18"/>
                <w:szCs w:val="18"/>
              </w:rPr>
            </w:pPr>
            <w:r w:rsidRPr="00E33DE3">
              <w:rPr>
                <w:rFonts w:ascii="Verdana" w:hAnsi="Verdana" w:cs="Arial"/>
                <w:color w:val="000000" w:themeColor="text1"/>
                <w:sz w:val="18"/>
                <w:szCs w:val="18"/>
              </w:rPr>
              <w:t xml:space="preserve"> 701 </w:t>
            </w:r>
          </w:p>
        </w:tc>
        <w:tc>
          <w:tcPr>
            <w:tcW w:w="0" w:type="auto"/>
            <w:tcBorders>
              <w:top w:val="nil"/>
              <w:left w:val="nil"/>
              <w:bottom w:val="single" w:sz="4" w:space="0" w:color="auto"/>
              <w:right w:val="single" w:sz="4" w:space="0" w:color="auto"/>
            </w:tcBorders>
            <w:noWrap/>
            <w:vAlign w:val="center"/>
            <w:hideMark/>
          </w:tcPr>
          <w:p w14:paraId="06C5693F" w14:textId="77777777" w:rsidR="00273288" w:rsidRPr="00E33DE3" w:rsidRDefault="00273288" w:rsidP="00C65B25">
            <w:pPr>
              <w:jc w:val="center"/>
              <w:rPr>
                <w:rFonts w:ascii="Verdana" w:hAnsi="Verdana" w:cs="Arial"/>
                <w:color w:val="000000"/>
                <w:sz w:val="18"/>
                <w:szCs w:val="18"/>
              </w:rPr>
            </w:pPr>
            <w:r w:rsidRPr="00E33DE3">
              <w:rPr>
                <w:rFonts w:ascii="Verdana" w:hAnsi="Verdana" w:cs="Arial"/>
                <w:color w:val="000000" w:themeColor="text1"/>
                <w:sz w:val="18"/>
                <w:szCs w:val="18"/>
              </w:rPr>
              <w:t xml:space="preserve"> 701 </w:t>
            </w:r>
          </w:p>
        </w:tc>
        <w:tc>
          <w:tcPr>
            <w:tcW w:w="0" w:type="auto"/>
            <w:tcBorders>
              <w:top w:val="nil"/>
              <w:left w:val="nil"/>
              <w:bottom w:val="single" w:sz="4" w:space="0" w:color="auto"/>
              <w:right w:val="single" w:sz="4" w:space="0" w:color="auto"/>
            </w:tcBorders>
            <w:noWrap/>
            <w:vAlign w:val="center"/>
            <w:hideMark/>
          </w:tcPr>
          <w:p w14:paraId="5E6357D2" w14:textId="77777777" w:rsidR="00273288" w:rsidRPr="00E33DE3" w:rsidRDefault="00273288" w:rsidP="00C65B25">
            <w:pPr>
              <w:jc w:val="center"/>
              <w:rPr>
                <w:rFonts w:ascii="Verdana" w:hAnsi="Verdana" w:cs="Arial"/>
                <w:color w:val="000000"/>
                <w:sz w:val="18"/>
                <w:szCs w:val="18"/>
              </w:rPr>
            </w:pPr>
            <w:r w:rsidRPr="00E33DE3">
              <w:rPr>
                <w:rFonts w:ascii="Verdana" w:hAnsi="Verdana" w:cs="Arial"/>
                <w:color w:val="000000" w:themeColor="text1"/>
                <w:sz w:val="18"/>
                <w:szCs w:val="18"/>
              </w:rPr>
              <w:t xml:space="preserve"> - </w:t>
            </w:r>
          </w:p>
        </w:tc>
        <w:tc>
          <w:tcPr>
            <w:tcW w:w="0" w:type="auto"/>
            <w:tcBorders>
              <w:top w:val="nil"/>
              <w:left w:val="nil"/>
              <w:bottom w:val="single" w:sz="4" w:space="0" w:color="auto"/>
              <w:right w:val="single" w:sz="4" w:space="0" w:color="auto"/>
            </w:tcBorders>
            <w:noWrap/>
            <w:vAlign w:val="center"/>
            <w:hideMark/>
          </w:tcPr>
          <w:p w14:paraId="242D0D80" w14:textId="77777777" w:rsidR="00273288" w:rsidRPr="00E33DE3" w:rsidRDefault="00273288" w:rsidP="00C65B25">
            <w:pPr>
              <w:jc w:val="center"/>
              <w:rPr>
                <w:rFonts w:ascii="Verdana" w:hAnsi="Verdana" w:cs="Arial"/>
                <w:color w:val="000000"/>
                <w:sz w:val="18"/>
                <w:szCs w:val="18"/>
              </w:rPr>
            </w:pPr>
            <w:r w:rsidRPr="00E33DE3">
              <w:rPr>
                <w:rFonts w:ascii="Verdana" w:hAnsi="Verdana" w:cs="Arial"/>
                <w:color w:val="000000" w:themeColor="text1"/>
                <w:sz w:val="18"/>
                <w:szCs w:val="18"/>
              </w:rPr>
              <w:t xml:space="preserve"> 1.598 </w:t>
            </w:r>
          </w:p>
        </w:tc>
        <w:tc>
          <w:tcPr>
            <w:tcW w:w="0" w:type="auto"/>
            <w:tcBorders>
              <w:top w:val="nil"/>
              <w:left w:val="nil"/>
              <w:bottom w:val="single" w:sz="4" w:space="0" w:color="auto"/>
              <w:right w:val="single" w:sz="4" w:space="0" w:color="auto"/>
            </w:tcBorders>
            <w:noWrap/>
            <w:vAlign w:val="center"/>
            <w:hideMark/>
          </w:tcPr>
          <w:p w14:paraId="6F6BA4CA" w14:textId="77777777" w:rsidR="00273288" w:rsidRPr="00E33DE3" w:rsidRDefault="00273288" w:rsidP="00C65B25">
            <w:pPr>
              <w:jc w:val="center"/>
              <w:rPr>
                <w:rFonts w:ascii="Verdana" w:hAnsi="Verdana" w:cs="Arial"/>
                <w:color w:val="000000"/>
                <w:sz w:val="18"/>
                <w:szCs w:val="18"/>
              </w:rPr>
            </w:pPr>
            <w:r w:rsidRPr="00E33DE3">
              <w:rPr>
                <w:rFonts w:ascii="Verdana" w:hAnsi="Verdana" w:cs="Arial"/>
                <w:color w:val="000000" w:themeColor="text1"/>
                <w:sz w:val="18"/>
                <w:szCs w:val="18"/>
              </w:rPr>
              <w:t xml:space="preserve"> 1.332 </w:t>
            </w:r>
          </w:p>
        </w:tc>
        <w:tc>
          <w:tcPr>
            <w:tcW w:w="0" w:type="auto"/>
            <w:tcBorders>
              <w:top w:val="nil"/>
              <w:left w:val="nil"/>
              <w:bottom w:val="single" w:sz="4" w:space="0" w:color="auto"/>
              <w:right w:val="single" w:sz="8" w:space="0" w:color="auto"/>
            </w:tcBorders>
            <w:noWrap/>
            <w:vAlign w:val="center"/>
            <w:hideMark/>
          </w:tcPr>
          <w:p w14:paraId="0F9DC98E" w14:textId="77777777" w:rsidR="00273288" w:rsidRPr="00E33DE3" w:rsidRDefault="00273288" w:rsidP="00C65B25">
            <w:pPr>
              <w:jc w:val="center"/>
              <w:rPr>
                <w:rFonts w:ascii="Verdana" w:hAnsi="Verdana" w:cs="Arial"/>
                <w:color w:val="000000"/>
                <w:sz w:val="18"/>
                <w:szCs w:val="18"/>
              </w:rPr>
            </w:pPr>
            <w:r w:rsidRPr="00E33DE3">
              <w:rPr>
                <w:rFonts w:ascii="Verdana" w:hAnsi="Verdana" w:cs="Arial"/>
                <w:color w:val="000000" w:themeColor="text1"/>
                <w:sz w:val="18"/>
                <w:szCs w:val="18"/>
              </w:rPr>
              <w:t xml:space="preserve"> 266 </w:t>
            </w:r>
          </w:p>
        </w:tc>
        <w:tc>
          <w:tcPr>
            <w:tcW w:w="0" w:type="auto"/>
            <w:vAlign w:val="center"/>
            <w:hideMark/>
          </w:tcPr>
          <w:p w14:paraId="3349FCEA" w14:textId="77777777" w:rsidR="00273288" w:rsidRPr="00E33DE3" w:rsidRDefault="00273288" w:rsidP="00C65B25">
            <w:pPr>
              <w:rPr>
                <w:rFonts w:ascii="Verdana" w:hAnsi="Verdana" w:cs="Arial"/>
                <w:color w:val="000000"/>
                <w:sz w:val="18"/>
                <w:szCs w:val="18"/>
              </w:rPr>
            </w:pPr>
          </w:p>
        </w:tc>
      </w:tr>
      <w:tr w:rsidR="00273288" w:rsidRPr="00E33DE3" w14:paraId="743DE3D3" w14:textId="77777777" w:rsidTr="00273288">
        <w:trPr>
          <w:trHeight w:val="20"/>
        </w:trPr>
        <w:tc>
          <w:tcPr>
            <w:tcW w:w="0" w:type="auto"/>
            <w:tcBorders>
              <w:top w:val="nil"/>
              <w:left w:val="single" w:sz="8" w:space="0" w:color="auto"/>
              <w:bottom w:val="single" w:sz="4" w:space="0" w:color="auto"/>
              <w:right w:val="single" w:sz="4" w:space="0" w:color="auto"/>
            </w:tcBorders>
            <w:noWrap/>
            <w:vAlign w:val="center"/>
            <w:hideMark/>
          </w:tcPr>
          <w:p w14:paraId="015D0A08" w14:textId="77777777" w:rsidR="00273288" w:rsidRPr="00E33DE3" w:rsidRDefault="00273288" w:rsidP="00C65B25">
            <w:pPr>
              <w:jc w:val="right"/>
              <w:rPr>
                <w:rFonts w:ascii="Verdana" w:hAnsi="Verdana" w:cs="Arial"/>
                <w:b/>
                <w:bCs/>
                <w:color w:val="000000"/>
                <w:sz w:val="18"/>
                <w:szCs w:val="18"/>
              </w:rPr>
            </w:pPr>
            <w:r w:rsidRPr="00E33DE3">
              <w:rPr>
                <w:rFonts w:ascii="Verdana" w:hAnsi="Verdana" w:cs="Arial"/>
                <w:b/>
                <w:bCs/>
                <w:color w:val="000000" w:themeColor="text1"/>
                <w:sz w:val="18"/>
                <w:szCs w:val="18"/>
                <w:lang w:val="en-US"/>
              </w:rPr>
              <w:t>2021</w:t>
            </w:r>
          </w:p>
        </w:tc>
        <w:tc>
          <w:tcPr>
            <w:tcW w:w="0" w:type="auto"/>
            <w:tcBorders>
              <w:top w:val="nil"/>
              <w:left w:val="nil"/>
              <w:bottom w:val="single" w:sz="4" w:space="0" w:color="auto"/>
              <w:right w:val="single" w:sz="4" w:space="0" w:color="auto"/>
            </w:tcBorders>
            <w:noWrap/>
            <w:vAlign w:val="center"/>
            <w:hideMark/>
          </w:tcPr>
          <w:p w14:paraId="69569365" w14:textId="77777777" w:rsidR="00273288" w:rsidRPr="00E33DE3" w:rsidRDefault="00273288" w:rsidP="00C65B25">
            <w:pPr>
              <w:jc w:val="center"/>
              <w:rPr>
                <w:rFonts w:ascii="Verdana" w:hAnsi="Verdana" w:cs="Arial"/>
                <w:color w:val="000000"/>
                <w:sz w:val="18"/>
                <w:szCs w:val="18"/>
              </w:rPr>
            </w:pPr>
            <w:r w:rsidRPr="00E33DE3">
              <w:rPr>
                <w:rFonts w:ascii="Verdana" w:hAnsi="Verdana" w:cs="Arial"/>
                <w:color w:val="000000" w:themeColor="text1"/>
                <w:sz w:val="18"/>
                <w:szCs w:val="18"/>
              </w:rPr>
              <w:t xml:space="preserve"> 717 </w:t>
            </w:r>
          </w:p>
        </w:tc>
        <w:tc>
          <w:tcPr>
            <w:tcW w:w="0" w:type="auto"/>
            <w:tcBorders>
              <w:top w:val="nil"/>
              <w:left w:val="nil"/>
              <w:bottom w:val="single" w:sz="4" w:space="0" w:color="auto"/>
              <w:right w:val="single" w:sz="4" w:space="0" w:color="auto"/>
            </w:tcBorders>
            <w:noWrap/>
            <w:vAlign w:val="center"/>
            <w:hideMark/>
          </w:tcPr>
          <w:p w14:paraId="39617644" w14:textId="77777777" w:rsidR="00273288" w:rsidRPr="00E33DE3" w:rsidRDefault="00273288" w:rsidP="00C65B25">
            <w:pPr>
              <w:jc w:val="center"/>
              <w:rPr>
                <w:rFonts w:ascii="Verdana" w:hAnsi="Verdana" w:cs="Arial"/>
                <w:color w:val="000000"/>
                <w:sz w:val="18"/>
                <w:szCs w:val="18"/>
              </w:rPr>
            </w:pPr>
            <w:r w:rsidRPr="00E33DE3">
              <w:rPr>
                <w:rFonts w:ascii="Verdana" w:hAnsi="Verdana" w:cs="Arial"/>
                <w:color w:val="000000" w:themeColor="text1"/>
                <w:sz w:val="18"/>
                <w:szCs w:val="18"/>
              </w:rPr>
              <w:t xml:space="preserve"> 717 </w:t>
            </w:r>
          </w:p>
        </w:tc>
        <w:tc>
          <w:tcPr>
            <w:tcW w:w="0" w:type="auto"/>
            <w:tcBorders>
              <w:top w:val="nil"/>
              <w:left w:val="nil"/>
              <w:bottom w:val="single" w:sz="4" w:space="0" w:color="auto"/>
              <w:right w:val="single" w:sz="4" w:space="0" w:color="auto"/>
            </w:tcBorders>
            <w:noWrap/>
            <w:vAlign w:val="center"/>
            <w:hideMark/>
          </w:tcPr>
          <w:p w14:paraId="6B02D535" w14:textId="77777777" w:rsidR="00273288" w:rsidRPr="00E33DE3" w:rsidRDefault="00273288" w:rsidP="00C65B25">
            <w:pPr>
              <w:jc w:val="center"/>
              <w:rPr>
                <w:rFonts w:ascii="Verdana" w:hAnsi="Verdana" w:cs="Arial"/>
                <w:color w:val="000000"/>
                <w:sz w:val="18"/>
                <w:szCs w:val="18"/>
              </w:rPr>
            </w:pPr>
            <w:r w:rsidRPr="00E33DE3">
              <w:rPr>
                <w:rFonts w:ascii="Verdana" w:hAnsi="Verdana" w:cs="Arial"/>
                <w:color w:val="000000" w:themeColor="text1"/>
                <w:sz w:val="18"/>
                <w:szCs w:val="18"/>
              </w:rPr>
              <w:t xml:space="preserve">- 0 </w:t>
            </w:r>
          </w:p>
        </w:tc>
        <w:tc>
          <w:tcPr>
            <w:tcW w:w="0" w:type="auto"/>
            <w:tcBorders>
              <w:top w:val="nil"/>
              <w:left w:val="nil"/>
              <w:bottom w:val="single" w:sz="4" w:space="0" w:color="auto"/>
              <w:right w:val="single" w:sz="4" w:space="0" w:color="auto"/>
            </w:tcBorders>
            <w:noWrap/>
            <w:vAlign w:val="center"/>
            <w:hideMark/>
          </w:tcPr>
          <w:p w14:paraId="66BA4F88" w14:textId="77777777" w:rsidR="00273288" w:rsidRPr="00E33DE3" w:rsidRDefault="00273288" w:rsidP="00C65B25">
            <w:pPr>
              <w:jc w:val="center"/>
              <w:rPr>
                <w:rFonts w:ascii="Verdana" w:hAnsi="Verdana" w:cs="Arial"/>
                <w:color w:val="000000"/>
                <w:sz w:val="18"/>
                <w:szCs w:val="18"/>
              </w:rPr>
            </w:pPr>
            <w:r w:rsidRPr="00E33DE3">
              <w:rPr>
                <w:rFonts w:ascii="Verdana" w:hAnsi="Verdana" w:cs="Arial"/>
                <w:color w:val="000000" w:themeColor="text1"/>
                <w:sz w:val="18"/>
                <w:szCs w:val="18"/>
              </w:rPr>
              <w:t xml:space="preserve"> 1.416 </w:t>
            </w:r>
          </w:p>
        </w:tc>
        <w:tc>
          <w:tcPr>
            <w:tcW w:w="0" w:type="auto"/>
            <w:tcBorders>
              <w:top w:val="nil"/>
              <w:left w:val="nil"/>
              <w:bottom w:val="single" w:sz="4" w:space="0" w:color="auto"/>
              <w:right w:val="single" w:sz="4" w:space="0" w:color="auto"/>
            </w:tcBorders>
            <w:noWrap/>
            <w:vAlign w:val="center"/>
            <w:hideMark/>
          </w:tcPr>
          <w:p w14:paraId="148A0939" w14:textId="77777777" w:rsidR="00273288" w:rsidRPr="00E33DE3" w:rsidRDefault="00273288" w:rsidP="00C65B25">
            <w:pPr>
              <w:jc w:val="center"/>
              <w:rPr>
                <w:rFonts w:ascii="Verdana" w:hAnsi="Verdana" w:cs="Arial"/>
                <w:color w:val="000000"/>
                <w:sz w:val="18"/>
                <w:szCs w:val="18"/>
              </w:rPr>
            </w:pPr>
            <w:r w:rsidRPr="00E33DE3">
              <w:rPr>
                <w:rFonts w:ascii="Verdana" w:hAnsi="Verdana" w:cs="Arial"/>
                <w:color w:val="000000" w:themeColor="text1"/>
                <w:sz w:val="18"/>
                <w:szCs w:val="18"/>
              </w:rPr>
              <w:t xml:space="preserve"> 1.360 </w:t>
            </w:r>
          </w:p>
        </w:tc>
        <w:tc>
          <w:tcPr>
            <w:tcW w:w="0" w:type="auto"/>
            <w:tcBorders>
              <w:top w:val="nil"/>
              <w:left w:val="nil"/>
              <w:bottom w:val="single" w:sz="4" w:space="0" w:color="auto"/>
              <w:right w:val="single" w:sz="8" w:space="0" w:color="auto"/>
            </w:tcBorders>
            <w:noWrap/>
            <w:vAlign w:val="center"/>
            <w:hideMark/>
          </w:tcPr>
          <w:p w14:paraId="0E908A01" w14:textId="77777777" w:rsidR="00273288" w:rsidRPr="00E33DE3" w:rsidRDefault="00273288" w:rsidP="00C65B25">
            <w:pPr>
              <w:jc w:val="center"/>
              <w:rPr>
                <w:rFonts w:ascii="Verdana" w:hAnsi="Verdana" w:cs="Arial"/>
                <w:color w:val="000000"/>
                <w:sz w:val="18"/>
                <w:szCs w:val="18"/>
              </w:rPr>
            </w:pPr>
            <w:r w:rsidRPr="00E33DE3">
              <w:rPr>
                <w:rFonts w:ascii="Verdana" w:hAnsi="Verdana" w:cs="Arial"/>
                <w:color w:val="000000" w:themeColor="text1"/>
                <w:sz w:val="18"/>
                <w:szCs w:val="18"/>
              </w:rPr>
              <w:t xml:space="preserve"> 56 </w:t>
            </w:r>
          </w:p>
        </w:tc>
        <w:tc>
          <w:tcPr>
            <w:tcW w:w="0" w:type="auto"/>
            <w:vAlign w:val="center"/>
            <w:hideMark/>
          </w:tcPr>
          <w:p w14:paraId="5A0B07FA" w14:textId="77777777" w:rsidR="00273288" w:rsidRPr="00E33DE3" w:rsidRDefault="00273288" w:rsidP="00C65B25">
            <w:pPr>
              <w:rPr>
                <w:rFonts w:ascii="Verdana" w:hAnsi="Verdana" w:cs="Arial"/>
                <w:color w:val="000000"/>
                <w:sz w:val="18"/>
                <w:szCs w:val="18"/>
              </w:rPr>
            </w:pPr>
          </w:p>
        </w:tc>
      </w:tr>
      <w:tr w:rsidR="00273288" w:rsidRPr="00E33DE3" w14:paraId="78AE2054" w14:textId="77777777" w:rsidTr="00273288">
        <w:trPr>
          <w:trHeight w:val="20"/>
        </w:trPr>
        <w:tc>
          <w:tcPr>
            <w:tcW w:w="0" w:type="auto"/>
            <w:tcBorders>
              <w:top w:val="nil"/>
              <w:left w:val="single" w:sz="8" w:space="0" w:color="auto"/>
              <w:bottom w:val="single" w:sz="8" w:space="0" w:color="auto"/>
              <w:right w:val="single" w:sz="4" w:space="0" w:color="auto"/>
            </w:tcBorders>
            <w:noWrap/>
            <w:vAlign w:val="center"/>
            <w:hideMark/>
          </w:tcPr>
          <w:p w14:paraId="055A05F9" w14:textId="77777777" w:rsidR="00273288" w:rsidRPr="00E33DE3" w:rsidRDefault="00273288" w:rsidP="00C65B25">
            <w:pPr>
              <w:jc w:val="right"/>
              <w:rPr>
                <w:rFonts w:ascii="Verdana" w:hAnsi="Verdana" w:cs="Arial"/>
                <w:b/>
                <w:bCs/>
                <w:color w:val="000000"/>
                <w:sz w:val="18"/>
                <w:szCs w:val="18"/>
              </w:rPr>
            </w:pPr>
            <w:r w:rsidRPr="00E33DE3">
              <w:rPr>
                <w:rFonts w:ascii="Verdana" w:hAnsi="Verdana" w:cs="Arial"/>
                <w:b/>
                <w:bCs/>
                <w:color w:val="000000" w:themeColor="text1"/>
                <w:sz w:val="18"/>
                <w:szCs w:val="18"/>
                <w:lang w:val="en-US"/>
              </w:rPr>
              <w:t>2022</w:t>
            </w:r>
          </w:p>
        </w:tc>
        <w:tc>
          <w:tcPr>
            <w:tcW w:w="0" w:type="auto"/>
            <w:tcBorders>
              <w:top w:val="nil"/>
              <w:left w:val="nil"/>
              <w:bottom w:val="single" w:sz="8" w:space="0" w:color="auto"/>
              <w:right w:val="single" w:sz="4" w:space="0" w:color="auto"/>
            </w:tcBorders>
            <w:noWrap/>
            <w:vAlign w:val="center"/>
            <w:hideMark/>
          </w:tcPr>
          <w:p w14:paraId="69A3DFB8" w14:textId="77777777" w:rsidR="00273288" w:rsidRPr="00E33DE3" w:rsidRDefault="00273288" w:rsidP="00C65B25">
            <w:pPr>
              <w:jc w:val="center"/>
              <w:rPr>
                <w:rFonts w:ascii="Verdana" w:hAnsi="Verdana" w:cs="Arial"/>
                <w:color w:val="000000"/>
                <w:sz w:val="18"/>
                <w:szCs w:val="18"/>
              </w:rPr>
            </w:pPr>
            <w:r w:rsidRPr="00E33DE3">
              <w:rPr>
                <w:rFonts w:ascii="Verdana" w:hAnsi="Verdana" w:cs="Arial"/>
                <w:color w:val="000000" w:themeColor="text1"/>
                <w:sz w:val="18"/>
                <w:szCs w:val="18"/>
              </w:rPr>
              <w:t xml:space="preserve"> 711 </w:t>
            </w:r>
          </w:p>
        </w:tc>
        <w:tc>
          <w:tcPr>
            <w:tcW w:w="0" w:type="auto"/>
            <w:tcBorders>
              <w:top w:val="nil"/>
              <w:left w:val="nil"/>
              <w:bottom w:val="single" w:sz="8" w:space="0" w:color="auto"/>
              <w:right w:val="single" w:sz="4" w:space="0" w:color="auto"/>
            </w:tcBorders>
            <w:noWrap/>
            <w:vAlign w:val="center"/>
            <w:hideMark/>
          </w:tcPr>
          <w:p w14:paraId="4ECA93DF" w14:textId="77777777" w:rsidR="00273288" w:rsidRPr="00E33DE3" w:rsidRDefault="00273288" w:rsidP="00C65B25">
            <w:pPr>
              <w:jc w:val="center"/>
              <w:rPr>
                <w:rFonts w:ascii="Verdana" w:hAnsi="Verdana" w:cs="Arial"/>
                <w:color w:val="000000"/>
                <w:sz w:val="18"/>
                <w:szCs w:val="18"/>
              </w:rPr>
            </w:pPr>
            <w:r w:rsidRPr="00E33DE3">
              <w:rPr>
                <w:rFonts w:ascii="Verdana" w:hAnsi="Verdana" w:cs="Arial"/>
                <w:color w:val="000000" w:themeColor="text1"/>
                <w:sz w:val="18"/>
                <w:szCs w:val="18"/>
              </w:rPr>
              <w:t xml:space="preserve"> 461 </w:t>
            </w:r>
          </w:p>
        </w:tc>
        <w:tc>
          <w:tcPr>
            <w:tcW w:w="0" w:type="auto"/>
            <w:tcBorders>
              <w:top w:val="nil"/>
              <w:left w:val="nil"/>
              <w:bottom w:val="single" w:sz="8" w:space="0" w:color="auto"/>
              <w:right w:val="single" w:sz="4" w:space="0" w:color="auto"/>
            </w:tcBorders>
            <w:noWrap/>
            <w:vAlign w:val="center"/>
            <w:hideMark/>
          </w:tcPr>
          <w:p w14:paraId="4C97BFC8" w14:textId="77777777" w:rsidR="00273288" w:rsidRPr="00E33DE3" w:rsidRDefault="00273288" w:rsidP="00C65B25">
            <w:pPr>
              <w:jc w:val="center"/>
              <w:rPr>
                <w:rFonts w:ascii="Verdana" w:hAnsi="Verdana" w:cs="Arial"/>
                <w:color w:val="000000"/>
                <w:sz w:val="18"/>
                <w:szCs w:val="18"/>
              </w:rPr>
            </w:pPr>
            <w:r w:rsidRPr="00E33DE3">
              <w:rPr>
                <w:rFonts w:ascii="Verdana" w:hAnsi="Verdana" w:cs="Arial"/>
                <w:color w:val="000000" w:themeColor="text1"/>
                <w:sz w:val="18"/>
                <w:szCs w:val="18"/>
              </w:rPr>
              <w:t xml:space="preserve"> 250 </w:t>
            </w:r>
          </w:p>
        </w:tc>
        <w:tc>
          <w:tcPr>
            <w:tcW w:w="0" w:type="auto"/>
            <w:tcBorders>
              <w:top w:val="nil"/>
              <w:left w:val="nil"/>
              <w:bottom w:val="single" w:sz="8" w:space="0" w:color="auto"/>
              <w:right w:val="single" w:sz="4" w:space="0" w:color="auto"/>
            </w:tcBorders>
            <w:noWrap/>
            <w:vAlign w:val="center"/>
            <w:hideMark/>
          </w:tcPr>
          <w:p w14:paraId="74A53977" w14:textId="77777777" w:rsidR="00273288" w:rsidRPr="00E33DE3" w:rsidRDefault="00273288" w:rsidP="00C65B25">
            <w:pPr>
              <w:jc w:val="center"/>
              <w:rPr>
                <w:rFonts w:ascii="Verdana" w:hAnsi="Verdana" w:cs="Arial"/>
                <w:color w:val="000000"/>
                <w:sz w:val="18"/>
                <w:szCs w:val="18"/>
              </w:rPr>
            </w:pPr>
            <w:r w:rsidRPr="00E33DE3">
              <w:rPr>
                <w:rFonts w:ascii="Verdana" w:hAnsi="Verdana" w:cs="Arial"/>
                <w:color w:val="000000" w:themeColor="text1"/>
                <w:sz w:val="18"/>
                <w:szCs w:val="18"/>
              </w:rPr>
              <w:t xml:space="preserve"> 1.324 </w:t>
            </w:r>
          </w:p>
        </w:tc>
        <w:tc>
          <w:tcPr>
            <w:tcW w:w="0" w:type="auto"/>
            <w:tcBorders>
              <w:top w:val="nil"/>
              <w:left w:val="nil"/>
              <w:bottom w:val="single" w:sz="8" w:space="0" w:color="auto"/>
              <w:right w:val="single" w:sz="4" w:space="0" w:color="auto"/>
            </w:tcBorders>
            <w:noWrap/>
            <w:vAlign w:val="center"/>
            <w:hideMark/>
          </w:tcPr>
          <w:p w14:paraId="019A73F5" w14:textId="77777777" w:rsidR="00273288" w:rsidRPr="00E33DE3" w:rsidRDefault="00273288" w:rsidP="00C65B25">
            <w:pPr>
              <w:jc w:val="center"/>
              <w:rPr>
                <w:rFonts w:ascii="Verdana" w:hAnsi="Verdana" w:cs="Arial"/>
                <w:color w:val="000000"/>
                <w:sz w:val="18"/>
                <w:szCs w:val="18"/>
              </w:rPr>
            </w:pPr>
            <w:r w:rsidRPr="00E33DE3">
              <w:rPr>
                <w:rFonts w:ascii="Verdana" w:hAnsi="Verdana" w:cs="Arial"/>
                <w:color w:val="000000" w:themeColor="text1"/>
                <w:sz w:val="18"/>
                <w:szCs w:val="18"/>
              </w:rPr>
              <w:t xml:space="preserve"> - </w:t>
            </w:r>
          </w:p>
        </w:tc>
        <w:tc>
          <w:tcPr>
            <w:tcW w:w="0" w:type="auto"/>
            <w:tcBorders>
              <w:top w:val="nil"/>
              <w:left w:val="nil"/>
              <w:bottom w:val="single" w:sz="8" w:space="0" w:color="auto"/>
              <w:right w:val="single" w:sz="8" w:space="0" w:color="auto"/>
            </w:tcBorders>
            <w:noWrap/>
            <w:vAlign w:val="center"/>
            <w:hideMark/>
          </w:tcPr>
          <w:p w14:paraId="1D5F3CDF" w14:textId="77777777" w:rsidR="00273288" w:rsidRPr="00E33DE3" w:rsidRDefault="00273288" w:rsidP="00C65B25">
            <w:pPr>
              <w:jc w:val="center"/>
              <w:rPr>
                <w:rFonts w:ascii="Verdana" w:hAnsi="Verdana" w:cs="Arial"/>
                <w:color w:val="000000"/>
                <w:sz w:val="18"/>
                <w:szCs w:val="18"/>
              </w:rPr>
            </w:pPr>
            <w:r w:rsidRPr="00E33DE3">
              <w:rPr>
                <w:rFonts w:ascii="Verdana" w:hAnsi="Verdana" w:cs="Arial"/>
                <w:color w:val="000000" w:themeColor="text1"/>
                <w:sz w:val="18"/>
                <w:szCs w:val="18"/>
              </w:rPr>
              <w:t xml:space="preserve"> 1.324 </w:t>
            </w:r>
          </w:p>
        </w:tc>
        <w:tc>
          <w:tcPr>
            <w:tcW w:w="0" w:type="auto"/>
            <w:vAlign w:val="center"/>
            <w:hideMark/>
          </w:tcPr>
          <w:p w14:paraId="69AEF9B2" w14:textId="77777777" w:rsidR="00273288" w:rsidRPr="00E33DE3" w:rsidRDefault="00273288" w:rsidP="00C65B25">
            <w:pPr>
              <w:rPr>
                <w:rFonts w:ascii="Verdana" w:hAnsi="Verdana" w:cs="Arial"/>
                <w:color w:val="000000"/>
                <w:sz w:val="18"/>
                <w:szCs w:val="18"/>
              </w:rPr>
            </w:pPr>
          </w:p>
        </w:tc>
      </w:tr>
    </w:tbl>
    <w:p w14:paraId="4B1B2602" w14:textId="77777777" w:rsidR="00273288" w:rsidRPr="00E33DE3" w:rsidRDefault="00273288" w:rsidP="00C65B25">
      <w:pPr>
        <w:jc w:val="center"/>
        <w:rPr>
          <w:rFonts w:ascii="Verdana" w:hAnsi="Verdana" w:cs="Arial"/>
          <w:sz w:val="18"/>
          <w:szCs w:val="18"/>
          <w:lang w:val="es-CO"/>
        </w:rPr>
      </w:pPr>
      <w:r w:rsidRPr="00E33DE3">
        <w:rPr>
          <w:rFonts w:ascii="Verdana" w:hAnsi="Verdana" w:cs="Arial"/>
          <w:sz w:val="18"/>
          <w:szCs w:val="18"/>
          <w:lang w:val="es-CO"/>
        </w:rPr>
        <w:t>Fuente: elaboración propia con datos de los documentos de distribución: DD-SGP-50-2020, DD-SGP-60-2021, DD-SGP-63-2022 y el reporte realizado por la entidad territorial en FUT y CUIPO.</w:t>
      </w:r>
    </w:p>
    <w:p w14:paraId="6B8DFF5A" w14:textId="77777777" w:rsidR="00273288" w:rsidRPr="00E33DE3" w:rsidRDefault="00273288" w:rsidP="00C65B25">
      <w:pPr>
        <w:jc w:val="both"/>
        <w:rPr>
          <w:rFonts w:ascii="Verdana" w:hAnsi="Verdana" w:cs="Arial"/>
          <w:sz w:val="22"/>
          <w:szCs w:val="22"/>
          <w:lang w:val="es-CO"/>
        </w:rPr>
      </w:pPr>
    </w:p>
    <w:p w14:paraId="418A1DBA" w14:textId="77777777" w:rsidR="00273288" w:rsidRPr="00E33DE3" w:rsidRDefault="00273288" w:rsidP="00C65B25">
      <w:pPr>
        <w:jc w:val="both"/>
        <w:rPr>
          <w:rFonts w:ascii="Verdana" w:hAnsi="Verdana" w:cs="Arial"/>
          <w:sz w:val="22"/>
          <w:szCs w:val="22"/>
          <w:lang w:val="es-CO"/>
        </w:rPr>
      </w:pPr>
      <w:r w:rsidRPr="00E33DE3">
        <w:rPr>
          <w:rFonts w:ascii="Verdana" w:hAnsi="Verdana" w:cs="Arial"/>
          <w:sz w:val="22"/>
          <w:szCs w:val="22"/>
          <w:lang w:val="es-CO"/>
        </w:rPr>
        <w:t xml:space="preserve">Lo anterior evidencia ineficiencia administrativa para utilizar los recursos asignados para prestar este servicio a la población caracterizada en condición de discapacidad y el servicio de internet a los establecimientos educativos en la Entidad Territorial, conforme lo establecido en los artículos 2.3.3.5.1.5.4. y 2.3.3.5.1.6.1 del Decreto 1075 de 2015, no solamente por su falta de ejecución, sino porque no fueron invertidos en la solución de las necesidades para las cuales fueron asignados, durante la vigencia en la que se giraron por parte de la Nación. </w:t>
      </w:r>
    </w:p>
    <w:p w14:paraId="6AA33020" w14:textId="77777777" w:rsidR="00273288" w:rsidRPr="00E33DE3" w:rsidRDefault="00273288" w:rsidP="00C65B25">
      <w:pPr>
        <w:jc w:val="both"/>
        <w:rPr>
          <w:rFonts w:ascii="Verdana" w:hAnsi="Verdana" w:cs="Arial"/>
          <w:sz w:val="22"/>
          <w:szCs w:val="22"/>
          <w:lang w:val="es-CO"/>
        </w:rPr>
      </w:pPr>
    </w:p>
    <w:p w14:paraId="117A2760"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xml:space="preserve">Adicionalmente, afectó la calidad del servicio educativo prestado a la población caracterizada en condición de discapacidad o con capacidades o con talentos excepcionales de su jurisdicción, conforme lo establece el Decreto 1075 de 2015. </w:t>
      </w:r>
      <w:r w:rsidRPr="00E33DE3">
        <w:rPr>
          <w:rFonts w:ascii="Verdana" w:hAnsi="Verdana" w:cs="Arial"/>
          <w:sz w:val="22"/>
          <w:szCs w:val="22"/>
        </w:rPr>
        <w:lastRenderedPageBreak/>
        <w:t xml:space="preserve">Así mismo, afectó la calidad del servicio educativo prestado en los establecimientos educativos que carecían del servicio de conexión a Internet para acceder a contenidos pedagógicos y cumplir con sus obligaciones de reporte de información en línea a los sistemas de información del sector. </w:t>
      </w:r>
    </w:p>
    <w:p w14:paraId="164548FF" w14:textId="77777777" w:rsidR="00273288" w:rsidRPr="00E33DE3" w:rsidRDefault="00273288" w:rsidP="00C65B25">
      <w:pPr>
        <w:jc w:val="both"/>
        <w:rPr>
          <w:rFonts w:ascii="Verdana" w:hAnsi="Verdana" w:cs="Arial"/>
          <w:bCs/>
          <w:sz w:val="22"/>
          <w:szCs w:val="22"/>
          <w:lang w:val="es-CO"/>
        </w:rPr>
      </w:pPr>
    </w:p>
    <w:p w14:paraId="7B0E1E2C" w14:textId="77777777" w:rsidR="00273288" w:rsidRPr="00E33DE3" w:rsidRDefault="00273288" w:rsidP="00C65B25">
      <w:pPr>
        <w:jc w:val="both"/>
        <w:rPr>
          <w:rFonts w:ascii="Verdana" w:hAnsi="Verdana" w:cs="Arial"/>
          <w:sz w:val="22"/>
          <w:szCs w:val="22"/>
          <w:lang w:val="es-CO"/>
        </w:rPr>
      </w:pPr>
      <w:r w:rsidRPr="00E33DE3">
        <w:rPr>
          <w:rFonts w:ascii="Verdana" w:hAnsi="Verdana" w:cs="Arial"/>
          <w:sz w:val="22"/>
          <w:szCs w:val="22"/>
          <w:lang w:val="es-CO"/>
        </w:rPr>
        <w:t xml:space="preserve">Con estos hechos la Entidad Territorial incumplió los principios de eficacia, economía y celeridad que la Constitución Política le asigna a las autoridades administrativas en su artículo 209, así como lo consagrado en el artículo 3° de la Ley 1437 de 2011 por la cual se expide el Código de Procedimiento Administrativo y de lo Contencioso Administrativo. </w:t>
      </w:r>
    </w:p>
    <w:p w14:paraId="67A87F62" w14:textId="77777777" w:rsidR="00273288" w:rsidRPr="00E33DE3" w:rsidRDefault="00273288" w:rsidP="00C65B25">
      <w:pPr>
        <w:jc w:val="both"/>
        <w:rPr>
          <w:rFonts w:ascii="Verdana" w:hAnsi="Verdana" w:cs="Arial"/>
          <w:sz w:val="22"/>
          <w:szCs w:val="22"/>
          <w:lang w:val="es-ES_tradnl"/>
        </w:rPr>
      </w:pPr>
    </w:p>
    <w:p w14:paraId="462BC71D" w14:textId="77777777" w:rsidR="00273288" w:rsidRPr="00E33DE3" w:rsidRDefault="00273288" w:rsidP="00C65B25">
      <w:pPr>
        <w:jc w:val="both"/>
        <w:rPr>
          <w:rFonts w:ascii="Verdana" w:hAnsi="Verdana" w:cs="Arial"/>
          <w:sz w:val="22"/>
          <w:szCs w:val="22"/>
          <w:lang w:val="es-ES_tradnl"/>
        </w:rPr>
      </w:pPr>
      <w:r w:rsidRPr="00E33DE3">
        <w:rPr>
          <w:rFonts w:ascii="Verdana" w:hAnsi="Verdana" w:cs="Arial"/>
          <w:b/>
          <w:sz w:val="22"/>
          <w:szCs w:val="22"/>
          <w:lang w:val="es-ES_tradnl"/>
        </w:rPr>
        <w:t xml:space="preserve">Evidencia: </w:t>
      </w:r>
      <w:r w:rsidRPr="00E33DE3">
        <w:rPr>
          <w:rFonts w:ascii="Verdana" w:hAnsi="Verdana" w:cs="Arial"/>
          <w:sz w:val="22"/>
          <w:szCs w:val="22"/>
          <w:lang w:val="es-ES_tradnl"/>
        </w:rPr>
        <w:t xml:space="preserve">Obra en el expediente el siguiente material probatorio: </w:t>
      </w:r>
    </w:p>
    <w:p w14:paraId="18828EAF"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 xml:space="preserve">Ejecución Presupuestal Gastos vigencia 2018. </w:t>
      </w:r>
    </w:p>
    <w:p w14:paraId="63A89FAC"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 xml:space="preserve">Ejecución Presupuestal Gastos vigencia 2019. </w:t>
      </w:r>
    </w:p>
    <w:p w14:paraId="570269FE"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 xml:space="preserve">Reporte gastos de inversión FUT vigencias 2020 y 2021. </w:t>
      </w:r>
    </w:p>
    <w:p w14:paraId="12A90D51"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eastAsia="en-US"/>
        </w:rPr>
      </w:pPr>
      <w:r w:rsidRPr="00E33DE3">
        <w:rPr>
          <w:rFonts w:ascii="Verdana" w:eastAsia="Calibri" w:hAnsi="Verdana" w:cs="Arial"/>
          <w:sz w:val="22"/>
          <w:szCs w:val="22"/>
          <w:lang w:eastAsia="en-US"/>
        </w:rPr>
        <w:t xml:space="preserve">Reporte ejecución de gastos CUIPO vigencia 2022. </w:t>
      </w:r>
    </w:p>
    <w:p w14:paraId="7A70A04F" w14:textId="77777777" w:rsidR="00687D19" w:rsidRPr="00E33DE3" w:rsidRDefault="00273288" w:rsidP="00687D19">
      <w:pPr>
        <w:pStyle w:val="Prrafodelista"/>
        <w:numPr>
          <w:ilvl w:val="0"/>
          <w:numId w:val="28"/>
        </w:numPr>
        <w:ind w:left="284" w:hanging="284"/>
        <w:jc w:val="both"/>
        <w:rPr>
          <w:rFonts w:ascii="Verdana" w:eastAsia="Calibri" w:hAnsi="Verdana" w:cs="Arial"/>
          <w:sz w:val="22"/>
          <w:szCs w:val="22"/>
          <w:lang w:eastAsia="en-US"/>
        </w:rPr>
      </w:pPr>
      <w:r w:rsidRPr="00E33DE3">
        <w:rPr>
          <w:rFonts w:ascii="Verdana" w:eastAsia="Calibri" w:hAnsi="Verdana" w:cs="Arial"/>
          <w:sz w:val="22"/>
          <w:szCs w:val="22"/>
          <w:lang w:eastAsia="en-US"/>
        </w:rPr>
        <w:t>Acta de visita del Ministerio de Educación Nacional en el Municipio para la vigencia 2019.</w:t>
      </w:r>
    </w:p>
    <w:p w14:paraId="4DC2E644" w14:textId="77777777" w:rsidR="00687D19" w:rsidRPr="00E33DE3" w:rsidRDefault="00687D19" w:rsidP="00687D19">
      <w:pPr>
        <w:pStyle w:val="Prrafodelista"/>
        <w:ind w:left="426"/>
        <w:jc w:val="both"/>
        <w:rPr>
          <w:rFonts w:ascii="Verdana" w:hAnsi="Verdana"/>
          <w:b/>
          <w:bCs/>
          <w:sz w:val="22"/>
          <w:szCs w:val="22"/>
        </w:rPr>
      </w:pPr>
    </w:p>
    <w:p w14:paraId="4908AA60" w14:textId="77777777" w:rsidR="00273288" w:rsidRPr="00E33DE3" w:rsidRDefault="00273288" w:rsidP="009B47FF">
      <w:pPr>
        <w:pStyle w:val="Prrafodelista"/>
        <w:numPr>
          <w:ilvl w:val="0"/>
          <w:numId w:val="47"/>
        </w:numPr>
        <w:ind w:left="426" w:hanging="426"/>
        <w:jc w:val="both"/>
        <w:rPr>
          <w:rFonts w:ascii="Verdana" w:hAnsi="Verdana"/>
          <w:b/>
          <w:bCs/>
          <w:sz w:val="22"/>
          <w:szCs w:val="22"/>
        </w:rPr>
      </w:pPr>
      <w:r w:rsidRPr="00E33DE3">
        <w:rPr>
          <w:rFonts w:ascii="Verdana" w:hAnsi="Verdana"/>
          <w:b/>
          <w:bCs/>
          <w:sz w:val="22"/>
          <w:szCs w:val="22"/>
        </w:rPr>
        <w:t>Omisión de la distribución de planta de cargos entre establecimientos educativos de su jurisdicción.</w:t>
      </w:r>
    </w:p>
    <w:p w14:paraId="6C7CFF63" w14:textId="77777777" w:rsidR="00273288" w:rsidRPr="00E33DE3" w:rsidRDefault="00273288" w:rsidP="00C65B25">
      <w:pPr>
        <w:jc w:val="both"/>
        <w:rPr>
          <w:rFonts w:ascii="Verdana" w:hAnsi="Verdana" w:cs="Arial"/>
          <w:sz w:val="22"/>
          <w:szCs w:val="22"/>
          <w:lang w:val="es-ES_tradnl"/>
        </w:rPr>
      </w:pPr>
    </w:p>
    <w:p w14:paraId="125E62FE" w14:textId="77777777" w:rsidR="00273288" w:rsidRPr="00E33DE3" w:rsidRDefault="00273288" w:rsidP="00C65B25">
      <w:pPr>
        <w:jc w:val="both"/>
        <w:rPr>
          <w:rFonts w:ascii="Verdana" w:hAnsi="Verdana" w:cs="Arial"/>
          <w:sz w:val="22"/>
          <w:szCs w:val="22"/>
          <w:lang w:val="es-ES_tradnl"/>
        </w:rPr>
      </w:pPr>
      <w:r w:rsidRPr="00E33DE3">
        <w:rPr>
          <w:rFonts w:ascii="Verdana" w:hAnsi="Verdana" w:cs="Arial"/>
          <w:sz w:val="22"/>
          <w:szCs w:val="22"/>
          <w:lang w:val="es-ES_tradnl"/>
        </w:rPr>
        <w:t xml:space="preserve">Toda Entidad Territorial debe cumplir con las obligaciones definidas en el numeral 7.14 del artículo 7 de la Ley 715 de 2001, según los cuales es competencia de los distritos y municipios certificados </w:t>
      </w:r>
      <w:r w:rsidRPr="00E33DE3">
        <w:rPr>
          <w:rFonts w:ascii="Verdana" w:hAnsi="Verdana" w:cs="Arial"/>
          <w:i/>
          <w:sz w:val="22"/>
          <w:szCs w:val="22"/>
          <w:lang w:val="es-ES_tradnl"/>
        </w:rPr>
        <w:t>“distribuir entre las instituciones educativas los docentes y la planta de cargos, de acuerdo con las necesidades del servicio entendida como población atendida y por atender en condiciones de eficiencia, siguiendo la regulación nacional sobre la materia”.</w:t>
      </w:r>
    </w:p>
    <w:p w14:paraId="4A085EA6" w14:textId="77777777" w:rsidR="00273288" w:rsidRPr="00E33DE3" w:rsidRDefault="00273288" w:rsidP="00C65B25">
      <w:pPr>
        <w:jc w:val="both"/>
        <w:rPr>
          <w:rFonts w:ascii="Verdana" w:hAnsi="Verdana" w:cs="Arial"/>
          <w:bCs/>
          <w:sz w:val="22"/>
          <w:szCs w:val="22"/>
          <w:lang w:val="es-ES_tradnl"/>
        </w:rPr>
      </w:pPr>
    </w:p>
    <w:p w14:paraId="3E23DEDF" w14:textId="77777777" w:rsidR="00273288" w:rsidRPr="00E33DE3" w:rsidRDefault="00273288" w:rsidP="00C65B25">
      <w:pPr>
        <w:jc w:val="both"/>
        <w:rPr>
          <w:rFonts w:ascii="Verdana" w:hAnsi="Verdana" w:cs="Arial"/>
          <w:i/>
          <w:sz w:val="22"/>
          <w:szCs w:val="22"/>
        </w:rPr>
      </w:pPr>
      <w:r w:rsidRPr="00E33DE3">
        <w:rPr>
          <w:rFonts w:ascii="Verdana" w:hAnsi="Verdana" w:cs="Arial"/>
          <w:sz w:val="22"/>
          <w:szCs w:val="22"/>
        </w:rPr>
        <w:t xml:space="preserve">Así mismo, el artículo 33 de la Ley 715 de 2001, el cual establece que </w:t>
      </w:r>
      <w:r w:rsidRPr="00E33DE3">
        <w:rPr>
          <w:rFonts w:ascii="Verdana" w:hAnsi="Verdana" w:cs="Arial"/>
          <w:b/>
          <w:i/>
          <w:sz w:val="22"/>
          <w:szCs w:val="22"/>
        </w:rPr>
        <w:t>“</w:t>
      </w:r>
      <w:r w:rsidRPr="00E33DE3">
        <w:rPr>
          <w:rFonts w:ascii="Verdana" w:hAnsi="Verdana" w:cs="Arial"/>
          <w:i/>
          <w:sz w:val="22"/>
          <w:szCs w:val="22"/>
        </w:rPr>
        <w:t>Los secretarios de educación departamental, municipal y distrital informarán anualmente a los consejos directivos de las instituciones educativas oficiales y harán público por los medios de comunicación masiva de su jurisdicción, los recursos, las plazas y la nómina que le asignen a cada una de las instituciones conforme a los parámetros de asignación de personal definidos por la Nación. El incumplimiento de esta disposición se considerará falta grave y acarreará las sanciones respectivas para el Secretario de Educación o quien haga sus veces”.</w:t>
      </w:r>
    </w:p>
    <w:p w14:paraId="0129DF51" w14:textId="77777777" w:rsidR="00273288" w:rsidRPr="00E33DE3" w:rsidRDefault="00273288" w:rsidP="00C65B25">
      <w:pPr>
        <w:jc w:val="both"/>
        <w:rPr>
          <w:rFonts w:ascii="Verdana" w:hAnsi="Verdana" w:cs="Arial"/>
          <w:i/>
          <w:sz w:val="22"/>
          <w:szCs w:val="22"/>
          <w:highlight w:val="cyan"/>
          <w:lang w:val="es-ES_tradnl"/>
        </w:rPr>
      </w:pPr>
    </w:p>
    <w:p w14:paraId="3E68D2C9" w14:textId="77777777" w:rsidR="00273288" w:rsidRPr="00E33DE3" w:rsidRDefault="00273288" w:rsidP="00C65B25">
      <w:pPr>
        <w:jc w:val="both"/>
        <w:rPr>
          <w:rFonts w:ascii="Verdana" w:hAnsi="Verdana" w:cs="Arial"/>
          <w:sz w:val="22"/>
          <w:szCs w:val="22"/>
          <w:lang w:val="es-ES_tradnl"/>
        </w:rPr>
      </w:pPr>
      <w:r w:rsidRPr="00E33DE3">
        <w:rPr>
          <w:rFonts w:ascii="Verdana" w:hAnsi="Verdana" w:cs="Arial"/>
          <w:sz w:val="22"/>
          <w:szCs w:val="22"/>
          <w:lang w:val="es-ES_tradnl"/>
        </w:rPr>
        <w:t xml:space="preserve">De conformidad con el oficio remisorio de información No. 1433.3-193-2020 del 01 de junio de 2020, emitido por el secretario de Educación Municipal, el acto administrativo de Distribución de Planta no había sido expedido desde la vigencia 2016, señalando que no se había hecho entrega oficial al Ministerio de Educación Nacional del estudio técnico de necesidades docentes. </w:t>
      </w:r>
    </w:p>
    <w:p w14:paraId="566B30E0" w14:textId="77777777" w:rsidR="00273288" w:rsidRPr="00E33DE3" w:rsidRDefault="00273288" w:rsidP="00C65B25">
      <w:pPr>
        <w:jc w:val="both"/>
        <w:rPr>
          <w:rFonts w:ascii="Verdana" w:hAnsi="Verdana" w:cs="Arial"/>
          <w:sz w:val="22"/>
          <w:szCs w:val="22"/>
          <w:lang w:val="es-ES_tradnl"/>
        </w:rPr>
      </w:pPr>
    </w:p>
    <w:p w14:paraId="693EEE18" w14:textId="77777777" w:rsidR="00273288" w:rsidRPr="00E33DE3" w:rsidRDefault="00273288" w:rsidP="00C65B25">
      <w:pPr>
        <w:jc w:val="both"/>
        <w:rPr>
          <w:rFonts w:ascii="Verdana" w:hAnsi="Verdana" w:cs="Arial"/>
          <w:sz w:val="22"/>
          <w:szCs w:val="22"/>
          <w:lang w:val="es-ES_tradnl"/>
        </w:rPr>
      </w:pPr>
      <w:r w:rsidRPr="00E33DE3">
        <w:rPr>
          <w:rFonts w:ascii="Verdana" w:hAnsi="Verdana" w:cs="Arial"/>
          <w:sz w:val="22"/>
          <w:szCs w:val="22"/>
          <w:lang w:val="es-ES_tradnl"/>
        </w:rPr>
        <w:lastRenderedPageBreak/>
        <w:t xml:space="preserve">No obstante, el pasado el 2 de noviembre de 2022 la Entidad Territorial remitió a esta Dirección el </w:t>
      </w:r>
      <w:r w:rsidRPr="00E33DE3">
        <w:rPr>
          <w:rFonts w:ascii="Verdana" w:hAnsi="Verdana" w:cs="Arial"/>
          <w:i/>
          <w:iCs/>
          <w:sz w:val="22"/>
          <w:szCs w:val="22"/>
          <w:lang w:val="es-ES_tradnl"/>
        </w:rPr>
        <w:t>“</w:t>
      </w:r>
      <w:r w:rsidRPr="00E33DE3">
        <w:rPr>
          <w:rFonts w:ascii="Verdana" w:hAnsi="Verdana" w:cs="Arial"/>
          <w:i/>
          <w:iCs/>
          <w:sz w:val="22"/>
          <w:szCs w:val="22"/>
        </w:rPr>
        <w:t xml:space="preserve">concepto técnico de modificación de planta de cargos del personal docente, directivo docente y administrativo financiados con recursos del SGP” </w:t>
      </w:r>
      <w:r w:rsidRPr="00E33DE3">
        <w:rPr>
          <w:rFonts w:ascii="Verdana" w:hAnsi="Verdana" w:cs="Arial"/>
          <w:sz w:val="22"/>
          <w:szCs w:val="22"/>
          <w:lang w:val="es-ES_tradnl"/>
        </w:rPr>
        <w:t xml:space="preserve">expedido por el Ministerio de Educación Nacional mediante el Radicado No. 2020-EE-256680 del 23 de diciembre de 2020, el cual fue adoptado por el Municipio de Pasto a través del Decreto No. 0473 del 30 de diciembre de 2020. </w:t>
      </w:r>
    </w:p>
    <w:p w14:paraId="2E40FE10" w14:textId="77777777" w:rsidR="00273288" w:rsidRPr="00E33DE3" w:rsidRDefault="00273288" w:rsidP="00C65B25">
      <w:pPr>
        <w:jc w:val="both"/>
        <w:rPr>
          <w:rFonts w:ascii="Verdana" w:hAnsi="Verdana" w:cs="Arial"/>
          <w:sz w:val="22"/>
          <w:szCs w:val="22"/>
          <w:lang w:val="es-ES_tradnl"/>
        </w:rPr>
      </w:pPr>
    </w:p>
    <w:p w14:paraId="0E5F8282" w14:textId="77777777" w:rsidR="00273288" w:rsidRPr="00E33DE3" w:rsidRDefault="00273288" w:rsidP="00C65B25">
      <w:pPr>
        <w:jc w:val="both"/>
        <w:rPr>
          <w:rFonts w:ascii="Verdana" w:hAnsi="Verdana" w:cs="Arial"/>
          <w:sz w:val="22"/>
          <w:szCs w:val="22"/>
          <w:lang w:val="es-ES_tradnl"/>
        </w:rPr>
      </w:pPr>
      <w:r w:rsidRPr="00E33DE3">
        <w:rPr>
          <w:rFonts w:ascii="Verdana" w:hAnsi="Verdana" w:cs="Arial"/>
          <w:sz w:val="22"/>
          <w:szCs w:val="22"/>
          <w:lang w:val="es-ES_tradnl"/>
        </w:rPr>
        <w:t xml:space="preserve">Sin embargo, posterior a la emisión de dicho concepto, el Municipio de Pasto reincidió en la omisión del acto administrativo de Distribución de Planta de las vigencias 2021 y 2022 pues no adjuntaron documento alguno en la solicitud realizada mediante oficio con radicado No. </w:t>
      </w:r>
      <w:r w:rsidRPr="00E33DE3">
        <w:rPr>
          <w:rFonts w:ascii="Verdana" w:eastAsiaTheme="minorHAnsi" w:hAnsi="Verdana" w:cs="Arial"/>
          <w:sz w:val="22"/>
          <w:szCs w:val="22"/>
          <w:lang w:val="es-CO" w:eastAsia="en-US"/>
        </w:rPr>
        <w:t>2-2022-046148 del 10 de octubre del 2022</w:t>
      </w:r>
      <w:r w:rsidRPr="00E33DE3">
        <w:rPr>
          <w:rFonts w:ascii="Verdana" w:hAnsi="Verdana" w:cs="Arial"/>
          <w:sz w:val="22"/>
          <w:szCs w:val="22"/>
          <w:lang w:val="es-ES_tradnl"/>
        </w:rPr>
        <w:t>, información corroborada en la asistencia técnica llevada a cabo el día 21 de octubre del mismo año donde la administración municipal indicó que no se expide un único acto administrativo de distribución de planta para toda la entidad territorial, así se continua incumpliendo con lo establecido en los numerales 7.14 del artículo 7 de la Ley 715 de 2001 además del artículo 33 de la Ley 715 de 2001.</w:t>
      </w:r>
    </w:p>
    <w:p w14:paraId="011E6EC7" w14:textId="77777777" w:rsidR="00273288" w:rsidRPr="00E33DE3" w:rsidRDefault="00273288" w:rsidP="00C65B25">
      <w:pPr>
        <w:jc w:val="both"/>
        <w:rPr>
          <w:rFonts w:ascii="Verdana" w:hAnsi="Verdana" w:cs="Arial"/>
          <w:sz w:val="22"/>
          <w:szCs w:val="22"/>
          <w:lang w:val="es-ES_tradnl"/>
        </w:rPr>
      </w:pPr>
    </w:p>
    <w:p w14:paraId="078C6897"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Con estas actuaciones, la Entidad Territorial pone en riesgo la prestación del servicio educativo en su jurisdicción, en términos de equidad, por cuanto no existe coherencia entre la planta de docentes distribuida y la realidad de la matrícula atendida por establecimiento educativo, acorde con las relaciones técnicas actuales de la entidad territorial.</w:t>
      </w:r>
    </w:p>
    <w:p w14:paraId="30952759" w14:textId="77777777" w:rsidR="00273288" w:rsidRPr="00E33DE3" w:rsidRDefault="00273288" w:rsidP="00C65B25">
      <w:pPr>
        <w:jc w:val="both"/>
        <w:rPr>
          <w:rFonts w:ascii="Verdana" w:hAnsi="Verdana" w:cs="Arial"/>
          <w:sz w:val="22"/>
          <w:szCs w:val="22"/>
          <w:lang w:val="es-ES_tradnl"/>
        </w:rPr>
      </w:pPr>
    </w:p>
    <w:p w14:paraId="6513530A" w14:textId="77777777" w:rsidR="00273288" w:rsidRPr="00E33DE3" w:rsidRDefault="00273288" w:rsidP="00C65B25">
      <w:pPr>
        <w:jc w:val="both"/>
        <w:rPr>
          <w:rFonts w:ascii="Verdana" w:hAnsi="Verdana" w:cs="Arial"/>
          <w:sz w:val="22"/>
          <w:szCs w:val="22"/>
          <w:lang w:val="es-CO"/>
        </w:rPr>
      </w:pPr>
      <w:r w:rsidRPr="00E33DE3">
        <w:rPr>
          <w:rFonts w:ascii="Verdana" w:eastAsia="Calibri" w:hAnsi="Verdana" w:cs="Arial"/>
          <w:b/>
          <w:sz w:val="22"/>
          <w:szCs w:val="22"/>
          <w:lang w:val="es-CO" w:eastAsia="en-US"/>
        </w:rPr>
        <w:t xml:space="preserve">Evidencia: </w:t>
      </w:r>
      <w:r w:rsidRPr="00E33DE3">
        <w:rPr>
          <w:rFonts w:ascii="Verdana" w:hAnsi="Verdana" w:cs="Arial"/>
          <w:sz w:val="22"/>
          <w:szCs w:val="22"/>
          <w:lang w:val="es-CO"/>
        </w:rPr>
        <w:t>Obra en el expediente el siguiente material probatorio:</w:t>
      </w:r>
    </w:p>
    <w:p w14:paraId="316596B0"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 xml:space="preserve">Oficio remisorio No. 1433.3-193-2020 del 01 de junio de 2020. </w:t>
      </w:r>
    </w:p>
    <w:p w14:paraId="2152BD40"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 xml:space="preserve">Formato de verificación de información – Remitido por la Entidad. </w:t>
      </w:r>
    </w:p>
    <w:p w14:paraId="7E32F585"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Concepto técnico de modificación de Planta expedido por el Ministerio de Educación Nacional, Radicado No. 2020-EE-256680 del 23 de diciembre de 2020.</w:t>
      </w:r>
    </w:p>
    <w:p w14:paraId="0401F524" w14:textId="77777777" w:rsidR="00273288" w:rsidRPr="00E33DE3" w:rsidRDefault="00273288" w:rsidP="00C65B25">
      <w:pPr>
        <w:pStyle w:val="Prrafodelista"/>
        <w:numPr>
          <w:ilvl w:val="0"/>
          <w:numId w:val="28"/>
        </w:numPr>
        <w:ind w:left="284" w:hanging="284"/>
        <w:jc w:val="both"/>
        <w:rPr>
          <w:rFonts w:ascii="Verdana" w:hAnsi="Verdana" w:cs="Arial"/>
          <w:sz w:val="22"/>
          <w:szCs w:val="22"/>
          <w:lang w:val="es-ES_tradnl"/>
        </w:rPr>
      </w:pPr>
      <w:r w:rsidRPr="00E33DE3">
        <w:rPr>
          <w:rFonts w:ascii="Verdana" w:eastAsia="Calibri" w:hAnsi="Verdana" w:cs="Arial"/>
          <w:sz w:val="22"/>
          <w:szCs w:val="22"/>
          <w:lang w:eastAsia="en-US"/>
        </w:rPr>
        <w:t>Decreto</w:t>
      </w:r>
      <w:r w:rsidRPr="00E33DE3">
        <w:rPr>
          <w:rFonts w:ascii="Verdana" w:hAnsi="Verdana" w:cs="Arial"/>
          <w:sz w:val="22"/>
          <w:szCs w:val="22"/>
        </w:rPr>
        <w:t xml:space="preserve"> No. 0473 del 30 de diciembre de 2020.</w:t>
      </w:r>
    </w:p>
    <w:p w14:paraId="5A262970" w14:textId="77777777" w:rsidR="00273288" w:rsidRPr="00E33DE3" w:rsidRDefault="00273288" w:rsidP="00C65B25">
      <w:pPr>
        <w:rPr>
          <w:rFonts w:ascii="Verdana" w:hAnsi="Verdana"/>
          <w:sz w:val="22"/>
          <w:szCs w:val="22"/>
        </w:rPr>
      </w:pPr>
    </w:p>
    <w:p w14:paraId="051092D8" w14:textId="77777777" w:rsidR="00273288" w:rsidRPr="00E33DE3" w:rsidRDefault="00273288" w:rsidP="00C65B25">
      <w:pPr>
        <w:pStyle w:val="Ttulo3"/>
        <w:numPr>
          <w:ilvl w:val="0"/>
          <w:numId w:val="47"/>
        </w:numPr>
        <w:spacing w:before="0"/>
        <w:ind w:left="426" w:hanging="426"/>
        <w:jc w:val="both"/>
        <w:rPr>
          <w:rFonts w:ascii="Verdana" w:hAnsi="Verdana"/>
          <w:b/>
          <w:bCs/>
          <w:color w:val="auto"/>
          <w:sz w:val="22"/>
          <w:szCs w:val="22"/>
        </w:rPr>
      </w:pPr>
      <w:r w:rsidRPr="00E33DE3">
        <w:rPr>
          <w:rFonts w:ascii="Verdana" w:hAnsi="Verdana"/>
          <w:b/>
          <w:bCs/>
          <w:color w:val="auto"/>
          <w:sz w:val="22"/>
          <w:szCs w:val="22"/>
        </w:rPr>
        <w:t>Distribución de planta de personal sin aplicación de los parámetros técnicos.</w:t>
      </w:r>
    </w:p>
    <w:p w14:paraId="67DE242F" w14:textId="77777777" w:rsidR="00273288" w:rsidRPr="00E33DE3" w:rsidRDefault="00273288" w:rsidP="00C65B25">
      <w:pPr>
        <w:jc w:val="both"/>
        <w:rPr>
          <w:rFonts w:ascii="Verdana" w:hAnsi="Verdana"/>
          <w:sz w:val="22"/>
          <w:szCs w:val="22"/>
        </w:rPr>
      </w:pPr>
      <w:r w:rsidRPr="00E33DE3">
        <w:rPr>
          <w:rFonts w:ascii="Verdana" w:eastAsia="Arial" w:hAnsi="Verdana" w:cs="Arial"/>
          <w:sz w:val="22"/>
          <w:szCs w:val="22"/>
        </w:rPr>
        <w:t xml:space="preserve"> </w:t>
      </w:r>
    </w:p>
    <w:p w14:paraId="501F165C" w14:textId="77777777" w:rsidR="00273288" w:rsidRPr="00E33DE3" w:rsidRDefault="00273288" w:rsidP="00C65B25">
      <w:pPr>
        <w:jc w:val="both"/>
        <w:rPr>
          <w:rFonts w:ascii="Verdana" w:hAnsi="Verdana"/>
          <w:sz w:val="22"/>
          <w:szCs w:val="22"/>
        </w:rPr>
      </w:pPr>
      <w:r w:rsidRPr="00E33DE3">
        <w:rPr>
          <w:rFonts w:ascii="Verdana" w:eastAsia="Arial" w:hAnsi="Verdana" w:cs="Arial"/>
          <w:sz w:val="22"/>
          <w:szCs w:val="22"/>
        </w:rPr>
        <w:t>El artículo 142 de la Ley 1450 de 2011 indica que la garantía de la sostenibilidad de los recursos asignados al sector Educación por el Sistema General de Participaciones requiere de la administración eficiente de las plantas de personal docente y directivo docente, las cuales deben ser ajustadas de acuerdo a la matrícula efectivamente atendida y de conformidad con las relaciones técnicas para cada zona y nivel educativo en las normas vigentes; en donde toda modificación efectiva de dichas plantas deberá contar con la aprobación del Ministerio de Educación Nacional para ser financiada con los recursos del Sistema General de Participaciones, en caso contrario, los mayores costos deberán ser financiados con recursos propios.</w:t>
      </w:r>
    </w:p>
    <w:p w14:paraId="53A9A7DB" w14:textId="77777777" w:rsidR="00273288" w:rsidRPr="00E33DE3" w:rsidRDefault="00273288" w:rsidP="00C65B25">
      <w:pPr>
        <w:jc w:val="both"/>
        <w:rPr>
          <w:rFonts w:ascii="Verdana" w:hAnsi="Verdana"/>
          <w:sz w:val="22"/>
          <w:szCs w:val="22"/>
        </w:rPr>
      </w:pPr>
      <w:r w:rsidRPr="00E33DE3">
        <w:rPr>
          <w:rFonts w:ascii="Verdana" w:eastAsia="Arial" w:hAnsi="Verdana" w:cs="Arial"/>
          <w:sz w:val="22"/>
          <w:szCs w:val="22"/>
        </w:rPr>
        <w:lastRenderedPageBreak/>
        <w:t xml:space="preserve"> </w:t>
      </w:r>
    </w:p>
    <w:p w14:paraId="2E994DA2" w14:textId="77777777" w:rsidR="00273288" w:rsidRPr="00E33DE3" w:rsidRDefault="00273288" w:rsidP="00C65B25">
      <w:pPr>
        <w:jc w:val="both"/>
        <w:rPr>
          <w:rFonts w:ascii="Verdana" w:hAnsi="Verdana"/>
          <w:sz w:val="22"/>
          <w:szCs w:val="22"/>
        </w:rPr>
      </w:pPr>
      <w:r w:rsidRPr="00E33DE3">
        <w:rPr>
          <w:rFonts w:ascii="Verdana" w:eastAsia="Arial" w:hAnsi="Verdana" w:cs="Arial"/>
          <w:sz w:val="22"/>
          <w:szCs w:val="22"/>
        </w:rPr>
        <w:t>Adicionalmente, los artículos 2.4.6.1.2.1, 2.4.6.1.2.2. y 2.4.6.1.2.3 del decreto 1075 del 2015 establecen los parámetros técnicos para la asignación de rectores, directores rurales y coordinadores en las instituciones y centros educativos. La Dirección General de Apoyo Fiscal evaluó la consistencia entre el acto administrativo de distribución de planta para la vigencia 2018 (resolución 2751 del 30 de julio de 2018), puesto que la correspondiente al año 2019 no fue enviada, y tal normatividad evidenciando que los parámetros técnicos no están siendo aplicados con rigurosidad.</w:t>
      </w:r>
    </w:p>
    <w:p w14:paraId="4A4407DB" w14:textId="77777777" w:rsidR="00273288" w:rsidRPr="00E33DE3" w:rsidRDefault="00273288" w:rsidP="00C65B25">
      <w:pPr>
        <w:jc w:val="both"/>
        <w:rPr>
          <w:rFonts w:ascii="Verdana" w:hAnsi="Verdana"/>
          <w:sz w:val="22"/>
          <w:szCs w:val="22"/>
        </w:rPr>
      </w:pPr>
      <w:r w:rsidRPr="00E33DE3">
        <w:rPr>
          <w:rFonts w:ascii="Verdana" w:eastAsia="Arial" w:hAnsi="Verdana" w:cs="Arial"/>
          <w:sz w:val="22"/>
          <w:szCs w:val="22"/>
        </w:rPr>
        <w:t xml:space="preserve"> </w:t>
      </w:r>
    </w:p>
    <w:p w14:paraId="2EEE4BC1" w14:textId="77777777" w:rsidR="00273288" w:rsidRPr="00E33DE3" w:rsidRDefault="00273288" w:rsidP="00C65B25">
      <w:pPr>
        <w:jc w:val="both"/>
        <w:rPr>
          <w:rFonts w:ascii="Verdana" w:hAnsi="Verdana"/>
          <w:sz w:val="22"/>
          <w:szCs w:val="22"/>
        </w:rPr>
      </w:pPr>
      <w:r w:rsidRPr="00E33DE3">
        <w:rPr>
          <w:rFonts w:ascii="Verdana" w:eastAsia="Arial" w:hAnsi="Verdana" w:cs="Arial"/>
          <w:sz w:val="22"/>
          <w:szCs w:val="22"/>
        </w:rPr>
        <w:t>Por lo anterior, al analizar las plantas viabilizadas y su distribución, se identifica que la Entidad Territorial presenta el Concepto Técnico No. 2015EE062642 del 19 de junio de 2015, emitido por el Ministerio de Educación Nacional, donde se informa que la planta viabilizada está en capacidad de atender 60.605 alumnos; sin embargo, la matrícula oficial no contratada que reportó la Entidad Territorial para la vigencia 2020, a corte de abril, ascendió a 49.443, es decir 11.162 estudiantes menos. Esta situación se repite en la vigencia 2019, cuando la Entidad territorial reportó la atención de 50.165 alumnos no contratados, es decir 10.440 estudiantes menos de los que puede atender con su planta docente oficial.</w:t>
      </w:r>
    </w:p>
    <w:p w14:paraId="06DCF3DF" w14:textId="77777777" w:rsidR="00273288" w:rsidRPr="00E33DE3" w:rsidRDefault="00273288" w:rsidP="00C65B25">
      <w:pPr>
        <w:jc w:val="both"/>
        <w:rPr>
          <w:rFonts w:ascii="Verdana" w:hAnsi="Verdana"/>
          <w:sz w:val="22"/>
          <w:szCs w:val="22"/>
        </w:rPr>
      </w:pPr>
      <w:r w:rsidRPr="00E33DE3">
        <w:rPr>
          <w:rFonts w:ascii="Verdana" w:eastAsia="Arial" w:hAnsi="Verdana" w:cs="Arial"/>
          <w:sz w:val="22"/>
          <w:szCs w:val="22"/>
        </w:rPr>
        <w:t xml:space="preserve"> </w:t>
      </w:r>
    </w:p>
    <w:p w14:paraId="658473CC" w14:textId="77777777" w:rsidR="00273288" w:rsidRPr="00E33DE3" w:rsidRDefault="00273288" w:rsidP="00C65B25">
      <w:pPr>
        <w:jc w:val="both"/>
        <w:rPr>
          <w:rFonts w:ascii="Verdana" w:eastAsia="Arial" w:hAnsi="Verdana" w:cs="Arial"/>
          <w:sz w:val="22"/>
          <w:szCs w:val="22"/>
        </w:rPr>
      </w:pPr>
      <w:r w:rsidRPr="00E33DE3">
        <w:rPr>
          <w:rFonts w:ascii="Verdana" w:eastAsia="Arial" w:hAnsi="Verdana" w:cs="Arial"/>
          <w:sz w:val="22"/>
          <w:szCs w:val="22"/>
        </w:rPr>
        <w:t>Ahora bien, con relación a las vigencias 2021 y 2022, la Entidad territorial presenta el Concepto Técnico de Viabilización de Planta No.</w:t>
      </w:r>
      <w:r w:rsidRPr="00E33DE3">
        <w:rPr>
          <w:rFonts w:ascii="Verdana" w:eastAsia="Times New Roman" w:hAnsi="Verdana"/>
          <w:sz w:val="22"/>
          <w:szCs w:val="22"/>
        </w:rPr>
        <w:t xml:space="preserve"> </w:t>
      </w:r>
      <w:r w:rsidRPr="00E33DE3">
        <w:rPr>
          <w:rFonts w:ascii="Verdana" w:eastAsia="Arial" w:hAnsi="Verdana" w:cs="Arial"/>
          <w:sz w:val="22"/>
          <w:szCs w:val="22"/>
        </w:rPr>
        <w:t xml:space="preserve">2020-EE-256680 del 23 de diciembre de 2020, emitido por el Ministerio de Educación Nacional, en el cual se estipula una matrícula mínima de 48.926 alumnos; sin embargo, la matrícula oficial no contratada que reportó para la vigencia 2021, con fecha de corte al 30 de noviembre de 2021, ascendió a 48.305 alumnos (en los grados de 0 a 13), es decir 621 estudiantes menos. Esta situación se repite en la vigencia 2022, donde la Entidad Territorial reportó la atención de 46.331 alumnos no contratados, es decir 2.595 estudiantes menos de los que puede atender con su planta docente oficial. En consecuencia, se observa reincidencia en esta problemática desde la vigencia 2019 por parte de la administración municipal. </w:t>
      </w:r>
    </w:p>
    <w:p w14:paraId="255B4562" w14:textId="77777777" w:rsidR="00273288" w:rsidRPr="00E33DE3" w:rsidRDefault="00273288" w:rsidP="00C65B25">
      <w:pPr>
        <w:jc w:val="both"/>
        <w:rPr>
          <w:rFonts w:ascii="Verdana" w:eastAsia="Arial" w:hAnsi="Verdana" w:cs="Arial"/>
          <w:sz w:val="22"/>
          <w:szCs w:val="22"/>
        </w:rPr>
      </w:pPr>
      <w:r w:rsidRPr="00E33DE3">
        <w:rPr>
          <w:rFonts w:ascii="Verdana" w:eastAsia="Arial" w:hAnsi="Verdana" w:cs="Arial"/>
          <w:sz w:val="22"/>
          <w:szCs w:val="22"/>
        </w:rPr>
        <w:t xml:space="preserve"> </w:t>
      </w:r>
    </w:p>
    <w:p w14:paraId="39818623" w14:textId="77777777" w:rsidR="00273288" w:rsidRPr="00E33DE3" w:rsidRDefault="00273288" w:rsidP="00C65B25">
      <w:pPr>
        <w:jc w:val="both"/>
        <w:rPr>
          <w:rFonts w:ascii="Verdana" w:eastAsia="Arial" w:hAnsi="Verdana" w:cs="Arial"/>
          <w:sz w:val="22"/>
          <w:szCs w:val="22"/>
        </w:rPr>
      </w:pPr>
      <w:r w:rsidRPr="00E33DE3">
        <w:rPr>
          <w:rFonts w:ascii="Verdana" w:eastAsia="Arial" w:hAnsi="Verdana" w:cs="Arial"/>
          <w:sz w:val="22"/>
          <w:szCs w:val="22"/>
        </w:rPr>
        <w:t xml:space="preserve">Así, teniendo en cuenta la relación técnica definida en su concepto de viabilización de planta: 24.16 alumnos por docente, los 2.595 niños por debajo de su matrícula mínima en la vigencia 2022 equivalen a un excedente de 107 docentes de su planta, dicho de otra forma, la contratación del servicio podría reducirse en este mismo número de alumnos, generando ahorros al SGP a partir del uso eficiente de su recurso humano. Esta situación se asocia con la distribución de la planta de personal, en la medida en que no se emite acto administrativo de distribución de planta por parte de la Entidad desde la vigencia 2016, conduciendo a que la prestación del servicio educativo no realice en concordancia con los parámetros técnicos de distribución de docentes, directivos docentes y personal administrativo definidos por los artículos 2.4.6.1.2.1 al </w:t>
      </w:r>
      <w:r w:rsidRPr="00E33DE3">
        <w:rPr>
          <w:rFonts w:ascii="Verdana" w:eastAsia="Arial" w:hAnsi="Verdana" w:cs="Arial"/>
          <w:sz w:val="22"/>
          <w:szCs w:val="22"/>
        </w:rPr>
        <w:lastRenderedPageBreak/>
        <w:t xml:space="preserve">2.4.6.1.2.6 del Decreto 1075 de 2015, así como en respuesta a la matrícula atendida y reportada en el Sistema de Información SIMAT. </w:t>
      </w:r>
    </w:p>
    <w:p w14:paraId="3903B5C5" w14:textId="77777777" w:rsidR="00273288" w:rsidRPr="00E33DE3" w:rsidRDefault="00273288" w:rsidP="00C65B25">
      <w:pPr>
        <w:jc w:val="both"/>
        <w:rPr>
          <w:rFonts w:ascii="Verdana" w:eastAsia="Arial" w:hAnsi="Verdana" w:cs="Arial"/>
          <w:sz w:val="22"/>
          <w:szCs w:val="22"/>
        </w:rPr>
      </w:pPr>
      <w:r w:rsidRPr="00E33DE3">
        <w:rPr>
          <w:rFonts w:ascii="Verdana" w:eastAsia="Arial" w:hAnsi="Verdana" w:cs="Arial"/>
          <w:sz w:val="22"/>
          <w:szCs w:val="22"/>
        </w:rPr>
        <w:t xml:space="preserve"> </w:t>
      </w:r>
    </w:p>
    <w:p w14:paraId="5E61243A" w14:textId="77777777" w:rsidR="00273288" w:rsidRPr="00E33DE3" w:rsidRDefault="00273288" w:rsidP="00C65B25">
      <w:pPr>
        <w:jc w:val="both"/>
        <w:rPr>
          <w:rFonts w:ascii="Verdana" w:eastAsia="Arial" w:hAnsi="Verdana" w:cs="Arial"/>
          <w:sz w:val="22"/>
          <w:szCs w:val="22"/>
        </w:rPr>
      </w:pPr>
      <w:r w:rsidRPr="00E33DE3">
        <w:rPr>
          <w:rFonts w:ascii="Verdana" w:eastAsia="Arial" w:hAnsi="Verdana" w:cs="Arial"/>
          <w:sz w:val="22"/>
          <w:szCs w:val="22"/>
        </w:rPr>
        <w:t xml:space="preserve">Por lo anterior, a partir de la información reportada en esta plataforma, se identificaron relaciones técnicas alumno/docente de la matrícula oficial no contratada que oscilan entre 22.83 y 21.9 alumnos/docente para los años 2021 y 2022, en los establecimientos educativos para los que la Entidad Territorial no contrató la prestación del servicio, mientras que el promedio según el concepto técnico de viabilización de planta es de 24.16. </w:t>
      </w:r>
    </w:p>
    <w:p w14:paraId="4FB7A0DB" w14:textId="77777777" w:rsidR="00273288" w:rsidRPr="00E33DE3" w:rsidRDefault="00273288" w:rsidP="00C65B25">
      <w:pPr>
        <w:jc w:val="both"/>
        <w:rPr>
          <w:rFonts w:ascii="Verdana" w:eastAsia="Arial" w:hAnsi="Verdana" w:cs="Arial"/>
          <w:sz w:val="22"/>
          <w:szCs w:val="22"/>
        </w:rPr>
      </w:pPr>
      <w:r w:rsidRPr="00E33DE3">
        <w:rPr>
          <w:rFonts w:ascii="Verdana" w:eastAsia="Arial" w:hAnsi="Verdana" w:cs="Arial"/>
          <w:sz w:val="22"/>
          <w:szCs w:val="22"/>
        </w:rPr>
        <w:t xml:space="preserve"> </w:t>
      </w:r>
    </w:p>
    <w:p w14:paraId="52A2DEF4" w14:textId="77777777" w:rsidR="00273288" w:rsidRPr="00E33DE3" w:rsidRDefault="00273288" w:rsidP="00C65B25">
      <w:pPr>
        <w:jc w:val="both"/>
        <w:rPr>
          <w:rFonts w:ascii="Verdana" w:eastAsia="Arial" w:hAnsi="Verdana" w:cs="Arial"/>
          <w:sz w:val="22"/>
          <w:szCs w:val="22"/>
        </w:rPr>
      </w:pPr>
      <w:r w:rsidRPr="00E33DE3">
        <w:rPr>
          <w:rFonts w:ascii="Verdana" w:eastAsia="Arial" w:hAnsi="Verdana" w:cs="Arial"/>
          <w:sz w:val="22"/>
          <w:szCs w:val="22"/>
        </w:rPr>
        <w:t>Aun así, la Entidad Territorial recurrió a la contratación del servicio sin superar su matrícula mínima, induciendo a concluir que no hace un uso total y prioritario de su capacidad oficial antes de prestar el servicio a través de terceros contratados, vulnerando lo establecido por las Leyes 115 de 1994 y 715 de 2001. Adicionalmente, la Entidad Territorial realizó pagos por concepto de horas extras al personal docente de las IEM y CEM por un valor de $1.162 millones en el año 2022, de acuerdo con el certificado de disponibilidad presupuestal No. 2022001456 del 28 de enero del 2022, horas laborales que pudieron ser parcialmente atendidas por los 107 docentes.</w:t>
      </w:r>
    </w:p>
    <w:p w14:paraId="4D5017F9" w14:textId="77777777" w:rsidR="00273288" w:rsidRPr="00E33DE3" w:rsidRDefault="00273288" w:rsidP="00C65B25">
      <w:pPr>
        <w:jc w:val="both"/>
        <w:rPr>
          <w:rFonts w:ascii="Verdana" w:eastAsia="Arial" w:hAnsi="Verdana" w:cs="Arial"/>
          <w:sz w:val="22"/>
          <w:szCs w:val="22"/>
        </w:rPr>
      </w:pPr>
      <w:r w:rsidRPr="00E33DE3">
        <w:rPr>
          <w:rFonts w:ascii="Verdana" w:eastAsia="Arial" w:hAnsi="Verdana" w:cs="Arial"/>
          <w:sz w:val="22"/>
          <w:szCs w:val="22"/>
        </w:rPr>
        <w:t xml:space="preserve"> </w:t>
      </w:r>
    </w:p>
    <w:p w14:paraId="14B4836D" w14:textId="77777777" w:rsidR="00273288" w:rsidRPr="00E33DE3" w:rsidRDefault="00273288" w:rsidP="00C65B25">
      <w:pPr>
        <w:jc w:val="both"/>
        <w:rPr>
          <w:rFonts w:ascii="Verdana" w:hAnsi="Verdana"/>
          <w:sz w:val="22"/>
          <w:szCs w:val="22"/>
        </w:rPr>
      </w:pPr>
      <w:r w:rsidRPr="00E33DE3">
        <w:rPr>
          <w:rFonts w:ascii="Verdana" w:eastAsia="Arial" w:hAnsi="Verdana" w:cs="Arial"/>
          <w:sz w:val="22"/>
          <w:szCs w:val="22"/>
        </w:rPr>
        <w:t>Así, de conformidad con lo expuesto, se evidencia que la Entidad Territorial no realiza una administración eficiente de las plantas de personal docente y directivo docente para la atención de su matrícula en contravía de lo estipulado por el artículo 142 de la Ley 1450 de 2011, toda vez que distribuye el personal incumpliendo los criterios y relaciones técnicas determinadas por las normas vigentes, así como recurre a la contratación de la prestación del servicio contando con la capacidad del recurso humano para satisfacer las necesidades propias de cada zona y nivel educativo presentes en su territorio, ocasionando riesgos en la sostenibilidad de los recursos asignados para la prestación del servicio por parte del Sistema General de Participaciones.</w:t>
      </w:r>
    </w:p>
    <w:p w14:paraId="6C22A983" w14:textId="77777777" w:rsidR="00273288" w:rsidRPr="00E33DE3" w:rsidRDefault="00273288" w:rsidP="00C65B25">
      <w:pPr>
        <w:jc w:val="both"/>
        <w:rPr>
          <w:rFonts w:ascii="Verdana" w:hAnsi="Verdana"/>
          <w:sz w:val="22"/>
          <w:szCs w:val="22"/>
        </w:rPr>
      </w:pPr>
      <w:r w:rsidRPr="00E33DE3">
        <w:rPr>
          <w:rFonts w:ascii="Verdana" w:eastAsia="Arial" w:hAnsi="Verdana" w:cs="Arial"/>
          <w:sz w:val="22"/>
          <w:szCs w:val="22"/>
        </w:rPr>
        <w:t xml:space="preserve"> </w:t>
      </w:r>
    </w:p>
    <w:p w14:paraId="08CDFA48" w14:textId="77777777" w:rsidR="00273288" w:rsidRPr="00E33DE3" w:rsidRDefault="00273288" w:rsidP="00C65B25">
      <w:pPr>
        <w:jc w:val="both"/>
        <w:rPr>
          <w:rFonts w:ascii="Verdana" w:hAnsi="Verdana"/>
          <w:sz w:val="22"/>
          <w:szCs w:val="22"/>
        </w:rPr>
      </w:pPr>
      <w:r w:rsidRPr="00E33DE3">
        <w:rPr>
          <w:rFonts w:ascii="Verdana" w:eastAsia="Arial" w:hAnsi="Verdana" w:cs="Arial"/>
          <w:b/>
          <w:bCs/>
          <w:sz w:val="22"/>
          <w:szCs w:val="22"/>
        </w:rPr>
        <w:t xml:space="preserve">Evidencia: </w:t>
      </w:r>
      <w:r w:rsidRPr="00E33DE3">
        <w:rPr>
          <w:rFonts w:ascii="Verdana" w:eastAsia="Arial" w:hAnsi="Verdana" w:cs="Arial"/>
          <w:sz w:val="22"/>
          <w:szCs w:val="22"/>
        </w:rPr>
        <w:t xml:space="preserve">Obra en el expediente el siguiente material probatorio: </w:t>
      </w:r>
    </w:p>
    <w:p w14:paraId="61076103"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 xml:space="preserve">Validaciones DUE reportadas por el MEN a noviembre de 2019. </w:t>
      </w:r>
    </w:p>
    <w:p w14:paraId="7321AD84"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 xml:space="preserve">Reporte Anexo 6A (Calendario A) junio de 2019. </w:t>
      </w:r>
    </w:p>
    <w:p w14:paraId="6E0AA3B3"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Reporte Anexo 6A (Calendario A) abril de 2020</w:t>
      </w:r>
    </w:p>
    <w:p w14:paraId="293708E2"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Concepto Técnico de Viabilización de Planta No. 2015EE062642 del 19 de junio de 2015.</w:t>
      </w:r>
    </w:p>
    <w:p w14:paraId="3F5C8D82"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Concepto Técnico de Viabilización de Planta No. 2020-EE-256680 del 23 de diciembre de 2020.</w:t>
      </w:r>
    </w:p>
    <w:p w14:paraId="5CAD9209"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 xml:space="preserve">Reporte Anexo 6A (Calendario A) noviembre de 2021. </w:t>
      </w:r>
    </w:p>
    <w:p w14:paraId="09C84CFF"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Reporte Anexo 6A (Calendario A) junio de 2022.</w:t>
      </w:r>
    </w:p>
    <w:p w14:paraId="643E916D" w14:textId="77777777" w:rsidR="00273288" w:rsidRPr="00E33DE3" w:rsidRDefault="00273288" w:rsidP="00C65B25">
      <w:pPr>
        <w:pStyle w:val="Prrafodelista"/>
        <w:numPr>
          <w:ilvl w:val="0"/>
          <w:numId w:val="28"/>
        </w:numPr>
        <w:ind w:left="284" w:hanging="284"/>
        <w:jc w:val="both"/>
        <w:rPr>
          <w:rFonts w:ascii="Verdana" w:eastAsia="Arial" w:hAnsi="Verdana" w:cs="Arial"/>
          <w:sz w:val="22"/>
          <w:szCs w:val="22"/>
        </w:rPr>
      </w:pPr>
      <w:r w:rsidRPr="00E33DE3">
        <w:rPr>
          <w:rFonts w:ascii="Verdana" w:eastAsia="Calibri" w:hAnsi="Verdana" w:cs="Arial"/>
          <w:sz w:val="22"/>
          <w:szCs w:val="22"/>
          <w:lang w:eastAsia="en-US"/>
        </w:rPr>
        <w:t>Certificado de Disponibilidad</w:t>
      </w:r>
      <w:r w:rsidRPr="00E33DE3">
        <w:rPr>
          <w:rFonts w:ascii="Verdana" w:eastAsia="Arial" w:hAnsi="Verdana" w:cs="Arial"/>
          <w:sz w:val="22"/>
          <w:szCs w:val="22"/>
        </w:rPr>
        <w:t xml:space="preserve"> Presupuestal No. 2022001456 del 28 de enero del 2022.</w:t>
      </w:r>
    </w:p>
    <w:p w14:paraId="4F5DE4AE" w14:textId="77777777" w:rsidR="00273288" w:rsidRPr="00E33DE3" w:rsidRDefault="00273288" w:rsidP="00C65B25">
      <w:pPr>
        <w:jc w:val="both"/>
        <w:rPr>
          <w:rFonts w:ascii="Verdana" w:eastAsia="Arial" w:hAnsi="Verdana" w:cs="Arial"/>
          <w:sz w:val="22"/>
          <w:szCs w:val="22"/>
        </w:rPr>
      </w:pPr>
    </w:p>
    <w:p w14:paraId="601AB822" w14:textId="77777777" w:rsidR="00273288" w:rsidRPr="00E33DE3" w:rsidRDefault="00273288" w:rsidP="00C65B25">
      <w:pPr>
        <w:pStyle w:val="Ttulo3"/>
        <w:numPr>
          <w:ilvl w:val="0"/>
          <w:numId w:val="47"/>
        </w:numPr>
        <w:spacing w:before="0"/>
        <w:ind w:left="426" w:hanging="426"/>
        <w:jc w:val="both"/>
        <w:rPr>
          <w:rFonts w:ascii="Verdana" w:hAnsi="Verdana"/>
          <w:b/>
          <w:bCs/>
          <w:color w:val="auto"/>
          <w:sz w:val="22"/>
          <w:szCs w:val="22"/>
        </w:rPr>
      </w:pPr>
      <w:r w:rsidRPr="00E33DE3">
        <w:rPr>
          <w:rFonts w:ascii="Verdana" w:hAnsi="Verdana"/>
          <w:b/>
          <w:bCs/>
          <w:color w:val="auto"/>
          <w:sz w:val="22"/>
          <w:szCs w:val="22"/>
        </w:rPr>
        <w:lastRenderedPageBreak/>
        <w:t>Riesgo de contrato realidad.</w:t>
      </w:r>
    </w:p>
    <w:p w14:paraId="7C16D0C8" w14:textId="77777777" w:rsidR="00273288" w:rsidRPr="00E33DE3" w:rsidRDefault="00273288" w:rsidP="00C65B25">
      <w:pPr>
        <w:jc w:val="both"/>
        <w:rPr>
          <w:rFonts w:ascii="Verdana" w:hAnsi="Verdana" w:cs="Arial"/>
          <w:sz w:val="22"/>
          <w:szCs w:val="22"/>
          <w:lang w:val="es-ES_tradnl"/>
        </w:rPr>
      </w:pPr>
    </w:p>
    <w:p w14:paraId="12548018"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El artículo 53 de la Constitución Política de Colombia establece el principio de supremacía de la realidad sobre la forma en las relaciones laborales, lo cual significa que la realidad de un contrato se impone sobre el nombre y forma que las partes hayan acordado darle al mismo. Al respecto la sala laboral de la Corte suprema de justicia en sentencia 48448 del 25 de julio de 2018 con ponencia del magistrado Rigoberto Echeverri Bueno señaló:</w:t>
      </w:r>
    </w:p>
    <w:p w14:paraId="4EC2E0E0" w14:textId="77777777" w:rsidR="00273288" w:rsidRPr="00E33DE3" w:rsidRDefault="00273288" w:rsidP="00C65B25">
      <w:pPr>
        <w:jc w:val="both"/>
        <w:rPr>
          <w:rFonts w:ascii="Verdana" w:hAnsi="Verdana" w:cs="Arial"/>
          <w:sz w:val="22"/>
          <w:szCs w:val="22"/>
          <w:lang w:val="es-ES_tradnl"/>
        </w:rPr>
      </w:pPr>
    </w:p>
    <w:p w14:paraId="2539C825" w14:textId="77777777" w:rsidR="00273288" w:rsidRPr="00E33DE3" w:rsidRDefault="00273288" w:rsidP="00C65B25">
      <w:pPr>
        <w:ind w:left="567"/>
        <w:jc w:val="both"/>
        <w:rPr>
          <w:rFonts w:ascii="Verdana" w:hAnsi="Verdana" w:cs="Arial"/>
          <w:i/>
          <w:sz w:val="22"/>
          <w:szCs w:val="22"/>
          <w:lang w:val="es-ES_tradnl"/>
        </w:rPr>
      </w:pPr>
      <w:r w:rsidRPr="00E33DE3">
        <w:rPr>
          <w:rFonts w:ascii="Verdana" w:hAnsi="Verdana" w:cs="Arial"/>
          <w:sz w:val="22"/>
          <w:szCs w:val="22"/>
          <w:lang w:val="es-ES_tradnl"/>
        </w:rPr>
        <w:t>“</w:t>
      </w:r>
      <w:r w:rsidRPr="00E33DE3">
        <w:rPr>
          <w:rFonts w:ascii="Verdana" w:hAnsi="Verdana" w:cs="Arial"/>
          <w:i/>
          <w:sz w:val="22"/>
          <w:szCs w:val="22"/>
          <w:lang w:val="es-ES_tradnl"/>
        </w:rPr>
        <w:t>Precisado lo anterior, debe reiterar la Sala que aunque los contratos celebrados por las partes entre el 1 de octubre de 1999 y el 28 de febrero de 2004 tenían el rótulo de «contrato de prestación de servicios» u «orden de prestación de servicios», y en ellos se había manifestado que el actor tendría la calidad de contratista de la entidad para ejercer funciones como promotor en salud o educador en salud, ello constituye una formalidad establecida por los sujetos de la relación laboral, la cual no puede estar por</w:t>
      </w:r>
      <w:r w:rsidRPr="00E33DE3">
        <w:rPr>
          <w:rFonts w:ascii="Verdana" w:hAnsi="Verdana" w:cs="Arial"/>
          <w:i/>
          <w:iCs/>
          <w:color w:val="333333"/>
          <w:sz w:val="22"/>
          <w:szCs w:val="22"/>
          <w:shd w:val="clear" w:color="auto" w:fill="FFFFFF"/>
          <w:lang w:val="es-ES_tradnl"/>
        </w:rPr>
        <w:t xml:space="preserve"> </w:t>
      </w:r>
      <w:r w:rsidRPr="00E33DE3">
        <w:rPr>
          <w:rFonts w:ascii="Verdana" w:hAnsi="Verdana" w:cs="Arial"/>
          <w:i/>
          <w:sz w:val="22"/>
          <w:szCs w:val="22"/>
          <w:lang w:val="es-ES_tradnl"/>
        </w:rPr>
        <w:t>encima de lo que haya sido realmente el desarrollo material de la vinculación, pues es precisamente como se dio efectivamente la ejecución de ésta, lo que debe tener primacía frente a lo pactado por las partes, en virtud del principio constitucional de la prevalencia de la realidad sobre las formas. Justamente, este principio protege a la parte débil del vínculo, en este caso el trabajador, de cualquier posible manifestación de voluntad de éste relativa a desconocer los derechos y beneficios que le asisten en virtud de la legislación del trabajo, como lo expresó la Corte en sentencia CSJ SL8936-2015.”</w:t>
      </w:r>
    </w:p>
    <w:p w14:paraId="34BFF3F5" w14:textId="77777777" w:rsidR="00273288" w:rsidRPr="00E33DE3" w:rsidRDefault="00273288" w:rsidP="00C65B25">
      <w:pPr>
        <w:jc w:val="both"/>
        <w:rPr>
          <w:rFonts w:ascii="Verdana" w:hAnsi="Verdana" w:cs="Arial"/>
          <w:i/>
          <w:sz w:val="22"/>
          <w:szCs w:val="22"/>
          <w:lang w:val="es-ES_tradnl"/>
        </w:rPr>
      </w:pPr>
    </w:p>
    <w:p w14:paraId="42FEC08A" w14:textId="77777777" w:rsidR="00273288" w:rsidRPr="00E33DE3" w:rsidRDefault="00273288" w:rsidP="00C65B25">
      <w:pPr>
        <w:jc w:val="both"/>
        <w:rPr>
          <w:rFonts w:ascii="Verdana" w:hAnsi="Verdana" w:cs="Arial"/>
          <w:sz w:val="22"/>
          <w:szCs w:val="22"/>
          <w:lang w:val="es-ES_tradnl"/>
        </w:rPr>
      </w:pPr>
      <w:r w:rsidRPr="00E33DE3">
        <w:rPr>
          <w:rFonts w:ascii="Verdana" w:hAnsi="Verdana" w:cs="Arial"/>
          <w:sz w:val="22"/>
          <w:szCs w:val="22"/>
          <w:lang w:val="es-ES_tradnl"/>
        </w:rPr>
        <w:t>Sin embargo, para que exista una relación laboral se debe cumplir con tres requisitos mínimos planteados en el artículo 23 del código sustantivo de trabajo, así: (1) el servicio debe ser prestado personalmente por el mismo trabajador (prestación personal del servicio); (2) recibir una remuneración por la prestación personal del servicio; (3) en la ejecución del servicio debe presentarse una continuada subordinación del trabajador frente al empleador. En relación con esta última, la sala laboral de la Corte suprema de justicia en sentencia 63339 del 25 de julio de 2018 con ponencia de la magistrada Clara Cecilia Dueñas Quevedo afirmó:</w:t>
      </w:r>
    </w:p>
    <w:p w14:paraId="422D535C" w14:textId="77777777" w:rsidR="00273288" w:rsidRPr="00E33DE3" w:rsidRDefault="00273288" w:rsidP="00C65B25">
      <w:pPr>
        <w:ind w:left="708"/>
        <w:jc w:val="both"/>
        <w:rPr>
          <w:rFonts w:ascii="Verdana" w:hAnsi="Verdana" w:cs="Arial"/>
          <w:i/>
          <w:sz w:val="22"/>
          <w:szCs w:val="22"/>
          <w:lang w:val="es-ES_tradnl"/>
        </w:rPr>
      </w:pPr>
    </w:p>
    <w:p w14:paraId="5FE3D978" w14:textId="77777777" w:rsidR="00273288" w:rsidRPr="00E33DE3" w:rsidRDefault="00273288" w:rsidP="00C65B25">
      <w:pPr>
        <w:ind w:left="567"/>
        <w:jc w:val="both"/>
        <w:rPr>
          <w:rFonts w:ascii="Verdana" w:hAnsi="Verdana" w:cs="Arial"/>
          <w:i/>
          <w:sz w:val="22"/>
          <w:szCs w:val="22"/>
          <w:lang w:val="es-ES_tradnl"/>
        </w:rPr>
      </w:pPr>
      <w:r w:rsidRPr="00E33DE3">
        <w:rPr>
          <w:rFonts w:ascii="Verdana" w:hAnsi="Verdana" w:cs="Arial"/>
          <w:i/>
          <w:sz w:val="22"/>
          <w:szCs w:val="22"/>
          <w:lang w:val="es-ES_tradnl"/>
        </w:rPr>
        <w:t>“Advierte la Sala que si bien en un convenio de prestación de servicios, el contratante o la persona que este designe para su coordinación puede dar algunas indicaciones al contratista para la ejecución de las labores a desarrollar, aquellas deben generarse en un marco que no elimine la independencia y autonomía de este, de modo que es la forma en que se ejecute la relación de trabajo entre las partes lo que determina si se trata de un verdadero contratista o de un trabajador subordinado, en virtud de la aplicación del mencionado principio de la primacía de la realidad sobre las formas contractuales.”</w:t>
      </w:r>
    </w:p>
    <w:p w14:paraId="431AC3C2" w14:textId="77777777" w:rsidR="00273288" w:rsidRPr="00E33DE3" w:rsidRDefault="00273288" w:rsidP="00C65B25">
      <w:pPr>
        <w:jc w:val="both"/>
        <w:rPr>
          <w:rFonts w:ascii="Verdana" w:hAnsi="Verdana" w:cs="Arial"/>
          <w:i/>
          <w:sz w:val="22"/>
          <w:szCs w:val="22"/>
          <w:lang w:val="es-ES_tradnl"/>
        </w:rPr>
      </w:pPr>
    </w:p>
    <w:p w14:paraId="74D4CA48" w14:textId="77777777" w:rsidR="00273288" w:rsidRPr="00E33DE3" w:rsidRDefault="00273288" w:rsidP="00C65B25">
      <w:pPr>
        <w:jc w:val="both"/>
        <w:rPr>
          <w:rFonts w:ascii="Verdana" w:hAnsi="Verdana" w:cs="Arial"/>
          <w:sz w:val="22"/>
          <w:szCs w:val="22"/>
          <w:lang w:val="es-ES_tradnl"/>
        </w:rPr>
      </w:pPr>
      <w:r w:rsidRPr="00E33DE3">
        <w:rPr>
          <w:rFonts w:ascii="Verdana" w:hAnsi="Verdana" w:cs="Arial"/>
          <w:sz w:val="22"/>
          <w:szCs w:val="22"/>
          <w:lang w:val="es-ES_tradnl"/>
        </w:rPr>
        <w:t>Así, cumplidos los requisitos antes mencionados, solo basta con que el trabajador reclame su derecho ante el juez, y es responsabilidad del empleador desvirtuar la presunción a favor que ante la ley existe para el trabajador. A su turno, la sala laboral de la Corte suprema de justicia en sentencia No. 52358 del 3 de mayo de 2018 con ponencia del magistrado Rigoberto Echeverri Bueno afirmó:</w:t>
      </w:r>
    </w:p>
    <w:p w14:paraId="22612013" w14:textId="77777777" w:rsidR="00273288" w:rsidRPr="00E33DE3" w:rsidRDefault="00273288" w:rsidP="00C65B25">
      <w:pPr>
        <w:jc w:val="both"/>
        <w:rPr>
          <w:rFonts w:ascii="Verdana" w:hAnsi="Verdana" w:cs="Arial"/>
          <w:sz w:val="22"/>
          <w:szCs w:val="22"/>
          <w:lang w:val="es-ES_tradnl"/>
        </w:rPr>
      </w:pPr>
    </w:p>
    <w:p w14:paraId="03182C62" w14:textId="77777777" w:rsidR="00273288" w:rsidRPr="00E33DE3" w:rsidRDefault="00273288" w:rsidP="00C65B25">
      <w:pPr>
        <w:ind w:left="567"/>
        <w:jc w:val="both"/>
        <w:rPr>
          <w:rFonts w:ascii="Verdana" w:eastAsia="Times New Roman" w:hAnsi="Verdana"/>
          <w:i/>
          <w:color w:val="333333"/>
          <w:sz w:val="22"/>
          <w:szCs w:val="22"/>
        </w:rPr>
      </w:pPr>
      <w:r w:rsidRPr="00E33DE3">
        <w:rPr>
          <w:rFonts w:ascii="Verdana" w:hAnsi="Verdana" w:cs="Arial"/>
          <w:i/>
          <w:sz w:val="22"/>
          <w:szCs w:val="22"/>
          <w:lang w:val="es-ES_tradnl"/>
        </w:rPr>
        <w:t>“Reitera que, para este tipo de casos, al demandante le bastaba con probar la prestación o la actividad personal para que se presumiera la existencia del contrato de trabajo y era al empleador a quien correspondía desvirtuarla.”</w:t>
      </w:r>
    </w:p>
    <w:p w14:paraId="516B56E9" w14:textId="77777777" w:rsidR="00273288" w:rsidRPr="00E33DE3" w:rsidRDefault="00273288" w:rsidP="00C65B25">
      <w:pPr>
        <w:jc w:val="both"/>
        <w:rPr>
          <w:rFonts w:ascii="Verdana" w:hAnsi="Verdana" w:cs="Arial"/>
          <w:sz w:val="22"/>
          <w:szCs w:val="22"/>
          <w:lang w:val="es-ES_tradnl"/>
        </w:rPr>
      </w:pPr>
    </w:p>
    <w:p w14:paraId="1DF2020A" w14:textId="77777777" w:rsidR="00273288" w:rsidRPr="00E33DE3" w:rsidRDefault="00273288" w:rsidP="00C65B25">
      <w:pPr>
        <w:jc w:val="both"/>
        <w:rPr>
          <w:rFonts w:ascii="Verdana" w:hAnsi="Verdana" w:cs="Arial"/>
          <w:sz w:val="22"/>
          <w:szCs w:val="22"/>
          <w:lang w:val="es-ES_tradnl"/>
        </w:rPr>
      </w:pPr>
      <w:r w:rsidRPr="00E33DE3">
        <w:rPr>
          <w:rFonts w:ascii="Verdana" w:hAnsi="Verdana" w:cs="Arial"/>
          <w:sz w:val="22"/>
          <w:szCs w:val="22"/>
          <w:lang w:val="es-ES_tradnl"/>
        </w:rPr>
        <w:t xml:space="preserve">En consecuencia, de no ser desvirtuada la petición hecha por el trabajador, el empleador adeuda al mismo todos los conceptos laborales derivados del contrato, como lo son: prestaciones sociales, indemnizaciones (si hay a lugar), entre otros. </w:t>
      </w:r>
    </w:p>
    <w:p w14:paraId="6844F87F" w14:textId="77777777" w:rsidR="00273288" w:rsidRPr="00E33DE3" w:rsidRDefault="00273288" w:rsidP="00C65B25">
      <w:pPr>
        <w:jc w:val="both"/>
        <w:rPr>
          <w:rFonts w:ascii="Verdana" w:hAnsi="Verdana" w:cs="Arial"/>
          <w:sz w:val="22"/>
          <w:szCs w:val="22"/>
          <w:lang w:val="es-ES_tradnl"/>
        </w:rPr>
      </w:pPr>
    </w:p>
    <w:p w14:paraId="38FE0930" w14:textId="77777777" w:rsidR="00273288" w:rsidRPr="00E33DE3" w:rsidRDefault="00273288" w:rsidP="00C65B25">
      <w:pPr>
        <w:jc w:val="both"/>
        <w:rPr>
          <w:rFonts w:ascii="Verdana" w:hAnsi="Verdana" w:cs="Arial"/>
          <w:sz w:val="22"/>
          <w:szCs w:val="22"/>
          <w:lang w:val="es-ES_tradnl"/>
        </w:rPr>
      </w:pPr>
      <w:r w:rsidRPr="00E33DE3">
        <w:rPr>
          <w:rFonts w:ascii="Verdana" w:hAnsi="Verdana" w:cs="Arial"/>
          <w:sz w:val="22"/>
          <w:szCs w:val="22"/>
          <w:lang w:val="es-ES_tradnl"/>
        </w:rPr>
        <w:t>De acuerdo con los listados de contratación enviado por la Entidad Territorial, se detectó la existencia de múltiples contratos de prestación de servicios con el objeto de “</w:t>
      </w:r>
      <w:r w:rsidRPr="00E33DE3">
        <w:rPr>
          <w:rFonts w:ascii="Verdana" w:hAnsi="Verdana" w:cs="Arial"/>
          <w:i/>
          <w:sz w:val="22"/>
          <w:szCs w:val="22"/>
          <w:lang w:val="es-ES_tradnl"/>
        </w:rPr>
        <w:t>'El/La contratista se compromete para con el Municipio a prestar sus servicios de apoyo a la gestión de la Secretaría de Educación, para las C.E.M. y/o I.E.M., con idoneidad y capacidad según los requerimientos de la dependencia y en cumplimiento de funciones de la misma, con el fin de que coadyuve al logro de metas y objetivos institucionales como conserje”</w:t>
      </w:r>
      <w:r w:rsidRPr="00E33DE3">
        <w:rPr>
          <w:rFonts w:ascii="Verdana" w:hAnsi="Verdana" w:cs="Arial"/>
          <w:sz w:val="22"/>
          <w:szCs w:val="22"/>
          <w:lang w:val="es-ES_tradnl"/>
        </w:rPr>
        <w:t>. En la siguiente tabla se puede observar el número de contratos suscritos para cada vigencia:</w:t>
      </w:r>
    </w:p>
    <w:p w14:paraId="04B3433E" w14:textId="77777777" w:rsidR="00273288" w:rsidRPr="00E33DE3" w:rsidRDefault="00273288" w:rsidP="00C65B25">
      <w:pPr>
        <w:jc w:val="both"/>
        <w:rPr>
          <w:rFonts w:ascii="Verdana" w:hAnsi="Verdana" w:cs="Arial"/>
          <w:sz w:val="22"/>
          <w:szCs w:val="22"/>
          <w:lang w:val="es-ES_tradnl"/>
        </w:rPr>
      </w:pPr>
    </w:p>
    <w:tbl>
      <w:tblPr>
        <w:tblW w:w="8985" w:type="dxa"/>
        <w:tblLayout w:type="fixed"/>
        <w:tblCellMar>
          <w:left w:w="70" w:type="dxa"/>
          <w:right w:w="70" w:type="dxa"/>
        </w:tblCellMar>
        <w:tblLook w:val="04A0" w:firstRow="1" w:lastRow="0" w:firstColumn="1" w:lastColumn="0" w:noHBand="0" w:noVBand="1"/>
      </w:tblPr>
      <w:tblGrid>
        <w:gridCol w:w="1275"/>
        <w:gridCol w:w="1141"/>
        <w:gridCol w:w="2000"/>
        <w:gridCol w:w="1537"/>
        <w:gridCol w:w="1636"/>
        <w:gridCol w:w="1396"/>
      </w:tblGrid>
      <w:tr w:rsidR="00273288" w:rsidRPr="00E33DE3" w14:paraId="16E7DADA" w14:textId="77777777" w:rsidTr="00E33DE3">
        <w:trPr>
          <w:trHeight w:val="20"/>
          <w:tblHeader/>
        </w:trPr>
        <w:tc>
          <w:tcPr>
            <w:tcW w:w="1275" w:type="dxa"/>
            <w:tcBorders>
              <w:top w:val="single" w:sz="4" w:space="0" w:color="auto"/>
              <w:left w:val="single" w:sz="4" w:space="0" w:color="auto"/>
              <w:bottom w:val="single" w:sz="4" w:space="0" w:color="auto"/>
              <w:right w:val="single" w:sz="4" w:space="0" w:color="auto"/>
            </w:tcBorders>
            <w:shd w:val="clear" w:color="auto" w:fill="B48C41"/>
            <w:vAlign w:val="center"/>
            <w:hideMark/>
          </w:tcPr>
          <w:p w14:paraId="6C275BF7" w14:textId="77777777" w:rsidR="00273288" w:rsidRPr="00E33DE3" w:rsidRDefault="00273288" w:rsidP="00C65B25">
            <w:pPr>
              <w:jc w:val="center"/>
              <w:rPr>
                <w:rFonts w:ascii="Verdana" w:eastAsia="Times New Roman" w:hAnsi="Verdana" w:cs="Arial"/>
                <w:b/>
                <w:bCs/>
                <w:color w:val="FFFFFF" w:themeColor="background1"/>
                <w:sz w:val="18"/>
                <w:szCs w:val="18"/>
                <w:lang w:eastAsia="es-CO"/>
              </w:rPr>
            </w:pPr>
            <w:r w:rsidRPr="00E33DE3">
              <w:rPr>
                <w:rFonts w:ascii="Verdana" w:eastAsia="Times New Roman" w:hAnsi="Verdana" w:cs="Arial"/>
                <w:b/>
                <w:bCs/>
                <w:color w:val="FFFFFF" w:themeColor="background1"/>
                <w:sz w:val="18"/>
                <w:szCs w:val="18"/>
                <w:lang w:eastAsia="es-CO"/>
              </w:rPr>
              <w:t>Vigencia</w:t>
            </w:r>
          </w:p>
        </w:tc>
        <w:tc>
          <w:tcPr>
            <w:tcW w:w="1140" w:type="dxa"/>
            <w:tcBorders>
              <w:top w:val="single" w:sz="4" w:space="0" w:color="auto"/>
              <w:left w:val="single" w:sz="4" w:space="0" w:color="auto"/>
              <w:bottom w:val="single" w:sz="4" w:space="0" w:color="auto"/>
              <w:right w:val="single" w:sz="4" w:space="0" w:color="auto"/>
            </w:tcBorders>
            <w:shd w:val="clear" w:color="auto" w:fill="B48C41"/>
            <w:vAlign w:val="center"/>
            <w:hideMark/>
          </w:tcPr>
          <w:p w14:paraId="3D0006A5" w14:textId="77777777" w:rsidR="00273288" w:rsidRPr="00E33DE3" w:rsidRDefault="00273288" w:rsidP="00C65B25">
            <w:pPr>
              <w:jc w:val="center"/>
              <w:rPr>
                <w:rFonts w:ascii="Verdana" w:eastAsia="Times New Roman" w:hAnsi="Verdana" w:cs="Arial"/>
                <w:b/>
                <w:bCs/>
                <w:color w:val="FFFFFF" w:themeColor="background1"/>
                <w:sz w:val="18"/>
                <w:szCs w:val="18"/>
                <w:lang w:eastAsia="es-CO"/>
              </w:rPr>
            </w:pPr>
            <w:r w:rsidRPr="00E33DE3">
              <w:rPr>
                <w:rFonts w:ascii="Verdana" w:eastAsia="Times New Roman" w:hAnsi="Verdana" w:cs="Arial"/>
                <w:b/>
                <w:bCs/>
                <w:color w:val="FFFFFF" w:themeColor="background1"/>
                <w:sz w:val="18"/>
                <w:szCs w:val="18"/>
                <w:lang w:eastAsia="es-CO"/>
              </w:rPr>
              <w:t>No. de Contratos</w:t>
            </w:r>
          </w:p>
        </w:tc>
        <w:tc>
          <w:tcPr>
            <w:tcW w:w="1999" w:type="dxa"/>
            <w:tcBorders>
              <w:top w:val="single" w:sz="4" w:space="0" w:color="auto"/>
              <w:left w:val="single" w:sz="4" w:space="0" w:color="auto"/>
              <w:bottom w:val="single" w:sz="4" w:space="0" w:color="auto"/>
              <w:right w:val="single" w:sz="4" w:space="0" w:color="auto"/>
            </w:tcBorders>
            <w:shd w:val="clear" w:color="auto" w:fill="B48C41"/>
            <w:vAlign w:val="center"/>
            <w:hideMark/>
          </w:tcPr>
          <w:p w14:paraId="450BC1C8" w14:textId="77777777" w:rsidR="00273288" w:rsidRPr="00E33DE3" w:rsidRDefault="00273288" w:rsidP="00C65B25">
            <w:pPr>
              <w:jc w:val="center"/>
              <w:rPr>
                <w:rFonts w:ascii="Verdana" w:eastAsia="Times New Roman" w:hAnsi="Verdana" w:cs="Arial"/>
                <w:b/>
                <w:bCs/>
                <w:color w:val="FFFFFF" w:themeColor="background1"/>
                <w:sz w:val="18"/>
                <w:szCs w:val="18"/>
                <w:lang w:eastAsia="es-CO"/>
              </w:rPr>
            </w:pPr>
            <w:r w:rsidRPr="00E33DE3">
              <w:rPr>
                <w:rFonts w:ascii="Verdana" w:eastAsia="Times New Roman" w:hAnsi="Verdana" w:cs="Arial"/>
                <w:b/>
                <w:bCs/>
                <w:color w:val="FFFFFF" w:themeColor="background1"/>
                <w:sz w:val="18"/>
                <w:szCs w:val="18"/>
                <w:lang w:eastAsia="es-CO"/>
              </w:rPr>
              <w:t>Objeto del Contrato</w:t>
            </w:r>
          </w:p>
        </w:tc>
        <w:tc>
          <w:tcPr>
            <w:tcW w:w="1536" w:type="dxa"/>
            <w:tcBorders>
              <w:top w:val="single" w:sz="4" w:space="0" w:color="auto"/>
              <w:left w:val="single" w:sz="4" w:space="0" w:color="auto"/>
              <w:bottom w:val="single" w:sz="4" w:space="0" w:color="auto"/>
              <w:right w:val="single" w:sz="4" w:space="0" w:color="auto"/>
            </w:tcBorders>
            <w:shd w:val="clear" w:color="auto" w:fill="B48C41"/>
            <w:vAlign w:val="center"/>
            <w:hideMark/>
          </w:tcPr>
          <w:p w14:paraId="6F15E753" w14:textId="77777777" w:rsidR="00273288" w:rsidRPr="00E33DE3" w:rsidRDefault="00273288" w:rsidP="00C65B25">
            <w:pPr>
              <w:jc w:val="center"/>
              <w:rPr>
                <w:rFonts w:ascii="Verdana" w:eastAsia="Times New Roman" w:hAnsi="Verdana" w:cs="Arial"/>
                <w:b/>
                <w:bCs/>
                <w:color w:val="FFFFFF" w:themeColor="background1"/>
                <w:sz w:val="18"/>
                <w:szCs w:val="18"/>
                <w:lang w:eastAsia="es-CO"/>
              </w:rPr>
            </w:pPr>
            <w:r w:rsidRPr="00E33DE3">
              <w:rPr>
                <w:rFonts w:ascii="Verdana" w:eastAsia="Times New Roman" w:hAnsi="Verdana" w:cs="Arial"/>
                <w:b/>
                <w:bCs/>
                <w:color w:val="FFFFFF" w:themeColor="background1"/>
                <w:sz w:val="18"/>
                <w:szCs w:val="18"/>
                <w:lang w:eastAsia="es-CO"/>
              </w:rPr>
              <w:t>Fuente</w:t>
            </w:r>
            <w:r w:rsidRPr="00E33DE3">
              <w:rPr>
                <w:rFonts w:ascii="Verdana" w:hAnsi="Verdana"/>
              </w:rPr>
              <w:br/>
            </w:r>
          </w:p>
        </w:tc>
        <w:tc>
          <w:tcPr>
            <w:tcW w:w="1635" w:type="dxa"/>
            <w:tcBorders>
              <w:top w:val="single" w:sz="4" w:space="0" w:color="auto"/>
              <w:left w:val="single" w:sz="4" w:space="0" w:color="auto"/>
              <w:bottom w:val="single" w:sz="4" w:space="0" w:color="auto"/>
              <w:right w:val="single" w:sz="4" w:space="0" w:color="auto"/>
            </w:tcBorders>
            <w:shd w:val="clear" w:color="auto" w:fill="B48C41"/>
            <w:vAlign w:val="center"/>
            <w:hideMark/>
          </w:tcPr>
          <w:p w14:paraId="36585AE8" w14:textId="77777777" w:rsidR="00273288" w:rsidRPr="00E33DE3" w:rsidRDefault="00273288" w:rsidP="00C65B25">
            <w:pPr>
              <w:jc w:val="center"/>
              <w:rPr>
                <w:rFonts w:ascii="Verdana" w:eastAsia="Times New Roman" w:hAnsi="Verdana" w:cs="Arial"/>
                <w:b/>
                <w:bCs/>
                <w:color w:val="FFFFFF" w:themeColor="background1"/>
                <w:sz w:val="18"/>
                <w:szCs w:val="18"/>
                <w:lang w:eastAsia="es-CO"/>
              </w:rPr>
            </w:pPr>
            <w:r w:rsidRPr="00E33DE3">
              <w:rPr>
                <w:rFonts w:ascii="Verdana" w:eastAsia="Times New Roman" w:hAnsi="Verdana" w:cs="Arial"/>
                <w:b/>
                <w:bCs/>
                <w:color w:val="FFFFFF" w:themeColor="background1"/>
                <w:sz w:val="18"/>
                <w:szCs w:val="18"/>
                <w:lang w:eastAsia="es-CO"/>
              </w:rPr>
              <w:t>Identificación Presupuestal</w:t>
            </w:r>
          </w:p>
        </w:tc>
        <w:tc>
          <w:tcPr>
            <w:tcW w:w="1395" w:type="dxa"/>
            <w:tcBorders>
              <w:top w:val="single" w:sz="4" w:space="0" w:color="auto"/>
              <w:left w:val="single" w:sz="4" w:space="0" w:color="auto"/>
              <w:bottom w:val="single" w:sz="4" w:space="0" w:color="auto"/>
              <w:right w:val="single" w:sz="4" w:space="0" w:color="auto"/>
            </w:tcBorders>
            <w:shd w:val="clear" w:color="auto" w:fill="B48C41"/>
            <w:vAlign w:val="center"/>
            <w:hideMark/>
          </w:tcPr>
          <w:p w14:paraId="76A44494" w14:textId="77777777" w:rsidR="00273288" w:rsidRPr="00E33DE3" w:rsidRDefault="00273288" w:rsidP="00C65B25">
            <w:pPr>
              <w:jc w:val="center"/>
              <w:rPr>
                <w:rFonts w:ascii="Verdana" w:eastAsia="Times New Roman" w:hAnsi="Verdana" w:cs="Arial"/>
                <w:b/>
                <w:bCs/>
                <w:color w:val="FFFFFF" w:themeColor="background1"/>
                <w:sz w:val="18"/>
                <w:szCs w:val="18"/>
                <w:lang w:eastAsia="es-CO"/>
              </w:rPr>
            </w:pPr>
            <w:r w:rsidRPr="00E33DE3">
              <w:rPr>
                <w:rFonts w:ascii="Verdana" w:eastAsia="Times New Roman" w:hAnsi="Verdana" w:cs="Arial"/>
                <w:b/>
                <w:bCs/>
                <w:color w:val="FFFFFF" w:themeColor="background1"/>
                <w:sz w:val="18"/>
                <w:szCs w:val="18"/>
                <w:lang w:eastAsia="es-CO"/>
              </w:rPr>
              <w:t xml:space="preserve">Valor de cada Contrato </w:t>
            </w:r>
            <w:r w:rsidRPr="00E33DE3">
              <w:rPr>
                <w:rFonts w:ascii="Verdana" w:hAnsi="Verdana"/>
              </w:rPr>
              <w:br/>
            </w:r>
            <w:r w:rsidRPr="00E33DE3">
              <w:rPr>
                <w:rFonts w:ascii="Verdana" w:eastAsia="Times New Roman" w:hAnsi="Verdana" w:cs="Arial"/>
                <w:b/>
                <w:bCs/>
                <w:color w:val="FFFFFF" w:themeColor="background1"/>
                <w:sz w:val="18"/>
                <w:szCs w:val="18"/>
                <w:lang w:eastAsia="es-CO"/>
              </w:rPr>
              <w:t xml:space="preserve">(Valor En Pesos) </w:t>
            </w:r>
          </w:p>
        </w:tc>
      </w:tr>
      <w:tr w:rsidR="00273288" w:rsidRPr="00E33DE3" w14:paraId="22E0130F" w14:textId="77777777" w:rsidTr="00E33DE3">
        <w:trPr>
          <w:trHeight w:val="20"/>
        </w:trPr>
        <w:tc>
          <w:tcPr>
            <w:tcW w:w="1275" w:type="dxa"/>
            <w:tcBorders>
              <w:top w:val="single" w:sz="4" w:space="0" w:color="auto"/>
              <w:left w:val="single" w:sz="4" w:space="0" w:color="auto"/>
              <w:bottom w:val="single" w:sz="4" w:space="0" w:color="auto"/>
              <w:right w:val="single" w:sz="4" w:space="0" w:color="auto"/>
            </w:tcBorders>
            <w:vAlign w:val="center"/>
            <w:hideMark/>
          </w:tcPr>
          <w:p w14:paraId="57C3A50D" w14:textId="77777777" w:rsidR="00273288" w:rsidRPr="00E33DE3" w:rsidRDefault="00273288" w:rsidP="00C65B25">
            <w:pPr>
              <w:rPr>
                <w:rFonts w:ascii="Verdana" w:eastAsia="Times New Roman" w:hAnsi="Verdana" w:cs="Arial"/>
                <w:color w:val="000000"/>
                <w:sz w:val="18"/>
                <w:szCs w:val="18"/>
                <w:lang w:eastAsia="es-CO"/>
              </w:rPr>
            </w:pPr>
            <w:r w:rsidRPr="00E33DE3">
              <w:rPr>
                <w:rFonts w:ascii="Verdana" w:eastAsia="Times New Roman" w:hAnsi="Verdana" w:cs="Arial"/>
                <w:color w:val="000000" w:themeColor="text1"/>
                <w:sz w:val="18"/>
                <w:szCs w:val="18"/>
                <w:lang w:eastAsia="es-CO"/>
              </w:rPr>
              <w:t>2018</w:t>
            </w:r>
          </w:p>
        </w:tc>
        <w:tc>
          <w:tcPr>
            <w:tcW w:w="1140" w:type="dxa"/>
            <w:tcBorders>
              <w:top w:val="single" w:sz="4" w:space="0" w:color="auto"/>
              <w:left w:val="single" w:sz="4" w:space="0" w:color="auto"/>
              <w:bottom w:val="single" w:sz="4" w:space="0" w:color="auto"/>
              <w:right w:val="single" w:sz="4" w:space="0" w:color="auto"/>
            </w:tcBorders>
            <w:vAlign w:val="center"/>
            <w:hideMark/>
          </w:tcPr>
          <w:p w14:paraId="079FC4FC" w14:textId="77777777" w:rsidR="00273288" w:rsidRPr="00E33DE3" w:rsidRDefault="00273288" w:rsidP="00C65B25">
            <w:pPr>
              <w:jc w:val="center"/>
              <w:rPr>
                <w:rFonts w:ascii="Verdana" w:eastAsia="Times New Roman" w:hAnsi="Verdana" w:cs="Arial"/>
                <w:color w:val="000000"/>
                <w:sz w:val="18"/>
                <w:szCs w:val="18"/>
                <w:lang w:eastAsia="es-CO"/>
              </w:rPr>
            </w:pPr>
            <w:r w:rsidRPr="00E33DE3">
              <w:rPr>
                <w:rFonts w:ascii="Verdana" w:eastAsia="Times New Roman" w:hAnsi="Verdana" w:cs="Arial"/>
                <w:color w:val="000000" w:themeColor="text1"/>
                <w:sz w:val="18"/>
                <w:szCs w:val="18"/>
                <w:lang w:eastAsia="es-CO"/>
              </w:rPr>
              <w:t>182</w:t>
            </w:r>
          </w:p>
        </w:tc>
        <w:tc>
          <w:tcPr>
            <w:tcW w:w="1999" w:type="dxa"/>
            <w:vMerge w:val="restart"/>
            <w:tcBorders>
              <w:top w:val="single" w:sz="4" w:space="0" w:color="auto"/>
              <w:left w:val="single" w:sz="4" w:space="0" w:color="auto"/>
              <w:bottom w:val="single" w:sz="4" w:space="0" w:color="000000" w:themeColor="text1"/>
              <w:right w:val="single" w:sz="4" w:space="0" w:color="000000"/>
            </w:tcBorders>
            <w:noWrap/>
            <w:vAlign w:val="center"/>
            <w:hideMark/>
          </w:tcPr>
          <w:p w14:paraId="1754A22F" w14:textId="77777777" w:rsidR="00273288" w:rsidRPr="00E33DE3" w:rsidRDefault="00273288" w:rsidP="00C65B25">
            <w:pPr>
              <w:jc w:val="center"/>
              <w:rPr>
                <w:rFonts w:ascii="Verdana" w:eastAsia="Times New Roman" w:hAnsi="Verdana" w:cs="Arial"/>
                <w:color w:val="000000"/>
                <w:sz w:val="18"/>
                <w:szCs w:val="18"/>
                <w:lang w:eastAsia="es-CO"/>
              </w:rPr>
            </w:pPr>
            <w:r w:rsidRPr="00E33DE3">
              <w:rPr>
                <w:rFonts w:ascii="Verdana" w:eastAsia="Times New Roman" w:hAnsi="Verdana" w:cs="Arial"/>
                <w:color w:val="000000" w:themeColor="text1"/>
                <w:sz w:val="18"/>
                <w:szCs w:val="18"/>
                <w:lang w:eastAsia="es-CO"/>
              </w:rPr>
              <w:t xml:space="preserve">El contratista se compromete para con el Municipio a prestar sus servicios de apoyo a la gestión, con sus propios medios y con plena autonomía técnica y administrativa como personal de logística y aseo a la Secretaría de Educación en las IEM y CEM, con idoneidad y </w:t>
            </w:r>
            <w:r w:rsidRPr="00E33DE3">
              <w:rPr>
                <w:rFonts w:ascii="Verdana" w:eastAsia="Times New Roman" w:hAnsi="Verdana" w:cs="Arial"/>
                <w:color w:val="000000" w:themeColor="text1"/>
                <w:sz w:val="18"/>
                <w:szCs w:val="18"/>
                <w:lang w:eastAsia="es-CO"/>
              </w:rPr>
              <w:lastRenderedPageBreak/>
              <w:t>capacidad según los requerimientos de la dependencia y en cumplimiento de funciones de la misma, con el fin de que coadyuve al logro de metas y objetivos institucionales de apoyo a la gestión contemplados</w:t>
            </w:r>
          </w:p>
        </w:tc>
        <w:tc>
          <w:tcPr>
            <w:tcW w:w="1536" w:type="dxa"/>
            <w:tcBorders>
              <w:top w:val="single" w:sz="4" w:space="0" w:color="auto"/>
              <w:left w:val="single" w:sz="4" w:space="0" w:color="000000"/>
              <w:bottom w:val="single" w:sz="4" w:space="0" w:color="auto"/>
              <w:right w:val="single" w:sz="4" w:space="0" w:color="auto"/>
            </w:tcBorders>
            <w:noWrap/>
            <w:vAlign w:val="center"/>
            <w:hideMark/>
          </w:tcPr>
          <w:p w14:paraId="24DEA61D" w14:textId="77777777" w:rsidR="00273288" w:rsidRPr="00E33DE3" w:rsidRDefault="00273288" w:rsidP="00C65B25">
            <w:pPr>
              <w:rPr>
                <w:rFonts w:ascii="Verdana" w:eastAsia="Times New Roman" w:hAnsi="Verdana" w:cs="Arial"/>
                <w:color w:val="000000"/>
                <w:sz w:val="18"/>
                <w:szCs w:val="18"/>
                <w:lang w:eastAsia="es-CO"/>
              </w:rPr>
            </w:pPr>
            <w:r w:rsidRPr="00E33DE3">
              <w:rPr>
                <w:rFonts w:ascii="Verdana" w:eastAsia="Times New Roman" w:hAnsi="Verdana" w:cs="Arial"/>
                <w:color w:val="000000" w:themeColor="text1"/>
                <w:sz w:val="18"/>
                <w:szCs w:val="18"/>
                <w:lang w:eastAsia="es-CO"/>
              </w:rPr>
              <w:lastRenderedPageBreak/>
              <w:t xml:space="preserve">SGP </w:t>
            </w:r>
          </w:p>
        </w:tc>
        <w:tc>
          <w:tcPr>
            <w:tcW w:w="1635" w:type="dxa"/>
            <w:tcBorders>
              <w:top w:val="single" w:sz="4" w:space="0" w:color="auto"/>
              <w:left w:val="single" w:sz="4" w:space="0" w:color="auto"/>
              <w:bottom w:val="single" w:sz="4" w:space="0" w:color="auto"/>
              <w:right w:val="single" w:sz="4" w:space="0" w:color="auto"/>
            </w:tcBorders>
            <w:vAlign w:val="center"/>
            <w:hideMark/>
          </w:tcPr>
          <w:p w14:paraId="0C97737D" w14:textId="77777777" w:rsidR="00273288" w:rsidRPr="00E33DE3" w:rsidRDefault="00273288" w:rsidP="00C65B25">
            <w:pPr>
              <w:rPr>
                <w:rFonts w:ascii="Verdana" w:eastAsia="Times New Roman" w:hAnsi="Verdana" w:cs="Arial"/>
                <w:color w:val="000000"/>
                <w:sz w:val="18"/>
                <w:szCs w:val="18"/>
                <w:lang w:eastAsia="es-CO"/>
              </w:rPr>
            </w:pPr>
            <w:r w:rsidRPr="00E33DE3">
              <w:rPr>
                <w:rFonts w:ascii="Verdana" w:eastAsia="Times New Roman" w:hAnsi="Verdana" w:cs="Arial"/>
                <w:color w:val="000000" w:themeColor="text1"/>
                <w:sz w:val="18"/>
                <w:szCs w:val="18"/>
                <w:lang w:eastAsia="es-CO"/>
              </w:rPr>
              <w:t>2.3.01.01.01.01.241</w:t>
            </w:r>
          </w:p>
        </w:tc>
        <w:tc>
          <w:tcPr>
            <w:tcW w:w="1395" w:type="dxa"/>
            <w:tcBorders>
              <w:top w:val="single" w:sz="4" w:space="0" w:color="auto"/>
              <w:left w:val="single" w:sz="4" w:space="0" w:color="auto"/>
              <w:bottom w:val="single" w:sz="4" w:space="0" w:color="auto"/>
              <w:right w:val="single" w:sz="4" w:space="0" w:color="auto"/>
            </w:tcBorders>
            <w:noWrap/>
            <w:vAlign w:val="center"/>
            <w:hideMark/>
          </w:tcPr>
          <w:p w14:paraId="29364ACB" w14:textId="77777777" w:rsidR="00273288" w:rsidRPr="00E33DE3" w:rsidRDefault="00273288" w:rsidP="00C65B25">
            <w:pPr>
              <w:jc w:val="right"/>
              <w:rPr>
                <w:rFonts w:ascii="Verdana" w:eastAsia="Times New Roman" w:hAnsi="Verdana" w:cs="Arial"/>
                <w:color w:val="000000"/>
                <w:sz w:val="18"/>
                <w:szCs w:val="18"/>
                <w:lang w:eastAsia="es-CO"/>
              </w:rPr>
            </w:pPr>
            <w:r w:rsidRPr="00E33DE3">
              <w:rPr>
                <w:rFonts w:ascii="Verdana" w:eastAsia="Times New Roman" w:hAnsi="Verdana" w:cs="Arial"/>
                <w:color w:val="000000" w:themeColor="text1"/>
                <w:sz w:val="18"/>
                <w:szCs w:val="18"/>
                <w:lang w:eastAsia="es-CO"/>
              </w:rPr>
              <w:t>$11.257.800</w:t>
            </w:r>
          </w:p>
        </w:tc>
      </w:tr>
      <w:tr w:rsidR="00273288" w:rsidRPr="00E33DE3" w14:paraId="5CC3A1C7" w14:textId="77777777" w:rsidTr="00E33DE3">
        <w:trPr>
          <w:trHeight w:val="20"/>
        </w:trPr>
        <w:tc>
          <w:tcPr>
            <w:tcW w:w="1275" w:type="dxa"/>
            <w:tcBorders>
              <w:top w:val="single" w:sz="4" w:space="0" w:color="auto"/>
              <w:left w:val="single" w:sz="4" w:space="0" w:color="auto"/>
              <w:bottom w:val="single" w:sz="4" w:space="0" w:color="auto"/>
              <w:right w:val="single" w:sz="4" w:space="0" w:color="auto"/>
            </w:tcBorders>
            <w:vAlign w:val="center"/>
            <w:hideMark/>
          </w:tcPr>
          <w:p w14:paraId="0947DA9A" w14:textId="77777777" w:rsidR="00273288" w:rsidRPr="00E33DE3" w:rsidRDefault="00273288" w:rsidP="00C65B25">
            <w:pPr>
              <w:rPr>
                <w:rFonts w:ascii="Verdana" w:eastAsia="Times New Roman" w:hAnsi="Verdana" w:cs="Arial"/>
                <w:color w:val="000000"/>
                <w:sz w:val="18"/>
                <w:szCs w:val="18"/>
                <w:lang w:eastAsia="es-CO"/>
              </w:rPr>
            </w:pPr>
            <w:r w:rsidRPr="00E33DE3">
              <w:rPr>
                <w:rFonts w:ascii="Verdana" w:eastAsia="Times New Roman" w:hAnsi="Verdana" w:cs="Arial"/>
                <w:color w:val="000000" w:themeColor="text1"/>
                <w:sz w:val="18"/>
                <w:szCs w:val="18"/>
                <w:lang w:eastAsia="es-CO"/>
              </w:rPr>
              <w:t>2019</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49A099C" w14:textId="77777777" w:rsidR="00273288" w:rsidRPr="00E33DE3" w:rsidRDefault="00273288" w:rsidP="00C65B25">
            <w:pPr>
              <w:jc w:val="center"/>
              <w:rPr>
                <w:rFonts w:ascii="Verdana" w:eastAsia="Times New Roman" w:hAnsi="Verdana" w:cs="Arial"/>
                <w:color w:val="000000"/>
                <w:sz w:val="18"/>
                <w:szCs w:val="18"/>
                <w:lang w:eastAsia="es-CO"/>
              </w:rPr>
            </w:pPr>
            <w:r w:rsidRPr="00E33DE3">
              <w:rPr>
                <w:rFonts w:ascii="Verdana" w:eastAsia="Times New Roman" w:hAnsi="Verdana" w:cs="Arial"/>
                <w:color w:val="000000" w:themeColor="text1"/>
                <w:sz w:val="18"/>
                <w:szCs w:val="18"/>
                <w:lang w:eastAsia="es-CO"/>
              </w:rPr>
              <w:t>179</w:t>
            </w:r>
          </w:p>
        </w:tc>
        <w:tc>
          <w:tcPr>
            <w:tcW w:w="1999" w:type="dxa"/>
            <w:vMerge/>
            <w:tcBorders>
              <w:top w:val="single" w:sz="4" w:space="0" w:color="auto"/>
              <w:left w:val="single" w:sz="4" w:space="0" w:color="auto"/>
              <w:bottom w:val="single" w:sz="4" w:space="0" w:color="000000" w:themeColor="text1"/>
              <w:right w:val="single" w:sz="4" w:space="0" w:color="000000"/>
            </w:tcBorders>
            <w:vAlign w:val="center"/>
            <w:hideMark/>
          </w:tcPr>
          <w:p w14:paraId="446F59F9" w14:textId="77777777" w:rsidR="00273288" w:rsidRPr="00E33DE3" w:rsidRDefault="00273288" w:rsidP="00C65B25">
            <w:pPr>
              <w:rPr>
                <w:rFonts w:ascii="Verdana" w:eastAsia="Times New Roman" w:hAnsi="Verdana" w:cs="Arial"/>
                <w:color w:val="000000"/>
                <w:sz w:val="18"/>
                <w:szCs w:val="18"/>
                <w:lang w:eastAsia="es-CO"/>
              </w:rPr>
            </w:pPr>
          </w:p>
        </w:tc>
        <w:tc>
          <w:tcPr>
            <w:tcW w:w="1536" w:type="dxa"/>
            <w:tcBorders>
              <w:top w:val="single" w:sz="4" w:space="0" w:color="auto"/>
              <w:left w:val="single" w:sz="4" w:space="0" w:color="000000"/>
              <w:bottom w:val="single" w:sz="4" w:space="0" w:color="auto"/>
              <w:right w:val="single" w:sz="4" w:space="0" w:color="auto"/>
            </w:tcBorders>
            <w:noWrap/>
            <w:vAlign w:val="center"/>
            <w:hideMark/>
          </w:tcPr>
          <w:p w14:paraId="7EDB770D" w14:textId="77777777" w:rsidR="00273288" w:rsidRPr="00E33DE3" w:rsidRDefault="00273288" w:rsidP="00C65B25">
            <w:pPr>
              <w:rPr>
                <w:rFonts w:ascii="Verdana" w:eastAsia="Times New Roman" w:hAnsi="Verdana" w:cs="Arial"/>
                <w:color w:val="000000"/>
                <w:sz w:val="18"/>
                <w:szCs w:val="18"/>
                <w:lang w:eastAsia="es-CO"/>
              </w:rPr>
            </w:pPr>
            <w:r w:rsidRPr="00E33DE3">
              <w:rPr>
                <w:rFonts w:ascii="Verdana" w:eastAsia="Times New Roman" w:hAnsi="Verdana" w:cs="Arial"/>
                <w:color w:val="000000" w:themeColor="text1"/>
                <w:sz w:val="18"/>
                <w:szCs w:val="18"/>
                <w:lang w:eastAsia="es-CO"/>
              </w:rPr>
              <w:t>SGP</w:t>
            </w:r>
            <w:r w:rsidRPr="00E33DE3">
              <w:rPr>
                <w:rFonts w:ascii="Verdana" w:hAnsi="Verdana"/>
              </w:rPr>
              <w:tab/>
            </w:r>
          </w:p>
        </w:tc>
        <w:tc>
          <w:tcPr>
            <w:tcW w:w="1635" w:type="dxa"/>
            <w:tcBorders>
              <w:top w:val="single" w:sz="4" w:space="0" w:color="auto"/>
              <w:left w:val="single" w:sz="4" w:space="0" w:color="auto"/>
              <w:bottom w:val="single" w:sz="4" w:space="0" w:color="auto"/>
              <w:right w:val="single" w:sz="4" w:space="0" w:color="auto"/>
            </w:tcBorders>
            <w:vAlign w:val="center"/>
            <w:hideMark/>
          </w:tcPr>
          <w:p w14:paraId="44732682" w14:textId="77777777" w:rsidR="00273288" w:rsidRPr="00E33DE3" w:rsidRDefault="00273288" w:rsidP="00C65B25">
            <w:pPr>
              <w:rPr>
                <w:rFonts w:ascii="Verdana" w:eastAsia="Times New Roman" w:hAnsi="Verdana" w:cs="Arial"/>
                <w:color w:val="000000"/>
                <w:sz w:val="18"/>
                <w:szCs w:val="18"/>
                <w:lang w:eastAsia="es-CO"/>
              </w:rPr>
            </w:pPr>
            <w:r w:rsidRPr="00E33DE3">
              <w:rPr>
                <w:rFonts w:ascii="Verdana" w:eastAsia="Times New Roman" w:hAnsi="Verdana" w:cs="Arial"/>
                <w:color w:val="000000" w:themeColor="text1"/>
                <w:sz w:val="18"/>
                <w:szCs w:val="18"/>
                <w:lang w:eastAsia="es-CO"/>
              </w:rPr>
              <w:t>2.3.01.01.01.01.241</w:t>
            </w:r>
          </w:p>
        </w:tc>
        <w:tc>
          <w:tcPr>
            <w:tcW w:w="1395" w:type="dxa"/>
            <w:tcBorders>
              <w:top w:val="single" w:sz="4" w:space="0" w:color="auto"/>
              <w:left w:val="single" w:sz="4" w:space="0" w:color="auto"/>
              <w:bottom w:val="single" w:sz="4" w:space="0" w:color="auto"/>
              <w:right w:val="single" w:sz="4" w:space="0" w:color="auto"/>
            </w:tcBorders>
            <w:noWrap/>
            <w:vAlign w:val="center"/>
            <w:hideMark/>
          </w:tcPr>
          <w:p w14:paraId="10991B93" w14:textId="77777777" w:rsidR="00273288" w:rsidRPr="00E33DE3" w:rsidRDefault="00273288" w:rsidP="00C65B25">
            <w:pPr>
              <w:jc w:val="right"/>
              <w:rPr>
                <w:rFonts w:ascii="Verdana" w:eastAsia="Times New Roman" w:hAnsi="Verdana" w:cs="Arial"/>
                <w:color w:val="000000"/>
                <w:sz w:val="18"/>
                <w:szCs w:val="18"/>
                <w:lang w:eastAsia="es-CO"/>
              </w:rPr>
            </w:pPr>
            <w:r w:rsidRPr="00E33DE3">
              <w:rPr>
                <w:rFonts w:ascii="Verdana" w:eastAsia="Times New Roman" w:hAnsi="Verdana" w:cs="Arial"/>
                <w:color w:val="000000" w:themeColor="text1"/>
                <w:sz w:val="18"/>
                <w:szCs w:val="18"/>
                <w:lang w:eastAsia="es-CO"/>
              </w:rPr>
              <w:t>$11.932.800</w:t>
            </w:r>
          </w:p>
        </w:tc>
      </w:tr>
      <w:tr w:rsidR="00273288" w:rsidRPr="00E33DE3" w14:paraId="4F8F6655" w14:textId="77777777" w:rsidTr="00E33DE3">
        <w:trPr>
          <w:trHeight w:val="20"/>
        </w:trPr>
        <w:tc>
          <w:tcPr>
            <w:tcW w:w="1275" w:type="dxa"/>
            <w:tcBorders>
              <w:top w:val="single" w:sz="4" w:space="0" w:color="auto"/>
              <w:left w:val="single" w:sz="4" w:space="0" w:color="auto"/>
              <w:bottom w:val="single" w:sz="4" w:space="0" w:color="auto"/>
              <w:right w:val="single" w:sz="4" w:space="0" w:color="auto"/>
            </w:tcBorders>
            <w:vAlign w:val="center"/>
            <w:hideMark/>
          </w:tcPr>
          <w:p w14:paraId="58224527" w14:textId="77777777" w:rsidR="00273288" w:rsidRPr="00E33DE3" w:rsidRDefault="00273288" w:rsidP="00C65B25">
            <w:pPr>
              <w:rPr>
                <w:rFonts w:ascii="Verdana" w:eastAsia="Times New Roman" w:hAnsi="Verdana" w:cs="Arial"/>
                <w:color w:val="000000"/>
                <w:sz w:val="18"/>
                <w:szCs w:val="18"/>
                <w:lang w:eastAsia="es-CO"/>
              </w:rPr>
            </w:pPr>
            <w:r w:rsidRPr="00E33DE3">
              <w:rPr>
                <w:rFonts w:ascii="Verdana" w:eastAsia="Times New Roman" w:hAnsi="Verdana" w:cs="Arial"/>
                <w:color w:val="000000" w:themeColor="text1"/>
                <w:sz w:val="18"/>
                <w:szCs w:val="18"/>
                <w:lang w:eastAsia="es-CO"/>
              </w:rPr>
              <w:t>2020 - marzo</w:t>
            </w:r>
          </w:p>
        </w:tc>
        <w:tc>
          <w:tcPr>
            <w:tcW w:w="1140" w:type="dxa"/>
            <w:tcBorders>
              <w:top w:val="single" w:sz="4" w:space="0" w:color="auto"/>
              <w:left w:val="single" w:sz="4" w:space="0" w:color="auto"/>
              <w:bottom w:val="single" w:sz="4" w:space="0" w:color="auto"/>
              <w:right w:val="single" w:sz="4" w:space="0" w:color="auto"/>
            </w:tcBorders>
            <w:vAlign w:val="center"/>
            <w:hideMark/>
          </w:tcPr>
          <w:p w14:paraId="35C3DEA8" w14:textId="77777777" w:rsidR="00273288" w:rsidRPr="00E33DE3" w:rsidRDefault="00273288" w:rsidP="00C65B25">
            <w:pPr>
              <w:jc w:val="center"/>
              <w:rPr>
                <w:rFonts w:ascii="Verdana" w:eastAsia="Times New Roman" w:hAnsi="Verdana" w:cs="Arial"/>
                <w:color w:val="000000"/>
                <w:sz w:val="18"/>
                <w:szCs w:val="18"/>
                <w:lang w:eastAsia="es-CO"/>
              </w:rPr>
            </w:pPr>
            <w:r w:rsidRPr="00E33DE3">
              <w:rPr>
                <w:rFonts w:ascii="Verdana" w:eastAsia="Times New Roman" w:hAnsi="Verdana" w:cs="Arial"/>
                <w:color w:val="000000" w:themeColor="text1"/>
                <w:sz w:val="18"/>
                <w:szCs w:val="18"/>
                <w:lang w:eastAsia="es-CO"/>
              </w:rPr>
              <w:t>69</w:t>
            </w:r>
          </w:p>
        </w:tc>
        <w:tc>
          <w:tcPr>
            <w:tcW w:w="1999" w:type="dxa"/>
            <w:vMerge/>
            <w:tcBorders>
              <w:top w:val="single" w:sz="4" w:space="0" w:color="auto"/>
              <w:left w:val="single" w:sz="4" w:space="0" w:color="auto"/>
              <w:bottom w:val="single" w:sz="4" w:space="0" w:color="000000" w:themeColor="text1"/>
              <w:right w:val="single" w:sz="4" w:space="0" w:color="000000"/>
            </w:tcBorders>
            <w:vAlign w:val="center"/>
            <w:hideMark/>
          </w:tcPr>
          <w:p w14:paraId="3641A5AE" w14:textId="77777777" w:rsidR="00273288" w:rsidRPr="00E33DE3" w:rsidRDefault="00273288" w:rsidP="00C65B25">
            <w:pPr>
              <w:rPr>
                <w:rFonts w:ascii="Verdana" w:eastAsia="Times New Roman" w:hAnsi="Verdana" w:cs="Arial"/>
                <w:color w:val="000000"/>
                <w:sz w:val="18"/>
                <w:szCs w:val="18"/>
                <w:lang w:eastAsia="es-CO"/>
              </w:rPr>
            </w:pPr>
          </w:p>
        </w:tc>
        <w:tc>
          <w:tcPr>
            <w:tcW w:w="1536" w:type="dxa"/>
            <w:tcBorders>
              <w:top w:val="single" w:sz="4" w:space="0" w:color="auto"/>
              <w:left w:val="single" w:sz="4" w:space="0" w:color="000000"/>
              <w:bottom w:val="single" w:sz="4" w:space="0" w:color="auto"/>
              <w:right w:val="single" w:sz="4" w:space="0" w:color="auto"/>
            </w:tcBorders>
            <w:noWrap/>
            <w:vAlign w:val="center"/>
            <w:hideMark/>
          </w:tcPr>
          <w:p w14:paraId="0F7DC51A" w14:textId="77777777" w:rsidR="00273288" w:rsidRPr="00E33DE3" w:rsidRDefault="00273288" w:rsidP="00C65B25">
            <w:pPr>
              <w:rPr>
                <w:rFonts w:ascii="Verdana" w:eastAsia="Times New Roman" w:hAnsi="Verdana" w:cs="Arial"/>
                <w:color w:val="000000"/>
                <w:sz w:val="18"/>
                <w:szCs w:val="18"/>
                <w:lang w:eastAsia="es-CO"/>
              </w:rPr>
            </w:pPr>
            <w:r w:rsidRPr="00E33DE3">
              <w:rPr>
                <w:rFonts w:ascii="Verdana" w:eastAsia="Times New Roman" w:hAnsi="Verdana" w:cs="Arial"/>
                <w:color w:val="000000" w:themeColor="text1"/>
                <w:sz w:val="18"/>
                <w:szCs w:val="18"/>
                <w:lang w:eastAsia="es-CO"/>
              </w:rPr>
              <w:t>SGP</w:t>
            </w:r>
          </w:p>
        </w:tc>
        <w:tc>
          <w:tcPr>
            <w:tcW w:w="1635" w:type="dxa"/>
            <w:tcBorders>
              <w:top w:val="single" w:sz="4" w:space="0" w:color="auto"/>
              <w:left w:val="single" w:sz="4" w:space="0" w:color="auto"/>
              <w:bottom w:val="single" w:sz="4" w:space="0" w:color="auto"/>
              <w:right w:val="single" w:sz="4" w:space="0" w:color="auto"/>
            </w:tcBorders>
            <w:vAlign w:val="center"/>
            <w:hideMark/>
          </w:tcPr>
          <w:p w14:paraId="66FF3575" w14:textId="77777777" w:rsidR="00273288" w:rsidRPr="00E33DE3" w:rsidRDefault="00273288" w:rsidP="00C65B25">
            <w:pPr>
              <w:rPr>
                <w:rFonts w:ascii="Verdana" w:eastAsia="Times New Roman" w:hAnsi="Verdana" w:cs="Arial"/>
                <w:color w:val="000000"/>
                <w:sz w:val="18"/>
                <w:szCs w:val="18"/>
                <w:lang w:eastAsia="es-CO"/>
              </w:rPr>
            </w:pPr>
            <w:r w:rsidRPr="00E33DE3">
              <w:rPr>
                <w:rFonts w:ascii="Verdana" w:eastAsia="Times New Roman" w:hAnsi="Verdana" w:cs="Arial"/>
                <w:color w:val="000000" w:themeColor="text1"/>
                <w:sz w:val="18"/>
                <w:szCs w:val="18"/>
                <w:lang w:eastAsia="es-CO"/>
              </w:rPr>
              <w:t>2.3.01.01.01.1.01.23</w:t>
            </w:r>
          </w:p>
        </w:tc>
        <w:tc>
          <w:tcPr>
            <w:tcW w:w="1395" w:type="dxa"/>
            <w:tcBorders>
              <w:top w:val="single" w:sz="4" w:space="0" w:color="auto"/>
              <w:left w:val="single" w:sz="4" w:space="0" w:color="auto"/>
              <w:bottom w:val="single" w:sz="4" w:space="0" w:color="auto"/>
              <w:right w:val="single" w:sz="4" w:space="0" w:color="auto"/>
            </w:tcBorders>
            <w:noWrap/>
            <w:vAlign w:val="center"/>
            <w:hideMark/>
          </w:tcPr>
          <w:p w14:paraId="67B2C07D" w14:textId="77777777" w:rsidR="00273288" w:rsidRPr="00E33DE3" w:rsidRDefault="00273288" w:rsidP="00C65B25">
            <w:pPr>
              <w:jc w:val="right"/>
              <w:rPr>
                <w:rFonts w:ascii="Verdana" w:eastAsia="Times New Roman" w:hAnsi="Verdana" w:cs="Arial"/>
                <w:color w:val="000000"/>
                <w:sz w:val="18"/>
                <w:szCs w:val="18"/>
                <w:lang w:eastAsia="es-CO"/>
              </w:rPr>
            </w:pPr>
            <w:r w:rsidRPr="00E33DE3">
              <w:rPr>
                <w:rFonts w:ascii="Verdana" w:eastAsia="Times New Roman" w:hAnsi="Verdana" w:cs="Arial"/>
                <w:color w:val="000000" w:themeColor="text1"/>
                <w:sz w:val="18"/>
                <w:szCs w:val="18"/>
                <w:lang w:eastAsia="es-CO"/>
              </w:rPr>
              <w:t>$12.648.768</w:t>
            </w:r>
          </w:p>
        </w:tc>
      </w:tr>
      <w:tr w:rsidR="00273288" w:rsidRPr="00E33DE3" w14:paraId="55FCADF0" w14:textId="77777777" w:rsidTr="00E33DE3">
        <w:trPr>
          <w:trHeight w:val="20"/>
        </w:trPr>
        <w:tc>
          <w:tcPr>
            <w:tcW w:w="1275" w:type="dxa"/>
            <w:tcBorders>
              <w:top w:val="single" w:sz="4" w:space="0" w:color="auto"/>
              <w:left w:val="single" w:sz="4" w:space="0" w:color="auto"/>
              <w:bottom w:val="single" w:sz="4" w:space="0" w:color="auto"/>
              <w:right w:val="single" w:sz="4" w:space="0" w:color="auto"/>
            </w:tcBorders>
            <w:vAlign w:val="center"/>
            <w:hideMark/>
          </w:tcPr>
          <w:p w14:paraId="4B55AC6F" w14:textId="77777777" w:rsidR="00273288" w:rsidRPr="00E33DE3" w:rsidRDefault="00273288" w:rsidP="00C65B25">
            <w:pPr>
              <w:rPr>
                <w:rFonts w:ascii="Verdana" w:eastAsia="Times New Roman" w:hAnsi="Verdana" w:cs="Arial"/>
                <w:color w:val="000000"/>
                <w:sz w:val="18"/>
                <w:szCs w:val="18"/>
                <w:lang w:eastAsia="es-CO"/>
              </w:rPr>
            </w:pPr>
            <w:r w:rsidRPr="00E33DE3">
              <w:rPr>
                <w:rFonts w:ascii="Verdana" w:eastAsia="Times New Roman" w:hAnsi="Verdana" w:cs="Arial"/>
                <w:color w:val="000000" w:themeColor="text1"/>
                <w:sz w:val="18"/>
                <w:szCs w:val="18"/>
                <w:lang w:eastAsia="es-CO"/>
              </w:rPr>
              <w:t>2021</w:t>
            </w:r>
          </w:p>
        </w:tc>
        <w:tc>
          <w:tcPr>
            <w:tcW w:w="1140" w:type="dxa"/>
            <w:tcBorders>
              <w:top w:val="single" w:sz="4" w:space="0" w:color="auto"/>
              <w:left w:val="single" w:sz="4" w:space="0" w:color="auto"/>
              <w:bottom w:val="single" w:sz="4" w:space="0" w:color="auto"/>
              <w:right w:val="single" w:sz="4" w:space="0" w:color="auto"/>
            </w:tcBorders>
            <w:vAlign w:val="center"/>
            <w:hideMark/>
          </w:tcPr>
          <w:p w14:paraId="30C50B32" w14:textId="77777777" w:rsidR="00273288" w:rsidRPr="00E33DE3" w:rsidRDefault="00273288" w:rsidP="00C65B25">
            <w:pPr>
              <w:jc w:val="center"/>
              <w:rPr>
                <w:rFonts w:ascii="Verdana" w:eastAsia="Times New Roman" w:hAnsi="Verdana" w:cs="Arial"/>
                <w:color w:val="000000"/>
                <w:sz w:val="18"/>
                <w:szCs w:val="18"/>
                <w:lang w:eastAsia="es-CO"/>
              </w:rPr>
            </w:pPr>
            <w:r w:rsidRPr="00E33DE3">
              <w:rPr>
                <w:rFonts w:ascii="Verdana" w:eastAsia="Times New Roman" w:hAnsi="Verdana" w:cs="Arial"/>
                <w:color w:val="000000" w:themeColor="text1"/>
                <w:sz w:val="18"/>
                <w:szCs w:val="18"/>
                <w:lang w:eastAsia="es-CO"/>
              </w:rPr>
              <w:t>119</w:t>
            </w:r>
          </w:p>
        </w:tc>
        <w:tc>
          <w:tcPr>
            <w:tcW w:w="1999" w:type="dxa"/>
            <w:vMerge/>
            <w:tcBorders>
              <w:top w:val="single" w:sz="4" w:space="0" w:color="auto"/>
              <w:left w:val="single" w:sz="4" w:space="0" w:color="auto"/>
              <w:bottom w:val="single" w:sz="4" w:space="0" w:color="000000" w:themeColor="text1"/>
              <w:right w:val="single" w:sz="4" w:space="0" w:color="000000"/>
            </w:tcBorders>
            <w:vAlign w:val="center"/>
            <w:hideMark/>
          </w:tcPr>
          <w:p w14:paraId="124B5416" w14:textId="77777777" w:rsidR="00273288" w:rsidRPr="00E33DE3" w:rsidRDefault="00273288" w:rsidP="00C65B25">
            <w:pPr>
              <w:rPr>
                <w:rFonts w:ascii="Verdana" w:eastAsia="Times New Roman" w:hAnsi="Verdana" w:cs="Arial"/>
                <w:color w:val="000000"/>
                <w:sz w:val="18"/>
                <w:szCs w:val="18"/>
                <w:lang w:eastAsia="es-CO"/>
              </w:rPr>
            </w:pPr>
          </w:p>
        </w:tc>
        <w:tc>
          <w:tcPr>
            <w:tcW w:w="1536" w:type="dxa"/>
            <w:tcBorders>
              <w:top w:val="single" w:sz="4" w:space="0" w:color="auto"/>
              <w:left w:val="single" w:sz="4" w:space="0" w:color="000000"/>
              <w:bottom w:val="single" w:sz="4" w:space="0" w:color="auto"/>
              <w:right w:val="single" w:sz="4" w:space="0" w:color="auto"/>
            </w:tcBorders>
            <w:shd w:val="clear" w:color="auto" w:fill="FFFFFF" w:themeFill="background1"/>
            <w:noWrap/>
            <w:vAlign w:val="center"/>
            <w:hideMark/>
          </w:tcPr>
          <w:p w14:paraId="6EE57814" w14:textId="77777777" w:rsidR="00273288" w:rsidRPr="00E33DE3" w:rsidRDefault="00273288" w:rsidP="00C65B25">
            <w:pPr>
              <w:rPr>
                <w:rFonts w:ascii="Verdana" w:eastAsia="Times New Roman" w:hAnsi="Verdana" w:cs="Arial"/>
                <w:color w:val="000000"/>
                <w:sz w:val="18"/>
                <w:szCs w:val="18"/>
                <w:lang w:eastAsia="es-CO"/>
              </w:rPr>
            </w:pPr>
            <w:r w:rsidRPr="00E33DE3">
              <w:rPr>
                <w:rFonts w:ascii="Verdana" w:hAnsi="Verdana" w:cs="Arial"/>
                <w:color w:val="000000" w:themeColor="text1"/>
                <w:sz w:val="18"/>
                <w:szCs w:val="18"/>
              </w:rPr>
              <w:t>SGP EDUCACION – RECURSOS PROPIOS</w:t>
            </w:r>
          </w:p>
        </w:tc>
        <w:tc>
          <w:tcPr>
            <w:tcW w:w="1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3C77EC" w14:textId="77777777" w:rsidR="00273288" w:rsidRPr="00E33DE3" w:rsidRDefault="00273288" w:rsidP="00C65B25">
            <w:pPr>
              <w:rPr>
                <w:rFonts w:ascii="Verdana" w:eastAsia="Times New Roman" w:hAnsi="Verdana" w:cs="Arial"/>
                <w:color w:val="000000"/>
                <w:sz w:val="18"/>
                <w:szCs w:val="18"/>
                <w:lang w:eastAsia="es-CO"/>
              </w:rPr>
            </w:pPr>
            <w:r w:rsidRPr="00E33DE3">
              <w:rPr>
                <w:rFonts w:ascii="Verdana" w:hAnsi="Verdana" w:cs="Arial"/>
                <w:color w:val="000000" w:themeColor="text1"/>
                <w:sz w:val="18"/>
                <w:szCs w:val="18"/>
              </w:rPr>
              <w:t>2.3.2.02.02.008</w:t>
            </w:r>
          </w:p>
        </w:tc>
        <w:tc>
          <w:tcPr>
            <w:tcW w:w="1395" w:type="dxa"/>
            <w:tcBorders>
              <w:top w:val="single" w:sz="4" w:space="0" w:color="auto"/>
              <w:left w:val="single" w:sz="4" w:space="0" w:color="auto"/>
              <w:bottom w:val="single" w:sz="4" w:space="0" w:color="auto"/>
              <w:right w:val="single" w:sz="4" w:space="0" w:color="auto"/>
            </w:tcBorders>
            <w:noWrap/>
            <w:vAlign w:val="center"/>
            <w:hideMark/>
          </w:tcPr>
          <w:p w14:paraId="4ED17EDC" w14:textId="77777777" w:rsidR="00273288" w:rsidRPr="00E33DE3" w:rsidRDefault="00273288" w:rsidP="00C65B25">
            <w:pPr>
              <w:jc w:val="right"/>
              <w:rPr>
                <w:rFonts w:ascii="Verdana" w:eastAsia="Times New Roman" w:hAnsi="Verdana" w:cs="Arial"/>
                <w:color w:val="000000"/>
                <w:sz w:val="18"/>
                <w:szCs w:val="18"/>
                <w:lang w:eastAsia="es-CO"/>
              </w:rPr>
            </w:pPr>
            <w:r w:rsidRPr="00E33DE3">
              <w:rPr>
                <w:rFonts w:ascii="Verdana" w:eastAsia="Times New Roman" w:hAnsi="Verdana" w:cs="Arial"/>
                <w:color w:val="000000" w:themeColor="text1"/>
                <w:sz w:val="18"/>
                <w:szCs w:val="18"/>
                <w:lang w:eastAsia="es-CO"/>
              </w:rPr>
              <w:t>$6.539.598</w:t>
            </w:r>
          </w:p>
        </w:tc>
      </w:tr>
      <w:tr w:rsidR="00273288" w:rsidRPr="00E33DE3" w14:paraId="411DBEA4" w14:textId="77777777" w:rsidTr="00E33DE3">
        <w:trPr>
          <w:trHeight w:val="20"/>
        </w:trPr>
        <w:tc>
          <w:tcPr>
            <w:tcW w:w="1275" w:type="dxa"/>
            <w:tcBorders>
              <w:top w:val="single" w:sz="4" w:space="0" w:color="auto"/>
              <w:left w:val="single" w:sz="4" w:space="0" w:color="auto"/>
              <w:bottom w:val="single" w:sz="4" w:space="0" w:color="auto"/>
              <w:right w:val="single" w:sz="4" w:space="0" w:color="auto"/>
            </w:tcBorders>
            <w:vAlign w:val="center"/>
            <w:hideMark/>
          </w:tcPr>
          <w:p w14:paraId="59A9BF3B" w14:textId="77777777" w:rsidR="00273288" w:rsidRPr="00E33DE3" w:rsidRDefault="00273288" w:rsidP="00C65B25">
            <w:pPr>
              <w:rPr>
                <w:rFonts w:ascii="Verdana" w:eastAsia="Times New Roman" w:hAnsi="Verdana" w:cs="Arial"/>
                <w:color w:val="000000"/>
                <w:sz w:val="18"/>
                <w:szCs w:val="18"/>
                <w:lang w:eastAsia="es-CO"/>
              </w:rPr>
            </w:pPr>
            <w:r w:rsidRPr="00E33DE3">
              <w:rPr>
                <w:rFonts w:ascii="Verdana" w:eastAsia="Times New Roman" w:hAnsi="Verdana" w:cs="Arial"/>
                <w:color w:val="000000" w:themeColor="text1"/>
                <w:sz w:val="18"/>
                <w:szCs w:val="18"/>
                <w:lang w:eastAsia="es-CO"/>
              </w:rPr>
              <w:t>2022 - Septiembre</w:t>
            </w:r>
          </w:p>
        </w:tc>
        <w:tc>
          <w:tcPr>
            <w:tcW w:w="1140" w:type="dxa"/>
            <w:tcBorders>
              <w:top w:val="single" w:sz="4" w:space="0" w:color="auto"/>
              <w:left w:val="single" w:sz="4" w:space="0" w:color="auto"/>
              <w:bottom w:val="single" w:sz="4" w:space="0" w:color="auto"/>
              <w:right w:val="single" w:sz="4" w:space="0" w:color="auto"/>
            </w:tcBorders>
            <w:vAlign w:val="center"/>
            <w:hideMark/>
          </w:tcPr>
          <w:p w14:paraId="601A1B9D" w14:textId="77777777" w:rsidR="00273288" w:rsidRPr="00E33DE3" w:rsidRDefault="00273288" w:rsidP="00C65B25">
            <w:pPr>
              <w:jc w:val="center"/>
              <w:rPr>
                <w:rFonts w:ascii="Verdana" w:eastAsia="Times New Roman" w:hAnsi="Verdana" w:cs="Arial"/>
                <w:color w:val="000000"/>
                <w:sz w:val="18"/>
                <w:szCs w:val="18"/>
                <w:lang w:eastAsia="es-CO"/>
              </w:rPr>
            </w:pPr>
            <w:r w:rsidRPr="00E33DE3">
              <w:rPr>
                <w:rFonts w:ascii="Verdana" w:eastAsia="Times New Roman" w:hAnsi="Verdana" w:cs="Arial"/>
                <w:color w:val="000000" w:themeColor="text1"/>
                <w:sz w:val="18"/>
                <w:szCs w:val="18"/>
                <w:lang w:eastAsia="es-CO"/>
              </w:rPr>
              <w:t>179</w:t>
            </w:r>
          </w:p>
        </w:tc>
        <w:tc>
          <w:tcPr>
            <w:tcW w:w="1999" w:type="dxa"/>
            <w:vMerge/>
            <w:tcBorders>
              <w:top w:val="single" w:sz="4" w:space="0" w:color="auto"/>
              <w:left w:val="single" w:sz="4" w:space="0" w:color="auto"/>
              <w:bottom w:val="single" w:sz="4" w:space="0" w:color="000000" w:themeColor="text1"/>
              <w:right w:val="single" w:sz="4" w:space="0" w:color="000000"/>
            </w:tcBorders>
            <w:vAlign w:val="center"/>
            <w:hideMark/>
          </w:tcPr>
          <w:p w14:paraId="64A2466D" w14:textId="77777777" w:rsidR="00273288" w:rsidRPr="00E33DE3" w:rsidRDefault="00273288" w:rsidP="00C65B25">
            <w:pPr>
              <w:rPr>
                <w:rFonts w:ascii="Verdana" w:eastAsia="Times New Roman" w:hAnsi="Verdana" w:cs="Arial"/>
                <w:color w:val="000000"/>
                <w:sz w:val="18"/>
                <w:szCs w:val="18"/>
                <w:lang w:eastAsia="es-CO"/>
              </w:rPr>
            </w:pPr>
          </w:p>
        </w:tc>
        <w:tc>
          <w:tcPr>
            <w:tcW w:w="1536" w:type="dxa"/>
            <w:tcBorders>
              <w:top w:val="single" w:sz="4" w:space="0" w:color="auto"/>
              <w:left w:val="single" w:sz="4" w:space="0" w:color="000000"/>
              <w:bottom w:val="single" w:sz="4" w:space="0" w:color="auto"/>
              <w:right w:val="single" w:sz="4" w:space="0" w:color="auto"/>
            </w:tcBorders>
            <w:noWrap/>
            <w:vAlign w:val="center"/>
            <w:hideMark/>
          </w:tcPr>
          <w:p w14:paraId="4074AF1F" w14:textId="77777777" w:rsidR="00273288" w:rsidRPr="00E33DE3" w:rsidRDefault="00273288" w:rsidP="00C65B25">
            <w:pPr>
              <w:rPr>
                <w:rFonts w:ascii="Verdana" w:eastAsia="Times New Roman" w:hAnsi="Verdana" w:cs="Arial"/>
                <w:color w:val="000000"/>
                <w:sz w:val="18"/>
                <w:szCs w:val="18"/>
                <w:lang w:eastAsia="es-CO"/>
              </w:rPr>
            </w:pPr>
            <w:r w:rsidRPr="00E33DE3">
              <w:rPr>
                <w:rFonts w:ascii="Verdana" w:hAnsi="Verdana" w:cs="Arial"/>
                <w:color w:val="000000" w:themeColor="text1"/>
                <w:sz w:val="18"/>
                <w:szCs w:val="18"/>
              </w:rPr>
              <w:t>SGP EDUCACION – RECURSOS PROPIOS</w:t>
            </w:r>
          </w:p>
        </w:tc>
        <w:tc>
          <w:tcPr>
            <w:tcW w:w="1635" w:type="dxa"/>
            <w:tcBorders>
              <w:top w:val="single" w:sz="4" w:space="0" w:color="auto"/>
              <w:left w:val="single" w:sz="4" w:space="0" w:color="auto"/>
              <w:bottom w:val="single" w:sz="4" w:space="0" w:color="auto"/>
              <w:right w:val="single" w:sz="4" w:space="0" w:color="auto"/>
            </w:tcBorders>
            <w:vAlign w:val="center"/>
            <w:hideMark/>
          </w:tcPr>
          <w:p w14:paraId="576F04D6" w14:textId="77777777" w:rsidR="00273288" w:rsidRPr="00E33DE3" w:rsidRDefault="00273288" w:rsidP="00C65B25">
            <w:pPr>
              <w:rPr>
                <w:rFonts w:ascii="Verdana" w:eastAsia="Times New Roman" w:hAnsi="Verdana" w:cs="Arial"/>
                <w:color w:val="000000"/>
                <w:sz w:val="18"/>
                <w:szCs w:val="18"/>
                <w:lang w:eastAsia="es-CO"/>
              </w:rPr>
            </w:pPr>
            <w:r w:rsidRPr="00E33DE3">
              <w:rPr>
                <w:rFonts w:ascii="Verdana" w:hAnsi="Verdana" w:cs="Arial"/>
                <w:color w:val="000000" w:themeColor="text1"/>
                <w:sz w:val="18"/>
                <w:szCs w:val="18"/>
              </w:rPr>
              <w:t>2.3.2.02.02.008</w:t>
            </w:r>
          </w:p>
        </w:tc>
        <w:tc>
          <w:tcPr>
            <w:tcW w:w="1395" w:type="dxa"/>
            <w:tcBorders>
              <w:top w:val="single" w:sz="4" w:space="0" w:color="auto"/>
              <w:left w:val="single" w:sz="4" w:space="0" w:color="auto"/>
              <w:bottom w:val="single" w:sz="4" w:space="0" w:color="auto"/>
              <w:right w:val="single" w:sz="4" w:space="0" w:color="auto"/>
            </w:tcBorders>
            <w:noWrap/>
            <w:vAlign w:val="center"/>
            <w:hideMark/>
          </w:tcPr>
          <w:p w14:paraId="59197802" w14:textId="77777777" w:rsidR="00273288" w:rsidRPr="00E33DE3" w:rsidRDefault="00273288" w:rsidP="00C65B25">
            <w:pPr>
              <w:jc w:val="right"/>
              <w:rPr>
                <w:rFonts w:ascii="Verdana" w:eastAsia="Times New Roman" w:hAnsi="Verdana" w:cs="Arial"/>
                <w:color w:val="000000"/>
                <w:sz w:val="18"/>
                <w:szCs w:val="18"/>
                <w:lang w:eastAsia="es-CO"/>
              </w:rPr>
            </w:pPr>
            <w:r w:rsidRPr="00E33DE3">
              <w:rPr>
                <w:rFonts w:ascii="Verdana" w:eastAsia="Times New Roman" w:hAnsi="Verdana" w:cs="Arial"/>
                <w:color w:val="000000" w:themeColor="text1"/>
                <w:sz w:val="18"/>
                <w:szCs w:val="18"/>
                <w:lang w:eastAsia="es-CO"/>
              </w:rPr>
              <w:t>$13.753.500</w:t>
            </w:r>
          </w:p>
        </w:tc>
      </w:tr>
    </w:tbl>
    <w:p w14:paraId="2D277238" w14:textId="77777777" w:rsidR="00273288" w:rsidRPr="00E33DE3" w:rsidRDefault="00273288" w:rsidP="00C65B25">
      <w:pPr>
        <w:jc w:val="center"/>
        <w:rPr>
          <w:rFonts w:ascii="Verdana" w:hAnsi="Verdana" w:cs="Arial"/>
          <w:sz w:val="18"/>
          <w:szCs w:val="18"/>
        </w:rPr>
      </w:pPr>
      <w:r w:rsidRPr="00E33DE3">
        <w:rPr>
          <w:rFonts w:ascii="Verdana" w:hAnsi="Verdana" w:cs="Arial"/>
          <w:sz w:val="18"/>
          <w:szCs w:val="18"/>
        </w:rPr>
        <w:t>Fuente: Cuadro de contratación enviado por la Entidad Territorial para las vigencias 2018, 2019, marzo del 2020, 2021 y septiembre de 2022.</w:t>
      </w:r>
    </w:p>
    <w:p w14:paraId="5D55A39C" w14:textId="77777777" w:rsidR="00273288" w:rsidRPr="00E33DE3" w:rsidRDefault="00273288" w:rsidP="00C65B25">
      <w:pPr>
        <w:jc w:val="center"/>
        <w:rPr>
          <w:rFonts w:ascii="Verdana" w:hAnsi="Verdana" w:cs="Arial"/>
          <w:sz w:val="22"/>
          <w:szCs w:val="22"/>
          <w:lang w:val="es-ES_tradnl"/>
        </w:rPr>
      </w:pPr>
    </w:p>
    <w:p w14:paraId="39728CA3" w14:textId="77777777" w:rsidR="00273288" w:rsidRPr="00E33DE3" w:rsidRDefault="00273288" w:rsidP="00C65B25">
      <w:pPr>
        <w:jc w:val="both"/>
        <w:rPr>
          <w:rFonts w:ascii="Verdana" w:hAnsi="Verdana" w:cs="Arial"/>
          <w:sz w:val="22"/>
          <w:szCs w:val="22"/>
          <w:lang w:val="es-ES_tradnl"/>
        </w:rPr>
      </w:pPr>
      <w:r w:rsidRPr="00E33DE3">
        <w:rPr>
          <w:rFonts w:ascii="Verdana" w:hAnsi="Verdana" w:cs="Arial"/>
          <w:sz w:val="22"/>
          <w:szCs w:val="22"/>
        </w:rPr>
        <w:t xml:space="preserve">Al comparar los terceros contratados para las cinco vigencias, se detectó que existe reiteración entre estos para el periodo evaluado, es decir, los contratistas que se listan a continuación se repitieron durante las vigencias analizadas: </w:t>
      </w:r>
    </w:p>
    <w:p w14:paraId="7A8A1171" w14:textId="77777777" w:rsidR="00273288" w:rsidRPr="00E33DE3" w:rsidRDefault="00273288" w:rsidP="00C65B25">
      <w:pPr>
        <w:jc w:val="both"/>
        <w:rPr>
          <w:rFonts w:ascii="Verdana" w:hAnsi="Verdana" w:cs="Arial"/>
          <w:sz w:val="22"/>
          <w:szCs w:val="22"/>
        </w:rPr>
      </w:pPr>
    </w:p>
    <w:tbl>
      <w:tblPr>
        <w:tblW w:w="8745" w:type="dxa"/>
        <w:tblLayout w:type="fixed"/>
        <w:tblLook w:val="06A0" w:firstRow="1" w:lastRow="0" w:firstColumn="1" w:lastColumn="0" w:noHBand="1" w:noVBand="1"/>
      </w:tblPr>
      <w:tblGrid>
        <w:gridCol w:w="269"/>
        <w:gridCol w:w="2700"/>
        <w:gridCol w:w="947"/>
        <w:gridCol w:w="963"/>
        <w:gridCol w:w="953"/>
        <w:gridCol w:w="958"/>
        <w:gridCol w:w="950"/>
        <w:gridCol w:w="1005"/>
      </w:tblGrid>
      <w:tr w:rsidR="00273288" w:rsidRPr="00E33DE3" w14:paraId="3AFA34A3" w14:textId="77777777" w:rsidTr="00E33DE3">
        <w:trPr>
          <w:trHeight w:val="20"/>
          <w:tblHeader/>
        </w:trPr>
        <w:tc>
          <w:tcPr>
            <w:tcW w:w="874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8F00"/>
            <w:tcMar>
              <w:top w:w="15" w:type="dxa"/>
              <w:left w:w="15" w:type="dxa"/>
              <w:bottom w:w="0" w:type="dxa"/>
              <w:right w:w="15" w:type="dxa"/>
            </w:tcMar>
            <w:vAlign w:val="center"/>
            <w:hideMark/>
          </w:tcPr>
          <w:p w14:paraId="1DCC2027" w14:textId="77777777" w:rsidR="00273288" w:rsidRPr="00E33DE3" w:rsidRDefault="00273288" w:rsidP="00C65B25">
            <w:pPr>
              <w:jc w:val="center"/>
              <w:rPr>
                <w:rFonts w:ascii="Verdana" w:hAnsi="Verdana"/>
              </w:rPr>
            </w:pPr>
            <w:r w:rsidRPr="00E33DE3">
              <w:rPr>
                <w:rFonts w:ascii="Verdana" w:eastAsia="Arial" w:hAnsi="Verdana" w:cs="Arial"/>
                <w:b/>
                <w:bCs/>
                <w:color w:val="FFFFFF" w:themeColor="background1"/>
                <w:sz w:val="16"/>
                <w:szCs w:val="16"/>
              </w:rPr>
              <w:t>TERCEROS CONTRATADOS COMO CONSERJES EN EL MUNICIPIO DE PASTO PARA LAS VIGENCIAS 2018, 2019, 2020 (MARZO), 2021, 2022 (SEPTIEMBRE) Y 2023 (DICIEMBRE)</w:t>
            </w:r>
          </w:p>
        </w:tc>
      </w:tr>
      <w:tr w:rsidR="00273288" w:rsidRPr="00E33DE3" w14:paraId="2C0E754B" w14:textId="77777777" w:rsidTr="00E33DE3">
        <w:trPr>
          <w:trHeight w:val="20"/>
          <w:tblHeader/>
        </w:trPr>
        <w:tc>
          <w:tcPr>
            <w:tcW w:w="270" w:type="dxa"/>
            <w:tcBorders>
              <w:top w:val="single" w:sz="4" w:space="0" w:color="000000" w:themeColor="text1"/>
              <w:left w:val="nil"/>
              <w:bottom w:val="nil"/>
              <w:right w:val="nil"/>
            </w:tcBorders>
            <w:shd w:val="clear" w:color="auto" w:fill="FFD966"/>
            <w:tcMar>
              <w:top w:w="15" w:type="dxa"/>
              <w:left w:w="15" w:type="dxa"/>
              <w:bottom w:w="0" w:type="dxa"/>
              <w:right w:w="15" w:type="dxa"/>
            </w:tcMar>
            <w:vAlign w:val="bottom"/>
            <w:hideMark/>
          </w:tcPr>
          <w:p w14:paraId="2BC21B18" w14:textId="77777777" w:rsidR="00273288" w:rsidRPr="00E33DE3" w:rsidRDefault="00273288" w:rsidP="00C65B25">
            <w:pPr>
              <w:rPr>
                <w:rFonts w:ascii="Verdana" w:hAnsi="Verdana"/>
              </w:rPr>
            </w:pPr>
            <w:r w:rsidRPr="00E33DE3">
              <w:rPr>
                <w:rFonts w:ascii="Verdana" w:eastAsia="Calibri" w:hAnsi="Verdana" w:cs="Calibri"/>
                <w:color w:val="000000" w:themeColor="text1"/>
                <w:sz w:val="22"/>
                <w:szCs w:val="22"/>
              </w:rPr>
              <w:t>#</w:t>
            </w:r>
          </w:p>
        </w:tc>
        <w:tc>
          <w:tcPr>
            <w:tcW w:w="2701" w:type="dxa"/>
            <w:tcBorders>
              <w:top w:val="nil"/>
              <w:left w:val="single" w:sz="4" w:space="0" w:color="auto"/>
              <w:bottom w:val="single" w:sz="4" w:space="0" w:color="000000" w:themeColor="text1"/>
              <w:right w:val="single" w:sz="4" w:space="0" w:color="auto"/>
            </w:tcBorders>
            <w:shd w:val="clear" w:color="auto" w:fill="FFD966"/>
            <w:tcMar>
              <w:top w:w="15" w:type="dxa"/>
              <w:left w:w="15" w:type="dxa"/>
              <w:bottom w:w="0" w:type="dxa"/>
              <w:right w:w="15" w:type="dxa"/>
            </w:tcMar>
            <w:vAlign w:val="center"/>
            <w:hideMark/>
          </w:tcPr>
          <w:p w14:paraId="5096454E" w14:textId="77777777" w:rsidR="00273288" w:rsidRPr="00E33DE3" w:rsidRDefault="00273288" w:rsidP="00C65B25">
            <w:pPr>
              <w:jc w:val="center"/>
              <w:rPr>
                <w:rFonts w:ascii="Verdana" w:hAnsi="Verdana"/>
              </w:rPr>
            </w:pPr>
            <w:r w:rsidRPr="00E33DE3">
              <w:rPr>
                <w:rFonts w:ascii="Verdana" w:eastAsia="Arial" w:hAnsi="Verdana" w:cs="Arial"/>
                <w:b/>
                <w:bCs/>
                <w:color w:val="000000" w:themeColor="text1"/>
                <w:sz w:val="16"/>
                <w:szCs w:val="16"/>
              </w:rPr>
              <w:t>TERCERO</w:t>
            </w:r>
          </w:p>
        </w:tc>
        <w:tc>
          <w:tcPr>
            <w:tcW w:w="947" w:type="dxa"/>
            <w:tcBorders>
              <w:top w:val="nil"/>
              <w:left w:val="single" w:sz="4" w:space="0" w:color="auto"/>
              <w:bottom w:val="single" w:sz="4" w:space="0" w:color="000000" w:themeColor="text1"/>
              <w:right w:val="single" w:sz="4" w:space="0" w:color="auto"/>
            </w:tcBorders>
            <w:shd w:val="clear" w:color="auto" w:fill="FFD966"/>
            <w:tcMar>
              <w:top w:w="15" w:type="dxa"/>
              <w:left w:w="15" w:type="dxa"/>
              <w:bottom w:w="0" w:type="dxa"/>
              <w:right w:w="15" w:type="dxa"/>
            </w:tcMar>
            <w:vAlign w:val="center"/>
            <w:hideMark/>
          </w:tcPr>
          <w:p w14:paraId="2FED9628" w14:textId="77777777" w:rsidR="00273288" w:rsidRPr="00E33DE3" w:rsidRDefault="00273288" w:rsidP="00C65B25">
            <w:pPr>
              <w:jc w:val="center"/>
              <w:rPr>
                <w:rFonts w:ascii="Verdana" w:hAnsi="Verdana"/>
              </w:rPr>
            </w:pPr>
            <w:r w:rsidRPr="00E33DE3">
              <w:rPr>
                <w:rFonts w:ascii="Verdana" w:eastAsia="Arial" w:hAnsi="Verdana" w:cs="Arial"/>
                <w:b/>
                <w:bCs/>
                <w:color w:val="000000" w:themeColor="text1"/>
                <w:sz w:val="16"/>
                <w:szCs w:val="16"/>
              </w:rPr>
              <w:t>CONTRATO 2018</w:t>
            </w:r>
          </w:p>
        </w:tc>
        <w:tc>
          <w:tcPr>
            <w:tcW w:w="963" w:type="dxa"/>
            <w:tcBorders>
              <w:top w:val="nil"/>
              <w:left w:val="single" w:sz="4" w:space="0" w:color="auto"/>
              <w:bottom w:val="single" w:sz="4" w:space="0" w:color="000000" w:themeColor="text1"/>
              <w:right w:val="single" w:sz="4" w:space="0" w:color="auto"/>
            </w:tcBorders>
            <w:shd w:val="clear" w:color="auto" w:fill="FFD966"/>
            <w:tcMar>
              <w:top w:w="15" w:type="dxa"/>
              <w:left w:w="15" w:type="dxa"/>
              <w:bottom w:w="0" w:type="dxa"/>
              <w:right w:w="15" w:type="dxa"/>
            </w:tcMar>
            <w:vAlign w:val="center"/>
            <w:hideMark/>
          </w:tcPr>
          <w:p w14:paraId="48A647AF" w14:textId="77777777" w:rsidR="00273288" w:rsidRPr="00E33DE3" w:rsidRDefault="00273288" w:rsidP="00C65B25">
            <w:pPr>
              <w:jc w:val="center"/>
              <w:rPr>
                <w:rFonts w:ascii="Verdana" w:hAnsi="Verdana"/>
              </w:rPr>
            </w:pPr>
            <w:r w:rsidRPr="00E33DE3">
              <w:rPr>
                <w:rFonts w:ascii="Verdana" w:eastAsia="Arial" w:hAnsi="Verdana" w:cs="Arial"/>
                <w:b/>
                <w:bCs/>
                <w:color w:val="000000" w:themeColor="text1"/>
                <w:sz w:val="16"/>
                <w:szCs w:val="16"/>
              </w:rPr>
              <w:t>CONTRATO 2019</w:t>
            </w:r>
          </w:p>
        </w:tc>
        <w:tc>
          <w:tcPr>
            <w:tcW w:w="953" w:type="dxa"/>
            <w:tcBorders>
              <w:top w:val="nil"/>
              <w:left w:val="single" w:sz="4" w:space="0" w:color="auto"/>
              <w:bottom w:val="single" w:sz="4" w:space="0" w:color="000000" w:themeColor="text1"/>
              <w:right w:val="single" w:sz="4" w:space="0" w:color="auto"/>
            </w:tcBorders>
            <w:shd w:val="clear" w:color="auto" w:fill="FFD966"/>
            <w:tcMar>
              <w:top w:w="15" w:type="dxa"/>
              <w:left w:w="15" w:type="dxa"/>
              <w:bottom w:w="0" w:type="dxa"/>
              <w:right w:w="15" w:type="dxa"/>
            </w:tcMar>
            <w:vAlign w:val="center"/>
            <w:hideMark/>
          </w:tcPr>
          <w:p w14:paraId="2E18E588" w14:textId="77777777" w:rsidR="00273288" w:rsidRPr="00E33DE3" w:rsidRDefault="00273288" w:rsidP="00C65B25">
            <w:pPr>
              <w:jc w:val="center"/>
              <w:rPr>
                <w:rFonts w:ascii="Verdana" w:hAnsi="Verdana"/>
              </w:rPr>
            </w:pPr>
            <w:r w:rsidRPr="00E33DE3">
              <w:rPr>
                <w:rFonts w:ascii="Verdana" w:eastAsia="Arial" w:hAnsi="Verdana" w:cs="Arial"/>
                <w:b/>
                <w:bCs/>
                <w:color w:val="000000" w:themeColor="text1"/>
                <w:sz w:val="16"/>
                <w:szCs w:val="16"/>
              </w:rPr>
              <w:t>CONTRATO 2020</w:t>
            </w:r>
          </w:p>
        </w:tc>
        <w:tc>
          <w:tcPr>
            <w:tcW w:w="958" w:type="dxa"/>
            <w:tcBorders>
              <w:top w:val="nil"/>
              <w:left w:val="single" w:sz="4" w:space="0" w:color="auto"/>
              <w:bottom w:val="single" w:sz="4" w:space="0" w:color="000000" w:themeColor="text1"/>
              <w:right w:val="single" w:sz="4" w:space="0" w:color="auto"/>
            </w:tcBorders>
            <w:shd w:val="clear" w:color="auto" w:fill="FFD966"/>
            <w:tcMar>
              <w:top w:w="15" w:type="dxa"/>
              <w:left w:w="15" w:type="dxa"/>
              <w:bottom w:w="0" w:type="dxa"/>
              <w:right w:w="15" w:type="dxa"/>
            </w:tcMar>
            <w:vAlign w:val="center"/>
            <w:hideMark/>
          </w:tcPr>
          <w:p w14:paraId="0C2A6DE6" w14:textId="77777777" w:rsidR="00273288" w:rsidRPr="00E33DE3" w:rsidRDefault="00273288" w:rsidP="00C65B25">
            <w:pPr>
              <w:jc w:val="center"/>
              <w:rPr>
                <w:rFonts w:ascii="Verdana" w:hAnsi="Verdana"/>
              </w:rPr>
            </w:pPr>
            <w:r w:rsidRPr="00E33DE3">
              <w:rPr>
                <w:rFonts w:ascii="Verdana" w:eastAsia="Arial" w:hAnsi="Verdana" w:cs="Arial"/>
                <w:b/>
                <w:bCs/>
                <w:color w:val="000000" w:themeColor="text1"/>
                <w:sz w:val="16"/>
                <w:szCs w:val="16"/>
              </w:rPr>
              <w:t>CONTRATO 2021</w:t>
            </w:r>
          </w:p>
        </w:tc>
        <w:tc>
          <w:tcPr>
            <w:tcW w:w="950" w:type="dxa"/>
            <w:tcBorders>
              <w:top w:val="nil"/>
              <w:left w:val="single" w:sz="4" w:space="0" w:color="auto"/>
              <w:bottom w:val="single" w:sz="4" w:space="0" w:color="000000" w:themeColor="text1"/>
              <w:right w:val="nil"/>
            </w:tcBorders>
            <w:shd w:val="clear" w:color="auto" w:fill="FFD966"/>
            <w:tcMar>
              <w:top w:w="15" w:type="dxa"/>
              <w:left w:w="15" w:type="dxa"/>
              <w:bottom w:w="0" w:type="dxa"/>
              <w:right w:w="15" w:type="dxa"/>
            </w:tcMar>
            <w:vAlign w:val="center"/>
            <w:hideMark/>
          </w:tcPr>
          <w:p w14:paraId="52C6BBB6" w14:textId="77777777" w:rsidR="00273288" w:rsidRPr="00E33DE3" w:rsidRDefault="00273288" w:rsidP="00C65B25">
            <w:pPr>
              <w:jc w:val="center"/>
              <w:rPr>
                <w:rFonts w:ascii="Verdana" w:hAnsi="Verdana"/>
              </w:rPr>
            </w:pPr>
            <w:r w:rsidRPr="00E33DE3">
              <w:rPr>
                <w:rFonts w:ascii="Verdana" w:eastAsia="Arial" w:hAnsi="Verdana" w:cs="Arial"/>
                <w:b/>
                <w:bCs/>
                <w:color w:val="000000" w:themeColor="text1"/>
                <w:sz w:val="16"/>
                <w:szCs w:val="16"/>
              </w:rPr>
              <w:t>CONTRATO 2022</w:t>
            </w:r>
          </w:p>
        </w:tc>
        <w:tc>
          <w:tcPr>
            <w:tcW w:w="1005" w:type="dxa"/>
            <w:tcBorders>
              <w:top w:val="nil"/>
              <w:left w:val="single" w:sz="4" w:space="0" w:color="000000" w:themeColor="text1"/>
              <w:bottom w:val="single" w:sz="4" w:space="0" w:color="000000" w:themeColor="text1"/>
              <w:right w:val="single" w:sz="4" w:space="0" w:color="000000" w:themeColor="text1"/>
            </w:tcBorders>
            <w:shd w:val="clear" w:color="auto" w:fill="FFD966"/>
            <w:tcMar>
              <w:top w:w="15" w:type="dxa"/>
              <w:left w:w="15" w:type="dxa"/>
              <w:bottom w:w="0" w:type="dxa"/>
              <w:right w:w="15" w:type="dxa"/>
            </w:tcMar>
            <w:vAlign w:val="center"/>
            <w:hideMark/>
          </w:tcPr>
          <w:p w14:paraId="2D1C26EF" w14:textId="77777777" w:rsidR="00273288" w:rsidRPr="00E33DE3" w:rsidRDefault="00273288" w:rsidP="00C65B25">
            <w:pPr>
              <w:jc w:val="center"/>
              <w:rPr>
                <w:rFonts w:ascii="Verdana" w:hAnsi="Verdana"/>
              </w:rPr>
            </w:pPr>
            <w:r w:rsidRPr="00E33DE3">
              <w:rPr>
                <w:rFonts w:ascii="Verdana" w:eastAsia="Arial" w:hAnsi="Verdana" w:cs="Arial"/>
                <w:b/>
                <w:bCs/>
                <w:color w:val="000000" w:themeColor="text1"/>
                <w:sz w:val="16"/>
                <w:szCs w:val="16"/>
              </w:rPr>
              <w:t>CONTRATO 2023</w:t>
            </w:r>
          </w:p>
        </w:tc>
      </w:tr>
      <w:tr w:rsidR="00273288" w:rsidRPr="00E33DE3" w14:paraId="03FF3E4B"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41B68940"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1</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12BC2F46"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ALVARO FROILAN ZAMUDIO ZAMORA</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6E4DCB"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20180011</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AB5BE2"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20190143</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F0BF99"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20200104</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0F329E6"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20210197</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4B9B23D0"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20220523</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bottom w:w="0" w:type="dxa"/>
              <w:right w:w="15" w:type="dxa"/>
            </w:tcMar>
            <w:vAlign w:val="center"/>
            <w:hideMark/>
          </w:tcPr>
          <w:p w14:paraId="19B9B270"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20230183</w:t>
            </w:r>
          </w:p>
        </w:tc>
      </w:tr>
      <w:tr w:rsidR="00273288" w:rsidRPr="00E33DE3" w14:paraId="5339B84A"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72058149"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2</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583DB6A5"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AMANDA CAROLINA CRIOLLO ROJAS</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4ABC9"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20180003</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8F21AD"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20190134</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0BB3A8"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20200095</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DF7E448"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20210202</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29FD9D76"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20220524</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bottom w:w="0" w:type="dxa"/>
              <w:right w:w="15" w:type="dxa"/>
            </w:tcMar>
            <w:vAlign w:val="center"/>
            <w:hideMark/>
          </w:tcPr>
          <w:p w14:paraId="018E82BA"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20230752</w:t>
            </w:r>
          </w:p>
        </w:tc>
      </w:tr>
      <w:tr w:rsidR="00273288" w:rsidRPr="00E33DE3" w14:paraId="7724AD15"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685FDADA"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3</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405BDF0C"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ARMANDO ARTURO VILLOTA</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88A0E2"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20180026</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0C98E"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20190158</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91230D"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20200119</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2FA9B17"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20210211</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031C9461"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20220534</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bottom w:w="0" w:type="dxa"/>
              <w:right w:w="15" w:type="dxa"/>
            </w:tcMar>
            <w:vAlign w:val="center"/>
            <w:hideMark/>
          </w:tcPr>
          <w:p w14:paraId="7A750A9A"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20231923</w:t>
            </w:r>
          </w:p>
        </w:tc>
      </w:tr>
      <w:tr w:rsidR="00273288" w:rsidRPr="00E33DE3" w14:paraId="354461DC"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5510E834"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4</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04A8EA30"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BAYARDO JAVIER GOMEZ MARTINEZ</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2CD800"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20180041</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676A6A"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20190172</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6A4C5B"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20200131</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10035D3"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20210263</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001D8F50"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20220580</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bottom w:w="0" w:type="dxa"/>
              <w:right w:w="15" w:type="dxa"/>
            </w:tcMar>
            <w:vAlign w:val="center"/>
            <w:hideMark/>
          </w:tcPr>
          <w:p w14:paraId="090F9143"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20231924-20230222</w:t>
            </w:r>
          </w:p>
        </w:tc>
      </w:tr>
      <w:tr w:rsidR="00273288" w:rsidRPr="00E33DE3" w14:paraId="12F12304"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1B6B10F0"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5</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75757CC2"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BERTHA AMANDA ORDOÑEZ ERAZO</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4019C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20180049</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2AF371"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20190179</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C9F657"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20200139</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9FC3B99"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20210267</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5C874E2C"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20220589</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bottom w:w="0" w:type="dxa"/>
              <w:right w:w="15" w:type="dxa"/>
            </w:tcMar>
            <w:vAlign w:val="center"/>
            <w:hideMark/>
          </w:tcPr>
          <w:p w14:paraId="4DCED5E9"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20230226-20231926</w:t>
            </w:r>
          </w:p>
        </w:tc>
      </w:tr>
      <w:tr w:rsidR="00273288" w:rsidRPr="00E33DE3" w14:paraId="521DE689"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47D8FBFC"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6</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6A47E0D7"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BERTHA JULIA ZAMBRANO BENAVIDES</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898054"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20180033</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0D09C1"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20190165</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3C18E4"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20200124</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F93AC42"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20210271</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3F443A1E"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20220583</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7765815"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20232074-20230227</w:t>
            </w:r>
          </w:p>
        </w:tc>
      </w:tr>
      <w:tr w:rsidR="00273288" w:rsidRPr="00E33DE3" w14:paraId="5DCCE6D3"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6021E57E"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7</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0F6DF6CE"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BLANCA ROSA AGUIRRE MARTINEZ</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2031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20180024</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5E7E46"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20190156</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1F1E3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20200117</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2D8100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20210275</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05ECD9A2"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20220592</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A65C895"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20230228-20231962</w:t>
            </w:r>
          </w:p>
        </w:tc>
      </w:tr>
      <w:tr w:rsidR="00273288" w:rsidRPr="00E33DE3" w14:paraId="05511605"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18C01FAC"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8</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1D8BB5FF"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CAMPO ELIAS PAREDES CABRERA</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1A712"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20180056</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031030"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20190185</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90F98D"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20200145</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9C2504B"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20210501</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6E8F1E51"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20220594</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038AF7CD"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20232161-20230229</w:t>
            </w:r>
          </w:p>
        </w:tc>
      </w:tr>
      <w:tr w:rsidR="00273288" w:rsidRPr="00E33DE3" w14:paraId="5225F541"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12C6672E"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9</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60710D60"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CARLOS EVEY FLORES CALDERON</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1B0885"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20180013</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22BEB1"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20190145</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A6731"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20200106</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85582F0"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20210339</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638D1D9B"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20220605</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7B5BD25"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20231973-20230174</w:t>
            </w:r>
          </w:p>
        </w:tc>
      </w:tr>
      <w:tr w:rsidR="00273288" w:rsidRPr="00E33DE3" w14:paraId="7581470B"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153E9D07"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10</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1E1AC3ED"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DIEGO JESUS CORDOBA MONCAYO</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DB1F49"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20180012</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BF23D"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20190144</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98C2E8"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20200105</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37A39B0"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20210351</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1303F500"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20220402</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9DAAF3C"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20230390-20232119</w:t>
            </w:r>
          </w:p>
        </w:tc>
      </w:tr>
      <w:tr w:rsidR="00273288" w:rsidRPr="00E33DE3" w14:paraId="7D313585"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7B8F5E50"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11</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462223DD"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EDWIN ALEXANDER CUASPUD QUENAN</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C6B86B"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20180017</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9DA043"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20190149</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19F771"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20200110</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136805E"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20210354</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62E77994"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20220409</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52FFE07"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20232128-20230303</w:t>
            </w:r>
          </w:p>
        </w:tc>
      </w:tr>
      <w:tr w:rsidR="00273288" w:rsidRPr="00E33DE3" w14:paraId="229179E6"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63DF2D7E"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12</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03E1367C"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ESPERANZA SANTACRUZ AGREDA</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3E240"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20180034</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3B9BB9"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20190579</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D1E664"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20200125</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8807088"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20210401</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6269E1F4"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20220423</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30E3199"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20230522-20231829</w:t>
            </w:r>
          </w:p>
        </w:tc>
      </w:tr>
      <w:tr w:rsidR="00273288" w:rsidRPr="00E33DE3" w14:paraId="154D9702"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41FE32B0"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13</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4FEB6460"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FANNY DEL SOCORRO NARVAEZ RAMIREZ</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699E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20180044</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FC1E3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20190175</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21281B"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20200134</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E0C901D"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20210408</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53018F90"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20220428</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DED57C8"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20231830-20230524</w:t>
            </w:r>
          </w:p>
        </w:tc>
      </w:tr>
      <w:tr w:rsidR="00273288" w:rsidRPr="00E33DE3" w14:paraId="4F2EC71D"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5CA6EB3C"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14</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0A9B4FE4"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FERNEY NORBERTO ROJAS TULCAN</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54914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20180964</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72F02"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20190141</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B3391E"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20200102</w:t>
            </w:r>
          </w:p>
        </w:tc>
        <w:tc>
          <w:tcPr>
            <w:tcW w:w="958" w:type="dxa"/>
            <w:tcBorders>
              <w:top w:val="single" w:sz="4" w:space="0" w:color="auto"/>
              <w:left w:val="single" w:sz="4" w:space="0" w:color="auto"/>
              <w:bottom w:val="nil"/>
              <w:right w:val="nil"/>
            </w:tcBorders>
            <w:tcMar>
              <w:top w:w="15" w:type="dxa"/>
              <w:left w:w="15" w:type="dxa"/>
              <w:bottom w:w="0" w:type="dxa"/>
              <w:right w:w="15" w:type="dxa"/>
            </w:tcMar>
            <w:vAlign w:val="center"/>
            <w:hideMark/>
          </w:tcPr>
          <w:p w14:paraId="63A31920"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20210443</w:t>
            </w:r>
          </w:p>
        </w:tc>
        <w:tc>
          <w:tcPr>
            <w:tcW w:w="950"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hideMark/>
          </w:tcPr>
          <w:p w14:paraId="0307C9AE"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20220432</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5CD0BEA6"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20231832</w:t>
            </w:r>
          </w:p>
        </w:tc>
      </w:tr>
      <w:tr w:rsidR="00273288" w:rsidRPr="00E33DE3" w14:paraId="61561B87"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50998817"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lastRenderedPageBreak/>
              <w:t>15</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2D06AB0E"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FRANCISCO EUGENIO ARIAS PORTILLA</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DD039C"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20180063</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07B7A"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20190192</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D97EA"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20200152</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BE9C660"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20210454</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126C1211"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20220434</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56FDCAB3"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20232049-20230557</w:t>
            </w:r>
          </w:p>
        </w:tc>
      </w:tr>
      <w:tr w:rsidR="00273288" w:rsidRPr="00E33DE3" w14:paraId="0EAB1726"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3F6AF677"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16</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057E06B4"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FRANCISCO JAVIER MENESES GUACAS</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D3E834"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20180027</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7FF14D"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20190159</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8EBB7"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20200120</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B57B606"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20210457</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6EEF0FC5"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20220435</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43CE1B0"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20230574-20231834</w:t>
            </w:r>
          </w:p>
        </w:tc>
      </w:tr>
      <w:tr w:rsidR="00273288" w:rsidRPr="00E33DE3" w14:paraId="540B7A8E"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54A3CA18"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17</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2A8CEAE3"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FRANCISCO LIBARDO TUMBACO TUMBACO</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1BDD14"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20180006</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D4791"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20190137</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AF76E4"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20200098</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F70F459"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20210459</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2B5AED59"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20220437</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5A504247"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20231836-20230560</w:t>
            </w:r>
          </w:p>
        </w:tc>
      </w:tr>
      <w:tr w:rsidR="00273288" w:rsidRPr="00E33DE3" w14:paraId="5F945B99"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57696E7B"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18</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02C036CF"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GLADYS DELGADO</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0359AD"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20180038</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3F759"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20190169</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84F657"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20200128</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4EB1563"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20210489</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39A05021"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20220450</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562EE1AC"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20231843-20230540</w:t>
            </w:r>
          </w:p>
        </w:tc>
      </w:tr>
      <w:tr w:rsidR="00273288" w:rsidRPr="00E33DE3" w14:paraId="340ACF45"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598AEDCC"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19</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41D1968F"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GUILLERMO ANTONIO CHAVEZ GOYES</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89B18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20180039</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6D8AF9"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20190170</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794BF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20200129</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E6551CD"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20210493</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2FFFE8FC"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20220466</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0799D847"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20231856-20230516</w:t>
            </w:r>
          </w:p>
        </w:tc>
      </w:tr>
      <w:tr w:rsidR="00273288" w:rsidRPr="00E33DE3" w14:paraId="41C621C6"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1DBE5BBE"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20</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2AD23B0D"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HUGO ALEXANDER BASTIDAS</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02FF2"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20180021</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C4907"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20190153</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7A83E2"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20200114</w:t>
            </w:r>
          </w:p>
        </w:tc>
        <w:tc>
          <w:tcPr>
            <w:tcW w:w="9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225622"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20210289</w:t>
            </w:r>
          </w:p>
        </w:tc>
        <w:tc>
          <w:tcPr>
            <w:tcW w:w="950"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hideMark/>
          </w:tcPr>
          <w:p w14:paraId="244F38C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20220426</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0E432A9A"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20230519</w:t>
            </w:r>
          </w:p>
        </w:tc>
      </w:tr>
      <w:tr w:rsidR="00273288" w:rsidRPr="00E33DE3" w14:paraId="5DAA5F03"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690A7BE0"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21</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523F1D23"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JAIRO FERNANDO BENAVIDES ROSERO</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4D9C9B"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20180036</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7DDECA"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20190167</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D8EE94"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20200126</w:t>
            </w:r>
          </w:p>
        </w:tc>
        <w:tc>
          <w:tcPr>
            <w:tcW w:w="958" w:type="dxa"/>
            <w:tcBorders>
              <w:top w:val="single" w:sz="4" w:space="0" w:color="auto"/>
              <w:left w:val="single" w:sz="4" w:space="0" w:color="auto"/>
              <w:bottom w:val="nil"/>
              <w:right w:val="nil"/>
            </w:tcBorders>
            <w:tcMar>
              <w:top w:w="15" w:type="dxa"/>
              <w:left w:w="15" w:type="dxa"/>
              <w:bottom w:w="0" w:type="dxa"/>
              <w:right w:w="15" w:type="dxa"/>
            </w:tcMar>
            <w:vAlign w:val="center"/>
            <w:hideMark/>
          </w:tcPr>
          <w:p w14:paraId="3645A611"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20210296</w:t>
            </w:r>
          </w:p>
        </w:tc>
        <w:tc>
          <w:tcPr>
            <w:tcW w:w="950"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hideMark/>
          </w:tcPr>
          <w:p w14:paraId="2900AF39"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20220444</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A4ED768"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20231872</w:t>
            </w:r>
          </w:p>
        </w:tc>
      </w:tr>
      <w:tr w:rsidR="00273288" w:rsidRPr="00E33DE3" w14:paraId="75294FC6"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6C0BD2B3"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22</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1C9F0A5A"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JESUS ALBEYRO GUANCHA DESCANSE</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CD2C6"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20180042</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EB29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20190173</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75C8C"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20200132</w:t>
            </w:r>
          </w:p>
        </w:tc>
        <w:tc>
          <w:tcPr>
            <w:tcW w:w="9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D63815"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20210313</w:t>
            </w:r>
          </w:p>
        </w:tc>
        <w:tc>
          <w:tcPr>
            <w:tcW w:w="950"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hideMark/>
          </w:tcPr>
          <w:p w14:paraId="51325392"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20220458</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2BCEEFE"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20231875-20230420</w:t>
            </w:r>
          </w:p>
        </w:tc>
      </w:tr>
      <w:tr w:rsidR="00273288" w:rsidRPr="00E33DE3" w14:paraId="173C1AF1"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4CE66666"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23</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3DF3407B"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JESUS ALFONSO GOMEZ ASTAIZA</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FD77F7"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20180059</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F00AF0"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20190188</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E04240"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20200148</w:t>
            </w:r>
          </w:p>
        </w:tc>
        <w:tc>
          <w:tcPr>
            <w:tcW w:w="9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5A5967"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20210314</w:t>
            </w:r>
          </w:p>
        </w:tc>
        <w:tc>
          <w:tcPr>
            <w:tcW w:w="950"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hideMark/>
          </w:tcPr>
          <w:p w14:paraId="0324C18D"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20220463</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421FEE3"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20231876-20230419</w:t>
            </w:r>
          </w:p>
        </w:tc>
      </w:tr>
      <w:tr w:rsidR="00273288" w:rsidRPr="00E33DE3" w14:paraId="214F8A2A"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77E25D2C"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24</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421D6815"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JONATAN ALEXANDER MONTANCHEZ ALQUEDAN</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2EB448"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20180052</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C73961"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20190181</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F0DE3C"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20200141</w:t>
            </w:r>
          </w:p>
        </w:tc>
        <w:tc>
          <w:tcPr>
            <w:tcW w:w="9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8A6CC8"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20210547</w:t>
            </w:r>
          </w:p>
        </w:tc>
        <w:tc>
          <w:tcPr>
            <w:tcW w:w="950"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hideMark/>
          </w:tcPr>
          <w:p w14:paraId="4C7BE4FC"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20220476</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80C7774"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20231917-20230357</w:t>
            </w:r>
          </w:p>
        </w:tc>
      </w:tr>
      <w:tr w:rsidR="00273288" w:rsidRPr="00E33DE3" w14:paraId="3865EEF1"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03742BC1"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25</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1ABF2AF6"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JOSE ANTONIO ESPINOSA PINCHAO</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FDA69"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20180002</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ACD14"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20190133</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2A576E"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20200094</w:t>
            </w:r>
          </w:p>
        </w:tc>
        <w:tc>
          <w:tcPr>
            <w:tcW w:w="9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8BE4C"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20210473</w:t>
            </w:r>
          </w:p>
        </w:tc>
        <w:tc>
          <w:tcPr>
            <w:tcW w:w="950"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hideMark/>
          </w:tcPr>
          <w:p w14:paraId="5B59514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20220485</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0C912C87"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20231999-20230349</w:t>
            </w:r>
          </w:p>
        </w:tc>
      </w:tr>
      <w:tr w:rsidR="00273288" w:rsidRPr="00E33DE3" w14:paraId="133FEFAB"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398C5A5C"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26</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587347D9"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JOSE GILBERTO TELLO PATIÑO</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983429"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20180057</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5EB0D"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20190186</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E7299D"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20200146</w:t>
            </w:r>
          </w:p>
        </w:tc>
        <w:tc>
          <w:tcPr>
            <w:tcW w:w="9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344859"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20210478</w:t>
            </w:r>
          </w:p>
        </w:tc>
        <w:tc>
          <w:tcPr>
            <w:tcW w:w="950"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hideMark/>
          </w:tcPr>
          <w:p w14:paraId="49C84FC7"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20220499</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24A97025"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20232009-20230234</w:t>
            </w:r>
          </w:p>
        </w:tc>
      </w:tr>
      <w:tr w:rsidR="00273288" w:rsidRPr="00E33DE3" w14:paraId="3820822D"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16DA3DC1"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27</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4D7FC54B"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JOSE IGNACIO MASINSOY GELPUD</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C0A038"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20180016</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CF533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20190148</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B955A2"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20200109</w:t>
            </w:r>
          </w:p>
        </w:tc>
        <w:tc>
          <w:tcPr>
            <w:tcW w:w="9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16CEBE"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20210479</w:t>
            </w:r>
          </w:p>
        </w:tc>
        <w:tc>
          <w:tcPr>
            <w:tcW w:w="950"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hideMark/>
          </w:tcPr>
          <w:p w14:paraId="30060CEA"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20220502</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32A4831"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20232038-20230231</w:t>
            </w:r>
          </w:p>
        </w:tc>
      </w:tr>
      <w:tr w:rsidR="00273288" w:rsidRPr="00E33DE3" w14:paraId="2BAE96F4"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522ED449"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28</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6992C97C"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JOSE LUIS MASINSOY GELPUD</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489980"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20180004</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359C37"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20190135</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B6C638"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20200096</w:t>
            </w:r>
          </w:p>
        </w:tc>
        <w:tc>
          <w:tcPr>
            <w:tcW w:w="9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DF1CD2"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20210527</w:t>
            </w:r>
          </w:p>
        </w:tc>
        <w:tc>
          <w:tcPr>
            <w:tcW w:w="950"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hideMark/>
          </w:tcPr>
          <w:p w14:paraId="26619342"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20220507</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085B2532"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20232045-20230216</w:t>
            </w:r>
          </w:p>
        </w:tc>
      </w:tr>
      <w:tr w:rsidR="00273288" w:rsidRPr="00E33DE3" w14:paraId="55109B98"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63E1D36C"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29</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6978CCB2"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LAURENCIO RODOLFO LOPEZ PINCHAO</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51A92C"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20180022</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3D507"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20190154</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A0316E"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20200115</w:t>
            </w:r>
          </w:p>
        </w:tc>
        <w:tc>
          <w:tcPr>
            <w:tcW w:w="9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95122C"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20210483</w:t>
            </w:r>
          </w:p>
        </w:tc>
        <w:tc>
          <w:tcPr>
            <w:tcW w:w="950"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hideMark/>
          </w:tcPr>
          <w:p w14:paraId="2BE6C0DB"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20220513</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E81651B"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20230249-20231933</w:t>
            </w:r>
          </w:p>
        </w:tc>
      </w:tr>
      <w:tr w:rsidR="00273288" w:rsidRPr="00E33DE3" w14:paraId="6CB8980F"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792DE770"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30</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7114AFFE"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LIZARDO LEON ORTIZ LOPEZ</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B08A4D"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20180040</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B67C86"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20190171</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3DE45"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20200130</w:t>
            </w:r>
          </w:p>
        </w:tc>
        <w:tc>
          <w:tcPr>
            <w:tcW w:w="9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02E2B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20210485</w:t>
            </w:r>
          </w:p>
        </w:tc>
        <w:tc>
          <w:tcPr>
            <w:tcW w:w="950"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hideMark/>
          </w:tcPr>
          <w:p w14:paraId="3FC17F98"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20220690</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D48CB9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20231935-20230251</w:t>
            </w:r>
          </w:p>
        </w:tc>
      </w:tr>
      <w:tr w:rsidR="00273288" w:rsidRPr="00E33DE3" w14:paraId="134A9F2B"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00AE56B0"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31</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3B404C52"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LUIS ALFREDO CARLOZAMA CARLOZAMA</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BCA9FA"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20180015</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1A5F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20190147</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A2118"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20200108</w:t>
            </w:r>
          </w:p>
        </w:tc>
        <w:tc>
          <w:tcPr>
            <w:tcW w:w="9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4806A"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20210548</w:t>
            </w:r>
          </w:p>
        </w:tc>
        <w:tc>
          <w:tcPr>
            <w:tcW w:w="950"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hideMark/>
          </w:tcPr>
          <w:p w14:paraId="712F5585"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20220728</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FF0C88D"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20231934-20230253</w:t>
            </w:r>
          </w:p>
        </w:tc>
      </w:tr>
      <w:tr w:rsidR="00273288" w:rsidRPr="00E33DE3" w14:paraId="7B5429FD"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30C8F536"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32</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2873E220"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LUIS MILCIADES PINCHAO</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B6A05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20180005</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31F92"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20190136</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4F13A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20200097</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9B2F851"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20210553</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51ED09CD"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20220766</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0D9DD72A"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20230313-20231943</w:t>
            </w:r>
          </w:p>
        </w:tc>
      </w:tr>
      <w:tr w:rsidR="00273288" w:rsidRPr="00E33DE3" w14:paraId="49EA858F"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66DBD6E7"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33</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1AD04FD6"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LUS FELIPE BUESAQUILLO DAZA</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937825"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20180009</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4EE25"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20190140</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E0DEF3"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20200101</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5D6047E"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20210554</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4E77250C"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20220985</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BD51DF1"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20230311</w:t>
            </w:r>
          </w:p>
        </w:tc>
      </w:tr>
      <w:tr w:rsidR="00273288" w:rsidRPr="00E33DE3" w14:paraId="07D084F5"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4512A514"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34</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7753B9D8"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MAGALY MARDELI TUMAL JOJOA</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0D7B8B"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20180010</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968E0"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20190142</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492A00"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20200103</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ADD068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20210327</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3C517D82"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20220798</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D48AAE3"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20230508</w:t>
            </w:r>
          </w:p>
        </w:tc>
      </w:tr>
      <w:tr w:rsidR="00273288" w:rsidRPr="00E33DE3" w14:paraId="3CEEB184"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65897136"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35</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64C90606"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MAGOLA JANNETH CARLOSAMA DE LA CRUZ</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F8F31E"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20180019</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937EB1"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20190151</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70405D"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20200112</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562178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20210328</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7F2EB8BD"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20220875</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E722B2A"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20230352</w:t>
            </w:r>
          </w:p>
        </w:tc>
      </w:tr>
      <w:tr w:rsidR="00273288" w:rsidRPr="00E33DE3" w14:paraId="0DA07764"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2C1CE4D4"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36</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6B83649E"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MANUEL JESUS MENA SAMUDIO</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7E5CE"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20180048</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F7D298"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20190178</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70B5B"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20200138</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F5B5888"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20210342</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5E603544"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20220996</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2BE86611"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20230360-20231954</w:t>
            </w:r>
          </w:p>
        </w:tc>
      </w:tr>
      <w:tr w:rsidR="00273288" w:rsidRPr="00E33DE3" w14:paraId="4B2B2BE5"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6010E94E"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37</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03D33519"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MARIA DILIA ORTEGA BURGOS</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A8B8CD"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20180058</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C67D91"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20190187</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CC0F7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20200147</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77B6395"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20210402</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53A85346"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20220891</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B8F7FEA"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20230366</w:t>
            </w:r>
          </w:p>
        </w:tc>
      </w:tr>
      <w:tr w:rsidR="00273288" w:rsidRPr="00E33DE3" w14:paraId="2067E712"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523FBBA5"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38</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720E7F68"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MARIA ELVIRA DOMINGUEZ IGUA</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3AAA26"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20180043</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9E46E7"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20190174</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12D040"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20200133</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5CC1A44"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20210534</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121875A7"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20220562</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F663E11"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20230801-20232032</w:t>
            </w:r>
          </w:p>
        </w:tc>
      </w:tr>
      <w:tr w:rsidR="00273288" w:rsidRPr="00E33DE3" w14:paraId="6FC6A524"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4D186FA9"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39</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3D80833B"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MARIA OFIR VASQUEZ ERAZO</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374A4D"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20180061</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2A139D"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20190190</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3F24E1"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20200150</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876CA71"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20210261</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604130E2"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20220584</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FFD3427"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20231005</w:t>
            </w:r>
          </w:p>
        </w:tc>
      </w:tr>
      <w:tr w:rsidR="00273288" w:rsidRPr="00E33DE3" w14:paraId="5568429E"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32BA4247"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40</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2E8D5C5C"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MARIA VICTORIA CHARFUELAN CHARFUELAN</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D029A"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20180029</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F984DD"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20190161</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6B17F5"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20200325</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582FC08"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20210268</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5D0B7334"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20220587</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B4F89DA"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20231006-20232081</w:t>
            </w:r>
          </w:p>
        </w:tc>
      </w:tr>
      <w:tr w:rsidR="00273288" w:rsidRPr="00E33DE3" w14:paraId="2622C002"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1BD079BF"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41</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bottom"/>
            <w:hideMark/>
          </w:tcPr>
          <w:p w14:paraId="27DB5FC4"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MARIO GELPUD ESPINOSA</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5B1B4"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20180001</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AF1583"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20190132</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D93B9A"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20200093</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8D043D5"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20210270</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78C727C1"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20220661</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0B4D0E1A"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20232084-20230835</w:t>
            </w:r>
          </w:p>
        </w:tc>
      </w:tr>
      <w:tr w:rsidR="00273288" w:rsidRPr="00E33DE3" w14:paraId="04166433"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1E2CC7EC"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42</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36FE6F3E"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MARY MARGOTH ERASO</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FE7470"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20180030</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C5E181"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20190162</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68CC28"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20200122</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26D0083"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20210287</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4AB95D4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20220615</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43D709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20230842-20232102</w:t>
            </w:r>
          </w:p>
        </w:tc>
      </w:tr>
      <w:tr w:rsidR="00273288" w:rsidRPr="00E33DE3" w14:paraId="4B49C2B5"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6A0EA33C"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43</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4E99232A"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MIGUEL ANGEL VILLOTA ACHICANOY</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E6F173"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20180020</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C9B7E6"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20190152</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A0B458"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20200113</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63359E0"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20210293</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5B0BD245"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20220618</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F8E907B"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20230847-20232028</w:t>
            </w:r>
          </w:p>
        </w:tc>
      </w:tr>
      <w:tr w:rsidR="00273288" w:rsidRPr="00E33DE3" w14:paraId="78FBD95B"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67BF75B0"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lastRenderedPageBreak/>
              <w:t>44</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3712DC45"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MONICA ANDREA CARLOSAMA OJEDA</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91C27"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20180007</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DA033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20190138</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BB6420"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20200099</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6FCEA1B"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20210297</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7FADD669"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20220643</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B077AB9"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20230853-20232021</w:t>
            </w:r>
          </w:p>
        </w:tc>
      </w:tr>
      <w:tr w:rsidR="00273288" w:rsidRPr="00E33DE3" w14:paraId="54E3CB5F"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70CE6334"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45</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38C0B881"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NELSY DEL PILAR GUERRERO HIDALGO</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72F505"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20180032</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E9795"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20190164</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7A1601"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20200228</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5AB0D43"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20210301</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4E28A891"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20220653</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08D7ABBB"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20232078-20231134</w:t>
            </w:r>
          </w:p>
        </w:tc>
      </w:tr>
      <w:tr w:rsidR="00273288" w:rsidRPr="00E33DE3" w14:paraId="06BB5D3A"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41FDDC52"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46</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42FA0357"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NUBIA ILIA CABRERA DE TIMANA</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EFA5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20180053</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7D937"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20190182</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14F07D"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20200142</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85ADFA1"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20210441</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2141CC67"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20220660</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44B45A2"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20231978-20230626</w:t>
            </w:r>
          </w:p>
        </w:tc>
      </w:tr>
      <w:tr w:rsidR="00273288" w:rsidRPr="00E33DE3" w14:paraId="4F38C051"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5CF439D5"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47</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205B9053"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OLGA LUCIA DELGADO MORAN</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BC81DD"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20180031</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CEE097"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20190163</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8ACA83"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20200123</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F87CC46"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20210442</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37B45440"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20220672</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C10E548"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20230630-20231979</w:t>
            </w:r>
          </w:p>
        </w:tc>
      </w:tr>
      <w:tr w:rsidR="00273288" w:rsidRPr="00E33DE3" w14:paraId="55EB6721"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4F36B000"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48</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000AE245"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PLUTARCO AREVALO DELGADO</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97249E"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20180035</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49A0B"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20190166</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765489"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20200229</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19602FB"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20210455</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32FD30A6"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20220436</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6402580"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20232008-20231139</w:t>
            </w:r>
          </w:p>
        </w:tc>
      </w:tr>
      <w:tr w:rsidR="00273288" w:rsidRPr="00E33DE3" w14:paraId="7F810493"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42E04FB4"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49</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325E89C1"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ROSA DEL CARMEN MORA MUESES</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77106"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20180028</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7F10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20190160</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87AC49"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20200121</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BE92C35"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20210460</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6B51D63A"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20220473</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D945B58"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20232036-20230982</w:t>
            </w:r>
          </w:p>
        </w:tc>
      </w:tr>
      <w:tr w:rsidR="00273288" w:rsidRPr="00E33DE3" w14:paraId="7E5668FE"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139971CB"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50</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00AF2BED"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ROSA ESTHER GELPUD PUERRES</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34D8E5"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20180023</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71B312"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20190155</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F6B5E"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20200116</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CF6C6F9"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20210499</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723BFF6B"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20220492</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02C29839"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20232041-20230979</w:t>
            </w:r>
          </w:p>
        </w:tc>
      </w:tr>
      <w:tr w:rsidR="00273288" w:rsidRPr="00E33DE3" w14:paraId="1124CA6B"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5406D182"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51</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24A05519"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RUTH STELLA DEL PILAR AREVALO VILLAMARIN</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ED7700"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20180051</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B0972"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20190180</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6616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20200140</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7F4C573"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20210516</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0447BCB9"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20220503</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F1FC712"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20230984-20232047</w:t>
            </w:r>
          </w:p>
        </w:tc>
      </w:tr>
      <w:tr w:rsidR="00273288" w:rsidRPr="00E33DE3" w14:paraId="145EE8CC"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4B762C48"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52</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0F8DB5F4"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SANDRA ADRIANA CHAVES MARTINEZ</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8A056A"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20180055</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FEA10E"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20190184</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755EFD"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20200144</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BCA05F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20210525</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2054EBAB"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20220457</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4E1C567"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20232079-20230692</w:t>
            </w:r>
          </w:p>
        </w:tc>
      </w:tr>
      <w:tr w:rsidR="00273288" w:rsidRPr="00E33DE3" w14:paraId="7B49F0ED"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18158EA3"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53</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0E0DC35B"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SANDRA AZUCENA SUAREZ ERAZO</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0C401E"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20180064</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04925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20190193</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700753"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20200153</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4D5D990"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20210530</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5B083E0E"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20220462</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64189A2"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20230695-20232080</w:t>
            </w:r>
          </w:p>
        </w:tc>
      </w:tr>
      <w:tr w:rsidR="00273288" w:rsidRPr="00E33DE3" w14:paraId="50B9637D"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5EACB592"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54</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22BE9D73"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SONIA JUDIT TORRES CALVACHE</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AAFE7A"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20180065</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F13C8E"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20190194</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ACC9D6"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20200154</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FC7DDB3"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20210229</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7190F663"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20220474</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149366A"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20232087-20230715</w:t>
            </w:r>
          </w:p>
        </w:tc>
      </w:tr>
      <w:tr w:rsidR="00273288" w:rsidRPr="00E33DE3" w14:paraId="3AED2B07"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732A8A39"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55</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4205A86A"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STELLA YOMAR MARTINEZ CABRERA</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AC026"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20180037</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4A6340"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20190168</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E4207"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20200127</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EC7CDBA"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20210235</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422C217A"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20220477</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20D150C"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20230724-20232088</w:t>
            </w:r>
          </w:p>
        </w:tc>
      </w:tr>
      <w:tr w:rsidR="00273288" w:rsidRPr="00E33DE3" w14:paraId="7BDD0DE5"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379871D4"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56</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6E539406"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VICTOR MANUEL MADROÑERO HERNANDEZ</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62AB5C"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20180045</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54A198"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20190176</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80E66"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20200135</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1DD3227"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20210239</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6DD9C680"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20220480</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56A10F84"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20232091-20230731</w:t>
            </w:r>
          </w:p>
        </w:tc>
      </w:tr>
      <w:tr w:rsidR="00273288" w:rsidRPr="00E33DE3" w14:paraId="5725B946"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6A6B0D50"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57</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27EAB179"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WILSON ANTONIO PAZ LOPEZ</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A728A6"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20181363</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F6343"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20190304</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1FDE07"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20200267</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8958078"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20210250</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2A6E51D6"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20220486</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5465B34"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20230911-20232094</w:t>
            </w:r>
          </w:p>
        </w:tc>
      </w:tr>
      <w:tr w:rsidR="00273288" w:rsidRPr="00E33DE3" w14:paraId="24103A2B"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5D419509"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58</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37FF559C"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XIMENA JAZMIN TORRES CHAVES</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840542"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20180062</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CA88AC"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20190191</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EA0434"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20200151</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8B010F0"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20210254</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25869D0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20220488</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8440212"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20232095-20230735</w:t>
            </w:r>
          </w:p>
        </w:tc>
      </w:tr>
      <w:tr w:rsidR="00273288" w:rsidRPr="00E33DE3" w14:paraId="0A1E68C1"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1D943DFE"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59</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5B1AFFDB"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YOLANDA AMPARO TORO HERIRA</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D65272"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20180066</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25A9BD"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20190195</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EDBF0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20200155</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8C75E9D"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20210259</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4385A7C5"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20220491</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981F845"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20230910-20232097</w:t>
            </w:r>
          </w:p>
        </w:tc>
      </w:tr>
      <w:tr w:rsidR="00273288" w:rsidRPr="00E33DE3" w14:paraId="1A102402"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4BA566FD"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60</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236CDE90"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YOLANDA MARIA MERCEDES MEDINA BENAVIDES</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A30E4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20180047</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68B7ED"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20190177</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64E707"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20200137</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9FFA88B"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20210262</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3FF1D4C2"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20220495</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B7BDE69"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20230907-20231990</w:t>
            </w:r>
          </w:p>
        </w:tc>
      </w:tr>
      <w:tr w:rsidR="00273288" w:rsidRPr="00E33DE3" w14:paraId="60D266BE" w14:textId="77777777" w:rsidTr="00BC0685">
        <w:trPr>
          <w:trHeight w:val="20"/>
        </w:trPr>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78422D9A"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61</w:t>
            </w:r>
          </w:p>
        </w:tc>
        <w:tc>
          <w:tcPr>
            <w:tcW w:w="2701" w:type="dxa"/>
            <w:tcBorders>
              <w:top w:val="single" w:sz="4" w:space="0" w:color="auto"/>
              <w:left w:val="single" w:sz="4" w:space="0" w:color="000000" w:themeColor="text1"/>
              <w:bottom w:val="single" w:sz="4" w:space="0" w:color="auto"/>
              <w:right w:val="single" w:sz="4" w:space="0" w:color="auto"/>
            </w:tcBorders>
            <w:tcMar>
              <w:top w:w="15" w:type="dxa"/>
              <w:left w:w="15" w:type="dxa"/>
              <w:bottom w:w="0" w:type="dxa"/>
              <w:right w:w="15" w:type="dxa"/>
            </w:tcMar>
            <w:vAlign w:val="center"/>
            <w:hideMark/>
          </w:tcPr>
          <w:p w14:paraId="1DDC54B9" w14:textId="77777777" w:rsidR="00273288" w:rsidRPr="00E33DE3" w:rsidRDefault="00273288" w:rsidP="00C65B25">
            <w:pPr>
              <w:rPr>
                <w:rFonts w:ascii="Verdana" w:hAnsi="Verdana"/>
              </w:rPr>
            </w:pPr>
            <w:r w:rsidRPr="00E33DE3">
              <w:rPr>
                <w:rFonts w:ascii="Verdana" w:eastAsia="Arial" w:hAnsi="Verdana" w:cs="Arial"/>
                <w:color w:val="000000" w:themeColor="text1"/>
                <w:sz w:val="16"/>
                <w:szCs w:val="16"/>
              </w:rPr>
              <w:t>YOVANNY JESUS MARTINEZ</w:t>
            </w:r>
          </w:p>
        </w:tc>
        <w:tc>
          <w:tcPr>
            <w:tcW w:w="9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AB06B7"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20180014</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2D5539"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20190146</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2B5522"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20200107</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B6DC2A3"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20210265</w:t>
            </w:r>
          </w:p>
        </w:tc>
        <w:tc>
          <w:tcPr>
            <w:tcW w:w="950" w:type="dxa"/>
            <w:tcBorders>
              <w:top w:val="single" w:sz="4" w:space="0" w:color="auto"/>
              <w:left w:val="single" w:sz="4" w:space="0" w:color="auto"/>
              <w:bottom w:val="single" w:sz="4" w:space="0" w:color="auto"/>
              <w:right w:val="nil"/>
            </w:tcBorders>
            <w:shd w:val="clear" w:color="auto" w:fill="FFFFFF" w:themeFill="background1"/>
            <w:tcMar>
              <w:top w:w="15" w:type="dxa"/>
              <w:left w:w="15" w:type="dxa"/>
              <w:bottom w:w="0" w:type="dxa"/>
              <w:right w:w="15" w:type="dxa"/>
            </w:tcMar>
            <w:vAlign w:val="center"/>
            <w:hideMark/>
          </w:tcPr>
          <w:p w14:paraId="0CD08D0F"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20220496</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7C02183" w14:textId="77777777" w:rsidR="00273288" w:rsidRPr="00E33DE3" w:rsidRDefault="00273288" w:rsidP="00BC0685">
            <w:pPr>
              <w:jc w:val="right"/>
              <w:rPr>
                <w:rFonts w:ascii="Verdana" w:hAnsi="Verdana"/>
              </w:rPr>
            </w:pPr>
            <w:r w:rsidRPr="00E33DE3">
              <w:rPr>
                <w:rFonts w:ascii="Verdana" w:eastAsia="Arial" w:hAnsi="Verdana" w:cs="Arial"/>
                <w:color w:val="000000" w:themeColor="text1"/>
                <w:sz w:val="16"/>
                <w:szCs w:val="16"/>
              </w:rPr>
              <w:t>20232099-20230741</w:t>
            </w:r>
          </w:p>
        </w:tc>
      </w:tr>
    </w:tbl>
    <w:p w14:paraId="02BC8428" w14:textId="77777777" w:rsidR="00273288" w:rsidRPr="00E33DE3" w:rsidRDefault="00273288" w:rsidP="00C65B25">
      <w:pPr>
        <w:jc w:val="both"/>
        <w:rPr>
          <w:rFonts w:ascii="Verdana" w:hAnsi="Verdana" w:cs="Arial"/>
          <w:sz w:val="18"/>
          <w:szCs w:val="18"/>
        </w:rPr>
      </w:pPr>
      <w:r w:rsidRPr="00E33DE3">
        <w:rPr>
          <w:rFonts w:ascii="Verdana" w:hAnsi="Verdana" w:cs="Arial"/>
          <w:sz w:val="18"/>
          <w:szCs w:val="18"/>
        </w:rPr>
        <w:t>Fuente: Cuadro de contratación enviado por la Entidad Territorial para las vigencias 2018, 2019, marzo del 2020, 2021, septiembre de 2022 y Remitido por el MEN para diciembre de 2023.</w:t>
      </w:r>
    </w:p>
    <w:p w14:paraId="1526B30C" w14:textId="77777777" w:rsidR="00273288" w:rsidRPr="00E33DE3" w:rsidRDefault="00273288" w:rsidP="00C65B25">
      <w:pPr>
        <w:jc w:val="both"/>
        <w:rPr>
          <w:rFonts w:ascii="Verdana" w:hAnsi="Verdana" w:cs="Arial"/>
          <w:sz w:val="22"/>
          <w:szCs w:val="22"/>
          <w:lang w:val="es-ES_tradnl"/>
        </w:rPr>
      </w:pPr>
    </w:p>
    <w:p w14:paraId="08AF95E7"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La situación estudiada en este apartado ya se evidenció en el Municipio cuando en el 2013, según el periódico Diario del Sur, el secretario de educación, el señor Jaime Guerrero Vinueza, confirmó la legalización de las prestaciones y pensiones de 176 personas que desde hace 15 años estaban ejerciendo como conserjes en algunas de las instituciones educativas de la Entidad, quienes adicionalmente fueron vinculados a la planta de la Secretaría de educación</w:t>
      </w:r>
      <w:r w:rsidRPr="00E33DE3">
        <w:rPr>
          <w:rStyle w:val="Refdenotaalpie"/>
          <w:rFonts w:ascii="Verdana" w:hAnsi="Verdana" w:cs="Arial"/>
          <w:sz w:val="22"/>
          <w:szCs w:val="22"/>
        </w:rPr>
        <w:footnoteReference w:id="21"/>
      </w:r>
      <w:r w:rsidRPr="00E33DE3">
        <w:rPr>
          <w:rFonts w:ascii="Verdana" w:hAnsi="Verdana" w:cs="Arial"/>
          <w:sz w:val="22"/>
          <w:szCs w:val="22"/>
        </w:rPr>
        <w:t>.</w:t>
      </w:r>
    </w:p>
    <w:p w14:paraId="53166E6C" w14:textId="77777777" w:rsidR="00273288" w:rsidRPr="00E33DE3" w:rsidRDefault="00273288" w:rsidP="00C65B25">
      <w:pPr>
        <w:jc w:val="both"/>
        <w:rPr>
          <w:rFonts w:ascii="Verdana" w:hAnsi="Verdana" w:cs="Arial"/>
          <w:sz w:val="22"/>
          <w:szCs w:val="22"/>
          <w:lang w:val="es-ES_tradnl"/>
        </w:rPr>
      </w:pPr>
    </w:p>
    <w:p w14:paraId="1E970538" w14:textId="77777777" w:rsidR="00273288" w:rsidRPr="00E33DE3" w:rsidRDefault="00273288" w:rsidP="00C65B25">
      <w:pPr>
        <w:jc w:val="both"/>
        <w:rPr>
          <w:rFonts w:ascii="Verdana" w:hAnsi="Verdana" w:cs="Arial"/>
          <w:i/>
          <w:sz w:val="22"/>
          <w:szCs w:val="22"/>
        </w:rPr>
      </w:pPr>
      <w:r w:rsidRPr="00E33DE3">
        <w:rPr>
          <w:rFonts w:ascii="Verdana" w:hAnsi="Verdana" w:cs="Arial"/>
          <w:sz w:val="22"/>
          <w:szCs w:val="22"/>
          <w:lang w:val="es-ES_tradnl"/>
        </w:rPr>
        <w:t>Adicionalmente, e</w:t>
      </w:r>
      <w:r w:rsidRPr="00E33DE3">
        <w:rPr>
          <w:rFonts w:ascii="Verdana" w:hAnsi="Verdana" w:cs="Arial"/>
          <w:sz w:val="22"/>
          <w:szCs w:val="22"/>
        </w:rPr>
        <w:t xml:space="preserve">l Ministerio de Educación en oficio enviado a esta dirección el 20 de agosto del 2019 mediante radicado </w:t>
      </w:r>
      <w:r w:rsidRPr="00E33DE3">
        <w:rPr>
          <w:rFonts w:ascii="Verdana" w:eastAsia="Times New Roman" w:hAnsi="Verdana" w:cs="Arial"/>
          <w:sz w:val="22"/>
          <w:szCs w:val="22"/>
          <w:lang w:val="es-ES_tradnl"/>
        </w:rPr>
        <w:t xml:space="preserve">1-2019-076864, indica al respecto: </w:t>
      </w:r>
      <w:r w:rsidRPr="00E33DE3">
        <w:rPr>
          <w:rFonts w:ascii="Verdana" w:eastAsia="Times New Roman" w:hAnsi="Verdana" w:cs="Arial"/>
          <w:sz w:val="22"/>
          <w:szCs w:val="22"/>
          <w:lang w:val="es-ES_tradnl"/>
        </w:rPr>
        <w:lastRenderedPageBreak/>
        <w:t>“</w:t>
      </w:r>
      <w:r w:rsidRPr="00E33DE3">
        <w:rPr>
          <w:rFonts w:ascii="Verdana" w:hAnsi="Verdana" w:cs="Arial"/>
          <w:i/>
          <w:sz w:val="22"/>
          <w:szCs w:val="22"/>
        </w:rPr>
        <w:t>En el año 2018 se sigue presentando contratación del servicio del personal de consejería, cuidado, aseo y vigilancia de los establecimientos educativos bajo la modalidad de Órdenes de Prestación del Servicio por $2.026 millones que en aplicación de las sentencias constitucionales se encuentra prohibida en la administración pública (Sentencia C614 de 2009). En este momento vienen reclamando la presunta existencia del principio de primacía de la realidad sobre las formas, llamado “contrato realidad”, teniendo en cuenta que el Municipio de Pasto ha vinculado desde hace aproximadamente 20 años.”</w:t>
      </w:r>
    </w:p>
    <w:p w14:paraId="22B002F9" w14:textId="77777777" w:rsidR="00273288" w:rsidRPr="00E33DE3" w:rsidRDefault="00273288" w:rsidP="00C65B25">
      <w:pPr>
        <w:jc w:val="both"/>
        <w:rPr>
          <w:rFonts w:ascii="Verdana" w:hAnsi="Verdana" w:cs="Arial"/>
          <w:i/>
          <w:sz w:val="22"/>
          <w:szCs w:val="22"/>
        </w:rPr>
      </w:pPr>
    </w:p>
    <w:p w14:paraId="556EC4D3"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Por lo anterior, la falta de planeación por parte de la Entidad Territorial, al no adquirir el servicio a través de empresas existentes en el Municipio como: Visenar-Soluciones integrales</w:t>
      </w:r>
      <w:r w:rsidRPr="00E33DE3">
        <w:rPr>
          <w:rStyle w:val="Refdenotaalpie"/>
          <w:rFonts w:ascii="Verdana" w:hAnsi="Verdana" w:cs="Arial"/>
          <w:sz w:val="22"/>
          <w:szCs w:val="22"/>
        </w:rPr>
        <w:footnoteReference w:id="22"/>
      </w:r>
      <w:r w:rsidRPr="00E33DE3">
        <w:rPr>
          <w:rFonts w:ascii="Verdana" w:hAnsi="Verdana" w:cs="Arial"/>
          <w:sz w:val="22"/>
          <w:szCs w:val="22"/>
        </w:rPr>
        <w:t xml:space="preserve"> o Tu Hogar Feliz</w:t>
      </w:r>
      <w:r w:rsidRPr="00E33DE3">
        <w:rPr>
          <w:rStyle w:val="Refdenotaalpie"/>
          <w:rFonts w:ascii="Verdana" w:hAnsi="Verdana" w:cs="Arial"/>
          <w:sz w:val="22"/>
          <w:szCs w:val="22"/>
        </w:rPr>
        <w:footnoteReference w:id="23"/>
      </w:r>
      <w:r w:rsidRPr="00E33DE3">
        <w:rPr>
          <w:rFonts w:ascii="Verdana" w:hAnsi="Verdana" w:cs="Arial"/>
          <w:sz w:val="22"/>
          <w:szCs w:val="22"/>
        </w:rPr>
        <w:t>-Limpieza profesional y ecológica en Pasto, pone en riesgo el uso adecuado de los recursos del SGP-Educación asignados.</w:t>
      </w:r>
    </w:p>
    <w:p w14:paraId="1581BF9A" w14:textId="77777777" w:rsidR="00273288" w:rsidRPr="00E33DE3" w:rsidRDefault="00273288" w:rsidP="00C65B25">
      <w:pPr>
        <w:jc w:val="both"/>
        <w:rPr>
          <w:rFonts w:ascii="Verdana" w:hAnsi="Verdana" w:cs="Arial"/>
          <w:sz w:val="22"/>
          <w:szCs w:val="22"/>
        </w:rPr>
      </w:pPr>
    </w:p>
    <w:p w14:paraId="2DA02E78"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xml:space="preserve">Cabe señalar que en ningún caso esta </w:t>
      </w:r>
      <w:r w:rsidR="00BC0685">
        <w:rPr>
          <w:rFonts w:ascii="Verdana" w:hAnsi="Verdana" w:cs="Arial"/>
          <w:sz w:val="22"/>
          <w:szCs w:val="22"/>
        </w:rPr>
        <w:t>D</w:t>
      </w:r>
      <w:r w:rsidRPr="00E33DE3">
        <w:rPr>
          <w:rFonts w:ascii="Verdana" w:hAnsi="Verdana" w:cs="Arial"/>
          <w:sz w:val="22"/>
          <w:szCs w:val="22"/>
        </w:rPr>
        <w:t xml:space="preserve">irección señala la existencia de contratos laborales para con las personas relacionadas en la tabla anterior pues no se tiene conocimiento de la relación laboral en particular con estos individuos. Acorde a esta idea, si bien la normativa laboral no prohíbe la sucesión de contratos de prestación de servicios profesionales y </w:t>
      </w:r>
      <w:r w:rsidR="00BC0685">
        <w:rPr>
          <w:rFonts w:ascii="Verdana" w:hAnsi="Verdana" w:cs="Arial"/>
          <w:sz w:val="22"/>
          <w:szCs w:val="22"/>
        </w:rPr>
        <w:t xml:space="preserve">ésta </w:t>
      </w:r>
      <w:r w:rsidRPr="00E33DE3">
        <w:rPr>
          <w:rFonts w:ascii="Verdana" w:hAnsi="Verdana" w:cs="Arial"/>
          <w:sz w:val="22"/>
          <w:szCs w:val="22"/>
        </w:rPr>
        <w:t xml:space="preserve">no es condición única para determinar la existencia de un contrato realidad, es fundamental que la entidad territorial adelante los mecanismos jurídicos para protegerse de procesos judiciales en contra. Así, es fundamental que las personas vinculadas mediante este régimen contractual continúen manteniendo su autonomía e independencia, evitando configurar relaciones de subordinación. Por otra parte, es necesario que la entidad territorial evalúe la continuidad en el tiempo de los servicios que </w:t>
      </w:r>
      <w:r w:rsidR="00BC0685">
        <w:rPr>
          <w:rFonts w:ascii="Verdana" w:hAnsi="Verdana" w:cs="Arial"/>
          <w:sz w:val="22"/>
          <w:szCs w:val="22"/>
        </w:rPr>
        <w:t>contrata</w:t>
      </w:r>
      <w:r w:rsidRPr="00E33DE3">
        <w:rPr>
          <w:rFonts w:ascii="Verdana" w:hAnsi="Verdana" w:cs="Arial"/>
          <w:sz w:val="22"/>
          <w:szCs w:val="22"/>
        </w:rPr>
        <w:t xml:space="preserve"> para que, únicamente en caso de que sean servicios que requieran ejecución permanente, ajuste sus esquemas de contratación a contratos laborales o los contrate mediante terceros.</w:t>
      </w:r>
    </w:p>
    <w:p w14:paraId="75237BEB" w14:textId="77777777" w:rsidR="00273288" w:rsidRPr="00E33DE3" w:rsidRDefault="00273288" w:rsidP="00C65B25">
      <w:pPr>
        <w:jc w:val="both"/>
        <w:rPr>
          <w:rFonts w:ascii="Verdana" w:hAnsi="Verdana" w:cs="Arial"/>
          <w:i/>
          <w:iCs/>
          <w:sz w:val="22"/>
          <w:szCs w:val="22"/>
        </w:rPr>
      </w:pPr>
    </w:p>
    <w:p w14:paraId="6D55EDC4"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En todo caso, aunque la entidad territorial realice la contratación del servicio mediante un tercero, es fundamental que no exista relación de subordinación alguna entre la persona vinculada por el contratista y las instituciones a cargo del municipio. Con base en estas actuaciones la entidad podría reducir los riesgos contractuales que involucran estos procesos.</w:t>
      </w:r>
    </w:p>
    <w:p w14:paraId="148F5ABD" w14:textId="77777777" w:rsidR="00273288" w:rsidRPr="00E33DE3" w:rsidRDefault="00273288" w:rsidP="00C65B25">
      <w:pPr>
        <w:jc w:val="both"/>
        <w:rPr>
          <w:rFonts w:ascii="Verdana" w:hAnsi="Verdana" w:cs="Arial"/>
          <w:i/>
          <w:iCs/>
          <w:sz w:val="22"/>
          <w:szCs w:val="22"/>
        </w:rPr>
      </w:pPr>
    </w:p>
    <w:p w14:paraId="5A98B2BD" w14:textId="77777777" w:rsidR="00273288" w:rsidRPr="00E33DE3" w:rsidRDefault="00273288" w:rsidP="00C65B25">
      <w:pPr>
        <w:jc w:val="both"/>
        <w:rPr>
          <w:rFonts w:ascii="Verdana" w:hAnsi="Verdana" w:cs="Arial"/>
          <w:i/>
          <w:iCs/>
          <w:sz w:val="22"/>
          <w:szCs w:val="22"/>
        </w:rPr>
      </w:pPr>
      <w:r w:rsidRPr="00E33DE3">
        <w:rPr>
          <w:rFonts w:ascii="Verdana" w:hAnsi="Verdana" w:cs="Arial"/>
          <w:sz w:val="22"/>
          <w:szCs w:val="22"/>
        </w:rPr>
        <w:t xml:space="preserve">Aunado a lo anterior, la Dirección General de Apoyo Fiscal ha considerado que si la Entidad Territorial por falta de planeación y administración del recurso para la adquisición del servicio de aseo y/o vigilancia, genera deudas laborales por este concepto, estos pasivos no deben ser financiados con recursos </w:t>
      </w:r>
      <w:r w:rsidR="00BC0685">
        <w:rPr>
          <w:rFonts w:ascii="Verdana" w:hAnsi="Verdana" w:cs="Arial"/>
          <w:sz w:val="22"/>
          <w:szCs w:val="22"/>
        </w:rPr>
        <w:t xml:space="preserve">corrientes ni </w:t>
      </w:r>
      <w:r w:rsidRPr="00E33DE3">
        <w:rPr>
          <w:rFonts w:ascii="Verdana" w:hAnsi="Verdana" w:cs="Arial"/>
          <w:sz w:val="22"/>
          <w:szCs w:val="22"/>
        </w:rPr>
        <w:t>excedentes del Sistema General de Participaciones, ni con cargo a los recursos del Presupuesto General de la Nación</w:t>
      </w:r>
      <w:r w:rsidR="00BC0685">
        <w:rPr>
          <w:rFonts w:ascii="Verdana" w:hAnsi="Verdana" w:cs="Arial"/>
          <w:sz w:val="22"/>
          <w:szCs w:val="22"/>
        </w:rPr>
        <w:t xml:space="preserve">, de acuerdo con lo establecido en </w:t>
      </w:r>
      <w:r w:rsidRPr="00E33DE3">
        <w:rPr>
          <w:rFonts w:ascii="Verdana" w:hAnsi="Verdana" w:cs="Arial"/>
          <w:sz w:val="22"/>
          <w:szCs w:val="22"/>
        </w:rPr>
        <w:t xml:space="preserve">al artículo </w:t>
      </w:r>
      <w:r w:rsidRPr="00E33DE3">
        <w:rPr>
          <w:rFonts w:ascii="Verdana" w:hAnsi="Verdana" w:cs="Arial"/>
          <w:sz w:val="22"/>
          <w:szCs w:val="22"/>
        </w:rPr>
        <w:lastRenderedPageBreak/>
        <w:t>190 de la ley 2294 de 2023, dado que dicho riesgo se originó por actuaciones de la</w:t>
      </w:r>
      <w:r w:rsidR="00BC0685">
        <w:rPr>
          <w:rFonts w:ascii="Verdana" w:hAnsi="Verdana" w:cs="Arial"/>
          <w:sz w:val="22"/>
          <w:szCs w:val="22"/>
        </w:rPr>
        <w:t xml:space="preserve"> </w:t>
      </w:r>
      <w:r w:rsidRPr="00E33DE3">
        <w:rPr>
          <w:rFonts w:ascii="Verdana" w:hAnsi="Verdana" w:cs="Arial"/>
          <w:sz w:val="22"/>
          <w:szCs w:val="22"/>
        </w:rPr>
        <w:t>Entidad Territorial que derivaron en una contradicción del ordenamiento jurídico.</w:t>
      </w:r>
    </w:p>
    <w:p w14:paraId="2F0DF1B3" w14:textId="77777777" w:rsidR="00273288" w:rsidRPr="00E33DE3" w:rsidRDefault="00273288" w:rsidP="00C65B25">
      <w:pPr>
        <w:jc w:val="both"/>
        <w:rPr>
          <w:rFonts w:ascii="Verdana" w:hAnsi="Verdana" w:cs="Arial"/>
          <w:sz w:val="22"/>
          <w:szCs w:val="22"/>
          <w:lang w:val="es-ES_tradnl"/>
        </w:rPr>
      </w:pPr>
    </w:p>
    <w:p w14:paraId="44FE2F3A" w14:textId="77777777" w:rsidR="00273288" w:rsidRPr="00E33DE3" w:rsidRDefault="00273288" w:rsidP="00C65B25">
      <w:pPr>
        <w:jc w:val="both"/>
        <w:rPr>
          <w:rFonts w:ascii="Verdana" w:hAnsi="Verdana" w:cs="Arial"/>
          <w:sz w:val="22"/>
          <w:szCs w:val="22"/>
          <w:lang w:val="es-ES_tradnl"/>
        </w:rPr>
      </w:pPr>
      <w:r w:rsidRPr="00E33DE3">
        <w:rPr>
          <w:rFonts w:ascii="Verdana" w:hAnsi="Verdana" w:cs="Arial"/>
          <w:b/>
          <w:sz w:val="22"/>
          <w:szCs w:val="22"/>
          <w:lang w:val="es-ES_tradnl"/>
        </w:rPr>
        <w:t xml:space="preserve">Evidencia: </w:t>
      </w:r>
      <w:r w:rsidRPr="00E33DE3">
        <w:rPr>
          <w:rFonts w:ascii="Verdana" w:hAnsi="Verdana" w:cs="Arial"/>
          <w:sz w:val="22"/>
          <w:szCs w:val="22"/>
          <w:lang w:val="es-ES_tradnl"/>
        </w:rPr>
        <w:t xml:space="preserve">Obra en el expediente el siguiente material probatorio: </w:t>
      </w:r>
    </w:p>
    <w:p w14:paraId="66669DAF"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 xml:space="preserve">Cuadro con listados de contratación enviado por la Entidad Territorial para las vigencias 2018, 2019 y marzo del 2020. </w:t>
      </w:r>
    </w:p>
    <w:p w14:paraId="09BC25B5"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 xml:space="preserve">Cuadro con listado de contratación enviado por la Entidad Territorial para la vigencia 2021. </w:t>
      </w:r>
    </w:p>
    <w:p w14:paraId="11FF5025" w14:textId="77777777" w:rsidR="00273288" w:rsidRPr="00E33DE3" w:rsidRDefault="00273288" w:rsidP="00C65B25">
      <w:pPr>
        <w:pStyle w:val="Prrafodelista"/>
        <w:numPr>
          <w:ilvl w:val="0"/>
          <w:numId w:val="28"/>
        </w:numPr>
        <w:ind w:left="284" w:hanging="284"/>
        <w:jc w:val="both"/>
        <w:rPr>
          <w:rFonts w:ascii="Verdana" w:hAnsi="Verdana"/>
          <w:sz w:val="22"/>
          <w:szCs w:val="22"/>
        </w:rPr>
      </w:pPr>
      <w:r w:rsidRPr="00E33DE3">
        <w:rPr>
          <w:rFonts w:ascii="Verdana" w:eastAsia="Calibri" w:hAnsi="Verdana" w:cs="Arial"/>
          <w:sz w:val="22"/>
          <w:szCs w:val="22"/>
          <w:lang w:eastAsia="en-US"/>
        </w:rPr>
        <w:t>Cu</w:t>
      </w:r>
      <w:r w:rsidRPr="00E33DE3">
        <w:rPr>
          <w:rFonts w:ascii="Verdana" w:hAnsi="Verdana" w:cs="Arial"/>
          <w:sz w:val="22"/>
          <w:szCs w:val="22"/>
        </w:rPr>
        <w:t>adro con listado de contratación enviado por la Entidad Territorial para la vigencia 2022.</w:t>
      </w:r>
    </w:p>
    <w:p w14:paraId="0AB2688C" w14:textId="77777777" w:rsidR="00273288" w:rsidRPr="00E33DE3" w:rsidRDefault="00273288" w:rsidP="00C65B25">
      <w:pPr>
        <w:jc w:val="both"/>
        <w:rPr>
          <w:rFonts w:ascii="Verdana" w:hAnsi="Verdana"/>
          <w:sz w:val="22"/>
          <w:szCs w:val="22"/>
        </w:rPr>
      </w:pPr>
    </w:p>
    <w:p w14:paraId="796172CF" w14:textId="77777777" w:rsidR="00273288" w:rsidRPr="00E33DE3" w:rsidRDefault="00273288" w:rsidP="00C65B25">
      <w:pPr>
        <w:pStyle w:val="Ttulo3"/>
        <w:numPr>
          <w:ilvl w:val="0"/>
          <w:numId w:val="47"/>
        </w:numPr>
        <w:spacing w:before="0"/>
        <w:ind w:left="426" w:hanging="426"/>
        <w:jc w:val="both"/>
        <w:rPr>
          <w:rFonts w:ascii="Verdana" w:hAnsi="Verdana"/>
          <w:b/>
          <w:bCs/>
          <w:color w:val="auto"/>
          <w:sz w:val="22"/>
          <w:szCs w:val="22"/>
        </w:rPr>
      </w:pPr>
      <w:r w:rsidRPr="00E33DE3">
        <w:rPr>
          <w:rFonts w:ascii="Verdana" w:hAnsi="Verdana"/>
          <w:b/>
          <w:bCs/>
          <w:color w:val="auto"/>
          <w:sz w:val="22"/>
          <w:szCs w:val="22"/>
        </w:rPr>
        <w:t>Procesos contractuales que no cumplen el calendario académico.</w:t>
      </w:r>
    </w:p>
    <w:p w14:paraId="2A7E78FE" w14:textId="77777777" w:rsidR="00273288" w:rsidRPr="00E33DE3" w:rsidRDefault="00273288" w:rsidP="00C65B25">
      <w:pPr>
        <w:jc w:val="both"/>
        <w:rPr>
          <w:rFonts w:ascii="Verdana" w:hAnsi="Verdana" w:cs="Arial"/>
          <w:sz w:val="22"/>
          <w:szCs w:val="22"/>
        </w:rPr>
      </w:pPr>
      <w:r w:rsidRPr="00E33DE3">
        <w:rPr>
          <w:rFonts w:ascii="Verdana" w:eastAsia="Times New Roman" w:hAnsi="Verdana" w:cs="Arial"/>
          <w:sz w:val="22"/>
          <w:szCs w:val="22"/>
        </w:rPr>
        <w:t xml:space="preserve"> </w:t>
      </w:r>
    </w:p>
    <w:p w14:paraId="50F4839C" w14:textId="77777777" w:rsidR="00273288" w:rsidRPr="00E33DE3" w:rsidRDefault="00273288" w:rsidP="00C65B25">
      <w:pPr>
        <w:jc w:val="both"/>
        <w:rPr>
          <w:rFonts w:ascii="Verdana" w:hAnsi="Verdana" w:cs="Arial"/>
          <w:sz w:val="22"/>
          <w:szCs w:val="22"/>
        </w:rPr>
      </w:pPr>
      <w:r w:rsidRPr="00E33DE3">
        <w:rPr>
          <w:rFonts w:ascii="Verdana" w:eastAsia="Arial" w:hAnsi="Verdana" w:cs="Arial"/>
          <w:sz w:val="22"/>
          <w:szCs w:val="22"/>
        </w:rPr>
        <w:t>De conformidad con lo establecido en el artículo 86 de la Ley 115 de 1994,</w:t>
      </w:r>
      <w:r w:rsidRPr="00E33DE3">
        <w:rPr>
          <w:rFonts w:ascii="Verdana" w:eastAsia="Arial" w:hAnsi="Verdana" w:cs="Arial"/>
          <w:i/>
          <w:iCs/>
          <w:sz w:val="22"/>
          <w:szCs w:val="22"/>
        </w:rPr>
        <w:t xml:space="preserve"> “el calendario académico en la educación básica secundaria y media se organizará por períodos anuales de 40 semanas de duración mínima o semestrales de 20 semanas mínimo”</w:t>
      </w:r>
      <w:r w:rsidRPr="00E33DE3">
        <w:rPr>
          <w:rFonts w:ascii="Verdana" w:eastAsia="Arial" w:hAnsi="Verdana" w:cs="Arial"/>
          <w:sz w:val="22"/>
          <w:szCs w:val="22"/>
        </w:rPr>
        <w:t>. En este sentido, los artículos 2.4.3.4.1, 2.3.1.3.1.4, 2.3.1.3.2.12, y 2.3.1.3.2.13 del Decreto 1075 de 2015, propenden por la garantía del cumplimiento de las 40 semanas lectivas obligatorias, máxime cuando se trate de la prestación del servicio educativo a través de la contratación con terceros.</w:t>
      </w:r>
    </w:p>
    <w:p w14:paraId="4F69E19F" w14:textId="77777777" w:rsidR="00273288" w:rsidRPr="00E33DE3" w:rsidRDefault="00273288" w:rsidP="00C65B25">
      <w:pPr>
        <w:jc w:val="both"/>
        <w:rPr>
          <w:rFonts w:ascii="Verdana" w:hAnsi="Verdana" w:cs="Arial"/>
          <w:sz w:val="22"/>
          <w:szCs w:val="22"/>
        </w:rPr>
      </w:pPr>
      <w:r w:rsidRPr="00E33DE3">
        <w:rPr>
          <w:rFonts w:ascii="Verdana" w:eastAsia="Arial" w:hAnsi="Verdana" w:cs="Arial"/>
          <w:sz w:val="22"/>
          <w:szCs w:val="22"/>
        </w:rPr>
        <w:t xml:space="preserve"> </w:t>
      </w:r>
    </w:p>
    <w:p w14:paraId="2C016475" w14:textId="77777777" w:rsidR="00273288" w:rsidRPr="00E33DE3" w:rsidRDefault="00273288" w:rsidP="00C65B25">
      <w:pPr>
        <w:jc w:val="both"/>
        <w:rPr>
          <w:rFonts w:ascii="Verdana" w:hAnsi="Verdana" w:cs="Arial"/>
          <w:sz w:val="22"/>
          <w:szCs w:val="22"/>
        </w:rPr>
      </w:pPr>
      <w:r w:rsidRPr="00E33DE3">
        <w:rPr>
          <w:rFonts w:ascii="Verdana" w:eastAsia="Arial" w:hAnsi="Verdana" w:cs="Arial"/>
          <w:sz w:val="22"/>
          <w:szCs w:val="22"/>
        </w:rPr>
        <w:t>Adicionalmente, la Resolución 1730 de 2004 y las Directivas Ministeriales No. 16 de 12 de junio de 2013 y 51 del 31 de octubre de 2017, del Ministerio de Educación Nacional, establecen que la jornada escolar de los estudiantes deberá estar compuesta por 40 semanas lectivas de intensidades académicas mínimas de 20 horas en Preescolar, 25 horas en Primaria y 30 horas en Secundaria.</w:t>
      </w:r>
    </w:p>
    <w:p w14:paraId="4C77B239" w14:textId="77777777" w:rsidR="00273288" w:rsidRPr="00E33DE3" w:rsidRDefault="00273288" w:rsidP="00C65B25">
      <w:pPr>
        <w:jc w:val="both"/>
        <w:rPr>
          <w:rFonts w:ascii="Verdana" w:hAnsi="Verdana" w:cs="Arial"/>
          <w:sz w:val="22"/>
          <w:szCs w:val="22"/>
        </w:rPr>
      </w:pPr>
      <w:r w:rsidRPr="00E33DE3">
        <w:rPr>
          <w:rFonts w:ascii="Verdana" w:eastAsia="Arial" w:hAnsi="Verdana" w:cs="Arial"/>
          <w:sz w:val="22"/>
          <w:szCs w:val="22"/>
        </w:rPr>
        <w:t xml:space="preserve"> </w:t>
      </w:r>
    </w:p>
    <w:p w14:paraId="26FD06C1" w14:textId="77777777" w:rsidR="00273288" w:rsidRPr="00E33DE3" w:rsidRDefault="00273288" w:rsidP="00C65B25">
      <w:pPr>
        <w:jc w:val="both"/>
        <w:rPr>
          <w:rFonts w:ascii="Verdana" w:hAnsi="Verdana" w:cs="Arial"/>
          <w:sz w:val="22"/>
          <w:szCs w:val="22"/>
        </w:rPr>
      </w:pPr>
      <w:r w:rsidRPr="00E33DE3">
        <w:rPr>
          <w:rFonts w:ascii="Verdana" w:eastAsia="Arial" w:hAnsi="Verdana" w:cs="Arial"/>
          <w:sz w:val="22"/>
          <w:szCs w:val="22"/>
        </w:rPr>
        <w:t>Por su parte, la Directiva Ministerial No. 9 de 2008 brinda orientaciones en materia de planeación contractual de la prestación del Servicio Educativo y el inicio oportuno de clases definido para el Sector Oficial, reiteradas en la Directiva Ministerial No. 24 de 2009, frente a la necesidad de que la planeación contractual de la prestación del Servicio Educativo sea preliminar al inicio del calendario académico.</w:t>
      </w:r>
    </w:p>
    <w:p w14:paraId="53F8EFFB" w14:textId="77777777" w:rsidR="00273288" w:rsidRPr="00E33DE3" w:rsidRDefault="00273288" w:rsidP="00C65B25">
      <w:pPr>
        <w:jc w:val="both"/>
        <w:rPr>
          <w:rFonts w:ascii="Verdana" w:hAnsi="Verdana" w:cs="Arial"/>
          <w:sz w:val="22"/>
          <w:szCs w:val="22"/>
        </w:rPr>
      </w:pPr>
      <w:r w:rsidRPr="00E33DE3">
        <w:rPr>
          <w:rFonts w:ascii="Verdana" w:eastAsia="Arial" w:hAnsi="Verdana" w:cs="Arial"/>
          <w:sz w:val="22"/>
          <w:szCs w:val="22"/>
        </w:rPr>
        <w:t xml:space="preserve"> </w:t>
      </w:r>
    </w:p>
    <w:p w14:paraId="101B502C" w14:textId="77777777" w:rsidR="00273288" w:rsidRPr="00E33DE3" w:rsidRDefault="00273288" w:rsidP="00C65B25">
      <w:pPr>
        <w:jc w:val="both"/>
        <w:rPr>
          <w:rFonts w:ascii="Verdana" w:hAnsi="Verdana" w:cs="Arial"/>
          <w:sz w:val="22"/>
          <w:szCs w:val="22"/>
        </w:rPr>
      </w:pPr>
      <w:r w:rsidRPr="00E33DE3">
        <w:rPr>
          <w:rFonts w:ascii="Verdana" w:eastAsia="Arial" w:hAnsi="Verdana" w:cs="Arial"/>
          <w:sz w:val="22"/>
          <w:szCs w:val="22"/>
        </w:rPr>
        <w:t xml:space="preserve">Así mismo, el numeral 6 del artículo 2.3.1.3.1.4 del Decreto 1075 de 2015 establece el principio de oportunidad de la contratación del servicio educativo, indicando la obligatoriedad de que las entidades territoriales garanticen que dicha contratación inicie de forma simultánea con el calendario académico que han establecido para los establecimientos educativos oficiales de su jurisdicción. Finalmente, la contratación del Servicio Educativo con fecha posterior a la iniciación del calendario educativo contraviene lo dispuesto en la Directiva Ministerial No. 11 del 07 de julio de 2005. </w:t>
      </w:r>
    </w:p>
    <w:p w14:paraId="02DF4F40" w14:textId="77777777" w:rsidR="00273288" w:rsidRPr="00E33DE3" w:rsidRDefault="00273288" w:rsidP="00C65B25">
      <w:pPr>
        <w:jc w:val="both"/>
        <w:rPr>
          <w:rFonts w:ascii="Verdana" w:hAnsi="Verdana" w:cs="Arial"/>
          <w:sz w:val="22"/>
          <w:szCs w:val="22"/>
        </w:rPr>
      </w:pPr>
      <w:r w:rsidRPr="00E33DE3">
        <w:rPr>
          <w:rFonts w:ascii="Verdana" w:eastAsia="Arial" w:hAnsi="Verdana" w:cs="Arial"/>
          <w:sz w:val="22"/>
          <w:szCs w:val="22"/>
        </w:rPr>
        <w:t xml:space="preserve"> </w:t>
      </w:r>
    </w:p>
    <w:p w14:paraId="4BF0049E" w14:textId="77777777" w:rsidR="00273288" w:rsidRPr="00E33DE3" w:rsidRDefault="00273288" w:rsidP="00C65B25">
      <w:pPr>
        <w:jc w:val="both"/>
        <w:rPr>
          <w:rFonts w:ascii="Verdana" w:hAnsi="Verdana" w:cs="Arial"/>
          <w:sz w:val="22"/>
          <w:szCs w:val="22"/>
        </w:rPr>
      </w:pPr>
      <w:r w:rsidRPr="00E33DE3">
        <w:rPr>
          <w:rFonts w:ascii="Verdana" w:eastAsia="Arial" w:hAnsi="Verdana" w:cs="Arial"/>
          <w:sz w:val="22"/>
          <w:szCs w:val="22"/>
        </w:rPr>
        <w:lastRenderedPageBreak/>
        <w:t xml:space="preserve">Mediante la Resolución No. 3238 del 29 de octubre de 2018, la Entidad Territorial estableció el calendario académico para la vigencia 2019, determinando el inicio de las actividades pedagógicas el 28 de enero de 2019 culminando el 1 de diciembre de 2019. Sin embargo, suscribió los </w:t>
      </w:r>
      <w:r w:rsidRPr="00E33DE3">
        <w:rPr>
          <w:rFonts w:ascii="Verdana" w:eastAsia="Arial" w:hAnsi="Verdana" w:cs="Arial"/>
          <w:color w:val="000000" w:themeColor="text1"/>
          <w:sz w:val="22"/>
          <w:szCs w:val="22"/>
        </w:rPr>
        <w:t>contratos de promoción e implementación de estrategias de desarrollo pedagógico con confesiones religiosas No. 20191151, 20191152, 20191381, 20191445, 20191446, 20191450, 20191452, entre el 7 de febrero y el 25 de febrero de 2019</w:t>
      </w:r>
      <w:r w:rsidRPr="00E33DE3">
        <w:rPr>
          <w:rFonts w:ascii="Verdana" w:eastAsia="Arial" w:hAnsi="Verdana" w:cs="Arial"/>
          <w:sz w:val="22"/>
          <w:szCs w:val="22"/>
        </w:rPr>
        <w:t xml:space="preserve">. Adicionalmente, </w:t>
      </w:r>
      <w:r w:rsidRPr="00E33DE3">
        <w:rPr>
          <w:rFonts w:ascii="Verdana" w:eastAsia="Arial" w:hAnsi="Verdana" w:cs="Arial"/>
          <w:color w:val="000000" w:themeColor="text1"/>
          <w:sz w:val="22"/>
          <w:szCs w:val="22"/>
        </w:rPr>
        <w:t xml:space="preserve">suscribió el contrato interadministrativo para la prestación del servicio educativo por instituciones de educación superior oficiales que tengan facultad de educación No. 20191495 el 18 de marzo de 2019, con acta de inicio del 2 de abril de 2019. Con estos contratos se pactó la Prestación del servicio educativo para un total de 6.609 estudiantes, por valor de $5.392 millones que fueron financiados con recursos de la Participación de Educación del Sistema General de Participaciones. </w:t>
      </w:r>
    </w:p>
    <w:p w14:paraId="51EE0E59" w14:textId="77777777" w:rsidR="00273288" w:rsidRPr="00E33DE3" w:rsidRDefault="00273288" w:rsidP="00C65B25">
      <w:pPr>
        <w:jc w:val="both"/>
        <w:rPr>
          <w:rFonts w:ascii="Verdana" w:hAnsi="Verdana" w:cs="Arial"/>
          <w:sz w:val="22"/>
          <w:szCs w:val="22"/>
        </w:rPr>
      </w:pPr>
      <w:r w:rsidRPr="00E33DE3">
        <w:rPr>
          <w:rFonts w:ascii="Verdana" w:eastAsia="Arial" w:hAnsi="Verdana" w:cs="Arial"/>
          <w:sz w:val="22"/>
          <w:szCs w:val="22"/>
        </w:rPr>
        <w:t xml:space="preserve"> </w:t>
      </w:r>
    </w:p>
    <w:p w14:paraId="34A93ADC" w14:textId="77777777" w:rsidR="00273288" w:rsidRPr="00E33DE3" w:rsidRDefault="00273288" w:rsidP="00C65B25">
      <w:pPr>
        <w:jc w:val="both"/>
        <w:rPr>
          <w:rFonts w:ascii="Verdana" w:hAnsi="Verdana" w:cs="Arial"/>
          <w:sz w:val="22"/>
          <w:szCs w:val="22"/>
        </w:rPr>
      </w:pPr>
      <w:r w:rsidRPr="00E33DE3">
        <w:rPr>
          <w:rFonts w:ascii="Verdana" w:eastAsia="Arial" w:hAnsi="Verdana" w:cs="Arial"/>
          <w:sz w:val="22"/>
          <w:szCs w:val="22"/>
        </w:rPr>
        <w:t xml:space="preserve">Para la vigencia 2020, el inicio de actividades pedagógicas se estableció para el 27 de enero, mediante la Resolución No. 3969 del 16 de diciembre de 2019, mientras que el contrato </w:t>
      </w:r>
      <w:r w:rsidRPr="00E33DE3">
        <w:rPr>
          <w:rFonts w:ascii="Verdana" w:eastAsia="Arial" w:hAnsi="Verdana" w:cs="Arial"/>
          <w:color w:val="000000" w:themeColor="text1"/>
          <w:sz w:val="22"/>
          <w:szCs w:val="22"/>
        </w:rPr>
        <w:t>de promoción e implementación de estrategias de desarrollo pedagógico con confesiones religiosas No. 20200828 se suscribió el 31 de enero y el contrato interadministrativo para la prestación del servicio educativo por instituciones de educación superior oficiales que tengan facultad de educación No. 20201849 el 13 de marzo, con acta de inicio del 20 de marzo de la misma vigencia. Estos dos contratos se suscribieron para la atención de 3.001 alumnos, por valor de $3.973 millones con cargo al Sistema General de Participaciones.</w:t>
      </w:r>
    </w:p>
    <w:p w14:paraId="5B43CB2F" w14:textId="77777777" w:rsidR="00273288" w:rsidRPr="00E33DE3" w:rsidRDefault="00273288" w:rsidP="00C65B25">
      <w:pPr>
        <w:jc w:val="both"/>
        <w:rPr>
          <w:rFonts w:ascii="Verdana" w:hAnsi="Verdana" w:cs="Arial"/>
          <w:sz w:val="22"/>
          <w:szCs w:val="22"/>
        </w:rPr>
      </w:pPr>
      <w:r w:rsidRPr="00E33DE3">
        <w:rPr>
          <w:rFonts w:ascii="Verdana" w:eastAsia="Arial" w:hAnsi="Verdana" w:cs="Arial"/>
          <w:sz w:val="22"/>
          <w:szCs w:val="22"/>
        </w:rPr>
        <w:t xml:space="preserve"> </w:t>
      </w:r>
    </w:p>
    <w:p w14:paraId="52D6ABEE" w14:textId="77777777" w:rsidR="00273288" w:rsidRPr="00E33DE3" w:rsidRDefault="00273288" w:rsidP="00C65B25">
      <w:pPr>
        <w:jc w:val="both"/>
        <w:rPr>
          <w:rFonts w:ascii="Verdana" w:hAnsi="Verdana" w:cs="Arial"/>
          <w:sz w:val="22"/>
          <w:szCs w:val="22"/>
        </w:rPr>
      </w:pPr>
      <w:r w:rsidRPr="00E33DE3">
        <w:rPr>
          <w:rFonts w:ascii="Verdana" w:eastAsia="Arial" w:hAnsi="Verdana" w:cs="Arial"/>
          <w:sz w:val="22"/>
          <w:szCs w:val="22"/>
        </w:rPr>
        <w:t>Adicionalmente, mediante la Resolución No. 1588 del 13 de noviembre de 2020, la Entidad Territorial formalizo el calendario académico para la vigencia 2021, fijando el inicio de las labores académicas el 01 de febrero de 2021 y finalizando el 05 de diciembre de la misma vigencia. No obstante, suscribió los contratos de promoción e implementación de estrategias de desarrollo pedagógico con confesiones religiosas No. 20211309, 20211317, 20211323, 20211328, 20211367, 20211394, 20211395, 20211426 entre el 03 de marzo y el 04 de abril de 2021; adicionalmente, se suscribió el contrato interadministrativo para la prestación del servicio educativo por instituciones de educación superior oficiales que tengan facultad de educación No. 20211447 del 20 de marzo de 2021, y con acta de inicio del 05 de abril de 2021. Con estos contratos se pactó la prestación del servicio educativo para un total de 7.969 estudiantes, por valor de $7.248 millones que fueron financiados con recursos de la Participación de Educación del Sistema General de Participaciones.</w:t>
      </w:r>
    </w:p>
    <w:p w14:paraId="108EABD8" w14:textId="77777777" w:rsidR="00273288" w:rsidRPr="00E33DE3" w:rsidRDefault="00273288" w:rsidP="00C65B25">
      <w:pPr>
        <w:jc w:val="both"/>
        <w:rPr>
          <w:rFonts w:ascii="Verdana" w:hAnsi="Verdana" w:cs="Arial"/>
          <w:sz w:val="22"/>
          <w:szCs w:val="22"/>
        </w:rPr>
      </w:pPr>
      <w:r w:rsidRPr="00E33DE3">
        <w:rPr>
          <w:rFonts w:ascii="Verdana" w:eastAsia="Arial" w:hAnsi="Verdana" w:cs="Arial"/>
          <w:sz w:val="22"/>
          <w:szCs w:val="22"/>
        </w:rPr>
        <w:t xml:space="preserve"> </w:t>
      </w:r>
    </w:p>
    <w:p w14:paraId="4C6343E7" w14:textId="77777777" w:rsidR="00273288" w:rsidRPr="00E33DE3" w:rsidRDefault="00273288" w:rsidP="00C65B25">
      <w:pPr>
        <w:jc w:val="both"/>
        <w:rPr>
          <w:rFonts w:ascii="Verdana" w:hAnsi="Verdana" w:cs="Arial"/>
          <w:sz w:val="22"/>
          <w:szCs w:val="22"/>
        </w:rPr>
      </w:pPr>
      <w:r w:rsidRPr="00E33DE3">
        <w:rPr>
          <w:rFonts w:ascii="Verdana" w:eastAsia="Arial" w:hAnsi="Verdana" w:cs="Arial"/>
          <w:sz w:val="22"/>
          <w:szCs w:val="22"/>
        </w:rPr>
        <w:t xml:space="preserve">Por medio de la Resolución No. 2706 del 07 de diciembre del 2021, la Entidad Territorial estableció el calendario académico para la vigencia 2022, estableciendo la iniciación de las actividades educativas el 31 de enero de 2022 y culminando el 04 de diciembre del mismo año. No obstante, suscribió el </w:t>
      </w:r>
      <w:r w:rsidRPr="00E33DE3">
        <w:rPr>
          <w:rFonts w:ascii="Verdana" w:eastAsia="Arial" w:hAnsi="Verdana" w:cs="Arial"/>
          <w:sz w:val="22"/>
          <w:szCs w:val="22"/>
        </w:rPr>
        <w:lastRenderedPageBreak/>
        <w:t>contrato interadministrativo para la prestación del servicio educativo por instituciones de educación superior oficiales que tengan facultad de educación No. 20221758 del 29 de junio de 2022, con acta de inicio del 30 de junio respectivamente. Con este contrato se pactó la prestación del servicio educativo para un total de 1.021 estudiantes, por valor de $2.859 millones que fueron financiados con recursos de la Participación de Educación del Sistema General de Participaciones.</w:t>
      </w:r>
    </w:p>
    <w:p w14:paraId="1730C4DF" w14:textId="77777777" w:rsidR="00273288" w:rsidRPr="00E33DE3" w:rsidRDefault="00273288" w:rsidP="00C65B25">
      <w:pPr>
        <w:jc w:val="both"/>
        <w:rPr>
          <w:rFonts w:ascii="Verdana" w:hAnsi="Verdana" w:cs="Arial"/>
          <w:sz w:val="22"/>
          <w:szCs w:val="22"/>
        </w:rPr>
      </w:pPr>
      <w:r w:rsidRPr="00E33DE3">
        <w:rPr>
          <w:rFonts w:ascii="Verdana" w:eastAsia="Arial" w:hAnsi="Verdana" w:cs="Arial"/>
          <w:sz w:val="22"/>
          <w:szCs w:val="22"/>
        </w:rPr>
        <w:t xml:space="preserve"> </w:t>
      </w:r>
    </w:p>
    <w:p w14:paraId="44FD4B38" w14:textId="77777777" w:rsidR="00273288" w:rsidRPr="00E33DE3" w:rsidRDefault="00273288" w:rsidP="00C65B25">
      <w:pPr>
        <w:jc w:val="both"/>
        <w:rPr>
          <w:rFonts w:ascii="Verdana" w:hAnsi="Verdana" w:cs="Arial"/>
          <w:sz w:val="22"/>
          <w:szCs w:val="22"/>
        </w:rPr>
      </w:pPr>
      <w:r w:rsidRPr="00E33DE3">
        <w:rPr>
          <w:rFonts w:ascii="Verdana" w:eastAsia="Arial" w:hAnsi="Verdana" w:cs="Arial"/>
          <w:sz w:val="22"/>
          <w:szCs w:val="22"/>
        </w:rPr>
        <w:t xml:space="preserve">Así, de los contratos suscritos en las vigencias 2019, 2020, 2021 y 2022, mencionados anteriormente, se evidencia que su fecha de inicio se estableció posterior a la fecha de iniciación de las actividades pedagógicas definidas en el calendario académico. </w:t>
      </w:r>
    </w:p>
    <w:p w14:paraId="443B83A0" w14:textId="77777777" w:rsidR="00273288" w:rsidRPr="00E33DE3" w:rsidRDefault="00273288" w:rsidP="00C65B25">
      <w:pPr>
        <w:jc w:val="both"/>
        <w:rPr>
          <w:rFonts w:ascii="Verdana" w:hAnsi="Verdana" w:cs="Arial"/>
          <w:sz w:val="22"/>
          <w:szCs w:val="22"/>
        </w:rPr>
      </w:pPr>
      <w:r w:rsidRPr="00E33DE3">
        <w:rPr>
          <w:rFonts w:ascii="Verdana" w:eastAsia="Arial" w:hAnsi="Verdana" w:cs="Arial"/>
          <w:sz w:val="22"/>
          <w:szCs w:val="22"/>
        </w:rPr>
        <w:t xml:space="preserve"> </w:t>
      </w:r>
    </w:p>
    <w:p w14:paraId="3A357AA0" w14:textId="77777777" w:rsidR="00273288" w:rsidRPr="00E33DE3" w:rsidRDefault="00273288" w:rsidP="00C65B25">
      <w:pPr>
        <w:jc w:val="both"/>
        <w:rPr>
          <w:rFonts w:ascii="Verdana" w:hAnsi="Verdana" w:cs="Arial"/>
          <w:sz w:val="22"/>
          <w:szCs w:val="22"/>
        </w:rPr>
      </w:pPr>
      <w:r w:rsidRPr="00E33DE3">
        <w:rPr>
          <w:rFonts w:ascii="Verdana" w:eastAsia="Arial" w:hAnsi="Verdana" w:cs="Arial"/>
          <w:sz w:val="22"/>
          <w:szCs w:val="22"/>
        </w:rPr>
        <w:t>La suscripción tardía de los contratos para la Prestación del servicio educativo no garantiza el cumplimiento de las 40 semanas lectivas obligatorias ordenadas mediante la normatividad descrita, afectando significativamente a los niños y niñas atendidos mediante la modalidad de contratación del servicio dado que les impide recibir el calendario académico completo y claramente entran en desventaja con los demás niños de la misma Entidad Territorial (no atendidos bajo la modalidad de contratación), vulnerando la igualdad en el acceso al derecho y servicio público de educación.</w:t>
      </w:r>
    </w:p>
    <w:p w14:paraId="30AE1C60" w14:textId="77777777" w:rsidR="00273288" w:rsidRPr="00E33DE3" w:rsidRDefault="00273288" w:rsidP="00C65B25">
      <w:pPr>
        <w:jc w:val="both"/>
        <w:rPr>
          <w:rFonts w:ascii="Verdana" w:hAnsi="Verdana" w:cs="Arial"/>
          <w:sz w:val="22"/>
          <w:szCs w:val="22"/>
        </w:rPr>
      </w:pPr>
      <w:r w:rsidRPr="00E33DE3">
        <w:rPr>
          <w:rFonts w:ascii="Verdana" w:eastAsia="Arial" w:hAnsi="Verdana" w:cs="Arial"/>
          <w:sz w:val="22"/>
          <w:szCs w:val="22"/>
        </w:rPr>
        <w:t xml:space="preserve"> </w:t>
      </w:r>
    </w:p>
    <w:p w14:paraId="228356F5" w14:textId="77777777" w:rsidR="00273288" w:rsidRPr="00E33DE3" w:rsidRDefault="00273288" w:rsidP="00C65B25">
      <w:pPr>
        <w:jc w:val="both"/>
        <w:rPr>
          <w:rFonts w:ascii="Verdana" w:hAnsi="Verdana" w:cs="Arial"/>
          <w:sz w:val="22"/>
          <w:szCs w:val="22"/>
        </w:rPr>
      </w:pPr>
      <w:r w:rsidRPr="00E33DE3">
        <w:rPr>
          <w:rFonts w:ascii="Verdana" w:eastAsia="Arial" w:hAnsi="Verdana" w:cs="Arial"/>
          <w:sz w:val="22"/>
          <w:szCs w:val="22"/>
        </w:rPr>
        <w:t>Con las actuaciones mencionadas, la Entidad desatendió las orientaciones establecidas en el artículo 86 de la Ley 115 de 1994,</w:t>
      </w:r>
      <w:r w:rsidRPr="00E33DE3">
        <w:rPr>
          <w:rFonts w:ascii="Verdana" w:eastAsia="Arial" w:hAnsi="Verdana" w:cs="Arial"/>
          <w:i/>
          <w:iCs/>
          <w:sz w:val="22"/>
          <w:szCs w:val="22"/>
        </w:rPr>
        <w:t xml:space="preserve"> </w:t>
      </w:r>
      <w:r w:rsidRPr="00E33DE3">
        <w:rPr>
          <w:rFonts w:ascii="Verdana" w:eastAsia="Arial" w:hAnsi="Verdana" w:cs="Arial"/>
          <w:sz w:val="22"/>
          <w:szCs w:val="22"/>
        </w:rPr>
        <w:t>los artículos 2.4.3.4.1, 2.3.1.3.1.4, 2.3.1.3.2.12, y 2.3.1.3.2.13 del Decreto 1075 de 2015, la Resolución 1730 de 2004 y las Directivas Ministeriales No. 11 de 2005, 9 de 2008, 24 de 2009, 16 de 2013, 51 de 2017.</w:t>
      </w:r>
      <w:r w:rsidRPr="00E33DE3">
        <w:rPr>
          <w:rFonts w:ascii="Verdana" w:hAnsi="Verdana" w:cs="Arial"/>
          <w:sz w:val="22"/>
          <w:szCs w:val="22"/>
        </w:rPr>
        <w:t xml:space="preserve"> </w:t>
      </w:r>
      <w:r w:rsidRPr="00E33DE3">
        <w:rPr>
          <w:rFonts w:ascii="Verdana" w:eastAsia="Arial" w:hAnsi="Verdana" w:cs="Arial"/>
          <w:sz w:val="22"/>
          <w:szCs w:val="22"/>
        </w:rPr>
        <w:t xml:space="preserve">Por otra parte, tampoco atendió el principio de oportunidad de la contratación del servicio educativo, previsto en el numeral 6 del artículo 2.3.1.3.1.4 del Decreto 1075 de 2015, sobre la obligatoriedad de que las entidades territoriales garanticen que dicha contratación inicie de forma simultánea con el calendario académico que han establecido para los establecimientos educativos oficiales de su jurisdicción. </w:t>
      </w:r>
    </w:p>
    <w:p w14:paraId="23ABC4CE" w14:textId="77777777" w:rsidR="00273288" w:rsidRPr="00E33DE3" w:rsidRDefault="00273288" w:rsidP="00C65B25">
      <w:pPr>
        <w:jc w:val="both"/>
        <w:rPr>
          <w:rFonts w:ascii="Verdana" w:hAnsi="Verdana" w:cs="Arial"/>
          <w:sz w:val="22"/>
          <w:szCs w:val="22"/>
        </w:rPr>
      </w:pPr>
      <w:r w:rsidRPr="00E33DE3">
        <w:rPr>
          <w:rFonts w:ascii="Verdana" w:eastAsia="Arial" w:hAnsi="Verdana" w:cs="Arial"/>
          <w:sz w:val="22"/>
          <w:szCs w:val="22"/>
        </w:rPr>
        <w:t xml:space="preserve"> </w:t>
      </w:r>
    </w:p>
    <w:p w14:paraId="0FA9D779" w14:textId="77777777" w:rsidR="00273288" w:rsidRPr="00E33DE3" w:rsidRDefault="00273288" w:rsidP="00C65B25">
      <w:pPr>
        <w:jc w:val="both"/>
        <w:rPr>
          <w:rFonts w:ascii="Verdana" w:hAnsi="Verdana" w:cs="Arial"/>
          <w:sz w:val="22"/>
          <w:szCs w:val="22"/>
        </w:rPr>
      </w:pPr>
      <w:r w:rsidRPr="00E33DE3">
        <w:rPr>
          <w:rFonts w:ascii="Verdana" w:eastAsia="Arial" w:hAnsi="Verdana" w:cs="Arial"/>
          <w:b/>
          <w:bCs/>
          <w:sz w:val="22"/>
          <w:szCs w:val="22"/>
        </w:rPr>
        <w:t xml:space="preserve">Evidencia: </w:t>
      </w:r>
      <w:r w:rsidRPr="00E33DE3">
        <w:rPr>
          <w:rFonts w:ascii="Verdana" w:eastAsia="Arial" w:hAnsi="Verdana" w:cs="Arial"/>
          <w:sz w:val="22"/>
          <w:szCs w:val="22"/>
        </w:rPr>
        <w:t xml:space="preserve">Obra en el expediente el siguiente material probatorio: </w:t>
      </w:r>
    </w:p>
    <w:p w14:paraId="01BBFF1F"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Arial" w:hAnsi="Verdana" w:cs="Arial"/>
          <w:color w:val="000000" w:themeColor="text1"/>
          <w:sz w:val="22"/>
          <w:szCs w:val="22"/>
        </w:rPr>
        <w:t xml:space="preserve">Contrato No. </w:t>
      </w:r>
      <w:r w:rsidRPr="00E33DE3">
        <w:rPr>
          <w:rFonts w:ascii="Verdana" w:eastAsia="Calibri" w:hAnsi="Verdana" w:cs="Arial"/>
          <w:sz w:val="22"/>
          <w:szCs w:val="22"/>
          <w:lang w:eastAsia="en-US"/>
        </w:rPr>
        <w:t>191446 del 21 de febrero del 2019.</w:t>
      </w:r>
    </w:p>
    <w:p w14:paraId="24370AA6"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191452 del 27 de febrero del 2019.</w:t>
      </w:r>
    </w:p>
    <w:p w14:paraId="6EA05999"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191151 del 7 de febrero del 2019.</w:t>
      </w:r>
    </w:p>
    <w:p w14:paraId="189A2484"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191445 del 25 de febrero del 2019.</w:t>
      </w:r>
    </w:p>
    <w:p w14:paraId="6C779F03"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191495 del 18 de marzo del 2019.</w:t>
      </w:r>
    </w:p>
    <w:p w14:paraId="441C25BC"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191450 del 22 de febrero del 2019.</w:t>
      </w:r>
    </w:p>
    <w:p w14:paraId="06E069A7"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191152 del 7 de febrero del 2019.</w:t>
      </w:r>
    </w:p>
    <w:p w14:paraId="6A41E2AA"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191381 del 14 de febrero del 2019.</w:t>
      </w:r>
    </w:p>
    <w:p w14:paraId="7CA17A08"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200828 del 31 de enero del 2020.</w:t>
      </w:r>
    </w:p>
    <w:p w14:paraId="59D382C9"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201849 del 13 de marzo del 2020.</w:t>
      </w:r>
    </w:p>
    <w:p w14:paraId="224D38DB"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211309 del 02 de marzo del 2021.</w:t>
      </w:r>
    </w:p>
    <w:p w14:paraId="078AE940"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lastRenderedPageBreak/>
        <w:t>Contrato No. 211317 del 03 de marzo del 2021.</w:t>
      </w:r>
    </w:p>
    <w:p w14:paraId="7722FEDC"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211323 del 09 de marzo del 2021.</w:t>
      </w:r>
    </w:p>
    <w:p w14:paraId="14982A1F"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211328 del 8 de marzo del 2021.</w:t>
      </w:r>
    </w:p>
    <w:p w14:paraId="2C94A5D4"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211367 del 10 de marzo del 2021.</w:t>
      </w:r>
    </w:p>
    <w:p w14:paraId="5DAA8331"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211394 del 13 de marzo del 2021.</w:t>
      </w:r>
    </w:p>
    <w:p w14:paraId="7177CC15"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211395 del 13 de marzo del 2021.</w:t>
      </w:r>
    </w:p>
    <w:p w14:paraId="1BDD474E"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211426 del 17 de marzo del 2021.</w:t>
      </w:r>
    </w:p>
    <w:p w14:paraId="1305309D"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211447 del 20 de marzo del 2021.</w:t>
      </w:r>
    </w:p>
    <w:p w14:paraId="4926B021"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221758 del 29 de junio del 2022.</w:t>
      </w:r>
    </w:p>
    <w:p w14:paraId="6C3FCB8F"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Resolución No. 2706 del 07 de diciembre del 2021, Calendario académico de la vigencia 2022.</w:t>
      </w:r>
    </w:p>
    <w:p w14:paraId="66712A87"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Resolución No. 1588 del 13 de noviembre de 2020, Calendario académico de la vigencia 2021.</w:t>
      </w:r>
    </w:p>
    <w:p w14:paraId="1E79675E"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Resolución No. 3969 del 16 de diciembre de 2019, Calendario académico de la vigencia 2020.</w:t>
      </w:r>
    </w:p>
    <w:p w14:paraId="327F5153"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Resolución No. 3238 del 29 de octubre de 2018, Calendario académico de la vigencia 2019.</w:t>
      </w:r>
    </w:p>
    <w:p w14:paraId="595F9E44" w14:textId="77777777" w:rsidR="00273288" w:rsidRPr="00E33DE3" w:rsidRDefault="00273288" w:rsidP="00C65B25">
      <w:pPr>
        <w:jc w:val="both"/>
        <w:rPr>
          <w:rFonts w:ascii="Verdana" w:eastAsia="Arial" w:hAnsi="Verdana" w:cs="Arial"/>
          <w:sz w:val="22"/>
          <w:szCs w:val="22"/>
        </w:rPr>
      </w:pPr>
    </w:p>
    <w:p w14:paraId="44476A9F" w14:textId="77777777" w:rsidR="00273288" w:rsidRPr="00E33DE3" w:rsidRDefault="00273288" w:rsidP="00C65B25">
      <w:pPr>
        <w:pStyle w:val="Ttulo3"/>
        <w:numPr>
          <w:ilvl w:val="0"/>
          <w:numId w:val="47"/>
        </w:numPr>
        <w:spacing w:before="0"/>
        <w:ind w:left="426" w:hanging="426"/>
        <w:jc w:val="both"/>
        <w:rPr>
          <w:rFonts w:ascii="Verdana" w:hAnsi="Verdana"/>
          <w:b/>
          <w:bCs/>
          <w:color w:val="auto"/>
          <w:sz w:val="22"/>
          <w:szCs w:val="22"/>
        </w:rPr>
      </w:pPr>
      <w:r w:rsidRPr="00E33DE3">
        <w:rPr>
          <w:rFonts w:ascii="Verdana" w:hAnsi="Verdana"/>
          <w:b/>
          <w:bCs/>
          <w:color w:val="auto"/>
          <w:sz w:val="22"/>
          <w:szCs w:val="22"/>
        </w:rPr>
        <w:t>Cláusulas contractuales que vulneran la normatividad vigente</w:t>
      </w:r>
    </w:p>
    <w:p w14:paraId="02D24064" w14:textId="77777777" w:rsidR="00273288" w:rsidRPr="00E33DE3" w:rsidRDefault="00273288" w:rsidP="00C65B25">
      <w:pPr>
        <w:pStyle w:val="Default"/>
        <w:jc w:val="both"/>
        <w:rPr>
          <w:rFonts w:ascii="Verdana" w:hAnsi="Verdana"/>
          <w:color w:val="auto"/>
          <w:sz w:val="22"/>
          <w:szCs w:val="22"/>
          <w:lang w:val="es-CO"/>
        </w:rPr>
      </w:pPr>
    </w:p>
    <w:p w14:paraId="56FCDBA6" w14:textId="77777777" w:rsidR="00273288" w:rsidRPr="00E33DE3" w:rsidRDefault="00273288" w:rsidP="00C65B25">
      <w:pPr>
        <w:jc w:val="both"/>
        <w:rPr>
          <w:rFonts w:ascii="Verdana" w:hAnsi="Verdana" w:cs="Arial"/>
          <w:sz w:val="22"/>
          <w:szCs w:val="22"/>
          <w:lang w:val="es-ES_tradnl"/>
        </w:rPr>
      </w:pPr>
      <w:r w:rsidRPr="00E33DE3">
        <w:rPr>
          <w:rFonts w:ascii="Verdana" w:hAnsi="Verdana" w:cs="Arial"/>
          <w:sz w:val="22"/>
          <w:szCs w:val="22"/>
          <w:lang w:val="es-ES_tradnl"/>
        </w:rPr>
        <w:t xml:space="preserve">En virtud de los artículos 200 de la Ley 115 de 1994 y 27 de la Ley 715 de 2001, el Decreto 1851 de 2015 subrogó en el Decreto 1075 de 2015, Único Reglamentario del Sector Educación, </w:t>
      </w:r>
      <w:r w:rsidRPr="00E33DE3">
        <w:rPr>
          <w:rFonts w:ascii="Verdana" w:hAnsi="Verdana" w:cs="Arial"/>
          <w:i/>
          <w:sz w:val="22"/>
          <w:szCs w:val="22"/>
          <w:lang w:val="es-ES_tradnl"/>
        </w:rPr>
        <w:t>“los requisitos para la contratación del servicio público educativo por parte de las entidades territoriales certificadas en educación, que demuestren insuficiencia o limitaciones en los establecimientos educativos oficiales de su jurisdicción para la prestación de dicho servicio</w:t>
      </w:r>
      <w:r w:rsidRPr="00E33DE3">
        <w:rPr>
          <w:rFonts w:ascii="Verdana" w:hAnsi="Verdana" w:cs="Arial"/>
          <w:sz w:val="22"/>
          <w:szCs w:val="22"/>
          <w:lang w:val="es-ES_tradnl"/>
        </w:rPr>
        <w:t xml:space="preserve">”. </w:t>
      </w:r>
    </w:p>
    <w:p w14:paraId="3D83464D" w14:textId="77777777" w:rsidR="00273288" w:rsidRPr="00E33DE3" w:rsidRDefault="00273288" w:rsidP="00C65B25">
      <w:pPr>
        <w:jc w:val="both"/>
        <w:rPr>
          <w:rFonts w:ascii="Verdana" w:hAnsi="Verdana" w:cs="Arial"/>
          <w:sz w:val="22"/>
          <w:szCs w:val="22"/>
          <w:lang w:val="es-ES_tradnl"/>
        </w:rPr>
      </w:pPr>
    </w:p>
    <w:p w14:paraId="702CBE07" w14:textId="77777777" w:rsidR="00273288" w:rsidRPr="00E33DE3" w:rsidRDefault="00273288" w:rsidP="00C65B25">
      <w:pPr>
        <w:jc w:val="both"/>
        <w:rPr>
          <w:rFonts w:ascii="Verdana" w:hAnsi="Verdana" w:cs="Arial"/>
          <w:sz w:val="22"/>
          <w:szCs w:val="22"/>
          <w:lang w:val="es-ES_tradnl"/>
        </w:rPr>
      </w:pPr>
      <w:r w:rsidRPr="00E33DE3">
        <w:rPr>
          <w:rFonts w:ascii="Verdana" w:hAnsi="Verdana" w:cs="Arial"/>
          <w:sz w:val="22"/>
          <w:szCs w:val="22"/>
          <w:lang w:val="es-ES_tradnl"/>
        </w:rPr>
        <w:t>Al respecto, definió la canasta educativa, que el contratista se compromete a aportar a cambio de la contraprestación económica pactada por alumno atendido, la cual incluye todos los elementos necesarios para garantizar la permanencia de los estudiantes atendidos mediante la contratación del servicio con terceros, así:</w:t>
      </w:r>
    </w:p>
    <w:p w14:paraId="7F830C5F" w14:textId="77777777" w:rsidR="00273288" w:rsidRPr="00E33DE3" w:rsidRDefault="00273288" w:rsidP="00C65B25">
      <w:pPr>
        <w:jc w:val="both"/>
        <w:rPr>
          <w:rFonts w:ascii="Verdana" w:hAnsi="Verdana" w:cs="Arial"/>
          <w:sz w:val="22"/>
          <w:szCs w:val="22"/>
          <w:lang w:val="es-ES_tradnl"/>
        </w:rPr>
      </w:pPr>
    </w:p>
    <w:p w14:paraId="617EA633" w14:textId="77777777" w:rsidR="00273288" w:rsidRPr="00E33DE3" w:rsidRDefault="00273288" w:rsidP="00C65B25">
      <w:pPr>
        <w:ind w:left="567"/>
        <w:jc w:val="both"/>
        <w:rPr>
          <w:rFonts w:ascii="Verdana" w:hAnsi="Verdana" w:cs="Arial"/>
          <w:sz w:val="22"/>
          <w:szCs w:val="22"/>
          <w:lang w:val="es-ES_tradnl"/>
        </w:rPr>
      </w:pPr>
      <w:r w:rsidRPr="00E33DE3">
        <w:rPr>
          <w:rFonts w:ascii="Verdana" w:hAnsi="Verdana" w:cs="Arial"/>
          <w:sz w:val="22"/>
          <w:szCs w:val="22"/>
          <w:lang w:val="es-ES_tradnl"/>
        </w:rPr>
        <w:t xml:space="preserve">“Artículo 2.3.1.3.2.4. De la canasta educativa. La entidad territorial certificada en educación deberá establecer la canasta educativa de forma previa al inicio del proceso de contratación y corresponderá a las necesidades identificadas y definidas en el estudio de insuficiencia y limitaciones, elaborado por dicha entidad. </w:t>
      </w:r>
    </w:p>
    <w:p w14:paraId="52BADEF3" w14:textId="77777777" w:rsidR="00273288" w:rsidRPr="00E33DE3" w:rsidRDefault="00273288" w:rsidP="00C65B25">
      <w:pPr>
        <w:ind w:left="567"/>
        <w:jc w:val="both"/>
        <w:rPr>
          <w:rFonts w:ascii="Verdana" w:hAnsi="Verdana" w:cs="Arial"/>
          <w:sz w:val="22"/>
          <w:szCs w:val="22"/>
          <w:lang w:val="es-ES_tradnl"/>
        </w:rPr>
      </w:pPr>
    </w:p>
    <w:p w14:paraId="6607E3BF" w14:textId="77777777" w:rsidR="00273288" w:rsidRPr="00E33DE3" w:rsidRDefault="00273288" w:rsidP="00C65B25">
      <w:pPr>
        <w:ind w:left="567"/>
        <w:jc w:val="both"/>
        <w:rPr>
          <w:rFonts w:ascii="Verdana" w:hAnsi="Verdana" w:cs="Arial"/>
          <w:sz w:val="22"/>
          <w:szCs w:val="22"/>
        </w:rPr>
      </w:pPr>
      <w:r w:rsidRPr="00E33DE3">
        <w:rPr>
          <w:rFonts w:ascii="Verdana" w:hAnsi="Verdana" w:cs="Arial"/>
          <w:sz w:val="22"/>
          <w:szCs w:val="22"/>
        </w:rPr>
        <w:t xml:space="preserve">Con el fin de mejorar el acceso y la permanencia escolar, la canasta educativa variará de acuerdo con el contexto de cada entidad territorial certificada, incluyendo para este fin los componentes que sean necesarios y que estén relacionados con la prestación efectiva del servicio educativo contratado. </w:t>
      </w:r>
    </w:p>
    <w:p w14:paraId="57B8FD90" w14:textId="77777777" w:rsidR="00273288" w:rsidRPr="00E33DE3" w:rsidRDefault="00273288" w:rsidP="00C65B25">
      <w:pPr>
        <w:ind w:left="567"/>
        <w:jc w:val="both"/>
        <w:rPr>
          <w:rFonts w:ascii="Verdana" w:hAnsi="Verdana" w:cs="Arial"/>
          <w:sz w:val="22"/>
          <w:szCs w:val="22"/>
          <w:lang w:val="es-ES_tradnl"/>
        </w:rPr>
      </w:pPr>
    </w:p>
    <w:p w14:paraId="6EE45BB8" w14:textId="77777777" w:rsidR="00273288" w:rsidRPr="00E33DE3" w:rsidRDefault="00273288" w:rsidP="00C65B25">
      <w:pPr>
        <w:ind w:left="567"/>
        <w:jc w:val="both"/>
        <w:rPr>
          <w:rFonts w:ascii="Verdana" w:hAnsi="Verdana" w:cs="Arial"/>
          <w:sz w:val="22"/>
          <w:szCs w:val="22"/>
        </w:rPr>
      </w:pPr>
      <w:r w:rsidRPr="00E33DE3">
        <w:rPr>
          <w:rFonts w:ascii="Verdana" w:hAnsi="Verdana" w:cs="Arial"/>
          <w:sz w:val="22"/>
          <w:szCs w:val="22"/>
        </w:rPr>
        <w:lastRenderedPageBreak/>
        <w:t xml:space="preserve">Hará parte integral de los contratos regulados en el presente capítulo, la relación detallada de todos y cada uno de los componentes de la canasta educativa básica y complementaria que se obliga a suministrar el contratista. Se podrá contratar solamente la canasta básica o la canasta básica más la complementaria, de acuerdo con las necesidades identificadas por la entidad territorial certificada y con la población a atender”. </w:t>
      </w:r>
    </w:p>
    <w:p w14:paraId="499F9CF3" w14:textId="77777777" w:rsidR="00273288" w:rsidRPr="00E33DE3" w:rsidRDefault="00273288" w:rsidP="00C65B25">
      <w:pPr>
        <w:jc w:val="both"/>
        <w:rPr>
          <w:rFonts w:ascii="Verdana" w:hAnsi="Verdana" w:cs="Arial"/>
          <w:sz w:val="22"/>
          <w:szCs w:val="22"/>
          <w:lang w:val="es-ES_tradnl"/>
        </w:rPr>
      </w:pPr>
    </w:p>
    <w:p w14:paraId="0B5500E7" w14:textId="77777777" w:rsidR="00273288" w:rsidRPr="00E33DE3" w:rsidRDefault="00273288" w:rsidP="00C65B25">
      <w:pPr>
        <w:jc w:val="both"/>
        <w:rPr>
          <w:rFonts w:ascii="Verdana" w:hAnsi="Verdana" w:cs="Arial"/>
          <w:sz w:val="22"/>
          <w:szCs w:val="22"/>
          <w:lang w:val="es-ES_tradnl"/>
        </w:rPr>
      </w:pPr>
      <w:r w:rsidRPr="00E33DE3">
        <w:rPr>
          <w:rFonts w:ascii="Verdana" w:hAnsi="Verdana" w:cs="Arial"/>
          <w:sz w:val="22"/>
          <w:szCs w:val="22"/>
          <w:lang w:val="es-ES_tradnl"/>
        </w:rPr>
        <w:t xml:space="preserve">Así mismo, el Decreto 1075 de 2015 asignó al supervisor o interventor de los contratos suscritos para la prestación del servicio educativo la responsabilidad de verificar que con el cumplimiento de las obligaciones contractuales se garantice la </w:t>
      </w:r>
      <w:r w:rsidRPr="00E33DE3">
        <w:rPr>
          <w:rFonts w:ascii="Verdana" w:hAnsi="Verdana" w:cs="Arial"/>
          <w:i/>
          <w:sz w:val="22"/>
          <w:szCs w:val="22"/>
          <w:lang w:val="es-ES_tradnl"/>
        </w:rPr>
        <w:t>“permanencia educativa de la población atendida</w:t>
      </w:r>
      <w:r w:rsidRPr="00E33DE3">
        <w:rPr>
          <w:rFonts w:ascii="Verdana" w:hAnsi="Verdana" w:cs="Arial"/>
          <w:sz w:val="22"/>
          <w:szCs w:val="22"/>
          <w:lang w:val="es-ES_tradnl"/>
        </w:rPr>
        <w:t>”, así:</w:t>
      </w:r>
    </w:p>
    <w:p w14:paraId="5710639A" w14:textId="77777777" w:rsidR="00273288" w:rsidRPr="00E33DE3" w:rsidRDefault="00273288" w:rsidP="00C65B25">
      <w:pPr>
        <w:jc w:val="both"/>
        <w:rPr>
          <w:rFonts w:ascii="Verdana" w:hAnsi="Verdana" w:cs="Arial"/>
          <w:sz w:val="22"/>
          <w:szCs w:val="22"/>
          <w:lang w:val="es-ES_tradnl"/>
        </w:rPr>
      </w:pPr>
    </w:p>
    <w:p w14:paraId="2AC9E1F0" w14:textId="77777777" w:rsidR="00273288" w:rsidRPr="00E33DE3" w:rsidRDefault="00273288" w:rsidP="00C65B25">
      <w:pPr>
        <w:ind w:left="567"/>
        <w:jc w:val="both"/>
        <w:rPr>
          <w:rFonts w:ascii="Verdana" w:hAnsi="Verdana" w:cs="Arial"/>
          <w:sz w:val="22"/>
          <w:szCs w:val="22"/>
          <w:lang w:val="es-ES_tradnl"/>
        </w:rPr>
      </w:pPr>
      <w:r w:rsidRPr="00E33DE3">
        <w:rPr>
          <w:rFonts w:ascii="Verdana" w:hAnsi="Verdana" w:cs="Arial"/>
          <w:sz w:val="22"/>
          <w:szCs w:val="22"/>
          <w:lang w:val="es-ES_tradnl"/>
        </w:rPr>
        <w:t xml:space="preserve">“Artículo 2.3.1.3.7.2. Seguimiento y vigilancia a los contratos celebrados. Las entidades territoriales certificadas deberán realizar el respectivo seguimiento y vigilancia a los contratos de servicio público educativo que suscriban conforme a lo establecido en el presente capítulo, verificando el cumplimiento de las obligaciones establecidas, entre ellas, la provisión de la canasta contratada, la permanencia educativa de la población atendida, el mantenimiento de la planta física cuando a ello haya lugar, la afiliación y pago a seguridad social del personal vinculado y los resultados de calidad obtenidos. </w:t>
      </w:r>
    </w:p>
    <w:p w14:paraId="1DED899C" w14:textId="77777777" w:rsidR="00273288" w:rsidRPr="00E33DE3" w:rsidRDefault="00273288" w:rsidP="00C65B25">
      <w:pPr>
        <w:ind w:left="567"/>
        <w:jc w:val="both"/>
        <w:rPr>
          <w:rFonts w:ascii="Verdana" w:hAnsi="Verdana" w:cs="Arial"/>
          <w:sz w:val="22"/>
          <w:szCs w:val="22"/>
          <w:lang w:val="es-ES_tradnl"/>
        </w:rPr>
      </w:pPr>
    </w:p>
    <w:p w14:paraId="3CC4DBD8" w14:textId="77777777" w:rsidR="00273288" w:rsidRPr="00E33DE3" w:rsidRDefault="00273288" w:rsidP="00C65B25">
      <w:pPr>
        <w:ind w:left="567"/>
        <w:jc w:val="both"/>
        <w:rPr>
          <w:rFonts w:ascii="Verdana" w:hAnsi="Verdana" w:cs="Arial"/>
          <w:sz w:val="22"/>
          <w:szCs w:val="22"/>
        </w:rPr>
      </w:pPr>
      <w:r w:rsidRPr="00E33DE3">
        <w:rPr>
          <w:rFonts w:ascii="Verdana" w:hAnsi="Verdana" w:cs="Arial"/>
          <w:sz w:val="22"/>
          <w:szCs w:val="22"/>
        </w:rPr>
        <w:t xml:space="preserve">De igual manera, implementarán los mecanismos adicionales de seguimiento que señale el Ministerio de Educación Nacional y remitirán oportunamente la información que al respecto el Ministerio les solicite, sin perjuicio del cumplimiento de lo establecido en la normatividad vigente frente al tema. </w:t>
      </w:r>
    </w:p>
    <w:p w14:paraId="6732D3D2" w14:textId="77777777" w:rsidR="00273288" w:rsidRPr="00E33DE3" w:rsidRDefault="00273288" w:rsidP="00C65B25">
      <w:pPr>
        <w:ind w:left="567"/>
        <w:jc w:val="both"/>
        <w:rPr>
          <w:rFonts w:ascii="Verdana" w:hAnsi="Verdana" w:cs="Arial"/>
          <w:sz w:val="22"/>
          <w:szCs w:val="22"/>
          <w:lang w:val="es-ES_tradnl"/>
        </w:rPr>
      </w:pPr>
    </w:p>
    <w:p w14:paraId="23F4FDC7" w14:textId="77777777" w:rsidR="00273288" w:rsidRPr="00E33DE3" w:rsidRDefault="00273288" w:rsidP="00C65B25">
      <w:pPr>
        <w:ind w:left="567"/>
        <w:jc w:val="both"/>
        <w:rPr>
          <w:rFonts w:ascii="Verdana" w:hAnsi="Verdana" w:cs="Arial"/>
          <w:sz w:val="22"/>
          <w:szCs w:val="22"/>
          <w:lang w:val="es-ES_tradnl"/>
        </w:rPr>
      </w:pPr>
      <w:r w:rsidRPr="00E33DE3">
        <w:rPr>
          <w:rFonts w:ascii="Verdana" w:hAnsi="Verdana" w:cs="Arial"/>
          <w:sz w:val="22"/>
          <w:szCs w:val="22"/>
          <w:lang w:val="es-ES_tradnl"/>
        </w:rPr>
        <w:t>La vigilancia y seguimiento de dichos contratos se realizará de conformidad con lo previsto en el Estatuto General de Contratación de la Administración Pública y demás normas que lo modifiquen, sustituyan o deroguen”.</w:t>
      </w:r>
    </w:p>
    <w:p w14:paraId="08B870A5" w14:textId="77777777" w:rsidR="00273288" w:rsidRPr="00E33DE3" w:rsidRDefault="00273288" w:rsidP="00C65B25">
      <w:pPr>
        <w:jc w:val="both"/>
        <w:rPr>
          <w:rFonts w:ascii="Verdana" w:hAnsi="Verdana" w:cs="Arial"/>
          <w:sz w:val="22"/>
          <w:szCs w:val="22"/>
          <w:lang w:val="es-ES_tradnl"/>
        </w:rPr>
      </w:pPr>
    </w:p>
    <w:p w14:paraId="26C62A02" w14:textId="77777777" w:rsidR="00273288" w:rsidRPr="00E33DE3" w:rsidRDefault="00273288" w:rsidP="00C65B25">
      <w:pPr>
        <w:jc w:val="both"/>
        <w:rPr>
          <w:rFonts w:ascii="Verdana" w:hAnsi="Verdana" w:cs="Arial"/>
          <w:bCs/>
          <w:sz w:val="22"/>
          <w:szCs w:val="22"/>
          <w:lang w:val="es-ES_tradnl"/>
        </w:rPr>
      </w:pPr>
      <w:r w:rsidRPr="00E33DE3">
        <w:rPr>
          <w:rFonts w:ascii="Verdana" w:hAnsi="Verdana" w:cs="Arial"/>
          <w:sz w:val="22"/>
          <w:szCs w:val="22"/>
          <w:lang w:val="es-ES_tradnl"/>
        </w:rPr>
        <w:t xml:space="preserve">De igual manera, la Sección 5 del Capítulo 3, Subrogado mediante el Decreto 1851 de 2015 indica los lineamientos para la </w:t>
      </w:r>
      <w:r w:rsidRPr="00E33DE3">
        <w:rPr>
          <w:rFonts w:ascii="Verdana" w:hAnsi="Verdana" w:cs="Arial"/>
          <w:bCs/>
          <w:sz w:val="22"/>
          <w:szCs w:val="22"/>
          <w:lang w:val="es-ES_tradnl"/>
        </w:rPr>
        <w:t>contratación para la promoción e implementación de estrategias de desarrollo pedagógico con iglesias y confesiones religiosas. Específicamente el artículo 2.3.1.3.5.5. aclara lo relativo al valor de dichos contratos, limitándolo al número de alumnos atendidos y el valor a pagar pactado por cada uno, así:</w:t>
      </w:r>
    </w:p>
    <w:p w14:paraId="1B464DD2" w14:textId="77777777" w:rsidR="00273288" w:rsidRPr="00E33DE3" w:rsidRDefault="00273288" w:rsidP="00C65B25">
      <w:pPr>
        <w:jc w:val="both"/>
        <w:rPr>
          <w:rFonts w:ascii="Verdana" w:hAnsi="Verdana" w:cs="Arial"/>
          <w:bCs/>
          <w:sz w:val="22"/>
          <w:szCs w:val="22"/>
          <w:lang w:val="es-ES_tradnl"/>
        </w:rPr>
      </w:pPr>
    </w:p>
    <w:p w14:paraId="73242284" w14:textId="77777777" w:rsidR="00273288" w:rsidRPr="00E33DE3" w:rsidRDefault="00273288" w:rsidP="00C65B25">
      <w:pPr>
        <w:ind w:left="567"/>
        <w:jc w:val="both"/>
        <w:rPr>
          <w:rFonts w:ascii="Verdana" w:hAnsi="Verdana" w:cs="Arial"/>
          <w:bCs/>
          <w:i/>
          <w:sz w:val="22"/>
          <w:szCs w:val="22"/>
          <w:lang w:val="es-ES_tradnl"/>
        </w:rPr>
      </w:pPr>
      <w:r w:rsidRPr="00E33DE3">
        <w:rPr>
          <w:rFonts w:ascii="Verdana" w:hAnsi="Verdana" w:cs="Arial"/>
          <w:bCs/>
          <w:i/>
          <w:sz w:val="22"/>
          <w:szCs w:val="22"/>
          <w:lang w:val="es-ES_tradnl"/>
        </w:rPr>
        <w:t>“</w:t>
      </w:r>
      <w:r w:rsidRPr="00E33DE3">
        <w:rPr>
          <w:rFonts w:ascii="Verdana" w:hAnsi="Verdana" w:cs="Arial"/>
          <w:b/>
          <w:bCs/>
          <w:i/>
          <w:sz w:val="22"/>
          <w:szCs w:val="22"/>
          <w:lang w:val="es-ES_tradnl"/>
        </w:rPr>
        <w:t>Artículo 2.3.1.3.5.5. Valor de los contratos para la promoción e implementación de estrategias de desarrollo pedagógico con iglesias y confesiones religiosas</w:t>
      </w:r>
      <w:r w:rsidRPr="00E33DE3">
        <w:rPr>
          <w:rFonts w:ascii="Verdana" w:hAnsi="Verdana" w:cs="Arial"/>
          <w:bCs/>
          <w:i/>
          <w:sz w:val="22"/>
          <w:szCs w:val="22"/>
          <w:lang w:val="es-ES_tradnl"/>
        </w:rPr>
        <w:t xml:space="preserve">. El valor del contrato se determinará de acuerdo con los componentes de la canasta educativa básica, o básica y complementaria, que la iglesia o confesión religiosa contratista aporte y </w:t>
      </w:r>
      <w:r w:rsidRPr="00E33DE3">
        <w:rPr>
          <w:rFonts w:ascii="Verdana" w:hAnsi="Verdana" w:cs="Arial"/>
          <w:bCs/>
          <w:i/>
          <w:sz w:val="22"/>
          <w:szCs w:val="22"/>
          <w:lang w:val="es-ES_tradnl"/>
        </w:rPr>
        <w:lastRenderedPageBreak/>
        <w:t xml:space="preserve">no podrá ser superior al valor de la tipología por población atendida asignada por la Nación. Cualquier suma que exceda lo dispuesto en el presente artículo deberá ser financiada con cargo a los recursos propios de la respectiva entidad territorial certificada, con las restricciones señaladas en la ley”. </w:t>
      </w:r>
    </w:p>
    <w:p w14:paraId="4C4D08C1" w14:textId="77777777" w:rsidR="00273288" w:rsidRPr="00E33DE3" w:rsidRDefault="00273288" w:rsidP="00C65B25">
      <w:pPr>
        <w:pStyle w:val="parrafo-division"/>
        <w:spacing w:before="0" w:beforeAutospacing="0" w:after="0" w:afterAutospacing="0"/>
        <w:jc w:val="both"/>
        <w:rPr>
          <w:rFonts w:ascii="Verdana" w:eastAsia="MS Mincho" w:hAnsi="Verdana" w:cs="Arial"/>
          <w:sz w:val="22"/>
          <w:szCs w:val="22"/>
          <w:lang w:val="es-ES_tradnl" w:eastAsia="es-ES"/>
        </w:rPr>
      </w:pPr>
    </w:p>
    <w:p w14:paraId="4255B60B" w14:textId="77777777" w:rsidR="00273288" w:rsidRPr="00E33DE3" w:rsidRDefault="00273288" w:rsidP="00C65B25">
      <w:pPr>
        <w:pStyle w:val="parrafo-division"/>
        <w:spacing w:before="0" w:beforeAutospacing="0" w:after="0" w:afterAutospacing="0"/>
        <w:jc w:val="both"/>
        <w:rPr>
          <w:rFonts w:ascii="Verdana" w:eastAsia="MS Mincho" w:hAnsi="Verdana" w:cs="Arial"/>
          <w:sz w:val="22"/>
          <w:szCs w:val="22"/>
          <w:lang w:val="es-ES_tradnl" w:eastAsia="es-ES"/>
        </w:rPr>
      </w:pPr>
      <w:r w:rsidRPr="00E33DE3">
        <w:rPr>
          <w:rFonts w:ascii="Verdana" w:eastAsia="MS Mincho" w:hAnsi="Verdana" w:cs="Arial"/>
          <w:sz w:val="22"/>
          <w:szCs w:val="22"/>
          <w:lang w:val="es-ES_tradnl" w:eastAsia="es-ES"/>
        </w:rPr>
        <w:t>Por su parte, mediante el Decreto No. 30 de 2017 fue subrogada la Sección 9 al mismo Capítulo 3 relativo a la contratación del servicio educativo, en cuanto a los contratos interadministrativos para la prestación del servicio educativo por instituciones de educación superior oficiales que tengan facultad de educación. En este caso, el Artículo 2.3.1.3.9.2. establece las reglas de estos contratos, entre ellas el plazo:</w:t>
      </w:r>
    </w:p>
    <w:p w14:paraId="6D35AD58" w14:textId="77777777" w:rsidR="00273288" w:rsidRPr="00E33DE3" w:rsidRDefault="00273288" w:rsidP="00C65B25">
      <w:pPr>
        <w:pStyle w:val="parrafo-division"/>
        <w:spacing w:before="0" w:beforeAutospacing="0" w:after="0" w:afterAutospacing="0"/>
        <w:jc w:val="both"/>
        <w:rPr>
          <w:rFonts w:ascii="Verdana" w:eastAsia="MS Mincho" w:hAnsi="Verdana" w:cs="Arial"/>
          <w:sz w:val="22"/>
          <w:szCs w:val="22"/>
          <w:lang w:val="es-ES_tradnl" w:eastAsia="es-ES"/>
        </w:rPr>
      </w:pPr>
    </w:p>
    <w:p w14:paraId="3F47F1A5" w14:textId="77777777" w:rsidR="00273288" w:rsidRPr="00E33DE3" w:rsidRDefault="00273288" w:rsidP="00C65B25">
      <w:pPr>
        <w:pStyle w:val="parrafo-division"/>
        <w:spacing w:before="0" w:beforeAutospacing="0" w:after="0" w:afterAutospacing="0"/>
        <w:ind w:left="567"/>
        <w:jc w:val="both"/>
        <w:rPr>
          <w:rFonts w:ascii="Verdana" w:eastAsia="MS Mincho" w:hAnsi="Verdana" w:cs="Arial"/>
          <w:i/>
          <w:sz w:val="22"/>
          <w:szCs w:val="22"/>
          <w:lang w:val="es-ES_tradnl" w:eastAsia="es-ES"/>
        </w:rPr>
      </w:pPr>
      <w:r w:rsidRPr="00E33DE3">
        <w:rPr>
          <w:rFonts w:ascii="Verdana" w:eastAsia="MS Mincho" w:hAnsi="Verdana" w:cs="Arial"/>
          <w:i/>
          <w:sz w:val="22"/>
          <w:szCs w:val="22"/>
          <w:lang w:val="es-ES_tradnl" w:eastAsia="es-ES"/>
        </w:rPr>
        <w:t>“e) Se celebrarán por un plazo no inferior a dos (2) años y hasta por el máximo de años que determine la entidad territorial en el estudio de insuficiencia y limitaciones del que trata el artículo 2.3.1.3.2.6. del presente Decreto, sin que en ningún caso se supere el plazo de una cohorte educativa completa (preescolar, básica primaria, básica secundaria y media)”</w:t>
      </w:r>
    </w:p>
    <w:p w14:paraId="460E1757" w14:textId="77777777" w:rsidR="00273288" w:rsidRPr="00E33DE3" w:rsidRDefault="00273288" w:rsidP="00C65B25">
      <w:pPr>
        <w:pStyle w:val="parrafo-division"/>
        <w:spacing w:before="0" w:beforeAutospacing="0" w:after="0" w:afterAutospacing="0"/>
        <w:jc w:val="both"/>
        <w:rPr>
          <w:rFonts w:ascii="Verdana" w:eastAsia="MS Mincho" w:hAnsi="Verdana" w:cs="Arial"/>
          <w:sz w:val="22"/>
          <w:szCs w:val="22"/>
          <w:lang w:val="es-ES_tradnl" w:eastAsia="es-ES"/>
        </w:rPr>
      </w:pPr>
    </w:p>
    <w:p w14:paraId="25A23AA0" w14:textId="77777777" w:rsidR="00273288" w:rsidRPr="00E33DE3" w:rsidRDefault="00273288" w:rsidP="00C65B25">
      <w:pPr>
        <w:jc w:val="both"/>
        <w:rPr>
          <w:rFonts w:ascii="Verdana" w:hAnsi="Verdana" w:cs="Arial"/>
          <w:sz w:val="22"/>
          <w:szCs w:val="22"/>
          <w:lang w:val="es-ES_tradnl"/>
        </w:rPr>
      </w:pPr>
      <w:r w:rsidRPr="00E33DE3">
        <w:rPr>
          <w:rFonts w:ascii="Verdana" w:hAnsi="Verdana" w:cs="Arial"/>
          <w:sz w:val="22"/>
          <w:szCs w:val="22"/>
        </w:rPr>
        <w:t>De otro lado, es importante recordar que el ejercicio de la función pública es reglado de acuerdo con lo establecido en los artículos 123 y 6</w:t>
      </w:r>
      <w:r w:rsidRPr="00E33DE3">
        <w:rPr>
          <w:rFonts w:ascii="Verdana" w:hAnsi="Verdana" w:cs="Arial"/>
          <w:sz w:val="22"/>
          <w:szCs w:val="22"/>
          <w:vertAlign w:val="superscript"/>
        </w:rPr>
        <w:footnoteReference w:id="24"/>
      </w:r>
      <w:r w:rsidRPr="00E33DE3">
        <w:rPr>
          <w:rFonts w:ascii="Verdana" w:hAnsi="Verdana" w:cs="Arial"/>
          <w:sz w:val="22"/>
          <w:szCs w:val="22"/>
        </w:rPr>
        <w:t xml:space="preserve"> de la Constitución Política, por lo cual, los servidores públicos deben ejercer sus funciones en la forma prevista en la Constitución, la ley y el reglamento, núcleo esencial del Principio de Legalidad que se erige como pilar fundamental de un Estado Social de Derecho.</w:t>
      </w:r>
    </w:p>
    <w:p w14:paraId="5BAFD3AE" w14:textId="77777777" w:rsidR="00273288" w:rsidRPr="00E33DE3" w:rsidRDefault="00273288" w:rsidP="00C65B25">
      <w:pPr>
        <w:jc w:val="both"/>
        <w:rPr>
          <w:rFonts w:ascii="Verdana" w:hAnsi="Verdana" w:cs="Arial"/>
          <w:sz w:val="22"/>
          <w:szCs w:val="22"/>
          <w:lang w:val="es-ES_tradnl"/>
        </w:rPr>
      </w:pPr>
    </w:p>
    <w:p w14:paraId="0358A5F6" w14:textId="77777777" w:rsidR="00273288" w:rsidRPr="00E33DE3" w:rsidRDefault="00273288" w:rsidP="00C65B25">
      <w:pPr>
        <w:jc w:val="both"/>
        <w:rPr>
          <w:rFonts w:ascii="Verdana" w:hAnsi="Verdana" w:cs="Arial"/>
          <w:sz w:val="22"/>
          <w:szCs w:val="22"/>
          <w:lang w:val="es-ES_tradnl"/>
        </w:rPr>
      </w:pPr>
      <w:r w:rsidRPr="00E33DE3">
        <w:rPr>
          <w:rFonts w:ascii="Verdana" w:hAnsi="Verdana" w:cs="Arial"/>
          <w:sz w:val="22"/>
          <w:szCs w:val="22"/>
          <w:lang w:val="es-ES_tradnl"/>
        </w:rPr>
        <w:t>Así, la Agencia Nacional de Contratación Pública Colombia Compra Eficiente establece los siguientes lineamientos sobre el principio de la legalidad de la contratación estatal y el equilibrio económico de los contratos:</w:t>
      </w:r>
    </w:p>
    <w:p w14:paraId="7AE3897B" w14:textId="77777777" w:rsidR="00273288" w:rsidRPr="00E33DE3" w:rsidRDefault="00273288" w:rsidP="00C65B25">
      <w:pPr>
        <w:jc w:val="both"/>
        <w:rPr>
          <w:rFonts w:ascii="Verdana" w:hAnsi="Verdana" w:cs="Arial"/>
          <w:sz w:val="22"/>
          <w:szCs w:val="22"/>
          <w:lang w:val="es-ES_tradnl"/>
        </w:rPr>
      </w:pPr>
    </w:p>
    <w:p w14:paraId="061E3FF4" w14:textId="77777777" w:rsidR="00273288" w:rsidRPr="00E33DE3" w:rsidRDefault="00273288" w:rsidP="00C65B25">
      <w:pPr>
        <w:ind w:left="567"/>
        <w:jc w:val="both"/>
        <w:rPr>
          <w:rFonts w:ascii="Verdana" w:hAnsi="Verdana" w:cs="Arial"/>
          <w:i/>
          <w:sz w:val="22"/>
          <w:szCs w:val="22"/>
          <w:lang w:val="es-ES_tradnl"/>
        </w:rPr>
      </w:pPr>
      <w:r w:rsidRPr="00E33DE3">
        <w:rPr>
          <w:rFonts w:ascii="Verdana" w:hAnsi="Verdana" w:cs="Arial"/>
          <w:i/>
          <w:sz w:val="22"/>
          <w:szCs w:val="22"/>
          <w:lang w:val="es-ES_tradnl"/>
        </w:rPr>
        <w:t xml:space="preserve">“1.2.3. Principio de legalidad. El principio de legalidad impone a los funcionarios de la Administración la sujeción a la Constitución y a las leyes en sus actuaciones. De acuerdo con este principio, la condición exorbitante de los poderes del Estado en relación con su actuación frente a los particulares es algo que exige su ejercicio conforme a la ley para ser legítima. </w:t>
      </w:r>
    </w:p>
    <w:p w14:paraId="51882851" w14:textId="77777777" w:rsidR="00273288" w:rsidRPr="00E33DE3" w:rsidRDefault="00273288" w:rsidP="00C65B25">
      <w:pPr>
        <w:ind w:left="567"/>
        <w:jc w:val="both"/>
        <w:rPr>
          <w:rFonts w:ascii="Verdana" w:hAnsi="Verdana" w:cs="Arial"/>
          <w:i/>
          <w:sz w:val="22"/>
          <w:szCs w:val="22"/>
          <w:lang w:val="es-ES_tradnl"/>
        </w:rPr>
      </w:pPr>
      <w:r w:rsidRPr="00E33DE3">
        <w:rPr>
          <w:rFonts w:ascii="Verdana" w:hAnsi="Verdana" w:cs="Arial"/>
          <w:i/>
          <w:sz w:val="22"/>
          <w:szCs w:val="22"/>
          <w:lang w:val="es-ES_tradnl"/>
        </w:rPr>
        <w:t xml:space="preserve"> </w:t>
      </w:r>
    </w:p>
    <w:p w14:paraId="6F7F7980" w14:textId="77777777" w:rsidR="00273288" w:rsidRPr="00E33DE3" w:rsidRDefault="00273288" w:rsidP="00C65B25">
      <w:pPr>
        <w:ind w:left="567"/>
        <w:jc w:val="both"/>
        <w:rPr>
          <w:rFonts w:ascii="Verdana" w:hAnsi="Verdana" w:cs="Arial"/>
          <w:i/>
          <w:sz w:val="22"/>
          <w:szCs w:val="22"/>
        </w:rPr>
      </w:pPr>
      <w:r w:rsidRPr="00E33DE3">
        <w:rPr>
          <w:rFonts w:ascii="Verdana" w:hAnsi="Verdana" w:cs="Arial"/>
          <w:i/>
          <w:sz w:val="22"/>
          <w:szCs w:val="22"/>
        </w:rPr>
        <w:t xml:space="preserve">Es así como, por ejemplo, las entidades públicas no pueden ordenar el pago de sumas de dinero que se paguen en exceso a los contratistas, sin existir una autorización legal expresa para ello”. </w:t>
      </w:r>
    </w:p>
    <w:p w14:paraId="086507AF" w14:textId="77777777" w:rsidR="00273288" w:rsidRPr="00E33DE3" w:rsidRDefault="00273288" w:rsidP="00C65B25">
      <w:pPr>
        <w:ind w:left="567"/>
        <w:jc w:val="both"/>
        <w:rPr>
          <w:rFonts w:ascii="Verdana" w:hAnsi="Verdana" w:cs="Arial"/>
          <w:i/>
          <w:sz w:val="22"/>
          <w:szCs w:val="22"/>
          <w:lang w:val="es-ES_tradnl"/>
        </w:rPr>
      </w:pPr>
      <w:r w:rsidRPr="00E33DE3">
        <w:rPr>
          <w:rFonts w:ascii="Verdana" w:hAnsi="Verdana" w:cs="Arial"/>
          <w:i/>
          <w:sz w:val="22"/>
          <w:szCs w:val="22"/>
          <w:lang w:val="es-ES_tradnl"/>
        </w:rPr>
        <w:t>(…)</w:t>
      </w:r>
    </w:p>
    <w:p w14:paraId="26E47282" w14:textId="77777777" w:rsidR="00273288" w:rsidRPr="00E33DE3" w:rsidRDefault="00273288" w:rsidP="00C65B25">
      <w:pPr>
        <w:ind w:left="567"/>
        <w:jc w:val="both"/>
        <w:rPr>
          <w:rFonts w:ascii="Verdana" w:hAnsi="Verdana" w:cs="Arial"/>
          <w:i/>
          <w:sz w:val="22"/>
          <w:szCs w:val="22"/>
          <w:lang w:val="es-ES_tradnl"/>
        </w:rPr>
      </w:pPr>
      <w:r w:rsidRPr="00E33DE3">
        <w:rPr>
          <w:rFonts w:ascii="Verdana" w:hAnsi="Verdana" w:cs="Arial"/>
          <w:i/>
          <w:sz w:val="22"/>
          <w:szCs w:val="22"/>
          <w:lang w:val="es-ES_tradnl"/>
        </w:rPr>
        <w:t>3. EQUILIBRIO ECONÓMICO.</w:t>
      </w:r>
    </w:p>
    <w:p w14:paraId="2509A5F7" w14:textId="77777777" w:rsidR="00273288" w:rsidRPr="00E33DE3" w:rsidRDefault="00273288" w:rsidP="00C65B25">
      <w:pPr>
        <w:ind w:left="567"/>
        <w:jc w:val="both"/>
        <w:rPr>
          <w:rFonts w:ascii="Verdana" w:hAnsi="Verdana" w:cs="Arial"/>
          <w:i/>
          <w:sz w:val="22"/>
          <w:szCs w:val="22"/>
          <w:lang w:val="es-ES_tradnl"/>
        </w:rPr>
      </w:pPr>
    </w:p>
    <w:p w14:paraId="7E30CC2B" w14:textId="77777777" w:rsidR="00273288" w:rsidRPr="00E33DE3" w:rsidRDefault="00273288" w:rsidP="00C65B25">
      <w:pPr>
        <w:ind w:left="567"/>
        <w:jc w:val="both"/>
        <w:rPr>
          <w:rFonts w:ascii="Verdana" w:hAnsi="Verdana" w:cs="Arial"/>
          <w:i/>
          <w:sz w:val="22"/>
          <w:szCs w:val="22"/>
          <w:lang w:val="es-ES_tradnl"/>
        </w:rPr>
      </w:pPr>
      <w:r w:rsidRPr="00E33DE3">
        <w:rPr>
          <w:rFonts w:ascii="Verdana" w:hAnsi="Verdana" w:cs="Arial"/>
          <w:i/>
          <w:sz w:val="22"/>
          <w:szCs w:val="22"/>
          <w:lang w:val="es-ES_tradnl"/>
        </w:rPr>
        <w:t>3.1. Características generales. El Estatuto de Contratación Pública establece que se debe respetar el equilibrio económico del contrato, de tal forma que se debe mantener una equivalencia entre los derechos y obligaciones que se acordaron desde el inicio del contrato. El rompimiento del equilibrio económico contractual tiene las siguientes características:</w:t>
      </w:r>
    </w:p>
    <w:p w14:paraId="31158CDA" w14:textId="77777777" w:rsidR="00273288" w:rsidRPr="00E33DE3" w:rsidRDefault="00273288" w:rsidP="00C65B25">
      <w:pPr>
        <w:ind w:left="567"/>
        <w:jc w:val="both"/>
        <w:rPr>
          <w:rFonts w:ascii="Verdana" w:hAnsi="Verdana" w:cs="Arial"/>
          <w:i/>
          <w:sz w:val="22"/>
          <w:szCs w:val="22"/>
          <w:lang w:val="es-ES_tradnl"/>
        </w:rPr>
      </w:pPr>
    </w:p>
    <w:p w14:paraId="22C94B28" w14:textId="77777777" w:rsidR="00273288" w:rsidRPr="00E33DE3" w:rsidRDefault="00273288" w:rsidP="00C65B25">
      <w:pPr>
        <w:ind w:left="567"/>
        <w:jc w:val="both"/>
        <w:rPr>
          <w:rFonts w:ascii="Verdana" w:hAnsi="Verdana" w:cs="Arial"/>
          <w:i/>
          <w:sz w:val="22"/>
          <w:szCs w:val="22"/>
          <w:lang w:val="es-ES_tradnl"/>
        </w:rPr>
      </w:pPr>
      <w:r w:rsidRPr="00E33DE3">
        <w:rPr>
          <w:rFonts w:ascii="Verdana" w:hAnsi="Verdana" w:cs="Arial"/>
          <w:i/>
          <w:sz w:val="22"/>
          <w:szCs w:val="22"/>
          <w:lang w:val="es-ES_tradnl"/>
        </w:rPr>
        <w:t xml:space="preserve">a. No se produce simplemente porque el contratista deje de obtener utilidades o porque surjan mayores costos en la ejecución de sus obligaciones, si éstos pueden calificarse como propios del alea normal del contrato. Se requiere que la afectación sea extraordinaria y afecte de manera real, grave y significativa la equivalencia entre derechos y obligaciones convenida y contemplada por las partes al momento de la celebración del contrato. </w:t>
      </w:r>
    </w:p>
    <w:p w14:paraId="1F550DB5" w14:textId="77777777" w:rsidR="00273288" w:rsidRPr="00E33DE3" w:rsidRDefault="00273288" w:rsidP="00C65B25">
      <w:pPr>
        <w:ind w:left="567"/>
        <w:jc w:val="both"/>
        <w:rPr>
          <w:rFonts w:ascii="Verdana" w:hAnsi="Verdana" w:cs="Arial"/>
          <w:i/>
          <w:sz w:val="22"/>
          <w:szCs w:val="22"/>
          <w:lang w:val="es-ES_tradnl"/>
        </w:rPr>
      </w:pPr>
    </w:p>
    <w:p w14:paraId="1CFB99DE" w14:textId="77777777" w:rsidR="00273288" w:rsidRPr="00E33DE3" w:rsidRDefault="00273288" w:rsidP="00C65B25">
      <w:pPr>
        <w:ind w:left="567"/>
        <w:jc w:val="both"/>
        <w:rPr>
          <w:rFonts w:ascii="Verdana" w:hAnsi="Verdana" w:cs="Arial"/>
          <w:i/>
          <w:sz w:val="22"/>
          <w:szCs w:val="22"/>
          <w:lang w:val="es-ES_tradnl"/>
        </w:rPr>
      </w:pPr>
      <w:r w:rsidRPr="00E33DE3">
        <w:rPr>
          <w:rFonts w:ascii="Verdana" w:hAnsi="Verdana" w:cs="Arial"/>
          <w:i/>
          <w:sz w:val="22"/>
          <w:szCs w:val="22"/>
          <w:lang w:val="es-ES_tradnl"/>
        </w:rPr>
        <w:t xml:space="preserve">En efecto: </w:t>
      </w:r>
    </w:p>
    <w:p w14:paraId="7B4AAD91" w14:textId="77777777" w:rsidR="00273288" w:rsidRPr="00E33DE3" w:rsidRDefault="00273288" w:rsidP="00C65B25">
      <w:pPr>
        <w:ind w:left="567"/>
        <w:jc w:val="both"/>
        <w:rPr>
          <w:rFonts w:ascii="Verdana" w:hAnsi="Verdana" w:cs="Arial"/>
          <w:i/>
          <w:sz w:val="22"/>
          <w:szCs w:val="22"/>
          <w:lang w:val="es-ES_tradnl"/>
        </w:rPr>
      </w:pPr>
      <w:r w:rsidRPr="00E33DE3">
        <w:rPr>
          <w:rFonts w:ascii="Verdana" w:hAnsi="Verdana" w:cs="Arial"/>
          <w:i/>
          <w:sz w:val="22"/>
          <w:szCs w:val="22"/>
          <w:lang w:val="es-ES_tradnl"/>
        </w:rPr>
        <w:t>(…)</w:t>
      </w:r>
    </w:p>
    <w:p w14:paraId="7AF17E4C" w14:textId="77777777" w:rsidR="00273288" w:rsidRPr="00E33DE3" w:rsidRDefault="00273288" w:rsidP="00C65B25">
      <w:pPr>
        <w:ind w:left="567"/>
        <w:jc w:val="both"/>
        <w:rPr>
          <w:rFonts w:ascii="Verdana" w:hAnsi="Verdana" w:cs="Arial"/>
          <w:i/>
          <w:sz w:val="22"/>
          <w:szCs w:val="22"/>
        </w:rPr>
      </w:pPr>
      <w:r w:rsidRPr="00E33DE3">
        <w:rPr>
          <w:rFonts w:ascii="Verdana" w:hAnsi="Verdana" w:cs="Arial"/>
          <w:i/>
          <w:sz w:val="22"/>
          <w:szCs w:val="22"/>
        </w:rPr>
        <w:t xml:space="preserve">(ii) Las variaciones que eventualmente puedan suceder dentro de una operación normal, bien sean favorables o desfavorables a los intereses económicos del concesionario, corresponderían a su riesgo negociar y por lo tanto no pueden trasladarse los déficits respectivos a la entidad pública contratante, ni tampoco podría exigírsele al concesionario la entrega del superávit a la entidad concedente cuando los resultados superaren las proyecciones iniciales. </w:t>
      </w:r>
    </w:p>
    <w:p w14:paraId="1D8715BC" w14:textId="77777777" w:rsidR="00273288" w:rsidRPr="00E33DE3" w:rsidRDefault="00273288" w:rsidP="00C65B25">
      <w:pPr>
        <w:ind w:left="567"/>
        <w:jc w:val="both"/>
        <w:rPr>
          <w:rFonts w:ascii="Verdana" w:hAnsi="Verdana" w:cs="Arial"/>
          <w:i/>
          <w:sz w:val="22"/>
          <w:szCs w:val="22"/>
          <w:lang w:val="es-ES_tradnl"/>
        </w:rPr>
      </w:pPr>
    </w:p>
    <w:p w14:paraId="625984F8" w14:textId="77777777" w:rsidR="00273288" w:rsidRPr="00E33DE3" w:rsidRDefault="00273288" w:rsidP="00C65B25">
      <w:pPr>
        <w:ind w:left="567"/>
        <w:jc w:val="both"/>
        <w:rPr>
          <w:rFonts w:ascii="Verdana" w:hAnsi="Verdana" w:cs="Arial"/>
          <w:i/>
          <w:sz w:val="22"/>
          <w:szCs w:val="22"/>
        </w:rPr>
      </w:pPr>
      <w:r w:rsidRPr="00E33DE3">
        <w:rPr>
          <w:rFonts w:ascii="Verdana" w:hAnsi="Verdana" w:cs="Arial"/>
          <w:i/>
          <w:sz w:val="22"/>
          <w:szCs w:val="22"/>
        </w:rPr>
        <w:t xml:space="preserve">(iii) Una entidad pública no debe pagar por todos los sobrecostos que se generen en el desarrollo de un contrato, ya que sólo debe reconocer los no imputables al contratista. </w:t>
      </w:r>
    </w:p>
    <w:p w14:paraId="1F4EF65D" w14:textId="77777777" w:rsidR="00273288" w:rsidRPr="00E33DE3" w:rsidRDefault="00273288" w:rsidP="00C65B25">
      <w:pPr>
        <w:ind w:left="567"/>
        <w:jc w:val="both"/>
        <w:rPr>
          <w:rFonts w:ascii="Verdana" w:hAnsi="Verdana" w:cs="Arial"/>
          <w:i/>
          <w:sz w:val="22"/>
          <w:szCs w:val="22"/>
          <w:lang w:val="es-ES_tradnl"/>
        </w:rPr>
      </w:pPr>
    </w:p>
    <w:p w14:paraId="334E0037" w14:textId="77777777" w:rsidR="00273288" w:rsidRPr="00E33DE3" w:rsidRDefault="00273288" w:rsidP="00C65B25">
      <w:pPr>
        <w:ind w:left="567"/>
        <w:jc w:val="both"/>
        <w:rPr>
          <w:rFonts w:ascii="Verdana" w:hAnsi="Verdana" w:cs="Arial"/>
          <w:i/>
          <w:sz w:val="22"/>
          <w:szCs w:val="22"/>
          <w:lang w:val="es-ES_tradnl"/>
        </w:rPr>
      </w:pPr>
      <w:r w:rsidRPr="00E33DE3">
        <w:rPr>
          <w:rFonts w:ascii="Verdana" w:hAnsi="Verdana" w:cs="Arial"/>
          <w:i/>
          <w:sz w:val="22"/>
          <w:szCs w:val="22"/>
          <w:lang w:val="es-ES_tradnl"/>
        </w:rPr>
        <w:t xml:space="preserve">b. Surge cuando no hay una equivalencia entre lo previsto en los pliegos de condiciones y la ejecución del contrato. De conformidad con lo anterior, el equilibrio se afecta cuando se genera un desbalance en las obligaciones, como son los sobrecostos, por: 1) actos o hechos imputables a la entidad contratante, 2) por actuaciones del Estado calificados como “hechos del príncipe” o 3) por actos imprevisibles. </w:t>
      </w:r>
    </w:p>
    <w:p w14:paraId="526AFAD2" w14:textId="77777777" w:rsidR="00273288" w:rsidRPr="00E33DE3" w:rsidRDefault="00273288" w:rsidP="00C65B25">
      <w:pPr>
        <w:ind w:left="567"/>
        <w:jc w:val="both"/>
        <w:rPr>
          <w:rFonts w:ascii="Verdana" w:hAnsi="Verdana" w:cs="Arial"/>
          <w:i/>
          <w:sz w:val="22"/>
          <w:szCs w:val="22"/>
          <w:lang w:val="es-ES_tradnl"/>
        </w:rPr>
      </w:pPr>
    </w:p>
    <w:p w14:paraId="6D253702" w14:textId="77777777" w:rsidR="00273288" w:rsidRPr="00E33DE3" w:rsidRDefault="00273288" w:rsidP="00C65B25">
      <w:pPr>
        <w:ind w:left="567"/>
        <w:jc w:val="both"/>
        <w:rPr>
          <w:rFonts w:ascii="Verdana" w:hAnsi="Verdana" w:cs="Arial"/>
          <w:i/>
          <w:sz w:val="22"/>
          <w:szCs w:val="22"/>
        </w:rPr>
      </w:pPr>
      <w:r w:rsidRPr="00E33DE3">
        <w:rPr>
          <w:rFonts w:ascii="Verdana" w:hAnsi="Verdana" w:cs="Arial"/>
          <w:i/>
          <w:sz w:val="22"/>
          <w:szCs w:val="22"/>
        </w:rPr>
        <w:t xml:space="preserve">Por lo tanto, ante la ocurrencia de estos hechos la entidad contratante debe pagar por los sobrecostos que se generen para mantener la equivalencia de las obligaciones, pero el desequilibrio creado por el contratista debe ser asumido por él mismo”. </w:t>
      </w:r>
    </w:p>
    <w:p w14:paraId="47BC3712" w14:textId="77777777" w:rsidR="00273288" w:rsidRPr="00E33DE3" w:rsidRDefault="00273288" w:rsidP="00C65B25">
      <w:pPr>
        <w:jc w:val="both"/>
        <w:rPr>
          <w:rFonts w:ascii="Verdana" w:hAnsi="Verdana" w:cs="Arial"/>
          <w:sz w:val="22"/>
          <w:szCs w:val="22"/>
          <w:lang w:val="es-ES_tradnl"/>
        </w:rPr>
      </w:pPr>
    </w:p>
    <w:p w14:paraId="1A998462" w14:textId="77777777" w:rsidR="00273288" w:rsidRPr="00E33DE3" w:rsidRDefault="00273288" w:rsidP="00C65B25">
      <w:pPr>
        <w:jc w:val="both"/>
        <w:rPr>
          <w:rFonts w:ascii="Verdana" w:hAnsi="Verdana" w:cs="Arial"/>
          <w:sz w:val="22"/>
          <w:szCs w:val="22"/>
          <w:lang w:val="es-ES_tradnl"/>
        </w:rPr>
      </w:pPr>
      <w:r w:rsidRPr="00E33DE3">
        <w:rPr>
          <w:rFonts w:ascii="Verdana" w:hAnsi="Verdana" w:cs="Arial"/>
          <w:sz w:val="22"/>
          <w:szCs w:val="22"/>
          <w:lang w:val="es-ES_tradnl"/>
        </w:rPr>
        <w:t xml:space="preserve">Para las vigencias 2019 y 2020, la Entidad Territorial suscribió 8 contratos para la prestación del servicio educativo a para atender a 8.726 alumnos en 2019 y 8.399 en 2020, por un valor de $6.574 millones en 2019 y $6.826 millones en 2020, financiados con la Participación de Educación del Sistema General de </w:t>
      </w:r>
      <w:r w:rsidRPr="00E33DE3">
        <w:rPr>
          <w:rFonts w:ascii="Verdana" w:hAnsi="Verdana" w:cs="Arial"/>
          <w:sz w:val="22"/>
          <w:szCs w:val="22"/>
          <w:lang w:val="es-ES_tradnl"/>
        </w:rPr>
        <w:lastRenderedPageBreak/>
        <w:t xml:space="preserve">Participaciones. Siete de los contratos suscritos corresponden a la modalidad de </w:t>
      </w:r>
      <w:r w:rsidRPr="00E33DE3">
        <w:rPr>
          <w:rFonts w:ascii="Verdana" w:hAnsi="Verdana" w:cs="Arial"/>
          <w:bCs/>
          <w:sz w:val="22"/>
          <w:szCs w:val="22"/>
          <w:lang w:val="es-ES_tradnl"/>
        </w:rPr>
        <w:t xml:space="preserve">promoción e implementación de estrategias de desarrollo pedagógico con iglesias y confesiones religiosas y uno se trata de </w:t>
      </w:r>
      <w:r w:rsidRPr="00E33DE3">
        <w:rPr>
          <w:rFonts w:ascii="Verdana" w:hAnsi="Verdana" w:cs="Arial"/>
          <w:sz w:val="22"/>
          <w:szCs w:val="22"/>
          <w:lang w:val="es-ES_tradnl"/>
        </w:rPr>
        <w:t>contratos interadministrativos para la prestación del servicio educativo por instituciones de educación superior oficiales que tengan facultad de educación.</w:t>
      </w:r>
    </w:p>
    <w:p w14:paraId="0E786B16" w14:textId="77777777" w:rsidR="00273288" w:rsidRPr="00E33DE3" w:rsidRDefault="00273288" w:rsidP="00C65B25">
      <w:pPr>
        <w:jc w:val="both"/>
        <w:rPr>
          <w:rFonts w:ascii="Verdana" w:hAnsi="Verdana" w:cs="Arial"/>
          <w:sz w:val="22"/>
          <w:szCs w:val="22"/>
          <w:lang w:val="es-ES_tradnl"/>
        </w:rPr>
      </w:pPr>
    </w:p>
    <w:p w14:paraId="3CB0E968" w14:textId="77777777" w:rsidR="00273288" w:rsidRPr="00E33DE3" w:rsidRDefault="00273288" w:rsidP="00C65B25">
      <w:pPr>
        <w:jc w:val="both"/>
        <w:rPr>
          <w:rFonts w:ascii="Verdana" w:hAnsi="Verdana" w:cs="Arial"/>
          <w:sz w:val="22"/>
          <w:szCs w:val="22"/>
          <w:lang w:val="es-ES_tradnl"/>
        </w:rPr>
      </w:pPr>
      <w:r w:rsidRPr="00E33DE3">
        <w:rPr>
          <w:rFonts w:ascii="Verdana" w:hAnsi="Verdana" w:cs="Arial"/>
          <w:sz w:val="22"/>
          <w:szCs w:val="22"/>
        </w:rPr>
        <w:t>En relación con las vigencias 2021 y 2022 se presentaron un total de 18 contratos, de los cuales la Entidad Territorial suscribió 9 para la prestación del servicio educativo con el objetivo de atender a 7.866</w:t>
      </w:r>
      <w:r w:rsidRPr="00E33DE3">
        <w:rPr>
          <w:rFonts w:ascii="Verdana" w:hAnsi="Verdana" w:cs="Arial"/>
          <w:b/>
          <w:bCs/>
          <w:sz w:val="22"/>
          <w:szCs w:val="22"/>
        </w:rPr>
        <w:t xml:space="preserve"> </w:t>
      </w:r>
      <w:r w:rsidRPr="00E33DE3">
        <w:rPr>
          <w:rFonts w:ascii="Verdana" w:hAnsi="Verdana" w:cs="Arial"/>
          <w:sz w:val="22"/>
          <w:szCs w:val="22"/>
        </w:rPr>
        <w:t>alumnos en 2021, por un valor total de $7.248</w:t>
      </w:r>
      <w:r w:rsidRPr="00E33DE3">
        <w:rPr>
          <w:rFonts w:ascii="Verdana" w:hAnsi="Verdana" w:cs="Arial"/>
          <w:b/>
          <w:bCs/>
          <w:sz w:val="22"/>
          <w:szCs w:val="22"/>
        </w:rPr>
        <w:t xml:space="preserve"> </w:t>
      </w:r>
      <w:r w:rsidRPr="00E33DE3">
        <w:rPr>
          <w:rFonts w:ascii="Verdana" w:hAnsi="Verdana" w:cs="Arial"/>
          <w:sz w:val="22"/>
          <w:szCs w:val="22"/>
        </w:rPr>
        <w:t>millones. Para el 2022, se suscribieron 9 contratos para la prestación del servicio educativo para beneficiar a 7.339 alumnos, por un valor total de $7.186 millones de pesos, financiados por el Sistema General de Participaciones para ambos periodos. De los anteriores, 6</w:t>
      </w:r>
      <w:r w:rsidRPr="00E33DE3">
        <w:rPr>
          <w:rFonts w:ascii="Verdana" w:hAnsi="Verdana" w:cs="Arial"/>
          <w:b/>
          <w:bCs/>
          <w:sz w:val="22"/>
          <w:szCs w:val="22"/>
        </w:rPr>
        <w:t xml:space="preserve"> </w:t>
      </w:r>
      <w:r w:rsidRPr="00E33DE3">
        <w:rPr>
          <w:rFonts w:ascii="Verdana" w:hAnsi="Verdana" w:cs="Arial"/>
          <w:sz w:val="22"/>
          <w:szCs w:val="22"/>
        </w:rPr>
        <w:t>contratos suscritos en 2021</w:t>
      </w:r>
      <w:r w:rsidRPr="00E33DE3">
        <w:rPr>
          <w:rStyle w:val="Refdenotaalpie"/>
          <w:rFonts w:ascii="Verdana" w:hAnsi="Verdana" w:cs="Arial"/>
          <w:sz w:val="22"/>
          <w:szCs w:val="22"/>
        </w:rPr>
        <w:footnoteReference w:id="25"/>
      </w:r>
      <w:r w:rsidRPr="00E33DE3">
        <w:rPr>
          <w:rFonts w:ascii="Verdana" w:hAnsi="Verdana" w:cs="Arial"/>
          <w:sz w:val="22"/>
          <w:szCs w:val="22"/>
        </w:rPr>
        <w:t xml:space="preserve"> y 5 contratos suscritos en 2022</w:t>
      </w:r>
      <w:r w:rsidRPr="00E33DE3">
        <w:rPr>
          <w:rStyle w:val="Refdenotaalpie"/>
          <w:rFonts w:ascii="Verdana" w:hAnsi="Verdana" w:cs="Arial"/>
          <w:sz w:val="22"/>
          <w:szCs w:val="22"/>
        </w:rPr>
        <w:footnoteReference w:id="26"/>
      </w:r>
      <w:r w:rsidRPr="00E33DE3">
        <w:rPr>
          <w:rFonts w:ascii="Verdana" w:hAnsi="Verdana" w:cs="Arial"/>
          <w:sz w:val="22"/>
          <w:szCs w:val="22"/>
        </w:rPr>
        <w:t xml:space="preserve"> corresponden a la modalidad de promoción e implementación de estrategias de desarrollo pedagógico con iglesias y confesiones religiosas, los restantes 3 y 4 contratos en 2021 y 2022 respectivamente se tratan de contratos interadministrativos para la prestación del servicio educativo por instituciones de educación superior oficiales que tengan facultad de educación.</w:t>
      </w:r>
    </w:p>
    <w:p w14:paraId="69F72062" w14:textId="77777777" w:rsidR="00273288" w:rsidRPr="00E33DE3" w:rsidRDefault="00273288" w:rsidP="00C65B25">
      <w:pPr>
        <w:jc w:val="both"/>
        <w:rPr>
          <w:rFonts w:ascii="Verdana" w:hAnsi="Verdana" w:cs="Arial"/>
          <w:sz w:val="22"/>
          <w:szCs w:val="22"/>
          <w:lang w:val="es-ES_tradnl"/>
        </w:rPr>
      </w:pPr>
    </w:p>
    <w:p w14:paraId="48A23521" w14:textId="77777777" w:rsidR="00273288" w:rsidRPr="00E33DE3" w:rsidRDefault="00273288" w:rsidP="00C65B25">
      <w:pPr>
        <w:jc w:val="both"/>
        <w:rPr>
          <w:rFonts w:ascii="Verdana" w:hAnsi="Verdana" w:cs="Arial"/>
          <w:bCs/>
          <w:sz w:val="22"/>
          <w:szCs w:val="22"/>
          <w:lang w:val="es-ES_tradnl"/>
        </w:rPr>
      </w:pPr>
      <w:r w:rsidRPr="00E33DE3">
        <w:rPr>
          <w:rFonts w:ascii="Verdana" w:hAnsi="Verdana" w:cs="Arial"/>
          <w:sz w:val="22"/>
          <w:szCs w:val="22"/>
          <w:lang w:val="es-ES_tradnl"/>
        </w:rPr>
        <w:t xml:space="preserve">En primer lugar, la cláusula relativa al valor y forma de pago de los contratos para </w:t>
      </w:r>
      <w:r w:rsidRPr="00E33DE3">
        <w:rPr>
          <w:rFonts w:ascii="Verdana" w:hAnsi="Verdana" w:cs="Arial"/>
          <w:bCs/>
          <w:sz w:val="22"/>
          <w:szCs w:val="22"/>
          <w:lang w:val="es-ES_tradnl"/>
        </w:rPr>
        <w:t xml:space="preserve">la promoción e implementación de estrategias de desarrollo pedagógico con iglesias y confesiones religiosas de las vigencias 2018 a 2022 indica el valor total de cada contrato y el valor individual por </w:t>
      </w:r>
      <w:r w:rsidRPr="00E33DE3">
        <w:rPr>
          <w:rFonts w:ascii="Verdana" w:hAnsi="Verdana" w:cs="Arial"/>
          <w:bCs/>
          <w:i/>
          <w:iCs/>
          <w:sz w:val="22"/>
          <w:szCs w:val="22"/>
          <w:lang w:val="es-ES_tradnl"/>
        </w:rPr>
        <w:t>“estudiante atendido mes, según la canasta educativa la cual hace parte integral del presente contrato”</w:t>
      </w:r>
      <w:r w:rsidRPr="00E33DE3">
        <w:rPr>
          <w:rFonts w:ascii="Verdana" w:hAnsi="Verdana" w:cs="Arial"/>
          <w:bCs/>
          <w:sz w:val="22"/>
          <w:szCs w:val="22"/>
          <w:lang w:val="es-ES_tradnl"/>
        </w:rPr>
        <w:t xml:space="preserve">. </w:t>
      </w:r>
    </w:p>
    <w:p w14:paraId="11DD118D" w14:textId="77777777" w:rsidR="00273288" w:rsidRPr="00E33DE3" w:rsidRDefault="00273288" w:rsidP="00C65B25">
      <w:pPr>
        <w:jc w:val="both"/>
        <w:rPr>
          <w:rFonts w:ascii="Verdana" w:hAnsi="Verdana" w:cs="Arial"/>
          <w:bCs/>
          <w:sz w:val="22"/>
          <w:szCs w:val="22"/>
          <w:lang w:val="es-ES_tradnl"/>
        </w:rPr>
      </w:pPr>
    </w:p>
    <w:p w14:paraId="68F70A8A" w14:textId="77777777" w:rsidR="00273288" w:rsidRPr="00E33DE3" w:rsidRDefault="00273288" w:rsidP="00C65B25">
      <w:pPr>
        <w:jc w:val="both"/>
        <w:rPr>
          <w:rFonts w:ascii="Verdana" w:hAnsi="Verdana" w:cs="Arial"/>
          <w:sz w:val="22"/>
          <w:szCs w:val="22"/>
        </w:rPr>
      </w:pPr>
      <w:r w:rsidRPr="00E33DE3">
        <w:rPr>
          <w:rFonts w:ascii="Verdana" w:hAnsi="Verdana" w:cs="Arial"/>
          <w:sz w:val="22"/>
          <w:szCs w:val="22"/>
        </w:rPr>
        <w:t xml:space="preserve">Así mismo esta cláusula establece que el último pago de cada contrato se realizará </w:t>
      </w:r>
      <w:r w:rsidRPr="00E33DE3">
        <w:rPr>
          <w:rFonts w:ascii="Verdana" w:hAnsi="Verdana" w:cs="Arial"/>
          <w:i/>
          <w:sz w:val="22"/>
          <w:szCs w:val="22"/>
        </w:rPr>
        <w:t>“en proporción al número de estudiantes efectivamente atendidos de acuerdo al informe de visita realizada por el supervisor y al valor per cápita por estudiante y plazo ejecutado hasta la fecha de visita”</w:t>
      </w:r>
      <w:r w:rsidRPr="00E33DE3">
        <w:rPr>
          <w:rFonts w:ascii="Verdana" w:hAnsi="Verdana" w:cs="Arial"/>
          <w:sz w:val="22"/>
          <w:szCs w:val="22"/>
        </w:rPr>
        <w:t>. No obstante, en su parágrafo sexto incluye un factor de deserción, así:</w:t>
      </w:r>
    </w:p>
    <w:p w14:paraId="685C3270" w14:textId="77777777" w:rsidR="00273288" w:rsidRPr="00E33DE3" w:rsidRDefault="00273288" w:rsidP="00C65B25">
      <w:pPr>
        <w:jc w:val="both"/>
        <w:rPr>
          <w:rFonts w:ascii="Verdana" w:hAnsi="Verdana" w:cs="Arial"/>
          <w:sz w:val="22"/>
          <w:szCs w:val="22"/>
          <w:lang w:val="es-ES_tradnl"/>
        </w:rPr>
      </w:pPr>
    </w:p>
    <w:p w14:paraId="3407D884" w14:textId="77777777" w:rsidR="00273288" w:rsidRPr="00E33DE3" w:rsidRDefault="00273288" w:rsidP="00C65B25">
      <w:pPr>
        <w:ind w:left="567"/>
        <w:jc w:val="both"/>
        <w:rPr>
          <w:rFonts w:ascii="Verdana" w:hAnsi="Verdana" w:cs="Arial"/>
          <w:i/>
          <w:sz w:val="22"/>
          <w:szCs w:val="22"/>
        </w:rPr>
      </w:pPr>
      <w:r w:rsidRPr="00E33DE3">
        <w:rPr>
          <w:rFonts w:ascii="Verdana" w:hAnsi="Verdana" w:cs="Arial"/>
          <w:i/>
          <w:sz w:val="22"/>
          <w:szCs w:val="22"/>
        </w:rPr>
        <w:t xml:space="preserve">“Factor de deserción escolar. Se establece de común acuerdo una tasa permitida a la deserción escolar del uno por ciento (1%) sobre el número de estudiantes a atender para evitar un desbalance económico del contrato, </w:t>
      </w:r>
      <w:r w:rsidRPr="00E33DE3">
        <w:rPr>
          <w:rFonts w:ascii="Verdana" w:hAnsi="Verdana" w:cs="Arial"/>
          <w:i/>
          <w:sz w:val="22"/>
          <w:szCs w:val="22"/>
        </w:rPr>
        <w:lastRenderedPageBreak/>
        <w:t>aplicable durante toda la ejecución del mismo en consideración a que la prestación del servicio genera costos fijos, a pesar de la deserción escolar”.</w:t>
      </w:r>
    </w:p>
    <w:p w14:paraId="2C0A1406" w14:textId="77777777" w:rsidR="00273288" w:rsidRPr="00E33DE3" w:rsidRDefault="00273288" w:rsidP="00C65B25">
      <w:pPr>
        <w:pStyle w:val="Default"/>
        <w:jc w:val="both"/>
        <w:rPr>
          <w:rFonts w:ascii="Verdana" w:eastAsia="MS Mincho" w:hAnsi="Verdana"/>
          <w:color w:val="auto"/>
          <w:sz w:val="22"/>
          <w:szCs w:val="22"/>
          <w:lang w:val="es-ES_tradnl" w:eastAsia="es-ES"/>
        </w:rPr>
      </w:pPr>
    </w:p>
    <w:p w14:paraId="19AEFC61" w14:textId="77777777" w:rsidR="00273288" w:rsidRPr="00E33DE3" w:rsidRDefault="00273288" w:rsidP="00C65B25">
      <w:pPr>
        <w:pStyle w:val="Default"/>
        <w:jc w:val="both"/>
        <w:rPr>
          <w:rFonts w:ascii="Verdana" w:eastAsia="MS Mincho" w:hAnsi="Verdana"/>
          <w:color w:val="auto"/>
          <w:sz w:val="22"/>
          <w:szCs w:val="22"/>
          <w:lang w:val="es-ES_tradnl" w:eastAsia="es-ES"/>
        </w:rPr>
      </w:pPr>
      <w:r w:rsidRPr="00E33DE3">
        <w:rPr>
          <w:rFonts w:ascii="Verdana" w:eastAsia="MS Mincho" w:hAnsi="Verdana"/>
          <w:color w:val="auto"/>
          <w:sz w:val="22"/>
          <w:szCs w:val="22"/>
          <w:lang w:val="es-ES_tradnl" w:eastAsia="es-ES"/>
        </w:rPr>
        <w:t>Dado lo anterior, el valor de los contratos se ve afectado favorablemente para el contratista al pactar pagos por servicios no prestados. Con esta cláusula la Entidad Territorial hace un uso ineficiente de los recursos del Sistema General de Participaciones, y genera un sobre costo en la prestación del servicio contratada con terceros dado que el pago no se realiza por el número real de alumnos efectivamente atendidos, sino que admite un porcentaje de deserción, aun cuando la estrategia de contratación del servicio propende por garantizar el acceso y la permanencia de la población estudiantil en el sistema educativo.</w:t>
      </w:r>
    </w:p>
    <w:p w14:paraId="6914D2AD" w14:textId="77777777" w:rsidR="00273288" w:rsidRPr="00E33DE3" w:rsidRDefault="00273288" w:rsidP="00C65B25">
      <w:pPr>
        <w:pStyle w:val="Default"/>
        <w:jc w:val="both"/>
        <w:rPr>
          <w:rFonts w:ascii="Verdana" w:eastAsia="MS Mincho" w:hAnsi="Verdana"/>
          <w:color w:val="auto"/>
          <w:sz w:val="22"/>
          <w:szCs w:val="22"/>
          <w:lang w:val="es-ES_tradnl" w:eastAsia="es-ES"/>
        </w:rPr>
      </w:pPr>
    </w:p>
    <w:p w14:paraId="5EE334F3" w14:textId="77777777" w:rsidR="00273288" w:rsidRPr="00E33DE3" w:rsidRDefault="00273288" w:rsidP="00C65B25">
      <w:pPr>
        <w:pStyle w:val="Default"/>
        <w:jc w:val="both"/>
        <w:rPr>
          <w:rFonts w:ascii="Verdana" w:eastAsia="MS Mincho" w:hAnsi="Verdana"/>
          <w:color w:val="auto"/>
          <w:sz w:val="22"/>
          <w:szCs w:val="22"/>
          <w:lang w:val="es-ES" w:eastAsia="es-ES"/>
        </w:rPr>
      </w:pPr>
      <w:r w:rsidRPr="00E33DE3">
        <w:rPr>
          <w:rFonts w:ascii="Verdana" w:eastAsia="MS Mincho" w:hAnsi="Verdana"/>
          <w:color w:val="auto"/>
          <w:sz w:val="22"/>
          <w:szCs w:val="22"/>
          <w:lang w:val="es-ES" w:eastAsia="es-ES"/>
        </w:rPr>
        <w:t xml:space="preserve">En segundo lugar, con respecto a los contratos suscritos con instituciones de educación superior y/u oficiales facultadas para la educación, se presenta un único contrato con la Universidad de Nariño en las vigencias 2019, 2020, 2021 y 2022, por un término de cumplimiento de un año, es decir, no superaron en ningún caso la vigencia fiscal. Esto, en contravía de lo establecido en el literal e) del artículo 2.3.1.3.9.2. del Decreto 1075 del 2015, según el cual el plazo de estos contratos no puede ser inferior a dos (2) años. </w:t>
      </w:r>
    </w:p>
    <w:p w14:paraId="4D734304" w14:textId="77777777" w:rsidR="00273288" w:rsidRPr="00E33DE3" w:rsidRDefault="00273288" w:rsidP="00C65B25">
      <w:pPr>
        <w:pStyle w:val="Default"/>
        <w:jc w:val="both"/>
        <w:rPr>
          <w:rFonts w:ascii="Verdana" w:eastAsia="MS Mincho" w:hAnsi="Verdana"/>
          <w:color w:val="auto"/>
          <w:sz w:val="22"/>
          <w:szCs w:val="22"/>
          <w:highlight w:val="yellow"/>
          <w:lang w:val="es-ES_tradnl" w:eastAsia="es-ES"/>
        </w:rPr>
      </w:pPr>
    </w:p>
    <w:p w14:paraId="59DECA24" w14:textId="77777777" w:rsidR="00273288" w:rsidRPr="00E33DE3" w:rsidRDefault="00273288" w:rsidP="00C65B25">
      <w:pPr>
        <w:pStyle w:val="Default"/>
        <w:jc w:val="both"/>
        <w:rPr>
          <w:rFonts w:ascii="Verdana" w:eastAsia="MS Mincho" w:hAnsi="Verdana"/>
          <w:color w:val="auto"/>
          <w:sz w:val="22"/>
          <w:szCs w:val="22"/>
          <w:lang w:val="es-ES_tradnl" w:eastAsia="es-ES"/>
        </w:rPr>
      </w:pPr>
      <w:r w:rsidRPr="00E33DE3">
        <w:rPr>
          <w:rFonts w:ascii="Verdana" w:eastAsia="MS Mincho" w:hAnsi="Verdana"/>
          <w:color w:val="auto"/>
          <w:sz w:val="22"/>
          <w:szCs w:val="22"/>
          <w:lang w:val="es-ES_tradnl" w:eastAsia="es-ES"/>
        </w:rPr>
        <w:t xml:space="preserve">Lo anterior, teniendo en cuenta lo definido en el artículo 2.3.1.3.9.1. del mismo cuerpo normativo, en donde se contempla que estos contratos interadministrativos tienen por objeto </w:t>
      </w:r>
      <w:r w:rsidRPr="00E33DE3">
        <w:rPr>
          <w:rFonts w:ascii="Verdana" w:eastAsia="MS Mincho" w:hAnsi="Verdana"/>
          <w:i/>
          <w:color w:val="auto"/>
          <w:sz w:val="22"/>
          <w:szCs w:val="22"/>
          <w:lang w:val="es-ES_tradnl" w:eastAsia="es-ES"/>
        </w:rPr>
        <w:t>“mejorar la calidad de la educación impartida en una entidad territorial certificada en educación, a través de la atención de estudiantes del sistema educativo oficial en establecimientos educativos de alta calidad educativa que hacen parte de la estructura orgánica de dichas instituciones</w:t>
      </w:r>
      <w:r w:rsidRPr="00E33DE3">
        <w:rPr>
          <w:rFonts w:ascii="Verdana" w:eastAsia="MS Mincho" w:hAnsi="Verdana"/>
          <w:color w:val="auto"/>
          <w:sz w:val="22"/>
          <w:szCs w:val="22"/>
          <w:lang w:val="es-ES_tradnl" w:eastAsia="es-ES"/>
        </w:rPr>
        <w:t xml:space="preserve">”, meta que no se logra en el corto plazo, es decir, en periodos inferiores a dos (2) años. </w:t>
      </w:r>
    </w:p>
    <w:p w14:paraId="52FDB12D" w14:textId="77777777" w:rsidR="00273288" w:rsidRPr="00E33DE3" w:rsidRDefault="00273288" w:rsidP="00C65B25">
      <w:pPr>
        <w:pStyle w:val="Default"/>
        <w:jc w:val="both"/>
        <w:rPr>
          <w:rFonts w:ascii="Verdana" w:eastAsia="MS Mincho" w:hAnsi="Verdana"/>
          <w:color w:val="auto"/>
          <w:sz w:val="22"/>
          <w:szCs w:val="22"/>
          <w:lang w:val="es-ES_tradnl" w:eastAsia="es-ES"/>
        </w:rPr>
      </w:pPr>
    </w:p>
    <w:p w14:paraId="6982ECFA" w14:textId="77777777" w:rsidR="00273288" w:rsidRPr="00E33DE3" w:rsidRDefault="00273288" w:rsidP="00C65B25">
      <w:pPr>
        <w:pStyle w:val="Default"/>
        <w:jc w:val="both"/>
        <w:rPr>
          <w:rFonts w:ascii="Verdana" w:eastAsia="MS Mincho" w:hAnsi="Verdana"/>
          <w:color w:val="auto"/>
          <w:sz w:val="22"/>
          <w:szCs w:val="22"/>
          <w:highlight w:val="yellow"/>
          <w:lang w:val="es-ES" w:eastAsia="es-ES"/>
        </w:rPr>
      </w:pPr>
      <w:r w:rsidRPr="00E33DE3">
        <w:rPr>
          <w:rFonts w:ascii="Verdana" w:eastAsia="MS Mincho" w:hAnsi="Verdana"/>
          <w:color w:val="auto"/>
          <w:sz w:val="22"/>
          <w:szCs w:val="22"/>
          <w:lang w:val="es-ES" w:eastAsia="es-ES"/>
        </w:rPr>
        <w:t xml:space="preserve">Adicionalmente, la suscripción de estos contratos interadministrativos por un plazo inferior al definido en la norma impide el cumplimiento de los fines establecidos para esta modalidad de contratación, a la vez que omite las responsabilidades presupuestales de la entidad territorial en cuanto al trámite de autorización para adquirir compromisos con cargo al presupuesto de vigencias futuras, definidos en los literales d y e del artículo 2.3.1.3.8.4 del Decreto 1075 de 2015. </w:t>
      </w:r>
    </w:p>
    <w:p w14:paraId="5ECA26A8" w14:textId="77777777" w:rsidR="00273288" w:rsidRPr="00E33DE3" w:rsidRDefault="00273288" w:rsidP="00C65B25">
      <w:pPr>
        <w:pStyle w:val="Default"/>
        <w:jc w:val="both"/>
        <w:rPr>
          <w:rFonts w:ascii="Verdana" w:eastAsia="MS Mincho" w:hAnsi="Verdana"/>
          <w:color w:val="auto"/>
          <w:sz w:val="22"/>
          <w:szCs w:val="22"/>
          <w:highlight w:val="yellow"/>
          <w:lang w:val="es-ES_tradnl" w:eastAsia="es-ES"/>
        </w:rPr>
      </w:pPr>
    </w:p>
    <w:p w14:paraId="0C39F432" w14:textId="77777777" w:rsidR="00273288" w:rsidRPr="00E33DE3" w:rsidRDefault="00273288" w:rsidP="00C65B25">
      <w:pPr>
        <w:pStyle w:val="Default"/>
        <w:jc w:val="both"/>
        <w:rPr>
          <w:rFonts w:ascii="Verdana" w:eastAsia="MS Mincho" w:hAnsi="Verdana"/>
          <w:color w:val="auto"/>
          <w:sz w:val="22"/>
          <w:szCs w:val="22"/>
          <w:lang w:val="es-ES" w:eastAsia="es-ES"/>
        </w:rPr>
      </w:pPr>
      <w:r w:rsidRPr="00E33DE3">
        <w:rPr>
          <w:rFonts w:ascii="Verdana" w:hAnsi="Verdana"/>
          <w:sz w:val="22"/>
          <w:szCs w:val="22"/>
          <w:lang w:val="es-ES"/>
        </w:rPr>
        <w:t>En consecuencia, con estas actuaciones la Entidad Territorial desatendió los lineamientos del Decreto 1075 del 2015 que regulan la contratación del servicio educativo con terceros, al incluir en las minutas contractuales cláusulas contrarias a la normatividad vigente. Al mismo tiempo, vulneró los principios de contratación estatal y de la función pública, previamente descritos. De esta manera, incurre en un uso indebido de los recursos del Sistema General de Participaciones, por cuanto no son ejecutados con apego irrestricto a la Ley.</w:t>
      </w:r>
    </w:p>
    <w:p w14:paraId="2659CAA1" w14:textId="77777777" w:rsidR="00273288" w:rsidRPr="00E33DE3" w:rsidRDefault="00273288" w:rsidP="00C65B25">
      <w:pPr>
        <w:pStyle w:val="Prrafodelista"/>
        <w:jc w:val="both"/>
        <w:rPr>
          <w:rFonts w:ascii="Verdana" w:hAnsi="Verdana" w:cs="Arial"/>
          <w:sz w:val="22"/>
          <w:szCs w:val="22"/>
          <w:lang w:val="es-ES_tradnl"/>
        </w:rPr>
      </w:pPr>
    </w:p>
    <w:p w14:paraId="5DBF3942" w14:textId="77777777" w:rsidR="00273288" w:rsidRPr="00E33DE3" w:rsidRDefault="00273288" w:rsidP="00C65B25">
      <w:pPr>
        <w:jc w:val="both"/>
        <w:rPr>
          <w:rFonts w:ascii="Verdana" w:hAnsi="Verdana" w:cs="Arial"/>
          <w:sz w:val="22"/>
          <w:szCs w:val="22"/>
          <w:lang w:val="es-CO"/>
        </w:rPr>
      </w:pPr>
      <w:r w:rsidRPr="00E33DE3">
        <w:rPr>
          <w:rFonts w:ascii="Verdana" w:hAnsi="Verdana" w:cs="Arial"/>
          <w:b/>
          <w:sz w:val="22"/>
          <w:szCs w:val="22"/>
          <w:lang w:val="es-CO"/>
        </w:rPr>
        <w:lastRenderedPageBreak/>
        <w:t>Evidencias:</w:t>
      </w:r>
      <w:r w:rsidRPr="00E33DE3">
        <w:rPr>
          <w:rFonts w:ascii="Verdana" w:hAnsi="Verdana" w:cs="Arial"/>
          <w:sz w:val="22"/>
          <w:szCs w:val="22"/>
          <w:lang w:val="es-CO"/>
        </w:rPr>
        <w:t xml:space="preserve"> Obra en el expediente el siguiente material probatorio:</w:t>
      </w:r>
    </w:p>
    <w:p w14:paraId="0C0490B7"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191446 del 21 de febrero del 2019.</w:t>
      </w:r>
    </w:p>
    <w:p w14:paraId="26307A00"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191452 del 27 de febrero del 2019.</w:t>
      </w:r>
    </w:p>
    <w:p w14:paraId="2CC50A59"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191151 del 7 de febrero del 2019.</w:t>
      </w:r>
    </w:p>
    <w:p w14:paraId="1E2AC297"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191445 del 25 de febrero del 2019.</w:t>
      </w:r>
    </w:p>
    <w:p w14:paraId="6977CE8E"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191495 del 18 de marzo del 2019.</w:t>
      </w:r>
    </w:p>
    <w:p w14:paraId="343C042A"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191450 del 22 de febrero del 2019.</w:t>
      </w:r>
    </w:p>
    <w:p w14:paraId="7D788C48"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191152 del 7 de febrero del 2019.</w:t>
      </w:r>
    </w:p>
    <w:p w14:paraId="14AA9BDF"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191381 del 14 de febrero del 2019.</w:t>
      </w:r>
    </w:p>
    <w:p w14:paraId="702A7B46"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20828 del 31 de enero del 2020.</w:t>
      </w:r>
    </w:p>
    <w:p w14:paraId="28C80E4A"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201849 del 13 de marzo del 2020.</w:t>
      </w:r>
    </w:p>
    <w:p w14:paraId="1DD8E90D"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200724 del 23 de enero del 2020.</w:t>
      </w:r>
    </w:p>
    <w:p w14:paraId="25716C18"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200725 del 23 de enero del 2020.</w:t>
      </w:r>
    </w:p>
    <w:p w14:paraId="0B4C9C6E"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200726 del 23 de enero del 2020.</w:t>
      </w:r>
    </w:p>
    <w:p w14:paraId="1519D4EC"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200729 del 23 de enero del 2020.</w:t>
      </w:r>
    </w:p>
    <w:p w14:paraId="1B0A149D"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200730 del 23 de enero del 2020.</w:t>
      </w:r>
    </w:p>
    <w:p w14:paraId="6CC58B52"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200731 del 23 de enero del 2020.</w:t>
      </w:r>
    </w:p>
    <w:p w14:paraId="717EC325"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211309 del 3 de marzo del 2021.</w:t>
      </w:r>
    </w:p>
    <w:p w14:paraId="2711541C"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211317 del 8 de marzo del 2021.</w:t>
      </w:r>
    </w:p>
    <w:p w14:paraId="5ED47EC7"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211323 del 9 de marzo del 2021.</w:t>
      </w:r>
    </w:p>
    <w:p w14:paraId="19107282"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211395 del 15 de marzo del 2021.</w:t>
      </w:r>
    </w:p>
    <w:p w14:paraId="2705B361"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211394 del 15 de marzo del 2021.</w:t>
      </w:r>
    </w:p>
    <w:p w14:paraId="20BF5506"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211426 del 17 de marzo del 2021</w:t>
      </w:r>
    </w:p>
    <w:p w14:paraId="672D9747"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211447 del 5 de abril de 2021.</w:t>
      </w:r>
    </w:p>
    <w:p w14:paraId="5B115F4D"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 xml:space="preserve">Contrato No. 221562 del 1 de febrero de 2022. </w:t>
      </w:r>
    </w:p>
    <w:p w14:paraId="4481E503"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221427 del 1 de febrero del 2022.</w:t>
      </w:r>
    </w:p>
    <w:p w14:paraId="463B8E57"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20221370 del 1 de febrero del 2022.</w:t>
      </w:r>
    </w:p>
    <w:p w14:paraId="75D068CF"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221329 del 1 de febrero el 2022.</w:t>
      </w:r>
    </w:p>
    <w:p w14:paraId="5751B8CC"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Contrato No. 221606 del 2 de febrero del 2022.</w:t>
      </w:r>
    </w:p>
    <w:p w14:paraId="752B3DA7" w14:textId="77777777" w:rsidR="00273288" w:rsidRPr="00E33DE3" w:rsidRDefault="00273288" w:rsidP="00C65B25">
      <w:pPr>
        <w:pStyle w:val="Prrafodelista"/>
        <w:numPr>
          <w:ilvl w:val="0"/>
          <w:numId w:val="28"/>
        </w:numPr>
        <w:ind w:left="284" w:hanging="284"/>
        <w:jc w:val="both"/>
        <w:rPr>
          <w:rFonts w:ascii="Verdana" w:hAnsi="Verdana" w:cs="Arial"/>
          <w:sz w:val="22"/>
          <w:szCs w:val="22"/>
          <w:lang w:val="es-CO"/>
        </w:rPr>
      </w:pPr>
      <w:r w:rsidRPr="00E33DE3">
        <w:rPr>
          <w:rFonts w:ascii="Verdana" w:eastAsia="Calibri" w:hAnsi="Verdana" w:cs="Arial"/>
          <w:sz w:val="22"/>
          <w:szCs w:val="22"/>
          <w:lang w:eastAsia="en-US"/>
        </w:rPr>
        <w:t>Contrato No. 221758</w:t>
      </w:r>
      <w:r w:rsidRPr="00E33DE3">
        <w:rPr>
          <w:rFonts w:ascii="Verdana" w:hAnsi="Verdana" w:cs="Arial"/>
          <w:sz w:val="22"/>
          <w:szCs w:val="22"/>
          <w:lang w:val="es-CO"/>
        </w:rPr>
        <w:t xml:space="preserve"> del 30 de junio del 2022. </w:t>
      </w:r>
    </w:p>
    <w:p w14:paraId="16E91DD1" w14:textId="77777777" w:rsidR="00273288" w:rsidRPr="00E33DE3" w:rsidRDefault="00273288" w:rsidP="00C65B25">
      <w:pPr>
        <w:rPr>
          <w:rFonts w:ascii="Verdana" w:hAnsi="Verdana"/>
          <w:b/>
          <w:sz w:val="22"/>
          <w:szCs w:val="22"/>
          <w:lang w:val="es-CO"/>
        </w:rPr>
      </w:pPr>
    </w:p>
    <w:p w14:paraId="08298F01" w14:textId="77777777" w:rsidR="00273288" w:rsidRPr="00E33DE3" w:rsidRDefault="00273288" w:rsidP="00C65B25">
      <w:pPr>
        <w:pStyle w:val="Ttulo1"/>
        <w:numPr>
          <w:ilvl w:val="0"/>
          <w:numId w:val="1"/>
        </w:numPr>
        <w:spacing w:before="0"/>
        <w:ind w:left="426" w:hanging="426"/>
        <w:rPr>
          <w:rFonts w:ascii="Verdana" w:hAnsi="Verdana" w:cs="Arial"/>
          <w:szCs w:val="22"/>
          <w:lang w:val="es-CO"/>
        </w:rPr>
      </w:pPr>
      <w:r w:rsidRPr="00E33DE3">
        <w:rPr>
          <w:rFonts w:ascii="Verdana" w:hAnsi="Verdana" w:cs="Arial"/>
          <w:szCs w:val="22"/>
          <w:lang w:val="es-CO"/>
        </w:rPr>
        <w:t>CONCLUSIONES Y RECOMENDACIONES.</w:t>
      </w:r>
    </w:p>
    <w:p w14:paraId="3D5FD60E" w14:textId="77777777" w:rsidR="00273288" w:rsidRPr="00E33DE3" w:rsidRDefault="00273288" w:rsidP="00C65B25">
      <w:pPr>
        <w:rPr>
          <w:rFonts w:ascii="Verdana" w:hAnsi="Verdana"/>
          <w:b/>
          <w:sz w:val="22"/>
          <w:szCs w:val="22"/>
          <w:lang w:val="es-CO"/>
        </w:rPr>
      </w:pPr>
    </w:p>
    <w:p w14:paraId="20A3B5DF" w14:textId="77777777" w:rsidR="00273288" w:rsidRPr="00E33DE3" w:rsidRDefault="00273288" w:rsidP="00C65B25">
      <w:pPr>
        <w:jc w:val="both"/>
        <w:rPr>
          <w:rFonts w:ascii="Verdana" w:hAnsi="Verdana" w:cs="Arial"/>
          <w:sz w:val="22"/>
          <w:szCs w:val="22"/>
          <w:lang w:val="es-CO"/>
        </w:rPr>
      </w:pPr>
      <w:r w:rsidRPr="00E33DE3">
        <w:rPr>
          <w:rFonts w:ascii="Verdana" w:hAnsi="Verdana" w:cs="Arial"/>
          <w:sz w:val="22"/>
          <w:szCs w:val="22"/>
          <w:lang w:val="es-CO"/>
        </w:rPr>
        <w:t>A partir del análisis de la información remitida por el Municipio de Pasto y la recopilada en la asistencia técnica llevada a cabo el día 21 de octubre de 2022, se evidenció la existencia de los siguientes eventos de riesgo: 9.1 (No envío de información); 9.4 (cambio en la destinación de los recursos); 9.10 (No publicación de información cuando la ley lo exige); 9.17 (Suscripción de contratos que no aseguran la prestación del servicio) y, 9.18 (situaciones que constituyen desviación, uso indebido, ineficiente o inadecuado de los recursos del Sistema General de Participaciones).</w:t>
      </w:r>
    </w:p>
    <w:p w14:paraId="4384FD3C" w14:textId="77777777" w:rsidR="00273288" w:rsidRPr="00E33DE3" w:rsidRDefault="00273288" w:rsidP="00C65B25">
      <w:pPr>
        <w:jc w:val="both"/>
        <w:rPr>
          <w:rFonts w:ascii="Verdana" w:hAnsi="Verdana" w:cs="Arial"/>
          <w:sz w:val="22"/>
          <w:szCs w:val="22"/>
          <w:lang w:val="es-CO"/>
        </w:rPr>
      </w:pPr>
    </w:p>
    <w:p w14:paraId="5FF3BCBD" w14:textId="77777777" w:rsidR="00273288" w:rsidRPr="00E33DE3" w:rsidRDefault="00273288" w:rsidP="00C65B25">
      <w:pPr>
        <w:jc w:val="both"/>
        <w:rPr>
          <w:rFonts w:ascii="Verdana" w:hAnsi="Verdana" w:cs="Arial"/>
          <w:sz w:val="22"/>
          <w:szCs w:val="22"/>
          <w:lang w:val="es-CO"/>
        </w:rPr>
      </w:pPr>
      <w:r w:rsidRPr="00E33DE3">
        <w:rPr>
          <w:rFonts w:ascii="Verdana" w:hAnsi="Verdana" w:cs="Arial"/>
          <w:sz w:val="22"/>
          <w:szCs w:val="22"/>
          <w:lang w:val="es-CO"/>
        </w:rPr>
        <w:t xml:space="preserve">Con base en los riesgos identificados y en el marco de las funciones asignadas en los Decretos 028 de 2008 y 1068 de 2015, relacionadas con la coordinación de la ejecución de las actividades de Monitoreo, Seguimiento y Control Integral </w:t>
      </w:r>
      <w:r w:rsidRPr="00E33DE3">
        <w:rPr>
          <w:rFonts w:ascii="Verdana" w:hAnsi="Verdana" w:cs="Arial"/>
          <w:sz w:val="22"/>
          <w:szCs w:val="22"/>
          <w:lang w:val="es-CO"/>
        </w:rPr>
        <w:lastRenderedPageBreak/>
        <w:t xml:space="preserve">al uso de recursos del SGP, se recomienda la adopción de la Medida Preventiva Plan de Desempeño, una vez se reciban los comentarios del Ministerio de Educación frente al informe de reconocimiento. </w:t>
      </w:r>
    </w:p>
    <w:p w14:paraId="249C859D" w14:textId="77777777" w:rsidR="00273288" w:rsidRPr="00E33DE3" w:rsidRDefault="00273288" w:rsidP="00C65B25">
      <w:pPr>
        <w:jc w:val="both"/>
        <w:rPr>
          <w:rFonts w:ascii="Verdana" w:hAnsi="Verdana" w:cs="Arial"/>
          <w:sz w:val="22"/>
          <w:szCs w:val="22"/>
          <w:lang w:val="es-CO"/>
        </w:rPr>
      </w:pPr>
    </w:p>
    <w:p w14:paraId="23BEA18B" w14:textId="77777777" w:rsidR="00273288" w:rsidRPr="00E33DE3" w:rsidRDefault="00273288" w:rsidP="00C65B25">
      <w:pPr>
        <w:jc w:val="both"/>
        <w:rPr>
          <w:rFonts w:ascii="Verdana" w:hAnsi="Verdana" w:cs="Arial"/>
          <w:sz w:val="22"/>
          <w:szCs w:val="22"/>
          <w:lang w:val="es-CO"/>
        </w:rPr>
      </w:pPr>
      <w:r w:rsidRPr="00E33DE3">
        <w:rPr>
          <w:rFonts w:ascii="Verdana" w:hAnsi="Verdana" w:cs="Arial"/>
          <w:sz w:val="22"/>
          <w:szCs w:val="22"/>
          <w:lang w:val="es-CO"/>
        </w:rPr>
        <w:t xml:space="preserve">Así, dentro de algunas de las acciones a llevar a cabo por parte de la administración municipal para la superación de la problemática detectada, se recomiendan: </w:t>
      </w:r>
    </w:p>
    <w:p w14:paraId="63480C3D" w14:textId="77777777" w:rsidR="00273288" w:rsidRPr="00E33DE3" w:rsidRDefault="00273288" w:rsidP="00C65B25">
      <w:pPr>
        <w:jc w:val="both"/>
        <w:rPr>
          <w:rFonts w:ascii="Verdana" w:hAnsi="Verdana" w:cs="Arial"/>
          <w:sz w:val="22"/>
          <w:szCs w:val="22"/>
          <w:lang w:val="es-CO"/>
        </w:rPr>
      </w:pPr>
    </w:p>
    <w:p w14:paraId="5E0A6995"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eastAsia="en-US"/>
        </w:rPr>
      </w:pPr>
      <w:r w:rsidRPr="00E33DE3">
        <w:rPr>
          <w:rFonts w:ascii="Verdana" w:eastAsia="Calibri" w:hAnsi="Verdana" w:cs="Arial"/>
          <w:sz w:val="22"/>
          <w:szCs w:val="22"/>
          <w:lang w:eastAsia="en-US"/>
        </w:rPr>
        <w:t>Fortalecer los reportes de información con la modificación y/o creación de la función en los debidos manuales de funciones, así como estableciendo comités que permitan un diálogo constante y asertivo entre las diferentes partes involucradas en la elaboración, obtención, recopilación, depuración, revisión, y reporte de la información en los diferentes sistemas como: CUIPO, SIMAT, DUE, FUC, entre otros. De esta manera, se busca que exista un cronograma interno –con responsables- dentro de la entidad, el cual ayude a garantizar una coherencia y coadyuva entre los diferentes procesos de la información.</w:t>
      </w:r>
    </w:p>
    <w:p w14:paraId="508168C5" w14:textId="77777777" w:rsidR="00273288" w:rsidRPr="00E33DE3" w:rsidRDefault="00273288" w:rsidP="00C65B25">
      <w:pPr>
        <w:pStyle w:val="Prrafodelista"/>
        <w:ind w:left="284"/>
        <w:jc w:val="both"/>
        <w:rPr>
          <w:rFonts w:ascii="Verdana" w:eastAsia="Calibri" w:hAnsi="Verdana" w:cs="Arial"/>
          <w:sz w:val="22"/>
          <w:szCs w:val="22"/>
          <w:lang w:eastAsia="en-US"/>
        </w:rPr>
      </w:pPr>
      <w:r w:rsidRPr="00E33DE3">
        <w:rPr>
          <w:rFonts w:ascii="Verdana" w:eastAsia="Calibri" w:hAnsi="Verdana" w:cs="Arial"/>
          <w:sz w:val="22"/>
          <w:szCs w:val="22"/>
          <w:lang w:eastAsia="en-US"/>
        </w:rPr>
        <w:t xml:space="preserve"> </w:t>
      </w:r>
    </w:p>
    <w:p w14:paraId="0F9D4023"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 xml:space="preserve">Revisar y comprender el conjunto de la normatividad citada en el presente informe y las recomendaciones hechas en cada uno de los hallazgos, relativa a los conceptos a ser financiados con recursos del sistema general de participaciones – educación y su adecuado uso, de manera que la entidad elabore un informe que permita establecer las acciones a llevar a cabo que garanticen la no repetición de hallazgos como: cambio en la destinación de recursos, inadecuado uso de los excedentes, superación de las tipologías establecidas en la norma e ineficiencia de los recursos públicos. En el informe se deben enunciar los cargos responsables, las acciones a realizar, el tiempo esperado para su consecución, así como la totalización de los recursos a ser reinvertidos en el sector y un presupuesto de fuentes y usos planteado por la administración para su alcance. </w:t>
      </w:r>
    </w:p>
    <w:p w14:paraId="1EB227C7" w14:textId="77777777" w:rsidR="00273288" w:rsidRPr="00E33DE3" w:rsidRDefault="00273288" w:rsidP="00C65B25">
      <w:pPr>
        <w:jc w:val="both"/>
        <w:rPr>
          <w:rFonts w:ascii="Verdana" w:eastAsia="Calibri" w:hAnsi="Verdana" w:cs="Arial"/>
          <w:sz w:val="22"/>
          <w:szCs w:val="22"/>
          <w:lang w:val="es-ES_tradnl" w:eastAsia="en-US"/>
        </w:rPr>
      </w:pPr>
    </w:p>
    <w:p w14:paraId="33ACC573" w14:textId="77777777" w:rsidR="00273288" w:rsidRPr="00E33DE3" w:rsidRDefault="00BC0685" w:rsidP="00C65B25">
      <w:pPr>
        <w:pStyle w:val="Prrafodelista"/>
        <w:numPr>
          <w:ilvl w:val="0"/>
          <w:numId w:val="28"/>
        </w:numPr>
        <w:ind w:left="284" w:hanging="284"/>
        <w:jc w:val="both"/>
        <w:rPr>
          <w:rFonts w:ascii="Verdana" w:eastAsia="Calibri" w:hAnsi="Verdana" w:cs="Arial"/>
          <w:sz w:val="22"/>
          <w:szCs w:val="22"/>
          <w:lang w:eastAsia="en-US"/>
        </w:rPr>
      </w:pPr>
      <w:r>
        <w:rPr>
          <w:rFonts w:ascii="Verdana" w:eastAsia="Calibri" w:hAnsi="Verdana" w:cs="Arial"/>
          <w:sz w:val="22"/>
          <w:szCs w:val="22"/>
          <w:lang w:eastAsia="en-US"/>
        </w:rPr>
        <w:t>V</w:t>
      </w:r>
      <w:r w:rsidR="00273288" w:rsidRPr="00E33DE3">
        <w:rPr>
          <w:rFonts w:ascii="Verdana" w:eastAsia="Calibri" w:hAnsi="Verdana" w:cs="Arial"/>
          <w:sz w:val="22"/>
          <w:szCs w:val="22"/>
          <w:lang w:eastAsia="en-US"/>
        </w:rPr>
        <w:t>erifica</w:t>
      </w:r>
      <w:r>
        <w:rPr>
          <w:rFonts w:ascii="Verdana" w:eastAsia="Calibri" w:hAnsi="Verdana" w:cs="Arial"/>
          <w:sz w:val="22"/>
          <w:szCs w:val="22"/>
          <w:lang w:eastAsia="en-US"/>
        </w:rPr>
        <w:t xml:space="preserve">r </w:t>
      </w:r>
      <w:r w:rsidR="00273288" w:rsidRPr="00E33DE3">
        <w:rPr>
          <w:rFonts w:ascii="Verdana" w:eastAsia="Calibri" w:hAnsi="Verdana" w:cs="Arial"/>
          <w:sz w:val="22"/>
          <w:szCs w:val="22"/>
          <w:lang w:eastAsia="en-US"/>
        </w:rPr>
        <w:t xml:space="preserve">la información relacionada con </w:t>
      </w:r>
      <w:r w:rsidR="00D2063A">
        <w:rPr>
          <w:rFonts w:ascii="Verdana" w:eastAsia="Calibri" w:hAnsi="Verdana" w:cs="Arial"/>
          <w:sz w:val="22"/>
          <w:szCs w:val="22"/>
          <w:lang w:eastAsia="en-US"/>
        </w:rPr>
        <w:t xml:space="preserve">el pago de </w:t>
      </w:r>
      <w:r w:rsidR="00273288" w:rsidRPr="00E33DE3">
        <w:rPr>
          <w:rFonts w:ascii="Verdana" w:eastAsia="Calibri" w:hAnsi="Verdana" w:cs="Arial"/>
          <w:sz w:val="22"/>
          <w:szCs w:val="22"/>
          <w:lang w:eastAsia="en-US"/>
        </w:rPr>
        <w:t xml:space="preserve">prima técnica. Así, la entidad debe </w:t>
      </w:r>
      <w:r w:rsidR="00D2063A">
        <w:rPr>
          <w:rFonts w:ascii="Verdana" w:eastAsia="Calibri" w:hAnsi="Verdana" w:cs="Arial"/>
          <w:sz w:val="22"/>
          <w:szCs w:val="22"/>
          <w:lang w:eastAsia="en-US"/>
        </w:rPr>
        <w:t xml:space="preserve">solicitar el acompañamiento del Ministerio de Educación Nacional para recopilar </w:t>
      </w:r>
      <w:r w:rsidR="00273288" w:rsidRPr="00E33DE3">
        <w:rPr>
          <w:rFonts w:ascii="Verdana" w:eastAsia="Calibri" w:hAnsi="Verdana" w:cs="Arial"/>
          <w:sz w:val="22"/>
          <w:szCs w:val="22"/>
          <w:lang w:eastAsia="en-US"/>
        </w:rPr>
        <w:t xml:space="preserve">la totalidad de los soportes correspondientes de los funcionarios que tienen dicho derecho con el fin de evitar realizar pagos a aquellos que no </w:t>
      </w:r>
      <w:r w:rsidR="001A1022">
        <w:rPr>
          <w:rFonts w:ascii="Verdana" w:eastAsia="Calibri" w:hAnsi="Verdana" w:cs="Arial"/>
          <w:sz w:val="22"/>
          <w:szCs w:val="22"/>
          <w:lang w:eastAsia="en-US"/>
        </w:rPr>
        <w:t xml:space="preserve">lo </w:t>
      </w:r>
      <w:r w:rsidR="00273288" w:rsidRPr="00E33DE3">
        <w:rPr>
          <w:rFonts w:ascii="Verdana" w:eastAsia="Calibri" w:hAnsi="Verdana" w:cs="Arial"/>
          <w:sz w:val="22"/>
          <w:szCs w:val="22"/>
          <w:lang w:eastAsia="en-US"/>
        </w:rPr>
        <w:t>tengan. Para ello, se debe enlistar el total del personal al cual se está pagado la prima técnica, relacionando el nombre del tercero, documento de identificación, cargo que ocupa, valor pagado por este objeto de gasto desde la vigencia 2018, acto administrativo que desde el nivel nacional otorgó la prima técnica, así como el acto administrativo territorial que reconoció el derecho al trabajador, evaluaciones de desempeños realizadas</w:t>
      </w:r>
      <w:r w:rsidR="00D2063A">
        <w:rPr>
          <w:rFonts w:ascii="Verdana" w:eastAsia="Calibri" w:hAnsi="Verdana" w:cs="Arial"/>
          <w:sz w:val="22"/>
          <w:szCs w:val="22"/>
          <w:lang w:eastAsia="en-US"/>
        </w:rPr>
        <w:t>,</w:t>
      </w:r>
      <w:r w:rsidR="00273288" w:rsidRPr="00E33DE3">
        <w:rPr>
          <w:rFonts w:ascii="Verdana" w:eastAsia="Calibri" w:hAnsi="Verdana" w:cs="Arial"/>
          <w:sz w:val="22"/>
          <w:szCs w:val="22"/>
          <w:lang w:eastAsia="en-US"/>
        </w:rPr>
        <w:t xml:space="preserve"> soporte legal o de nómina del pago de esta prima al trabajador desde el nivel nacional</w:t>
      </w:r>
      <w:r w:rsidR="00D2063A">
        <w:rPr>
          <w:rFonts w:ascii="Verdana" w:eastAsia="Calibri" w:hAnsi="Verdana" w:cs="Arial"/>
          <w:sz w:val="22"/>
          <w:szCs w:val="22"/>
          <w:lang w:eastAsia="en-US"/>
        </w:rPr>
        <w:t xml:space="preserve"> y demás documentación pertinente</w:t>
      </w:r>
      <w:r w:rsidR="00273288" w:rsidRPr="00E33DE3">
        <w:rPr>
          <w:rFonts w:ascii="Verdana" w:eastAsia="Calibri" w:hAnsi="Verdana" w:cs="Arial"/>
          <w:sz w:val="22"/>
          <w:szCs w:val="22"/>
          <w:lang w:eastAsia="en-US"/>
        </w:rPr>
        <w:t xml:space="preserve">. Lo anterior, permitirá al municipio </w:t>
      </w:r>
      <w:r w:rsidR="00D2063A">
        <w:rPr>
          <w:rFonts w:ascii="Verdana" w:eastAsia="Calibri" w:hAnsi="Verdana" w:cs="Arial"/>
          <w:sz w:val="22"/>
          <w:szCs w:val="22"/>
          <w:lang w:eastAsia="en-US"/>
        </w:rPr>
        <w:t xml:space="preserve">determinar </w:t>
      </w:r>
      <w:r w:rsidR="00273288" w:rsidRPr="00E33DE3">
        <w:rPr>
          <w:rFonts w:ascii="Verdana" w:eastAsia="Calibri" w:hAnsi="Verdana" w:cs="Arial"/>
          <w:sz w:val="22"/>
          <w:szCs w:val="22"/>
          <w:lang w:eastAsia="en-US"/>
        </w:rPr>
        <w:t xml:space="preserve">la legalidad total o parcial de los pagos efectuados con recursos del SGP-educación por este concepto. </w:t>
      </w:r>
    </w:p>
    <w:p w14:paraId="061FA38C" w14:textId="77777777" w:rsidR="00273288" w:rsidRPr="00E33DE3" w:rsidRDefault="00273288" w:rsidP="00C65B25">
      <w:pPr>
        <w:jc w:val="both"/>
        <w:rPr>
          <w:rFonts w:ascii="Verdana" w:eastAsia="Calibri" w:hAnsi="Verdana" w:cs="Arial"/>
          <w:sz w:val="22"/>
          <w:szCs w:val="22"/>
          <w:lang w:eastAsia="en-US"/>
        </w:rPr>
      </w:pPr>
    </w:p>
    <w:p w14:paraId="06D1F260"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lastRenderedPageBreak/>
        <w:t xml:space="preserve">Revisar el actual proceso de reporte de información en el SECOP, determinando el cargo de la persona encargada de realizarlo y las razones por las cuales no se está cumpliendo a cabalidad con esta tarea, para esto debe presentar un informe donde enliste la problemática junto con las soluciones y/o acciones a llevar a cabo por la administración municipal para superar la problemática, así como el encargado de revisar los expedientes ya existentes en SECOP garantizando la publicación de los documentos faltantes, al igual que los nuevos procesos llevados a cabo por la administración municipal. </w:t>
      </w:r>
    </w:p>
    <w:p w14:paraId="3F4C0F69" w14:textId="77777777" w:rsidR="00273288" w:rsidRPr="00E33DE3" w:rsidRDefault="00273288" w:rsidP="00C65B25">
      <w:pPr>
        <w:pStyle w:val="Prrafodelista"/>
        <w:rPr>
          <w:rFonts w:ascii="Verdana" w:eastAsia="Calibri" w:hAnsi="Verdana" w:cs="Arial"/>
          <w:sz w:val="22"/>
          <w:szCs w:val="22"/>
          <w:lang w:val="es-ES_tradnl" w:eastAsia="en-US"/>
        </w:rPr>
      </w:pPr>
    </w:p>
    <w:p w14:paraId="63F8145F"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Elaborar un plan de acción que permita la ejecución total de los recursos de conectividad y necesidades educativas especiales, el cual debe contener como mínimo: causas que han impedido la ejecución adecuada y oportuna del recurso, soluciones a las mismas (con responsables) y cronograma de planeación contractual que garantice la oportunidad de los procesos (con responsables).</w:t>
      </w:r>
    </w:p>
    <w:p w14:paraId="3F326990" w14:textId="77777777" w:rsidR="00273288" w:rsidRPr="00E33DE3" w:rsidRDefault="00273288" w:rsidP="00C65B25">
      <w:pPr>
        <w:pStyle w:val="Prrafodelista"/>
        <w:ind w:left="284"/>
        <w:jc w:val="both"/>
        <w:rPr>
          <w:rFonts w:ascii="Verdana" w:eastAsia="Calibri" w:hAnsi="Verdana" w:cs="Arial"/>
          <w:sz w:val="22"/>
          <w:szCs w:val="22"/>
          <w:lang w:val="es-ES_tradnl" w:eastAsia="en-US"/>
        </w:rPr>
      </w:pPr>
    </w:p>
    <w:p w14:paraId="0C08861E"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 xml:space="preserve">Expedir oportunamente el decreto de distribución de planta, cumpliendo con los requerimientos establecidos legalmente, verificando previamente la información suministrada en SIMAT y el DUE y garantizando la coherencia entre los diferentes sistemas de información. No se deben presentar errores como: asignación de docentes en I.E. que se encuentren cerradas, asignación de docentes en I.E. que no reportan estudiantes en el DUE, asignación de rectores en centros educativos, etc. Para esto debe presentar informe de las inconsistencias previamente encontradas, sus causas, las soluciones encontradas y como se verificó que la inconsistencia no se ve reflejada en acto administrativo, así como los controles a efectuar de ahora en adelante por parte de la administración para evitar la recurrencia de este hallazgo. </w:t>
      </w:r>
    </w:p>
    <w:p w14:paraId="3E0DE758" w14:textId="77777777" w:rsidR="00273288" w:rsidRPr="00E33DE3" w:rsidRDefault="00273288" w:rsidP="00C65B25">
      <w:pPr>
        <w:pStyle w:val="Prrafodelista"/>
        <w:ind w:left="284"/>
        <w:jc w:val="both"/>
        <w:rPr>
          <w:rFonts w:ascii="Verdana" w:eastAsia="Calibri" w:hAnsi="Verdana" w:cs="Arial"/>
          <w:sz w:val="22"/>
          <w:szCs w:val="22"/>
          <w:lang w:val="es-ES_tradnl" w:eastAsia="en-US"/>
        </w:rPr>
      </w:pPr>
    </w:p>
    <w:p w14:paraId="3670E885"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 xml:space="preserve">Elaborar un informe del estado actual de las acciones legales tomadas por el personal frente al riesgo de contrato realidad, y las respuestas que desde la entidad territorial se han proporcionado, el informe debe incluir el concepto de la oficina jurídica al respecto y el plan de trabajo a aplicar para lo que queda de la vigencia 2023 y las futuras, evitando la reincidencia en la problemática (como se ha venido evidenciando desde el 2018). </w:t>
      </w:r>
    </w:p>
    <w:p w14:paraId="24951015" w14:textId="77777777" w:rsidR="00273288" w:rsidRPr="00E33DE3" w:rsidRDefault="00273288" w:rsidP="00C65B25">
      <w:pPr>
        <w:pStyle w:val="Prrafodelista"/>
        <w:rPr>
          <w:rFonts w:ascii="Verdana" w:eastAsia="Calibri" w:hAnsi="Verdana" w:cs="Arial"/>
          <w:sz w:val="22"/>
          <w:szCs w:val="22"/>
          <w:lang w:val="es-ES_tradnl" w:eastAsia="en-US"/>
        </w:rPr>
      </w:pPr>
    </w:p>
    <w:p w14:paraId="0596C056" w14:textId="77777777" w:rsidR="00273288" w:rsidRPr="00E33DE3" w:rsidRDefault="00273288" w:rsidP="00C65B25">
      <w:pPr>
        <w:pStyle w:val="Prrafodelista"/>
        <w:numPr>
          <w:ilvl w:val="0"/>
          <w:numId w:val="28"/>
        </w:numPr>
        <w:ind w:left="284" w:hanging="284"/>
        <w:jc w:val="both"/>
        <w:rPr>
          <w:rFonts w:ascii="Verdana" w:eastAsia="Calibri" w:hAnsi="Verdana" w:cs="Arial"/>
          <w:sz w:val="22"/>
          <w:szCs w:val="22"/>
          <w:lang w:val="es-ES_tradnl" w:eastAsia="en-US"/>
        </w:rPr>
      </w:pPr>
      <w:r w:rsidRPr="00E33DE3">
        <w:rPr>
          <w:rFonts w:ascii="Verdana" w:eastAsia="Calibri" w:hAnsi="Verdana" w:cs="Arial"/>
          <w:sz w:val="22"/>
          <w:szCs w:val="22"/>
          <w:lang w:eastAsia="en-US"/>
        </w:rPr>
        <w:t xml:space="preserve">Justificar las razones por las cuales la Entidad Territorial está incumpliendo las orientaciones legales frente a la contratación de la prestación del servicio educativo en los siguientes aspectos: superación de la tipología establecida, no cumplimiento del calendario académico y cláusulas contractuales (factor de deserción) que vulneran la normatividad vigente. Adicionalmente, es menester de la administración municipal presentar un informe que demuestre la subsanación de los hallazgos, así como los controles implementados para la no reiteración, estos deben tener la revisión y aval de la oficina de control interno. </w:t>
      </w:r>
    </w:p>
    <w:p w14:paraId="035D5A65" w14:textId="77777777" w:rsidR="00273288" w:rsidRPr="00E33DE3" w:rsidRDefault="00273288" w:rsidP="00C65B25">
      <w:pPr>
        <w:pStyle w:val="Prrafodelista"/>
        <w:ind w:left="284"/>
        <w:jc w:val="both"/>
        <w:rPr>
          <w:rFonts w:ascii="Verdana" w:hAnsi="Verdana" w:cs="Arial"/>
          <w:sz w:val="22"/>
          <w:szCs w:val="22"/>
          <w:lang w:val="es-ES_tradnl"/>
        </w:rPr>
      </w:pPr>
    </w:p>
    <w:p w14:paraId="2F617C2E" w14:textId="77777777" w:rsidR="00273288" w:rsidRPr="00E33DE3" w:rsidRDefault="00273288" w:rsidP="00C65B25">
      <w:pPr>
        <w:pStyle w:val="Prrafodelista"/>
        <w:numPr>
          <w:ilvl w:val="0"/>
          <w:numId w:val="28"/>
        </w:numPr>
        <w:ind w:left="284" w:hanging="284"/>
        <w:jc w:val="both"/>
        <w:rPr>
          <w:rFonts w:ascii="Verdana" w:hAnsi="Verdana" w:cs="Arial"/>
          <w:sz w:val="22"/>
          <w:szCs w:val="22"/>
        </w:rPr>
      </w:pPr>
      <w:r w:rsidRPr="00E33DE3">
        <w:rPr>
          <w:rFonts w:ascii="Verdana" w:eastAsia="Calibri" w:hAnsi="Verdana" w:cs="Arial"/>
          <w:sz w:val="22"/>
          <w:szCs w:val="22"/>
          <w:lang w:eastAsia="en-US"/>
        </w:rPr>
        <w:lastRenderedPageBreak/>
        <w:t>Crear el calendario de contratación de la dotación al personal, en el cual se determinen las fechas clave para la oportuna contratación del servicio, actores involucrados (con sus responsabilidades claramente establecidas) y personal encargado de hacer seguimiento y verificación del cumplimiento del mismo (incluyendo al jefe de la oficina de control interno); junto a este, se debe presentar informe que dé cuenta de los impedimentos presentados para la oportuna entrega de la dotación, causas y las acciones a llevar</w:t>
      </w:r>
      <w:r w:rsidRPr="00E33DE3">
        <w:rPr>
          <w:rFonts w:ascii="Verdana" w:hAnsi="Verdana" w:cs="Arial"/>
          <w:sz w:val="22"/>
          <w:szCs w:val="22"/>
        </w:rPr>
        <w:t xml:space="preserve"> a cabo por parte de la administración para subsanarlas. </w:t>
      </w:r>
    </w:p>
    <w:p w14:paraId="49E5BFFC" w14:textId="77777777" w:rsidR="00273288" w:rsidRPr="00E33DE3" w:rsidRDefault="00273288" w:rsidP="00C65B25">
      <w:pPr>
        <w:pStyle w:val="Prrafodelista"/>
        <w:jc w:val="both"/>
        <w:rPr>
          <w:rFonts w:ascii="Verdana" w:hAnsi="Verdana" w:cs="Arial"/>
          <w:b/>
          <w:bCs/>
          <w:sz w:val="16"/>
          <w:szCs w:val="16"/>
        </w:rPr>
      </w:pPr>
    </w:p>
    <w:p w14:paraId="0E030722" w14:textId="77777777" w:rsidR="00273288" w:rsidRPr="00E33DE3" w:rsidRDefault="00273288" w:rsidP="00C65B25">
      <w:pPr>
        <w:jc w:val="both"/>
        <w:rPr>
          <w:rFonts w:ascii="Verdana" w:hAnsi="Verdana" w:cs="Arial"/>
          <w:b/>
          <w:bCs/>
          <w:sz w:val="16"/>
          <w:szCs w:val="16"/>
        </w:rPr>
      </w:pPr>
    </w:p>
    <w:p w14:paraId="25355C00" w14:textId="77777777" w:rsidR="00273288" w:rsidRPr="00E33DE3" w:rsidRDefault="00273288" w:rsidP="00C65B25">
      <w:pPr>
        <w:jc w:val="both"/>
        <w:rPr>
          <w:rFonts w:ascii="Verdana" w:hAnsi="Verdana" w:cs="Arial"/>
          <w:b/>
          <w:bCs/>
          <w:sz w:val="16"/>
          <w:szCs w:val="16"/>
        </w:rPr>
      </w:pPr>
      <w:r w:rsidRPr="00E33DE3">
        <w:rPr>
          <w:rFonts w:ascii="Verdana" w:hAnsi="Verdana" w:cs="Arial"/>
          <w:b/>
          <w:bCs/>
          <w:sz w:val="16"/>
          <w:szCs w:val="16"/>
        </w:rPr>
        <w:t xml:space="preserve">Aprobó: Fernando Olivera. </w:t>
      </w:r>
    </w:p>
    <w:p w14:paraId="0B172BC4" w14:textId="77777777" w:rsidR="00273288" w:rsidRPr="00E33DE3" w:rsidRDefault="00273288" w:rsidP="00C65B25">
      <w:pPr>
        <w:jc w:val="both"/>
        <w:rPr>
          <w:rFonts w:ascii="Verdana" w:hAnsi="Verdana" w:cs="Arial"/>
          <w:b/>
          <w:bCs/>
          <w:sz w:val="16"/>
          <w:szCs w:val="16"/>
        </w:rPr>
      </w:pPr>
      <w:r w:rsidRPr="00E33DE3">
        <w:rPr>
          <w:rFonts w:ascii="Verdana" w:hAnsi="Verdana" w:cs="Arial"/>
          <w:b/>
          <w:bCs/>
          <w:sz w:val="16"/>
          <w:szCs w:val="16"/>
        </w:rPr>
        <w:t xml:space="preserve">Revisión Jurídica: Carlos Ariza. </w:t>
      </w:r>
    </w:p>
    <w:p w14:paraId="12F6C7C9" w14:textId="77777777" w:rsidR="00273288" w:rsidRPr="00E33DE3" w:rsidRDefault="00273288" w:rsidP="00C65B25">
      <w:pPr>
        <w:jc w:val="both"/>
        <w:rPr>
          <w:rFonts w:ascii="Verdana" w:hAnsi="Verdana" w:cs="Arial"/>
          <w:b/>
          <w:bCs/>
          <w:sz w:val="16"/>
          <w:szCs w:val="16"/>
        </w:rPr>
      </w:pPr>
      <w:r w:rsidRPr="00E33DE3">
        <w:rPr>
          <w:rFonts w:ascii="Verdana" w:hAnsi="Verdana" w:cs="Arial"/>
          <w:b/>
          <w:bCs/>
          <w:sz w:val="16"/>
          <w:szCs w:val="16"/>
        </w:rPr>
        <w:t>Revisión Técnica: Liz Ángela Rey.</w:t>
      </w:r>
    </w:p>
    <w:p w14:paraId="205B2BBC" w14:textId="77777777" w:rsidR="00273288" w:rsidRPr="00E33DE3" w:rsidRDefault="00273288" w:rsidP="00C65B25">
      <w:pPr>
        <w:jc w:val="both"/>
        <w:rPr>
          <w:rFonts w:ascii="Verdana" w:hAnsi="Verdana" w:cs="Arial"/>
          <w:b/>
          <w:bCs/>
          <w:sz w:val="16"/>
          <w:szCs w:val="16"/>
        </w:rPr>
      </w:pPr>
      <w:r w:rsidRPr="00E33DE3">
        <w:rPr>
          <w:rFonts w:ascii="Verdana" w:hAnsi="Verdana" w:cs="Arial"/>
          <w:b/>
          <w:bCs/>
          <w:sz w:val="16"/>
          <w:szCs w:val="16"/>
        </w:rPr>
        <w:t xml:space="preserve">Revisado por: David Retamoso y Andrea Camacho. </w:t>
      </w:r>
    </w:p>
    <w:p w14:paraId="64A98A3C" w14:textId="77777777" w:rsidR="00273288" w:rsidRPr="00E33DE3" w:rsidRDefault="00273288" w:rsidP="00C65B25">
      <w:pPr>
        <w:jc w:val="both"/>
        <w:rPr>
          <w:rFonts w:ascii="Verdana" w:hAnsi="Verdana" w:cs="Arial"/>
          <w:b/>
          <w:bCs/>
          <w:sz w:val="16"/>
          <w:szCs w:val="16"/>
        </w:rPr>
      </w:pPr>
      <w:r w:rsidRPr="00E33DE3">
        <w:rPr>
          <w:rFonts w:ascii="Verdana" w:hAnsi="Verdana" w:cs="Arial"/>
          <w:b/>
          <w:bCs/>
          <w:sz w:val="16"/>
          <w:szCs w:val="16"/>
        </w:rPr>
        <w:t xml:space="preserve">Elaboró: Yesika Sánchez. </w:t>
      </w:r>
    </w:p>
    <w:p w14:paraId="57290FD0" w14:textId="77777777" w:rsidR="00273288" w:rsidRPr="00E33DE3" w:rsidRDefault="00273288" w:rsidP="00C65B25">
      <w:pPr>
        <w:rPr>
          <w:rFonts w:ascii="Verdana" w:hAnsi="Verdana"/>
          <w:b/>
          <w:sz w:val="22"/>
          <w:szCs w:val="22"/>
        </w:rPr>
      </w:pPr>
    </w:p>
    <w:sectPr w:rsidR="00273288" w:rsidRPr="00E33DE3" w:rsidSect="0081742D">
      <w:headerReference w:type="default" r:id="rId15"/>
      <w:footerReference w:type="default" r:id="rId16"/>
      <w:headerReference w:type="first" r:id="rId17"/>
      <w:footerReference w:type="first" r:id="rId18"/>
      <w:pgSz w:w="12240" w:h="15840" w:code="1"/>
      <w:pgMar w:top="1985" w:right="1701" w:bottom="1701" w:left="1701"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AA1B7" w14:textId="77777777" w:rsidR="00987B1D" w:rsidRDefault="00987B1D" w:rsidP="00F71345">
      <w:r>
        <w:separator/>
      </w:r>
    </w:p>
  </w:endnote>
  <w:endnote w:type="continuationSeparator" w:id="0">
    <w:p w14:paraId="207956EF" w14:textId="77777777" w:rsidR="00987B1D" w:rsidRDefault="00987B1D"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UI"/>
    <w:charset w:val="80"/>
    <w:family w:val="auto"/>
    <w:pitch w:val="variable"/>
    <w:sig w:usb0="00000001" w:usb1="08070000" w:usb2="00000010" w:usb3="00000000" w:csb0="00020000" w:csb1="00000000"/>
  </w:font>
  <w:font w:name="Futura Std Book">
    <w:altName w:val="Gadugi"/>
    <w:panose1 w:val="00000000000000000000"/>
    <w:charset w:val="00"/>
    <w:family w:val="swiss"/>
    <w:notTrueType/>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A6EB5" w14:textId="77777777" w:rsidR="00634847" w:rsidRDefault="00B3428E">
    <w:pPr>
      <w:pStyle w:val="Piedepgina"/>
    </w:pPr>
    <w:r>
      <w:rPr>
        <w:noProof/>
        <w:sz w:val="24"/>
        <w:szCs w:val="24"/>
        <w:lang w:eastAsia="es-CO"/>
      </w:rPr>
      <w:pict w14:anchorId="294857A9">
        <v:shapetype id="_x0000_t202" coordsize="21600,21600" o:spt="202" path="m,l,21600r21600,l21600,xe">
          <v:stroke joinstyle="miter"/>
          <v:path gradientshapeok="t" o:connecttype="rect"/>
        </v:shapetype>
        <v:shape id="Cuadro de texto 4" o:spid="_x0000_s1026" type="#_x0000_t202" style="position:absolute;margin-left:-6pt;margin-top:-58.5pt;width:474.75pt;height:96.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ed="f" stroked="f" strokeweight=".5pt">
          <v:textbox>
            <w:txbxContent>
              <w:p w14:paraId="006FEF05" w14:textId="77777777" w:rsidR="00634847" w:rsidRDefault="00634847" w:rsidP="00634847">
                <w:pPr>
                  <w:spacing w:line="276" w:lineRule="auto"/>
                  <w:jc w:val="both"/>
                  <w:rPr>
                    <w:rFonts w:ascii="Helvetica" w:hAnsi="Helvetica"/>
                    <w:sz w:val="20"/>
                    <w:szCs w:val="20"/>
                  </w:rPr>
                </w:pPr>
                <w:r>
                  <w:rPr>
                    <w:rFonts w:ascii="Helvetica" w:hAnsi="Helvetica"/>
                    <w:sz w:val="20"/>
                    <w:szCs w:val="20"/>
                  </w:rPr>
                  <w:t>________________________________________________________________________</w:t>
                </w:r>
              </w:p>
              <w:p w14:paraId="61314EFB" w14:textId="77777777" w:rsidR="00634847" w:rsidRDefault="00634847" w:rsidP="00634847">
                <w:pPr>
                  <w:spacing w:line="276" w:lineRule="auto"/>
                  <w:jc w:val="both"/>
                  <w:rPr>
                    <w:rFonts w:ascii="Helvetica" w:hAnsi="Helvetica"/>
                    <w:b/>
                    <w:bCs/>
                    <w:sz w:val="20"/>
                    <w:szCs w:val="20"/>
                  </w:rPr>
                </w:pPr>
                <w:r>
                  <w:rPr>
                    <w:rFonts w:ascii="Helvetica" w:hAnsi="Helvetica"/>
                    <w:b/>
                    <w:bCs/>
                    <w:sz w:val="20"/>
                    <w:szCs w:val="20"/>
                  </w:rPr>
                  <w:t>Ministerio de Hacienda y Crédito Público</w:t>
                </w:r>
              </w:p>
              <w:p w14:paraId="3BAFEDEB" w14:textId="77777777" w:rsidR="00634847" w:rsidRDefault="00634847" w:rsidP="00634847">
                <w:pPr>
                  <w:spacing w:line="276" w:lineRule="auto"/>
                  <w:jc w:val="both"/>
                  <w:rPr>
                    <w:rFonts w:ascii="Helvetica" w:hAnsi="Helvetica"/>
                    <w:sz w:val="20"/>
                    <w:szCs w:val="20"/>
                  </w:rPr>
                </w:pPr>
                <w:r>
                  <w:rPr>
                    <w:rFonts w:ascii="Helvetica" w:hAnsi="Helvetica"/>
                    <w:sz w:val="20"/>
                    <w:szCs w:val="20"/>
                  </w:rPr>
                  <w:t>Dirección: Carrera 8 No. 6C- 38, Bogotá D.C., Colombia</w:t>
                </w:r>
              </w:p>
              <w:p w14:paraId="6747238A" w14:textId="77777777" w:rsidR="00634847" w:rsidRDefault="00634847" w:rsidP="00634847">
                <w:pPr>
                  <w:spacing w:line="276" w:lineRule="auto"/>
                  <w:jc w:val="both"/>
                  <w:rPr>
                    <w:rFonts w:ascii="Helvetica" w:hAnsi="Helvetica"/>
                    <w:sz w:val="20"/>
                    <w:szCs w:val="20"/>
                  </w:rPr>
                </w:pPr>
                <w:r>
                  <w:rPr>
                    <w:rFonts w:ascii="Helvetica" w:hAnsi="Helvetica"/>
                    <w:sz w:val="20"/>
                    <w:szCs w:val="20"/>
                  </w:rPr>
                  <w:t>Conmutador: (+57) 601 3811700 - 602 1270</w:t>
                </w:r>
              </w:p>
              <w:p w14:paraId="2F2B56CD" w14:textId="77777777" w:rsidR="00634847" w:rsidRDefault="00634847" w:rsidP="00634847">
                <w:pPr>
                  <w:spacing w:line="276" w:lineRule="auto"/>
                  <w:jc w:val="both"/>
                  <w:rPr>
                    <w:rFonts w:ascii="Helvetica" w:hAnsi="Helvetica"/>
                    <w:sz w:val="20"/>
                    <w:szCs w:val="20"/>
                  </w:rPr>
                </w:pPr>
                <w:r>
                  <w:rPr>
                    <w:rFonts w:ascii="Helvetica" w:hAnsi="Helvetica"/>
                    <w:sz w:val="20"/>
                    <w:szCs w:val="20"/>
                  </w:rPr>
                  <w:t>Línea Gratuita: (+57) 01 8000 910071</w:t>
                </w:r>
              </w:p>
              <w:p w14:paraId="2CADBF01" w14:textId="77777777" w:rsidR="00634847" w:rsidRDefault="00634847" w:rsidP="00634847">
                <w:pPr>
                  <w:spacing w:line="276" w:lineRule="auto"/>
                  <w:jc w:val="both"/>
                  <w:rPr>
                    <w:rFonts w:ascii="Helvetica" w:hAnsi="Helvetica"/>
                    <w:sz w:val="20"/>
                    <w:szCs w:val="20"/>
                  </w:rP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9B0E4" w14:textId="77777777" w:rsidR="00EA3190" w:rsidRDefault="00B3428E">
    <w:pPr>
      <w:pStyle w:val="Piedepgina"/>
    </w:pPr>
    <w:r>
      <w:rPr>
        <w:noProof/>
        <w:sz w:val="24"/>
        <w:szCs w:val="24"/>
        <w:lang w:eastAsia="es-CO"/>
      </w:rPr>
      <w:pict w14:anchorId="6143C6B6">
        <v:shapetype id="_x0000_t202" coordsize="21600,21600" o:spt="202" path="m,l,21600r21600,l21600,xe">
          <v:stroke joinstyle="miter"/>
          <v:path gradientshapeok="t" o:connecttype="rect"/>
        </v:shapetype>
        <v:shape id="Cuadro de texto 3" o:spid="_x0000_s1027" type="#_x0000_t202" style="position:absolute;margin-left:-4.5pt;margin-top:-58.5pt;width:474.75pt;height:9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ed="f" stroked="f" strokeweight=".5pt">
          <v:textbox>
            <w:txbxContent>
              <w:p w14:paraId="373E9EF2" w14:textId="77777777" w:rsidR="00EA3190" w:rsidRDefault="00EA3190" w:rsidP="00EA3190">
                <w:pPr>
                  <w:spacing w:line="276" w:lineRule="auto"/>
                  <w:jc w:val="both"/>
                  <w:rPr>
                    <w:rFonts w:ascii="Helvetica" w:hAnsi="Helvetica"/>
                    <w:sz w:val="20"/>
                    <w:szCs w:val="20"/>
                  </w:rPr>
                </w:pPr>
                <w:r>
                  <w:rPr>
                    <w:rFonts w:ascii="Helvetica" w:hAnsi="Helvetica"/>
                    <w:sz w:val="20"/>
                    <w:szCs w:val="20"/>
                  </w:rPr>
                  <w:t>________________________________________________________________________</w:t>
                </w:r>
              </w:p>
              <w:p w14:paraId="78646E52" w14:textId="77777777" w:rsidR="00EA3190" w:rsidRDefault="00EA3190" w:rsidP="00EA3190">
                <w:pPr>
                  <w:spacing w:line="276" w:lineRule="auto"/>
                  <w:jc w:val="both"/>
                  <w:rPr>
                    <w:rFonts w:ascii="Helvetica" w:hAnsi="Helvetica"/>
                    <w:b/>
                    <w:bCs/>
                    <w:sz w:val="20"/>
                    <w:szCs w:val="20"/>
                  </w:rPr>
                </w:pPr>
                <w:r>
                  <w:rPr>
                    <w:rFonts w:ascii="Helvetica" w:hAnsi="Helvetica"/>
                    <w:b/>
                    <w:bCs/>
                    <w:sz w:val="20"/>
                    <w:szCs w:val="20"/>
                  </w:rPr>
                  <w:t>Ministerio de Hacienda y Crédito Público</w:t>
                </w:r>
              </w:p>
              <w:p w14:paraId="3FE939C6" w14:textId="77777777" w:rsidR="00EA3190" w:rsidRDefault="00EA3190" w:rsidP="00EA3190">
                <w:pPr>
                  <w:spacing w:line="276" w:lineRule="auto"/>
                  <w:jc w:val="both"/>
                  <w:rPr>
                    <w:rFonts w:ascii="Helvetica" w:hAnsi="Helvetica"/>
                    <w:sz w:val="20"/>
                    <w:szCs w:val="20"/>
                  </w:rPr>
                </w:pPr>
                <w:r>
                  <w:rPr>
                    <w:rFonts w:ascii="Helvetica" w:hAnsi="Helvetica"/>
                    <w:sz w:val="20"/>
                    <w:szCs w:val="20"/>
                  </w:rPr>
                  <w:t>Dirección: Carrera 8 No. 6C- 38, Bogotá D.C., Colombia</w:t>
                </w:r>
              </w:p>
              <w:p w14:paraId="715A2FAD" w14:textId="77777777" w:rsidR="00EA3190" w:rsidRDefault="00EA3190" w:rsidP="00EA3190">
                <w:pPr>
                  <w:spacing w:line="276" w:lineRule="auto"/>
                  <w:jc w:val="both"/>
                  <w:rPr>
                    <w:rFonts w:ascii="Helvetica" w:hAnsi="Helvetica"/>
                    <w:sz w:val="20"/>
                    <w:szCs w:val="20"/>
                  </w:rPr>
                </w:pPr>
                <w:r>
                  <w:rPr>
                    <w:rFonts w:ascii="Helvetica" w:hAnsi="Helvetica"/>
                    <w:sz w:val="20"/>
                    <w:szCs w:val="20"/>
                  </w:rPr>
                  <w:t>Conmutador: (+57) 601 3811700 - 602 1270</w:t>
                </w:r>
              </w:p>
              <w:p w14:paraId="2BE3FC61" w14:textId="77777777" w:rsidR="00EA3190" w:rsidRDefault="00EA3190" w:rsidP="00EA3190">
                <w:pPr>
                  <w:spacing w:line="276" w:lineRule="auto"/>
                  <w:jc w:val="both"/>
                  <w:rPr>
                    <w:rFonts w:ascii="Helvetica" w:hAnsi="Helvetica"/>
                    <w:sz w:val="20"/>
                    <w:szCs w:val="20"/>
                  </w:rPr>
                </w:pPr>
                <w:r>
                  <w:rPr>
                    <w:rFonts w:ascii="Helvetica" w:hAnsi="Helvetica"/>
                    <w:sz w:val="20"/>
                    <w:szCs w:val="20"/>
                  </w:rPr>
                  <w:t>Línea Gratuita: (+57) 01 8000 910071</w:t>
                </w:r>
              </w:p>
              <w:p w14:paraId="6455EAE1" w14:textId="77777777" w:rsidR="00EA3190" w:rsidRDefault="00EA3190" w:rsidP="00EA3190">
                <w:pPr>
                  <w:spacing w:line="276" w:lineRule="auto"/>
                  <w:jc w:val="both"/>
                  <w:rPr>
                    <w:rFonts w:ascii="Helvetica" w:hAnsi="Helvetica"/>
                    <w:sz w:val="20"/>
                    <w:szCs w:val="20"/>
                  </w:rP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506E2" w14:textId="77777777" w:rsidR="00987B1D" w:rsidRDefault="00987B1D" w:rsidP="00F71345">
      <w:r>
        <w:separator/>
      </w:r>
    </w:p>
  </w:footnote>
  <w:footnote w:type="continuationSeparator" w:id="0">
    <w:p w14:paraId="0388DFF8" w14:textId="77777777" w:rsidR="00987B1D" w:rsidRDefault="00987B1D" w:rsidP="00F71345">
      <w:r>
        <w:continuationSeparator/>
      </w:r>
    </w:p>
  </w:footnote>
  <w:footnote w:id="1">
    <w:p w14:paraId="002B15C1" w14:textId="77777777" w:rsidR="00273288" w:rsidRDefault="00273288" w:rsidP="00273288">
      <w:pPr>
        <w:pStyle w:val="Textonotapie"/>
        <w:jc w:val="both"/>
        <w:rPr>
          <w:sz w:val="18"/>
        </w:rPr>
      </w:pPr>
      <w:r>
        <w:rPr>
          <w:rStyle w:val="Refdenotaalpie"/>
          <w:sz w:val="18"/>
        </w:rPr>
        <w:footnoteRef/>
      </w:r>
      <w:r>
        <w:rPr>
          <w:sz w:val="18"/>
        </w:rPr>
        <w:t xml:space="preserve"> </w:t>
      </w:r>
      <w:r>
        <w:rPr>
          <w:rFonts w:ascii="Arial" w:hAnsi="Arial" w:cs="Arial"/>
          <w:sz w:val="16"/>
        </w:rPr>
        <w:t xml:space="preserve">Artículo 18. Decreto 1567 de 1998. </w:t>
      </w:r>
      <w:r>
        <w:rPr>
          <w:rFonts w:ascii="Arial" w:hAnsi="Arial" w:cs="Arial"/>
          <w:i/>
          <w:iCs/>
          <w:sz w:val="16"/>
        </w:rPr>
        <w:t>“A través de los programas de bienestar social y de los programas de incentivos que formulen y ejecuten las entidades, se pondrá en funcionamiento el sistema de estímulos para los empleados”.</w:t>
      </w:r>
    </w:p>
  </w:footnote>
  <w:footnote w:id="2">
    <w:p w14:paraId="0FEE343B" w14:textId="77777777" w:rsidR="00273288" w:rsidRDefault="00273288" w:rsidP="00273288">
      <w:pPr>
        <w:pStyle w:val="Textonotapie"/>
        <w:jc w:val="both"/>
        <w:rPr>
          <w:sz w:val="18"/>
        </w:rPr>
      </w:pPr>
      <w:r>
        <w:rPr>
          <w:rStyle w:val="Refdenotaalpie"/>
          <w:sz w:val="18"/>
        </w:rPr>
        <w:footnoteRef/>
      </w:r>
      <w:r>
        <w:rPr>
          <w:sz w:val="18"/>
        </w:rPr>
        <w:t xml:space="preserve"> </w:t>
      </w:r>
      <w:r>
        <w:rPr>
          <w:rFonts w:ascii="Arial" w:hAnsi="Arial" w:cs="Arial"/>
          <w:sz w:val="16"/>
        </w:rPr>
        <w:t xml:space="preserve">Artículo 20. Ibidem. </w:t>
      </w:r>
      <w:r>
        <w:rPr>
          <w:rFonts w:ascii="Arial" w:hAnsi="Arial" w:cs="Arial"/>
          <w:i/>
          <w:iCs/>
          <w:sz w:val="16"/>
        </w:rPr>
        <w:t>“Los programas de bienestar social deben organizarse a partir de las iniciativas de los servidores públicos como procesos permanentes orientados a crear, mantener y mejorar las condiciones que favorezcan el desarrollo integral del empleado, el mejoramiento de su nivel de vida y el de su familia; así mismo deben permitir elevar los niveles de satisfacción, eficacia, eficiencia, efectividad e identificación del empleado con el servicio de la entidad en la cual labora. PARAGRAFO. Tendrán derecho a beneficiarse de los programas de bienestar social todos los empleados de la entidad y sus familias”.</w:t>
      </w:r>
    </w:p>
  </w:footnote>
  <w:footnote w:id="3">
    <w:p w14:paraId="405667DE" w14:textId="77777777" w:rsidR="00273288" w:rsidRDefault="00273288" w:rsidP="00273288">
      <w:pPr>
        <w:pStyle w:val="Textonotapie"/>
        <w:rPr>
          <w:rFonts w:ascii="Arial" w:hAnsi="Arial" w:cs="Arial"/>
          <w:lang w:val="es-CO"/>
        </w:rPr>
      </w:pPr>
      <w:r>
        <w:rPr>
          <w:rStyle w:val="Refdenotaalpie"/>
          <w:rFonts w:ascii="Arial" w:hAnsi="Arial" w:cs="Arial"/>
          <w:sz w:val="18"/>
        </w:rPr>
        <w:footnoteRef/>
      </w:r>
      <w:r>
        <w:rPr>
          <w:rFonts w:ascii="Arial" w:hAnsi="Arial" w:cs="Arial"/>
          <w:sz w:val="18"/>
        </w:rPr>
        <w:t xml:space="preserve"> </w:t>
      </w:r>
      <w:r>
        <w:rPr>
          <w:rFonts w:ascii="Arial" w:hAnsi="Arial" w:cs="Arial"/>
          <w:sz w:val="16"/>
        </w:rPr>
        <w:t>* Los contratos contemplados en la tabla desde la vigencia 2018 a la 2019, son financiados con recursos SGP-educación y FONPET.</w:t>
      </w:r>
    </w:p>
  </w:footnote>
  <w:footnote w:id="4">
    <w:p w14:paraId="4DDB8CD7" w14:textId="77777777" w:rsidR="00273288" w:rsidRDefault="00273288" w:rsidP="00273288">
      <w:pPr>
        <w:pStyle w:val="Textonotapie"/>
        <w:jc w:val="both"/>
        <w:rPr>
          <w:lang w:val="es-CO"/>
        </w:rPr>
      </w:pPr>
      <w:r>
        <w:rPr>
          <w:rStyle w:val="Refdenotaalpie"/>
        </w:rPr>
        <w:footnoteRef/>
      </w:r>
      <w:r>
        <w:t xml:space="preserve"> </w:t>
      </w:r>
      <w:r>
        <w:rPr>
          <w:rFonts w:ascii="Arial" w:hAnsi="Arial" w:cs="Arial"/>
          <w:sz w:val="16"/>
          <w:szCs w:val="16"/>
          <w:lang w:val="es-CO"/>
        </w:rPr>
        <w:t xml:space="preserve">Los contratos llevados a cabo con la </w:t>
      </w:r>
      <w:r>
        <w:rPr>
          <w:rFonts w:ascii="Arial" w:eastAsia="Times New Roman" w:hAnsi="Arial" w:cs="Arial"/>
          <w:color w:val="000000"/>
          <w:sz w:val="16"/>
          <w:szCs w:val="16"/>
          <w:lang w:val="es-CO" w:eastAsia="es-CO"/>
        </w:rPr>
        <w:t>Fundación Obra Social El Carmen atendieron estudiantes con necesidades educativas especiales.</w:t>
      </w:r>
      <w:r>
        <w:rPr>
          <w:rFonts w:ascii="Arial" w:eastAsia="Times New Roman" w:hAnsi="Arial" w:cs="Arial"/>
          <w:color w:val="000000"/>
          <w:sz w:val="18"/>
          <w:szCs w:val="18"/>
          <w:lang w:val="es-CO" w:eastAsia="es-CO"/>
        </w:rPr>
        <w:t xml:space="preserve"> </w:t>
      </w:r>
    </w:p>
  </w:footnote>
  <w:footnote w:id="5">
    <w:p w14:paraId="7AB6F44F" w14:textId="77777777" w:rsidR="00273288" w:rsidRDefault="00273288" w:rsidP="00273288">
      <w:pPr>
        <w:pStyle w:val="Textonotapie"/>
        <w:jc w:val="both"/>
        <w:rPr>
          <w:rFonts w:ascii="Arial Narrow" w:hAnsi="Arial Narrow"/>
        </w:rPr>
      </w:pPr>
      <w:r>
        <w:rPr>
          <w:rStyle w:val="Refdenotaalpie"/>
          <w:rFonts w:ascii="Arial Narrow" w:hAnsi="Arial Narrow"/>
        </w:rPr>
        <w:footnoteRef/>
      </w:r>
      <w:r>
        <w:rPr>
          <w:rFonts w:ascii="Arial Narrow" w:hAnsi="Arial Narrow"/>
        </w:rPr>
        <w:t xml:space="preserve"> El valor per cápita se calcula dividiendo el valor total del contrato entre el total de estudiantes atendidos según el contrato.</w:t>
      </w:r>
    </w:p>
  </w:footnote>
  <w:footnote w:id="6">
    <w:p w14:paraId="57C78398" w14:textId="77777777" w:rsidR="00273288" w:rsidRDefault="00273288" w:rsidP="00273288">
      <w:pPr>
        <w:pStyle w:val="Textonotapie"/>
        <w:rPr>
          <w:rFonts w:ascii="Arial" w:hAnsi="Arial" w:cs="Arial"/>
          <w:sz w:val="16"/>
          <w:szCs w:val="16"/>
          <w:lang w:val="es-CO"/>
        </w:rPr>
      </w:pPr>
      <w:r>
        <w:rPr>
          <w:rStyle w:val="Refdenotaalpie"/>
          <w:rFonts w:ascii="Arial" w:hAnsi="Arial" w:cs="Arial"/>
          <w:sz w:val="16"/>
          <w:szCs w:val="16"/>
        </w:rPr>
        <w:footnoteRef/>
      </w:r>
      <w:r>
        <w:rPr>
          <w:rFonts w:ascii="Arial" w:hAnsi="Arial" w:cs="Arial"/>
          <w:sz w:val="16"/>
          <w:szCs w:val="16"/>
        </w:rPr>
        <w:t xml:space="preserve"> https://www.contratos.gov.co/consultas/detalleProceso.do?numConstancia=18-12-8816497</w:t>
      </w:r>
    </w:p>
  </w:footnote>
  <w:footnote w:id="7">
    <w:p w14:paraId="1C1032AA" w14:textId="77777777" w:rsidR="00273288" w:rsidRDefault="00273288" w:rsidP="00273288">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https://www.contratos.gov.co/consultas/detalleProceso.do?numConstancia=18-12-7654847</w:t>
      </w:r>
    </w:p>
  </w:footnote>
  <w:footnote w:id="8">
    <w:p w14:paraId="3474726F" w14:textId="77777777" w:rsidR="00273288" w:rsidRDefault="00273288" w:rsidP="00273288">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https://www.contratos.gov.co/consultas/detalleProceso.do?numConstancia=18-13-8090225</w:t>
      </w:r>
    </w:p>
  </w:footnote>
  <w:footnote w:id="9">
    <w:p w14:paraId="7256DB85" w14:textId="77777777" w:rsidR="00273288" w:rsidRDefault="00273288" w:rsidP="00273288">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https://www.contratos.gov.co/consultas/detalleProceso.do?numConstancia=19-12-9007521</w:t>
      </w:r>
    </w:p>
  </w:footnote>
  <w:footnote w:id="10">
    <w:p w14:paraId="09307D4C" w14:textId="77777777" w:rsidR="00273288" w:rsidRDefault="00273288" w:rsidP="00273288">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https://www.contratos.gov.co/consultas/detalleProceso.do?numConstancia=19-12-9141483</w:t>
      </w:r>
    </w:p>
  </w:footnote>
  <w:footnote w:id="11">
    <w:p w14:paraId="24438961" w14:textId="77777777" w:rsidR="00273288" w:rsidRDefault="00273288" w:rsidP="00273288">
      <w:pPr>
        <w:pStyle w:val="Textonotapie"/>
        <w:rPr>
          <w:rFonts w:asciiTheme="minorHAnsi" w:hAnsiTheme="minorHAnsi" w:cstheme="minorBidi"/>
        </w:rPr>
      </w:pPr>
      <w:r>
        <w:rPr>
          <w:rStyle w:val="Refdenotaalpie"/>
          <w:rFonts w:ascii="Arial" w:hAnsi="Arial" w:cs="Arial"/>
          <w:sz w:val="16"/>
          <w:szCs w:val="16"/>
        </w:rPr>
        <w:footnoteRef/>
      </w:r>
      <w:r>
        <w:rPr>
          <w:rFonts w:ascii="Arial" w:hAnsi="Arial" w:cs="Arial"/>
          <w:sz w:val="16"/>
          <w:szCs w:val="16"/>
        </w:rPr>
        <w:t xml:space="preserve"> https://www.contratos.gov.co/consultas/detalleProceso.do?numConstancia=19-12-8853053</w:t>
      </w:r>
    </w:p>
  </w:footnote>
  <w:footnote w:id="12">
    <w:p w14:paraId="4DFA0DA1" w14:textId="77777777" w:rsidR="00273288" w:rsidRDefault="00273288" w:rsidP="00273288">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https://www.contratos.gov.co/consultas/detalleProceso.do?numConstancia=20-12-10627423</w:t>
      </w:r>
    </w:p>
  </w:footnote>
  <w:footnote w:id="13">
    <w:p w14:paraId="0CE9A698" w14:textId="77777777" w:rsidR="00273288" w:rsidRDefault="00273288" w:rsidP="00273288">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https://www.contratos.gov.co/consultas/detalleProceso.do?numConstancia=20-12-10360607</w:t>
      </w:r>
    </w:p>
  </w:footnote>
  <w:footnote w:id="14">
    <w:p w14:paraId="7AA8C52B" w14:textId="77777777" w:rsidR="00273288" w:rsidRDefault="00273288" w:rsidP="00273288">
      <w:pPr>
        <w:pStyle w:val="Textonotapie"/>
        <w:rPr>
          <w:rFonts w:asciiTheme="minorHAnsi" w:hAnsiTheme="minorHAnsi" w:cstheme="minorBidi"/>
        </w:rPr>
      </w:pPr>
      <w:r>
        <w:rPr>
          <w:rStyle w:val="Refdenotaalpie"/>
          <w:rFonts w:ascii="Arial" w:hAnsi="Arial" w:cs="Arial"/>
          <w:sz w:val="16"/>
          <w:szCs w:val="16"/>
        </w:rPr>
        <w:footnoteRef/>
      </w:r>
      <w:r>
        <w:rPr>
          <w:rFonts w:ascii="Arial" w:hAnsi="Arial" w:cs="Arial"/>
          <w:sz w:val="16"/>
          <w:szCs w:val="16"/>
        </w:rPr>
        <w:t xml:space="preserve"> https://www.contratos.gov.co/consultas/detalleProceso.do?numConstancia=20-12-10470287</w:t>
      </w:r>
    </w:p>
  </w:footnote>
  <w:footnote w:id="15">
    <w:p w14:paraId="37A10C6A" w14:textId="77777777" w:rsidR="00273288" w:rsidRDefault="00273288" w:rsidP="00273288">
      <w:pPr>
        <w:pStyle w:val="Textonotapie"/>
      </w:pPr>
      <w:r>
        <w:rPr>
          <w:rStyle w:val="Refdenotaalpie"/>
        </w:rPr>
        <w:footnoteRef/>
      </w:r>
      <w:r>
        <w:rPr>
          <w:rFonts w:ascii="Arial" w:hAnsi="Arial" w:cs="Arial"/>
          <w:sz w:val="16"/>
          <w:szCs w:val="16"/>
        </w:rPr>
        <w:t>https://community.secop.gov.co/Public/Tendering/OpportunityDetail/Index?noticeUID=CO1.NTC.1665896&amp;isFromPublicArea=True&amp;isModal=true&amp;asPopupView=true</w:t>
      </w:r>
    </w:p>
  </w:footnote>
  <w:footnote w:id="16">
    <w:p w14:paraId="386619D9" w14:textId="77777777" w:rsidR="00273288" w:rsidRDefault="00273288" w:rsidP="00273288">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https://community.secop.gov.co/Public/Tendering/OpportunityDetail/Index?noticeUID=CO1.NTC.1666073&amp;isFromPublicArea=True&amp;isModal=true&amp;asPopupView=true</w:t>
      </w:r>
    </w:p>
  </w:footnote>
  <w:footnote w:id="17">
    <w:p w14:paraId="3FFA5D6B" w14:textId="77777777" w:rsidR="00273288" w:rsidRDefault="00273288" w:rsidP="00273288">
      <w:pPr>
        <w:rPr>
          <w:rFonts w:ascii="Century Gothic" w:eastAsia="Times New Roman" w:hAnsi="Century Gothic" w:cs="Calibri"/>
          <w:sz w:val="16"/>
          <w:szCs w:val="16"/>
          <w:lang w:val="es-CO" w:eastAsia="es-CO"/>
        </w:rPr>
      </w:pPr>
      <w:r>
        <w:rPr>
          <w:rStyle w:val="Refdenotaalpie"/>
        </w:rPr>
        <w:footnoteRef/>
      </w:r>
      <w:r>
        <w:rPr>
          <w:rFonts w:ascii="Arial" w:eastAsia="Times New Roman" w:hAnsi="Arial" w:cs="Arial"/>
          <w:sz w:val="16"/>
          <w:szCs w:val="16"/>
          <w:lang w:val="es-CO" w:eastAsia="es-CO"/>
        </w:rPr>
        <w:t>https://community.secop.gov.co/Public/Tendering/OpportunityDetail/Index?noticeUID=CO1.NTC.1636484&amp;isFromPublicArea=True&amp;isModal=true&amp;asPopupView=true</w:t>
      </w:r>
    </w:p>
    <w:p w14:paraId="02DEA592" w14:textId="77777777" w:rsidR="00273288" w:rsidRDefault="00273288" w:rsidP="00273288">
      <w:pPr>
        <w:pStyle w:val="Textonotapie"/>
        <w:rPr>
          <w:rFonts w:asciiTheme="minorHAnsi" w:eastAsiaTheme="minorHAnsi" w:hAnsiTheme="minorHAnsi" w:cstheme="minorBidi"/>
          <w:lang w:val="es-CO" w:eastAsia="en-US"/>
        </w:rPr>
      </w:pPr>
    </w:p>
  </w:footnote>
  <w:footnote w:id="18">
    <w:p w14:paraId="32828165" w14:textId="77777777" w:rsidR="00273288" w:rsidRDefault="00273288" w:rsidP="00273288">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https://community.secop.gov.co/Public/Tendering/OpportunityDetail/Index?noticeUID=CO1.NTC.2767799&amp;isFromPublicArea=True&amp;isModal=true&amp;asPopupView=true</w:t>
      </w:r>
    </w:p>
  </w:footnote>
  <w:footnote w:id="19">
    <w:p w14:paraId="53AAD1BD" w14:textId="77777777" w:rsidR="00273288" w:rsidRDefault="00273288" w:rsidP="00273288">
      <w:pPr>
        <w:pStyle w:val="Textonotapie"/>
        <w:rPr>
          <w:rFonts w:asciiTheme="minorHAnsi" w:hAnsiTheme="minorHAnsi" w:cstheme="minorBidi"/>
        </w:rPr>
      </w:pPr>
      <w:r>
        <w:rPr>
          <w:rStyle w:val="Refdenotaalpie"/>
          <w:rFonts w:ascii="Arial" w:hAnsi="Arial" w:cs="Arial"/>
          <w:sz w:val="16"/>
          <w:szCs w:val="16"/>
        </w:rPr>
        <w:footnoteRef/>
      </w:r>
      <w:r>
        <w:rPr>
          <w:rFonts w:ascii="Arial" w:hAnsi="Arial" w:cs="Arial"/>
          <w:sz w:val="16"/>
          <w:szCs w:val="16"/>
        </w:rPr>
        <w:t>https://community.secop.gov.co/Public/Tendering/OpportunityDetail/Index?noticeUID=CO1.NTC.2742728&amp;isFromPublicArea=True&amp;isModal=true&amp;asPopupView=true</w:t>
      </w:r>
    </w:p>
  </w:footnote>
  <w:footnote w:id="20">
    <w:p w14:paraId="5B3D2C88" w14:textId="77777777" w:rsidR="00273288" w:rsidRDefault="00273288" w:rsidP="00273288">
      <w:pPr>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https://community.secop.gov.co/Public/Tendering/OpportunityDetail/Index?noticeUID=CO1.NTC.2983045&amp;isFromPublicArea=True&amp;isModal=true&amp;asPopupView=true</w:t>
      </w:r>
    </w:p>
    <w:p w14:paraId="54E23452" w14:textId="77777777" w:rsidR="00273288" w:rsidRDefault="00273288" w:rsidP="00273288">
      <w:pPr>
        <w:pStyle w:val="Textonotapie"/>
        <w:rPr>
          <w:rFonts w:ascii="Arial" w:hAnsi="Arial" w:cs="Arial"/>
          <w:sz w:val="16"/>
          <w:szCs w:val="16"/>
        </w:rPr>
      </w:pPr>
    </w:p>
  </w:footnote>
  <w:footnote w:id="21">
    <w:p w14:paraId="04FE229B" w14:textId="77777777" w:rsidR="00273288" w:rsidRDefault="00273288" w:rsidP="00273288">
      <w:pPr>
        <w:pStyle w:val="Textonotapie"/>
      </w:pPr>
      <w:r>
        <w:rPr>
          <w:rStyle w:val="Refdenotaalpie"/>
          <w:rFonts w:ascii="Arial" w:hAnsi="Arial" w:cs="Arial"/>
          <w:sz w:val="18"/>
          <w:szCs w:val="18"/>
        </w:rPr>
        <w:footnoteRef/>
      </w:r>
      <w:r>
        <w:rPr>
          <w:rFonts w:ascii="Arial" w:hAnsi="Arial" w:cs="Arial"/>
          <w:sz w:val="18"/>
          <w:szCs w:val="18"/>
        </w:rPr>
        <w:t xml:space="preserve"> https://diariodelsur.com.co/noticias/nacional/termin%C3%B3-drama-laboral-de-los-conserjes-de-pasto-47751</w:t>
      </w:r>
    </w:p>
  </w:footnote>
  <w:footnote w:id="22">
    <w:p w14:paraId="24824E9B" w14:textId="77777777" w:rsidR="00273288" w:rsidRDefault="00273288" w:rsidP="00273288">
      <w:pPr>
        <w:pStyle w:val="Textonotapie"/>
        <w:rPr>
          <w:rFonts w:ascii="Arial" w:hAnsi="Arial" w:cs="Arial"/>
          <w:sz w:val="16"/>
          <w:szCs w:val="18"/>
        </w:rPr>
      </w:pPr>
      <w:r>
        <w:rPr>
          <w:rStyle w:val="Refdenotaalpie"/>
          <w:sz w:val="18"/>
        </w:rPr>
        <w:footnoteRef/>
      </w:r>
      <w:r>
        <w:rPr>
          <w:sz w:val="18"/>
        </w:rPr>
        <w:t xml:space="preserve"> </w:t>
      </w:r>
      <w:r>
        <w:rPr>
          <w:rFonts w:ascii="Arial" w:hAnsi="Arial" w:cs="Arial"/>
          <w:sz w:val="16"/>
          <w:szCs w:val="18"/>
        </w:rPr>
        <w:t>https://visenar.wixsite.com/visenar/quienes-somos</w:t>
      </w:r>
    </w:p>
  </w:footnote>
  <w:footnote w:id="23">
    <w:p w14:paraId="360E4FEC" w14:textId="77777777" w:rsidR="00273288" w:rsidRDefault="00273288" w:rsidP="00273288">
      <w:pPr>
        <w:pStyle w:val="Textonotapie"/>
        <w:rPr>
          <w:rFonts w:ascii="Arial" w:hAnsi="Arial" w:cs="Arial"/>
          <w:sz w:val="18"/>
          <w:szCs w:val="18"/>
        </w:rPr>
      </w:pPr>
      <w:r>
        <w:rPr>
          <w:rStyle w:val="Refdenotaalpie"/>
          <w:rFonts w:ascii="Arial" w:hAnsi="Arial" w:cs="Arial"/>
          <w:sz w:val="16"/>
          <w:szCs w:val="18"/>
        </w:rPr>
        <w:footnoteRef/>
      </w:r>
      <w:r>
        <w:rPr>
          <w:rFonts w:ascii="Arial" w:hAnsi="Arial" w:cs="Arial"/>
          <w:sz w:val="16"/>
          <w:szCs w:val="18"/>
        </w:rPr>
        <w:t xml:space="preserve"> http://tuhogarfeliz.com/#section2</w:t>
      </w:r>
    </w:p>
  </w:footnote>
  <w:footnote w:id="24">
    <w:p w14:paraId="5E1CF2BD" w14:textId="77777777" w:rsidR="00273288" w:rsidRDefault="00273288" w:rsidP="00273288">
      <w:pPr>
        <w:pStyle w:val="Textonotapie"/>
        <w:rPr>
          <w:rFonts w:ascii="Arial" w:hAnsi="Arial" w:cs="Arial"/>
          <w:sz w:val="16"/>
          <w:szCs w:val="16"/>
          <w:lang w:val="es-CO"/>
        </w:rPr>
      </w:pPr>
      <w:r>
        <w:rPr>
          <w:rStyle w:val="Refdenotaalpie"/>
          <w:rFonts w:ascii="Arial" w:hAnsi="Arial" w:cs="Arial"/>
          <w:sz w:val="16"/>
          <w:szCs w:val="16"/>
        </w:rPr>
        <w:footnoteRef/>
      </w:r>
      <w:r>
        <w:rPr>
          <w:rFonts w:ascii="Arial" w:hAnsi="Arial" w:cs="Arial"/>
          <w:sz w:val="16"/>
          <w:szCs w:val="16"/>
        </w:rPr>
        <w:t xml:space="preserve"> </w:t>
      </w:r>
      <w:r>
        <w:rPr>
          <w:rFonts w:ascii="Arial" w:eastAsia="Times New Roman" w:hAnsi="Arial" w:cs="Arial"/>
          <w:sz w:val="16"/>
          <w:szCs w:val="16"/>
        </w:rPr>
        <w:t>Los funcionarios públicos responden disciplinaria, fiscal y penalmente por la omisión o extralimitación de sus funciones</w:t>
      </w:r>
    </w:p>
  </w:footnote>
  <w:footnote w:id="25">
    <w:p w14:paraId="17992CFB" w14:textId="77777777" w:rsidR="00273288" w:rsidRDefault="00273288" w:rsidP="00273288">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Contrato No. 211309 del 3 de marzo del 2021. </w:t>
      </w:r>
    </w:p>
    <w:p w14:paraId="6A5F575F" w14:textId="77777777" w:rsidR="00273288" w:rsidRDefault="00273288" w:rsidP="00273288">
      <w:pPr>
        <w:pStyle w:val="Textonotapie"/>
        <w:rPr>
          <w:rFonts w:ascii="Arial" w:hAnsi="Arial" w:cs="Arial"/>
          <w:sz w:val="16"/>
          <w:szCs w:val="16"/>
        </w:rPr>
      </w:pPr>
      <w:r>
        <w:rPr>
          <w:rFonts w:ascii="Arial" w:hAnsi="Arial" w:cs="Arial"/>
          <w:sz w:val="16"/>
          <w:szCs w:val="16"/>
        </w:rPr>
        <w:t xml:space="preserve">Contrato No. 211317 del 8 de marzo del 2021. </w:t>
      </w:r>
    </w:p>
    <w:p w14:paraId="66A7CE92" w14:textId="77777777" w:rsidR="00273288" w:rsidRDefault="00273288" w:rsidP="00273288">
      <w:pPr>
        <w:pStyle w:val="Textonotapie"/>
        <w:rPr>
          <w:rFonts w:ascii="Arial" w:hAnsi="Arial" w:cs="Arial"/>
          <w:sz w:val="16"/>
          <w:szCs w:val="16"/>
        </w:rPr>
      </w:pPr>
      <w:r>
        <w:rPr>
          <w:rFonts w:ascii="Arial" w:hAnsi="Arial" w:cs="Arial"/>
          <w:sz w:val="16"/>
          <w:szCs w:val="16"/>
        </w:rPr>
        <w:t xml:space="preserve">Contrato No. 211323 del 9 de marzo del 2021. </w:t>
      </w:r>
    </w:p>
    <w:p w14:paraId="4EACA8EE" w14:textId="77777777" w:rsidR="00273288" w:rsidRDefault="00273288" w:rsidP="00273288">
      <w:pPr>
        <w:pStyle w:val="Textonotapie"/>
        <w:rPr>
          <w:rFonts w:ascii="Arial" w:hAnsi="Arial" w:cs="Arial"/>
          <w:sz w:val="16"/>
          <w:szCs w:val="16"/>
        </w:rPr>
      </w:pPr>
      <w:r>
        <w:rPr>
          <w:rFonts w:ascii="Arial" w:hAnsi="Arial" w:cs="Arial"/>
          <w:sz w:val="16"/>
          <w:szCs w:val="16"/>
        </w:rPr>
        <w:t xml:space="preserve">Contrato No. 211395 del 15 de marzo del 2021. </w:t>
      </w:r>
    </w:p>
    <w:p w14:paraId="50D98FE5" w14:textId="77777777" w:rsidR="00273288" w:rsidRDefault="00273288" w:rsidP="00273288">
      <w:pPr>
        <w:pStyle w:val="Textonotapie"/>
        <w:rPr>
          <w:rFonts w:ascii="Arial" w:hAnsi="Arial" w:cs="Arial"/>
          <w:sz w:val="16"/>
          <w:szCs w:val="16"/>
        </w:rPr>
      </w:pPr>
      <w:r>
        <w:rPr>
          <w:rFonts w:ascii="Arial" w:hAnsi="Arial" w:cs="Arial"/>
          <w:sz w:val="16"/>
          <w:szCs w:val="16"/>
        </w:rPr>
        <w:t xml:space="preserve">Contrato No. 211394 del 15 de marzo del 2021. </w:t>
      </w:r>
    </w:p>
    <w:p w14:paraId="45723170" w14:textId="77777777" w:rsidR="00273288" w:rsidRDefault="00273288" w:rsidP="00273288">
      <w:pPr>
        <w:pStyle w:val="Textonotapie"/>
        <w:rPr>
          <w:rFonts w:ascii="Arial" w:hAnsi="Arial" w:cs="Arial"/>
          <w:sz w:val="16"/>
          <w:szCs w:val="16"/>
        </w:rPr>
      </w:pPr>
      <w:r>
        <w:rPr>
          <w:rFonts w:ascii="Arial" w:hAnsi="Arial" w:cs="Arial"/>
          <w:sz w:val="16"/>
          <w:szCs w:val="16"/>
        </w:rPr>
        <w:t>Contrato No. 211426 del 17 de marzo del 2021.</w:t>
      </w:r>
    </w:p>
  </w:footnote>
  <w:footnote w:id="26">
    <w:p w14:paraId="48DF6915" w14:textId="77777777" w:rsidR="00273288" w:rsidRDefault="00273288" w:rsidP="00273288">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Contrato No. 221562 del 1 de febrero de 2022. </w:t>
      </w:r>
    </w:p>
    <w:p w14:paraId="3DCF2AD6" w14:textId="77777777" w:rsidR="00273288" w:rsidRDefault="00273288" w:rsidP="00273288">
      <w:pPr>
        <w:pStyle w:val="Textonotapie"/>
        <w:rPr>
          <w:rFonts w:ascii="Arial" w:hAnsi="Arial" w:cs="Arial"/>
          <w:sz w:val="16"/>
          <w:szCs w:val="16"/>
        </w:rPr>
      </w:pPr>
      <w:r>
        <w:rPr>
          <w:rFonts w:ascii="Arial" w:hAnsi="Arial" w:cs="Arial"/>
          <w:sz w:val="16"/>
          <w:szCs w:val="16"/>
        </w:rPr>
        <w:t>Contrato No. 221427 del 1 de febrero del 2022.</w:t>
      </w:r>
    </w:p>
    <w:p w14:paraId="4FAB3646" w14:textId="77777777" w:rsidR="00273288" w:rsidRDefault="00273288" w:rsidP="00273288">
      <w:pPr>
        <w:pStyle w:val="Textonotapie"/>
        <w:rPr>
          <w:rFonts w:ascii="Arial" w:hAnsi="Arial" w:cs="Arial"/>
          <w:sz w:val="16"/>
          <w:szCs w:val="16"/>
        </w:rPr>
      </w:pPr>
      <w:r>
        <w:rPr>
          <w:rFonts w:ascii="Arial" w:hAnsi="Arial" w:cs="Arial"/>
          <w:sz w:val="16"/>
          <w:szCs w:val="16"/>
        </w:rPr>
        <w:t>Contrato No. 20221370 del 1 de febrero del 2022.</w:t>
      </w:r>
    </w:p>
    <w:p w14:paraId="764DEFCC" w14:textId="77777777" w:rsidR="00273288" w:rsidRDefault="00273288" w:rsidP="00273288">
      <w:pPr>
        <w:pStyle w:val="Textonotapie"/>
        <w:rPr>
          <w:rFonts w:ascii="Arial" w:hAnsi="Arial" w:cs="Arial"/>
          <w:sz w:val="16"/>
          <w:szCs w:val="16"/>
        </w:rPr>
      </w:pPr>
      <w:r>
        <w:rPr>
          <w:rFonts w:ascii="Arial" w:hAnsi="Arial" w:cs="Arial"/>
          <w:sz w:val="16"/>
          <w:szCs w:val="16"/>
        </w:rPr>
        <w:t>Contrato No. 221329 del 1 de febrero el 2022.</w:t>
      </w:r>
    </w:p>
    <w:p w14:paraId="26F5532E" w14:textId="77777777" w:rsidR="00273288" w:rsidRDefault="00273288" w:rsidP="00273288">
      <w:pPr>
        <w:pStyle w:val="Textonotapie"/>
        <w:rPr>
          <w:rFonts w:asciiTheme="minorHAnsi" w:hAnsiTheme="minorHAnsi" w:cstheme="minorBidi"/>
        </w:rPr>
      </w:pPr>
      <w:r>
        <w:rPr>
          <w:rFonts w:ascii="Arial" w:hAnsi="Arial" w:cs="Arial"/>
          <w:sz w:val="16"/>
          <w:szCs w:val="16"/>
        </w:rPr>
        <w:t>Contrato No. 221606 del 2 de febrero del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0C305" w14:textId="77777777" w:rsidR="00EA3190" w:rsidRDefault="00EA3190" w:rsidP="00A82889">
    <w:pPr>
      <w:jc w:val="right"/>
      <w:rPr>
        <w:rFonts w:ascii="Arial" w:hAnsi="Arial" w:cs="Arial"/>
        <w:sz w:val="16"/>
        <w:szCs w:val="16"/>
      </w:rPr>
    </w:pPr>
  </w:p>
  <w:p w14:paraId="0E368497" w14:textId="77777777" w:rsidR="00EA3190" w:rsidRPr="00F01F75" w:rsidRDefault="00EA3190" w:rsidP="00EA3190">
    <w:pPr>
      <w:rPr>
        <w:rFonts w:ascii="Arial" w:hAnsi="Arial" w:cs="Arial"/>
        <w:sz w:val="16"/>
        <w:szCs w:val="16"/>
      </w:rPr>
    </w:pPr>
    <w:r>
      <w:rPr>
        <w:noProof/>
      </w:rPr>
      <w:drawing>
        <wp:inline distT="0" distB="0" distL="0" distR="0" wp14:anchorId="38DD3FED" wp14:editId="1AEA4AE8">
          <wp:extent cx="5612130" cy="877726"/>
          <wp:effectExtent l="0" t="0" r="7620" b="0"/>
          <wp:docPr id="7" name="Imagen 7"/>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612130" cy="877726"/>
                  </a:xfrm>
                  <a:prstGeom prst="rect">
                    <a:avLst/>
                  </a:prstGeom>
                </pic:spPr>
              </pic:pic>
            </a:graphicData>
          </a:graphic>
        </wp:inline>
      </w:drawing>
    </w:r>
    <w:r>
      <w:rPr>
        <w:rFonts w:ascii="Arial" w:hAnsi="Arial" w:cs="Arial"/>
        <w:sz w:val="16"/>
        <w:szCs w:val="16"/>
      </w:rPr>
      <w:t>C</w:t>
    </w:r>
    <w:r w:rsidRPr="00F01F75">
      <w:rPr>
        <w:rFonts w:ascii="Arial" w:hAnsi="Arial" w:cs="Arial"/>
        <w:sz w:val="16"/>
        <w:szCs w:val="16"/>
      </w:rPr>
      <w:t>ontinuación oficio</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Pr>
        <w:rStyle w:val="Nmerodepgina"/>
        <w:rFonts w:ascii="Arial" w:hAnsi="Arial" w:cs="Arial"/>
        <w:noProof/>
        <w:sz w:val="16"/>
        <w:szCs w:val="16"/>
      </w:rPr>
      <w:t>73</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Pr>
        <w:rStyle w:val="Nmerodepgina"/>
        <w:rFonts w:ascii="Arial" w:hAnsi="Arial" w:cs="Arial"/>
        <w:noProof/>
        <w:sz w:val="16"/>
        <w:szCs w:val="16"/>
      </w:rPr>
      <w:t>73</w:t>
    </w:r>
    <w:r w:rsidRPr="00F01F75">
      <w:rPr>
        <w:rStyle w:val="Nmerodepgina"/>
        <w:rFonts w:ascii="Arial" w:hAnsi="Arial" w:cs="Arial"/>
        <w:sz w:val="16"/>
        <w:szCs w:val="16"/>
      </w:rPr>
      <w:fldChar w:fldCharType="end"/>
    </w:r>
  </w:p>
  <w:p w14:paraId="5C894C60" w14:textId="77777777" w:rsidR="00EA3190" w:rsidRPr="00F01F75" w:rsidRDefault="00EA3190">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FFD04" w14:textId="77777777" w:rsidR="00EA3190" w:rsidRDefault="00EA3190">
    <w:pPr>
      <w:pStyle w:val="Encabezado"/>
    </w:pPr>
    <w:r>
      <w:rPr>
        <w:noProof/>
      </w:rPr>
      <w:drawing>
        <wp:inline distT="0" distB="0" distL="0" distR="0" wp14:anchorId="5757BCC5" wp14:editId="5BF1AB41">
          <wp:extent cx="6029325" cy="942975"/>
          <wp:effectExtent l="0" t="0" r="9525" b="9525"/>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029325" cy="942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73B32"/>
    <w:multiLevelType w:val="hybridMultilevel"/>
    <w:tmpl w:val="5B3683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0BB018B"/>
    <w:multiLevelType w:val="hybridMultilevel"/>
    <w:tmpl w:val="0F662C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34F0176"/>
    <w:multiLevelType w:val="hybridMultilevel"/>
    <w:tmpl w:val="DD6035C2"/>
    <w:lvl w:ilvl="0" w:tplc="FFFFFFFF">
      <w:start w:val="1"/>
      <w:numFmt w:val="decimal"/>
      <w:lvlText w:val="%1."/>
      <w:lvlJc w:val="left"/>
      <w:pPr>
        <w:ind w:left="28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BD1015"/>
    <w:multiLevelType w:val="hybridMultilevel"/>
    <w:tmpl w:val="5B38CA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D2A100A"/>
    <w:multiLevelType w:val="hybridMultilevel"/>
    <w:tmpl w:val="53E4DC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21A906F1"/>
    <w:multiLevelType w:val="hybridMultilevel"/>
    <w:tmpl w:val="29E46DC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25590882"/>
    <w:multiLevelType w:val="hybridMultilevel"/>
    <w:tmpl w:val="83C236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5E218F6"/>
    <w:multiLevelType w:val="hybridMultilevel"/>
    <w:tmpl w:val="326000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D0D0D5A"/>
    <w:multiLevelType w:val="hybridMultilevel"/>
    <w:tmpl w:val="000C0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B000B2"/>
    <w:multiLevelType w:val="hybridMultilevel"/>
    <w:tmpl w:val="33B651E4"/>
    <w:lvl w:ilvl="0" w:tplc="0E6CC922">
      <w:start w:val="1"/>
      <w:numFmt w:val="decimal"/>
      <w:lvlText w:val="(%1)"/>
      <w:lvlJc w:val="left"/>
      <w:pPr>
        <w:ind w:left="720" w:hanging="360"/>
      </w:pPr>
      <w:rPr>
        <w:rFonts w:hint="default"/>
        <w:b w:val="0"/>
        <w:color w:val="FF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4DF1B89"/>
    <w:multiLevelType w:val="hybridMultilevel"/>
    <w:tmpl w:val="4224EF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8972C9C"/>
    <w:multiLevelType w:val="hybridMultilevel"/>
    <w:tmpl w:val="F4F61E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3AF765F9"/>
    <w:multiLevelType w:val="hybridMultilevel"/>
    <w:tmpl w:val="BE9E2640"/>
    <w:lvl w:ilvl="0" w:tplc="FFFFFFFF">
      <w:start w:val="3"/>
      <w:numFmt w:val="bullet"/>
      <w:lvlText w:val="-"/>
      <w:lvlJc w:val="left"/>
      <w:pPr>
        <w:ind w:left="720" w:hanging="360"/>
      </w:pPr>
      <w:rPr>
        <w:rFonts w:ascii="Arial" w:eastAsia="Arial" w:hAnsi="Arial" w:cs="Arial" w:hint="default"/>
      </w:rPr>
    </w:lvl>
    <w:lvl w:ilvl="1" w:tplc="909294DC">
      <w:start w:val="3"/>
      <w:numFmt w:val="bullet"/>
      <w:lvlText w:val="-"/>
      <w:lvlJc w:val="left"/>
      <w:pPr>
        <w:ind w:left="1440" w:hanging="360"/>
      </w:pPr>
      <w:rPr>
        <w:rFonts w:ascii="Arial" w:eastAsia="Arial"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431532B"/>
    <w:multiLevelType w:val="hybridMultilevel"/>
    <w:tmpl w:val="610EC7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47DF79B8"/>
    <w:multiLevelType w:val="hybridMultilevel"/>
    <w:tmpl w:val="B5D679A2"/>
    <w:lvl w:ilvl="0" w:tplc="D1541B44">
      <w:start w:val="1"/>
      <w:numFmt w:val="decimal"/>
      <w:pStyle w:val="Ttulo2"/>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E70C597"/>
    <w:multiLevelType w:val="hybridMultilevel"/>
    <w:tmpl w:val="ACA48D82"/>
    <w:lvl w:ilvl="0" w:tplc="46103024">
      <w:start w:val="1"/>
      <w:numFmt w:val="decimal"/>
      <w:lvlText w:val="(%1)"/>
      <w:lvlJc w:val="left"/>
      <w:pPr>
        <w:ind w:left="720" w:hanging="360"/>
      </w:pPr>
      <w:rPr>
        <w:color w:val="FF0000"/>
      </w:rPr>
    </w:lvl>
    <w:lvl w:ilvl="1" w:tplc="3C0A990A">
      <w:start w:val="1"/>
      <w:numFmt w:val="lowerLetter"/>
      <w:lvlText w:val="%2."/>
      <w:lvlJc w:val="left"/>
      <w:pPr>
        <w:ind w:left="1440" w:hanging="360"/>
      </w:pPr>
    </w:lvl>
    <w:lvl w:ilvl="2" w:tplc="C492BC86">
      <w:start w:val="1"/>
      <w:numFmt w:val="lowerRoman"/>
      <w:lvlText w:val="%3."/>
      <w:lvlJc w:val="right"/>
      <w:pPr>
        <w:ind w:left="2160" w:hanging="180"/>
      </w:pPr>
    </w:lvl>
    <w:lvl w:ilvl="3" w:tplc="E69460EE">
      <w:start w:val="1"/>
      <w:numFmt w:val="decimal"/>
      <w:lvlText w:val="%4."/>
      <w:lvlJc w:val="left"/>
      <w:pPr>
        <w:ind w:left="2880" w:hanging="360"/>
      </w:pPr>
    </w:lvl>
    <w:lvl w:ilvl="4" w:tplc="E10869C4">
      <w:start w:val="1"/>
      <w:numFmt w:val="lowerLetter"/>
      <w:lvlText w:val="%5."/>
      <w:lvlJc w:val="left"/>
      <w:pPr>
        <w:ind w:left="3600" w:hanging="360"/>
      </w:pPr>
    </w:lvl>
    <w:lvl w:ilvl="5" w:tplc="0ED8F97A">
      <w:start w:val="1"/>
      <w:numFmt w:val="lowerRoman"/>
      <w:lvlText w:val="%6."/>
      <w:lvlJc w:val="right"/>
      <w:pPr>
        <w:ind w:left="4320" w:hanging="180"/>
      </w:pPr>
    </w:lvl>
    <w:lvl w:ilvl="6" w:tplc="80C43C16">
      <w:start w:val="1"/>
      <w:numFmt w:val="decimal"/>
      <w:lvlText w:val="%7."/>
      <w:lvlJc w:val="left"/>
      <w:pPr>
        <w:ind w:left="5040" w:hanging="360"/>
      </w:pPr>
    </w:lvl>
    <w:lvl w:ilvl="7" w:tplc="8A3209AC">
      <w:start w:val="1"/>
      <w:numFmt w:val="lowerLetter"/>
      <w:lvlText w:val="%8."/>
      <w:lvlJc w:val="left"/>
      <w:pPr>
        <w:ind w:left="5760" w:hanging="360"/>
      </w:pPr>
    </w:lvl>
    <w:lvl w:ilvl="8" w:tplc="54B8A3E0">
      <w:start w:val="1"/>
      <w:numFmt w:val="lowerRoman"/>
      <w:lvlText w:val="%9."/>
      <w:lvlJc w:val="right"/>
      <w:pPr>
        <w:ind w:left="6480" w:hanging="180"/>
      </w:pPr>
    </w:lvl>
  </w:abstractNum>
  <w:abstractNum w:abstractNumId="16" w15:restartNumberingAfterBreak="0">
    <w:nsid w:val="548E1A51"/>
    <w:multiLevelType w:val="hybridMultilevel"/>
    <w:tmpl w:val="DD6035C2"/>
    <w:lvl w:ilvl="0" w:tplc="FFFFFFFF">
      <w:start w:val="1"/>
      <w:numFmt w:val="decimal"/>
      <w:lvlText w:val="%1."/>
      <w:lvlJc w:val="left"/>
      <w:pPr>
        <w:ind w:left="28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B61D0D"/>
    <w:multiLevelType w:val="hybridMultilevel"/>
    <w:tmpl w:val="68E23236"/>
    <w:lvl w:ilvl="0" w:tplc="9676D158">
      <w:start w:val="1"/>
      <w:numFmt w:val="decimal"/>
      <w:lvlText w:val="(%1)"/>
      <w:lvlJc w:val="left"/>
      <w:pPr>
        <w:ind w:left="720" w:hanging="360"/>
      </w:pPr>
      <w:rPr>
        <w:rFonts w:hint="default"/>
        <w:color w:val="FF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80A45CE"/>
    <w:multiLevelType w:val="hybridMultilevel"/>
    <w:tmpl w:val="A30A2376"/>
    <w:lvl w:ilvl="0" w:tplc="C10A409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B85439A"/>
    <w:multiLevelType w:val="hybridMultilevel"/>
    <w:tmpl w:val="871CB8AA"/>
    <w:lvl w:ilvl="0" w:tplc="F9FCCEEE">
      <w:start w:val="1"/>
      <w:numFmt w:val="decimal"/>
      <w:lvlText w:val="(%1)"/>
      <w:lvlJc w:val="left"/>
      <w:pPr>
        <w:ind w:left="644" w:hanging="360"/>
      </w:pPr>
      <w:rPr>
        <w:rFonts w:hint="default"/>
        <w:color w:val="FF0000"/>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0" w15:restartNumberingAfterBreak="0">
    <w:nsid w:val="5C0A8A0C"/>
    <w:multiLevelType w:val="hybridMultilevel"/>
    <w:tmpl w:val="07DAB10C"/>
    <w:lvl w:ilvl="0" w:tplc="9D80E83A">
      <w:start w:val="1"/>
      <w:numFmt w:val="decimal"/>
      <w:lvlText w:val="(%1)"/>
      <w:lvlJc w:val="left"/>
      <w:pPr>
        <w:ind w:left="720" w:hanging="360"/>
      </w:pPr>
      <w:rPr>
        <w:color w:val="FF0000"/>
      </w:rPr>
    </w:lvl>
    <w:lvl w:ilvl="1" w:tplc="A5CAAC3C">
      <w:start w:val="1"/>
      <w:numFmt w:val="lowerLetter"/>
      <w:lvlText w:val="%2."/>
      <w:lvlJc w:val="left"/>
      <w:pPr>
        <w:ind w:left="1440" w:hanging="360"/>
      </w:pPr>
    </w:lvl>
    <w:lvl w:ilvl="2" w:tplc="0C1A8458">
      <w:start w:val="1"/>
      <w:numFmt w:val="lowerRoman"/>
      <w:lvlText w:val="%3."/>
      <w:lvlJc w:val="right"/>
      <w:pPr>
        <w:ind w:left="2160" w:hanging="180"/>
      </w:pPr>
    </w:lvl>
    <w:lvl w:ilvl="3" w:tplc="CD62C560">
      <w:start w:val="1"/>
      <w:numFmt w:val="decimal"/>
      <w:lvlText w:val="%4."/>
      <w:lvlJc w:val="left"/>
      <w:pPr>
        <w:ind w:left="2880" w:hanging="360"/>
      </w:pPr>
    </w:lvl>
    <w:lvl w:ilvl="4" w:tplc="AF40A05A">
      <w:start w:val="1"/>
      <w:numFmt w:val="lowerLetter"/>
      <w:lvlText w:val="%5."/>
      <w:lvlJc w:val="left"/>
      <w:pPr>
        <w:ind w:left="3600" w:hanging="360"/>
      </w:pPr>
    </w:lvl>
    <w:lvl w:ilvl="5" w:tplc="361088A2">
      <w:start w:val="1"/>
      <w:numFmt w:val="lowerRoman"/>
      <w:lvlText w:val="%6."/>
      <w:lvlJc w:val="right"/>
      <w:pPr>
        <w:ind w:left="4320" w:hanging="180"/>
      </w:pPr>
    </w:lvl>
    <w:lvl w:ilvl="6" w:tplc="2F6809C8">
      <w:start w:val="1"/>
      <w:numFmt w:val="decimal"/>
      <w:lvlText w:val="%7."/>
      <w:lvlJc w:val="left"/>
      <w:pPr>
        <w:ind w:left="5040" w:hanging="360"/>
      </w:pPr>
    </w:lvl>
    <w:lvl w:ilvl="7" w:tplc="89CE3432">
      <w:start w:val="1"/>
      <w:numFmt w:val="lowerLetter"/>
      <w:lvlText w:val="%8."/>
      <w:lvlJc w:val="left"/>
      <w:pPr>
        <w:ind w:left="5760" w:hanging="360"/>
      </w:pPr>
    </w:lvl>
    <w:lvl w:ilvl="8" w:tplc="E108B03E">
      <w:start w:val="1"/>
      <w:numFmt w:val="lowerRoman"/>
      <w:lvlText w:val="%9."/>
      <w:lvlJc w:val="right"/>
      <w:pPr>
        <w:ind w:left="6480" w:hanging="180"/>
      </w:pPr>
    </w:lvl>
  </w:abstractNum>
  <w:abstractNum w:abstractNumId="21" w15:restartNumberingAfterBreak="0">
    <w:nsid w:val="5C6C6887"/>
    <w:multiLevelType w:val="hybridMultilevel"/>
    <w:tmpl w:val="A7EA4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5C707DC8"/>
    <w:multiLevelType w:val="hybridMultilevel"/>
    <w:tmpl w:val="DA9643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5E1A5F24"/>
    <w:multiLevelType w:val="hybridMultilevel"/>
    <w:tmpl w:val="139222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685A2444"/>
    <w:multiLevelType w:val="hybridMultilevel"/>
    <w:tmpl w:val="C5EEEB4A"/>
    <w:lvl w:ilvl="0" w:tplc="00E814CE">
      <w:start w:val="1"/>
      <w:numFmt w:val="upperRoman"/>
      <w:lvlText w:val="%1."/>
      <w:lvlJc w:val="left"/>
      <w:pPr>
        <w:ind w:left="1080" w:hanging="72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9855948"/>
    <w:multiLevelType w:val="hybridMultilevel"/>
    <w:tmpl w:val="DD6035C2"/>
    <w:lvl w:ilvl="0" w:tplc="CD62C560">
      <w:start w:val="1"/>
      <w:numFmt w:val="decimal"/>
      <w:lvlText w:val="%1."/>
      <w:lvlJc w:val="left"/>
      <w:pPr>
        <w:ind w:left="288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ACA2356"/>
    <w:multiLevelType w:val="hybridMultilevel"/>
    <w:tmpl w:val="056450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7B9B3AC7"/>
    <w:multiLevelType w:val="hybridMultilevel"/>
    <w:tmpl w:val="9F1C9946"/>
    <w:lvl w:ilvl="0" w:tplc="93E2AF3E">
      <w:start w:val="1"/>
      <w:numFmt w:val="bullet"/>
      <w:lvlText w:val="-"/>
      <w:lvlJc w:val="left"/>
      <w:pPr>
        <w:ind w:left="720" w:hanging="360"/>
      </w:pPr>
      <w:rPr>
        <w:rFonts w:ascii="Arial Narrow" w:eastAsia="Times New Roman" w:hAnsi="Arial Narro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E887B11"/>
    <w:multiLevelType w:val="hybridMultilevel"/>
    <w:tmpl w:val="FB8260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7FE67D0F"/>
    <w:multiLevelType w:val="hybridMultilevel"/>
    <w:tmpl w:val="F5AA20A4"/>
    <w:lvl w:ilvl="0" w:tplc="0409000F">
      <w:start w:val="1"/>
      <w:numFmt w:val="decimal"/>
      <w:lvlText w:val="%1."/>
      <w:lvlJc w:val="left"/>
      <w:pPr>
        <w:ind w:left="360" w:hanging="360"/>
      </w:pPr>
    </w:lvl>
    <w:lvl w:ilvl="1" w:tplc="04090019">
      <w:start w:val="1"/>
      <w:numFmt w:val="lowerLetter"/>
      <w:lvlText w:val="%2."/>
      <w:lvlJc w:val="left"/>
      <w:pPr>
        <w:ind w:left="939" w:hanging="360"/>
      </w:pPr>
    </w:lvl>
    <w:lvl w:ilvl="2" w:tplc="0409001B">
      <w:start w:val="1"/>
      <w:numFmt w:val="lowerRoman"/>
      <w:lvlText w:val="%3."/>
      <w:lvlJc w:val="right"/>
      <w:pPr>
        <w:ind w:left="1659" w:hanging="180"/>
      </w:pPr>
    </w:lvl>
    <w:lvl w:ilvl="3" w:tplc="0409000F">
      <w:start w:val="1"/>
      <w:numFmt w:val="decimal"/>
      <w:lvlText w:val="%4."/>
      <w:lvlJc w:val="left"/>
      <w:pPr>
        <w:ind w:left="2379" w:hanging="360"/>
      </w:pPr>
    </w:lvl>
    <w:lvl w:ilvl="4" w:tplc="04090019">
      <w:start w:val="1"/>
      <w:numFmt w:val="lowerLetter"/>
      <w:lvlText w:val="%5."/>
      <w:lvlJc w:val="left"/>
      <w:pPr>
        <w:ind w:left="3099" w:hanging="360"/>
      </w:pPr>
    </w:lvl>
    <w:lvl w:ilvl="5" w:tplc="0409001B">
      <w:start w:val="1"/>
      <w:numFmt w:val="lowerRoman"/>
      <w:lvlText w:val="%6."/>
      <w:lvlJc w:val="right"/>
      <w:pPr>
        <w:ind w:left="3819" w:hanging="180"/>
      </w:pPr>
    </w:lvl>
    <w:lvl w:ilvl="6" w:tplc="0409000F">
      <w:start w:val="1"/>
      <w:numFmt w:val="decimal"/>
      <w:lvlText w:val="%7."/>
      <w:lvlJc w:val="left"/>
      <w:pPr>
        <w:ind w:left="4539" w:hanging="360"/>
      </w:pPr>
    </w:lvl>
    <w:lvl w:ilvl="7" w:tplc="04090019">
      <w:start w:val="1"/>
      <w:numFmt w:val="lowerLetter"/>
      <w:lvlText w:val="%8."/>
      <w:lvlJc w:val="left"/>
      <w:pPr>
        <w:ind w:left="5259" w:hanging="360"/>
      </w:pPr>
    </w:lvl>
    <w:lvl w:ilvl="8" w:tplc="0409001B">
      <w:start w:val="1"/>
      <w:numFmt w:val="lowerRoman"/>
      <w:lvlText w:val="%9."/>
      <w:lvlJc w:val="right"/>
      <w:pPr>
        <w:ind w:left="5979" w:hanging="180"/>
      </w:pPr>
    </w:lvl>
  </w:abstractNum>
  <w:num w:numId="1" w16cid:durableId="4726766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62947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07742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0049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87632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22592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4902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4621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08548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2421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9970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88951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20821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51761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14628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21958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69581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52893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20258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5768089">
    <w:abstractNumId w:val="27"/>
  </w:num>
  <w:num w:numId="21" w16cid:durableId="1338658867">
    <w:abstractNumId w:val="8"/>
  </w:num>
  <w:num w:numId="22" w16cid:durableId="166141813">
    <w:abstractNumId w:val="5"/>
  </w:num>
  <w:num w:numId="23" w16cid:durableId="1863665472">
    <w:abstractNumId w:val="12"/>
  </w:num>
  <w:num w:numId="24" w16cid:durableId="988705127">
    <w:abstractNumId w:val="9"/>
  </w:num>
  <w:num w:numId="25" w16cid:durableId="342055070">
    <w:abstractNumId w:val="24"/>
  </w:num>
  <w:num w:numId="26" w16cid:durableId="1833838845">
    <w:abstractNumId w:val="19"/>
  </w:num>
  <w:num w:numId="27" w16cid:durableId="114521922">
    <w:abstractNumId w:val="17"/>
  </w:num>
  <w:num w:numId="28" w16cid:durableId="1593393762">
    <w:abstractNumId w:val="27"/>
  </w:num>
  <w:num w:numId="29" w16cid:durableId="563218642">
    <w:abstractNumId w:val="15"/>
  </w:num>
  <w:num w:numId="30" w16cid:durableId="18904122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0407084">
    <w:abstractNumId w:val="20"/>
  </w:num>
  <w:num w:numId="32" w16cid:durableId="628122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0194473">
    <w:abstractNumId w:val="8"/>
  </w:num>
  <w:num w:numId="34" w16cid:durableId="988559507">
    <w:abstractNumId w:val="12"/>
  </w:num>
  <w:num w:numId="35" w16cid:durableId="977493643">
    <w:abstractNumId w:val="18"/>
  </w:num>
  <w:num w:numId="36" w16cid:durableId="557252820">
    <w:abstractNumId w:val="18"/>
    <w:lvlOverride w:ilvl="0">
      <w:startOverride w:val="1"/>
    </w:lvlOverride>
  </w:num>
  <w:num w:numId="37" w16cid:durableId="1975216281">
    <w:abstractNumId w:val="18"/>
    <w:lvlOverride w:ilvl="0">
      <w:startOverride w:val="1"/>
    </w:lvlOverride>
  </w:num>
  <w:num w:numId="38" w16cid:durableId="112477732">
    <w:abstractNumId w:val="18"/>
  </w:num>
  <w:num w:numId="39" w16cid:durableId="1094209128">
    <w:abstractNumId w:val="18"/>
    <w:lvlOverride w:ilvl="0">
      <w:startOverride w:val="1"/>
    </w:lvlOverride>
  </w:num>
  <w:num w:numId="40" w16cid:durableId="1019549840">
    <w:abstractNumId w:val="18"/>
  </w:num>
  <w:num w:numId="41" w16cid:durableId="1665282734">
    <w:abstractNumId w:val="18"/>
    <w:lvlOverride w:ilvl="0">
      <w:startOverride w:val="1"/>
    </w:lvlOverride>
  </w:num>
  <w:num w:numId="42" w16cid:durableId="930234021">
    <w:abstractNumId w:val="18"/>
    <w:lvlOverride w:ilvl="0">
      <w:startOverride w:val="1"/>
    </w:lvlOverride>
  </w:num>
  <w:num w:numId="43" w16cid:durableId="2105176619">
    <w:abstractNumId w:val="14"/>
  </w:num>
  <w:num w:numId="44" w16cid:durableId="1107699845">
    <w:abstractNumId w:val="14"/>
    <w:lvlOverride w:ilvl="0">
      <w:startOverride w:val="1"/>
    </w:lvlOverride>
  </w:num>
  <w:num w:numId="45" w16cid:durableId="1476528865">
    <w:abstractNumId w:val="25"/>
  </w:num>
  <w:num w:numId="46" w16cid:durableId="1164709197">
    <w:abstractNumId w:val="16"/>
  </w:num>
  <w:num w:numId="47" w16cid:durableId="589972021">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03617"/>
    <w:rsid w:val="000104BC"/>
    <w:rsid w:val="00013BDE"/>
    <w:rsid w:val="00015D8E"/>
    <w:rsid w:val="000269DF"/>
    <w:rsid w:val="0003168E"/>
    <w:rsid w:val="000322E3"/>
    <w:rsid w:val="00042D32"/>
    <w:rsid w:val="00053456"/>
    <w:rsid w:val="00057AF8"/>
    <w:rsid w:val="00062D3F"/>
    <w:rsid w:val="000643E9"/>
    <w:rsid w:val="00066D3A"/>
    <w:rsid w:val="0007304E"/>
    <w:rsid w:val="00073A1F"/>
    <w:rsid w:val="000749DB"/>
    <w:rsid w:val="00075AD5"/>
    <w:rsid w:val="000776E9"/>
    <w:rsid w:val="00077AA2"/>
    <w:rsid w:val="0008210A"/>
    <w:rsid w:val="0008507C"/>
    <w:rsid w:val="000877D1"/>
    <w:rsid w:val="00093EB8"/>
    <w:rsid w:val="00096C04"/>
    <w:rsid w:val="000A1163"/>
    <w:rsid w:val="000A2FC8"/>
    <w:rsid w:val="000A31BA"/>
    <w:rsid w:val="000A4383"/>
    <w:rsid w:val="000B20AE"/>
    <w:rsid w:val="000B761A"/>
    <w:rsid w:val="000C2C96"/>
    <w:rsid w:val="000C2EE4"/>
    <w:rsid w:val="000C4465"/>
    <w:rsid w:val="000D09AB"/>
    <w:rsid w:val="000D466B"/>
    <w:rsid w:val="000D6114"/>
    <w:rsid w:val="000D6CDF"/>
    <w:rsid w:val="000E42D0"/>
    <w:rsid w:val="000E4714"/>
    <w:rsid w:val="000E5163"/>
    <w:rsid w:val="000E6513"/>
    <w:rsid w:val="000E7DD2"/>
    <w:rsid w:val="000F0EAD"/>
    <w:rsid w:val="000F1CBA"/>
    <w:rsid w:val="000F305D"/>
    <w:rsid w:val="000F3807"/>
    <w:rsid w:val="00101484"/>
    <w:rsid w:val="00103AE9"/>
    <w:rsid w:val="0010497F"/>
    <w:rsid w:val="001055AE"/>
    <w:rsid w:val="00105B8D"/>
    <w:rsid w:val="001100A5"/>
    <w:rsid w:val="0011263A"/>
    <w:rsid w:val="0011350E"/>
    <w:rsid w:val="00114AE3"/>
    <w:rsid w:val="00117B7B"/>
    <w:rsid w:val="00120EEB"/>
    <w:rsid w:val="001258D6"/>
    <w:rsid w:val="001339E2"/>
    <w:rsid w:val="0013472A"/>
    <w:rsid w:val="0014330F"/>
    <w:rsid w:val="00144777"/>
    <w:rsid w:val="001448E3"/>
    <w:rsid w:val="0014524C"/>
    <w:rsid w:val="00147E82"/>
    <w:rsid w:val="00150AD0"/>
    <w:rsid w:val="001515F9"/>
    <w:rsid w:val="001518F2"/>
    <w:rsid w:val="00153C65"/>
    <w:rsid w:val="00156301"/>
    <w:rsid w:val="001571B8"/>
    <w:rsid w:val="00157FDD"/>
    <w:rsid w:val="0016162B"/>
    <w:rsid w:val="0016616F"/>
    <w:rsid w:val="0017111C"/>
    <w:rsid w:val="0017545B"/>
    <w:rsid w:val="001768E6"/>
    <w:rsid w:val="00182DEA"/>
    <w:rsid w:val="0019035D"/>
    <w:rsid w:val="00191045"/>
    <w:rsid w:val="00191D96"/>
    <w:rsid w:val="00191E93"/>
    <w:rsid w:val="00195DFF"/>
    <w:rsid w:val="001A005E"/>
    <w:rsid w:val="001A1022"/>
    <w:rsid w:val="001A1ABA"/>
    <w:rsid w:val="001B0799"/>
    <w:rsid w:val="001C571C"/>
    <w:rsid w:val="001D0C32"/>
    <w:rsid w:val="001D1F25"/>
    <w:rsid w:val="001D36C0"/>
    <w:rsid w:val="001D7796"/>
    <w:rsid w:val="001E11C5"/>
    <w:rsid w:val="001E204A"/>
    <w:rsid w:val="001E3E05"/>
    <w:rsid w:val="001E50F4"/>
    <w:rsid w:val="001E5520"/>
    <w:rsid w:val="001E5E0D"/>
    <w:rsid w:val="001E60E2"/>
    <w:rsid w:val="001F0127"/>
    <w:rsid w:val="001F0B1A"/>
    <w:rsid w:val="001F4D1B"/>
    <w:rsid w:val="001F4ED2"/>
    <w:rsid w:val="001F6014"/>
    <w:rsid w:val="001F7009"/>
    <w:rsid w:val="001F72C4"/>
    <w:rsid w:val="0020034F"/>
    <w:rsid w:val="0020773D"/>
    <w:rsid w:val="0021375B"/>
    <w:rsid w:val="002176E6"/>
    <w:rsid w:val="002211EF"/>
    <w:rsid w:val="0022136D"/>
    <w:rsid w:val="00221EF1"/>
    <w:rsid w:val="0022264A"/>
    <w:rsid w:val="00225637"/>
    <w:rsid w:val="00226B16"/>
    <w:rsid w:val="00237795"/>
    <w:rsid w:val="00237DFE"/>
    <w:rsid w:val="00240E48"/>
    <w:rsid w:val="002414B0"/>
    <w:rsid w:val="0024487B"/>
    <w:rsid w:val="00244F5E"/>
    <w:rsid w:val="002567A2"/>
    <w:rsid w:val="002623EE"/>
    <w:rsid w:val="002658A7"/>
    <w:rsid w:val="00271E28"/>
    <w:rsid w:val="00273288"/>
    <w:rsid w:val="0027421A"/>
    <w:rsid w:val="00280A31"/>
    <w:rsid w:val="00283D9E"/>
    <w:rsid w:val="002850DB"/>
    <w:rsid w:val="0029624E"/>
    <w:rsid w:val="002A13EA"/>
    <w:rsid w:val="002A2626"/>
    <w:rsid w:val="002A6351"/>
    <w:rsid w:val="002B2812"/>
    <w:rsid w:val="002B2E03"/>
    <w:rsid w:val="002B3410"/>
    <w:rsid w:val="002B4E93"/>
    <w:rsid w:val="002C45F1"/>
    <w:rsid w:val="002C64C1"/>
    <w:rsid w:val="002C6BBE"/>
    <w:rsid w:val="002C7B96"/>
    <w:rsid w:val="002D3CF8"/>
    <w:rsid w:val="002D4B67"/>
    <w:rsid w:val="002D6C5F"/>
    <w:rsid w:val="002D780B"/>
    <w:rsid w:val="002E3E8B"/>
    <w:rsid w:val="002E6BE9"/>
    <w:rsid w:val="002E72FA"/>
    <w:rsid w:val="002E7640"/>
    <w:rsid w:val="002E7778"/>
    <w:rsid w:val="002F01D9"/>
    <w:rsid w:val="002F2C10"/>
    <w:rsid w:val="003010E0"/>
    <w:rsid w:val="00301846"/>
    <w:rsid w:val="00301DB3"/>
    <w:rsid w:val="0030295A"/>
    <w:rsid w:val="003057C9"/>
    <w:rsid w:val="003129A7"/>
    <w:rsid w:val="00321AEF"/>
    <w:rsid w:val="003226AB"/>
    <w:rsid w:val="0032474D"/>
    <w:rsid w:val="003300CE"/>
    <w:rsid w:val="00330AC6"/>
    <w:rsid w:val="0033289D"/>
    <w:rsid w:val="003334C8"/>
    <w:rsid w:val="0033489C"/>
    <w:rsid w:val="00335EE0"/>
    <w:rsid w:val="00336BAB"/>
    <w:rsid w:val="00340279"/>
    <w:rsid w:val="00341877"/>
    <w:rsid w:val="0034312A"/>
    <w:rsid w:val="00350C08"/>
    <w:rsid w:val="0035116E"/>
    <w:rsid w:val="00354BF2"/>
    <w:rsid w:val="003560AE"/>
    <w:rsid w:val="0035767B"/>
    <w:rsid w:val="0036144E"/>
    <w:rsid w:val="00362AFC"/>
    <w:rsid w:val="00370540"/>
    <w:rsid w:val="00373967"/>
    <w:rsid w:val="0038265A"/>
    <w:rsid w:val="00384066"/>
    <w:rsid w:val="00387857"/>
    <w:rsid w:val="00391021"/>
    <w:rsid w:val="00395375"/>
    <w:rsid w:val="003A4D61"/>
    <w:rsid w:val="003A520B"/>
    <w:rsid w:val="003A5878"/>
    <w:rsid w:val="003B1D05"/>
    <w:rsid w:val="003B30C8"/>
    <w:rsid w:val="003B7FE6"/>
    <w:rsid w:val="003C102D"/>
    <w:rsid w:val="003C3D5D"/>
    <w:rsid w:val="003C6D25"/>
    <w:rsid w:val="003D4DD3"/>
    <w:rsid w:val="003D7FD2"/>
    <w:rsid w:val="003E31A7"/>
    <w:rsid w:val="003E59CF"/>
    <w:rsid w:val="003E632D"/>
    <w:rsid w:val="003E77FC"/>
    <w:rsid w:val="003F07EB"/>
    <w:rsid w:val="003F59D9"/>
    <w:rsid w:val="003F617A"/>
    <w:rsid w:val="003F6A30"/>
    <w:rsid w:val="003F788E"/>
    <w:rsid w:val="003F7900"/>
    <w:rsid w:val="0040140F"/>
    <w:rsid w:val="00403359"/>
    <w:rsid w:val="00404AAF"/>
    <w:rsid w:val="00404E01"/>
    <w:rsid w:val="004057C1"/>
    <w:rsid w:val="00406801"/>
    <w:rsid w:val="00410C94"/>
    <w:rsid w:val="00412976"/>
    <w:rsid w:val="0041494D"/>
    <w:rsid w:val="004315F2"/>
    <w:rsid w:val="00434B41"/>
    <w:rsid w:val="00437A6B"/>
    <w:rsid w:val="0044344C"/>
    <w:rsid w:val="004445DB"/>
    <w:rsid w:val="00447D2A"/>
    <w:rsid w:val="00453CE2"/>
    <w:rsid w:val="00467143"/>
    <w:rsid w:val="004700D0"/>
    <w:rsid w:val="00472DB8"/>
    <w:rsid w:val="00473B82"/>
    <w:rsid w:val="00473F70"/>
    <w:rsid w:val="00474633"/>
    <w:rsid w:val="00481855"/>
    <w:rsid w:val="00482708"/>
    <w:rsid w:val="0048520E"/>
    <w:rsid w:val="0049010D"/>
    <w:rsid w:val="004906ED"/>
    <w:rsid w:val="00496AEF"/>
    <w:rsid w:val="00496BCB"/>
    <w:rsid w:val="004A1838"/>
    <w:rsid w:val="004A5D84"/>
    <w:rsid w:val="004A7F0D"/>
    <w:rsid w:val="004B299B"/>
    <w:rsid w:val="004C6001"/>
    <w:rsid w:val="004D66AD"/>
    <w:rsid w:val="004E432F"/>
    <w:rsid w:val="004E4D21"/>
    <w:rsid w:val="004E6008"/>
    <w:rsid w:val="004E7B18"/>
    <w:rsid w:val="004F0B82"/>
    <w:rsid w:val="004F2BB0"/>
    <w:rsid w:val="005125B0"/>
    <w:rsid w:val="005215E9"/>
    <w:rsid w:val="00522970"/>
    <w:rsid w:val="0052323E"/>
    <w:rsid w:val="0053089E"/>
    <w:rsid w:val="00537794"/>
    <w:rsid w:val="0053783B"/>
    <w:rsid w:val="00537AEC"/>
    <w:rsid w:val="005413C8"/>
    <w:rsid w:val="00542591"/>
    <w:rsid w:val="005445CE"/>
    <w:rsid w:val="00546F6F"/>
    <w:rsid w:val="00552AE0"/>
    <w:rsid w:val="00553B05"/>
    <w:rsid w:val="00553C66"/>
    <w:rsid w:val="0055424A"/>
    <w:rsid w:val="005543CD"/>
    <w:rsid w:val="00561999"/>
    <w:rsid w:val="00562716"/>
    <w:rsid w:val="00563FD8"/>
    <w:rsid w:val="00571ED1"/>
    <w:rsid w:val="00576F0C"/>
    <w:rsid w:val="00577720"/>
    <w:rsid w:val="005904DF"/>
    <w:rsid w:val="005929A9"/>
    <w:rsid w:val="00593364"/>
    <w:rsid w:val="00596155"/>
    <w:rsid w:val="005A27D0"/>
    <w:rsid w:val="005A34AD"/>
    <w:rsid w:val="005A3BD8"/>
    <w:rsid w:val="005B1357"/>
    <w:rsid w:val="005B3F54"/>
    <w:rsid w:val="005B4311"/>
    <w:rsid w:val="005C5817"/>
    <w:rsid w:val="005C61AC"/>
    <w:rsid w:val="005C6301"/>
    <w:rsid w:val="005C7523"/>
    <w:rsid w:val="005D214D"/>
    <w:rsid w:val="005E04F5"/>
    <w:rsid w:val="005E1133"/>
    <w:rsid w:val="005F245D"/>
    <w:rsid w:val="005F38F7"/>
    <w:rsid w:val="005F726F"/>
    <w:rsid w:val="005F77DF"/>
    <w:rsid w:val="0060069D"/>
    <w:rsid w:val="00604180"/>
    <w:rsid w:val="00605557"/>
    <w:rsid w:val="006065AC"/>
    <w:rsid w:val="00611CFE"/>
    <w:rsid w:val="00616130"/>
    <w:rsid w:val="006170E3"/>
    <w:rsid w:val="006206EE"/>
    <w:rsid w:val="006207A9"/>
    <w:rsid w:val="00622F0E"/>
    <w:rsid w:val="00623C0C"/>
    <w:rsid w:val="006252FE"/>
    <w:rsid w:val="00625968"/>
    <w:rsid w:val="00625FC7"/>
    <w:rsid w:val="0063188F"/>
    <w:rsid w:val="00632515"/>
    <w:rsid w:val="00634847"/>
    <w:rsid w:val="00636431"/>
    <w:rsid w:val="00641321"/>
    <w:rsid w:val="006473B9"/>
    <w:rsid w:val="00671D61"/>
    <w:rsid w:val="0067245C"/>
    <w:rsid w:val="0067424B"/>
    <w:rsid w:val="00675B68"/>
    <w:rsid w:val="00681239"/>
    <w:rsid w:val="006845A4"/>
    <w:rsid w:val="00687D19"/>
    <w:rsid w:val="00687E5C"/>
    <w:rsid w:val="0069486D"/>
    <w:rsid w:val="00695F10"/>
    <w:rsid w:val="006975CA"/>
    <w:rsid w:val="006A042D"/>
    <w:rsid w:val="006A05E2"/>
    <w:rsid w:val="006A18EF"/>
    <w:rsid w:val="006A29E0"/>
    <w:rsid w:val="006A7F83"/>
    <w:rsid w:val="006B14ED"/>
    <w:rsid w:val="006B15B2"/>
    <w:rsid w:val="006B67C9"/>
    <w:rsid w:val="006C2B4A"/>
    <w:rsid w:val="006C3264"/>
    <w:rsid w:val="006C509B"/>
    <w:rsid w:val="006E137B"/>
    <w:rsid w:val="006E1508"/>
    <w:rsid w:val="006E358F"/>
    <w:rsid w:val="006E4E5E"/>
    <w:rsid w:val="006E691A"/>
    <w:rsid w:val="006E7698"/>
    <w:rsid w:val="006F17A5"/>
    <w:rsid w:val="006F2199"/>
    <w:rsid w:val="007000ED"/>
    <w:rsid w:val="00702037"/>
    <w:rsid w:val="00703313"/>
    <w:rsid w:val="00705EA4"/>
    <w:rsid w:val="00711742"/>
    <w:rsid w:val="007118F4"/>
    <w:rsid w:val="00714363"/>
    <w:rsid w:val="00714859"/>
    <w:rsid w:val="00717F9F"/>
    <w:rsid w:val="00721489"/>
    <w:rsid w:val="0072156C"/>
    <w:rsid w:val="00721671"/>
    <w:rsid w:val="00724108"/>
    <w:rsid w:val="007326C6"/>
    <w:rsid w:val="0073396E"/>
    <w:rsid w:val="0073449D"/>
    <w:rsid w:val="00736096"/>
    <w:rsid w:val="007364A7"/>
    <w:rsid w:val="00741E0C"/>
    <w:rsid w:val="0074453A"/>
    <w:rsid w:val="00751CA6"/>
    <w:rsid w:val="00751D35"/>
    <w:rsid w:val="0075545C"/>
    <w:rsid w:val="00756840"/>
    <w:rsid w:val="00767EB8"/>
    <w:rsid w:val="00775093"/>
    <w:rsid w:val="007760F2"/>
    <w:rsid w:val="0077677C"/>
    <w:rsid w:val="007810B5"/>
    <w:rsid w:val="00783BB2"/>
    <w:rsid w:val="007902C2"/>
    <w:rsid w:val="00797B07"/>
    <w:rsid w:val="00797DA6"/>
    <w:rsid w:val="007A585F"/>
    <w:rsid w:val="007B1D31"/>
    <w:rsid w:val="007C537E"/>
    <w:rsid w:val="007D1943"/>
    <w:rsid w:val="007D415E"/>
    <w:rsid w:val="007D55D3"/>
    <w:rsid w:val="007E0BF0"/>
    <w:rsid w:val="007E2C10"/>
    <w:rsid w:val="007E55C0"/>
    <w:rsid w:val="007E6CF8"/>
    <w:rsid w:val="0080051A"/>
    <w:rsid w:val="00802125"/>
    <w:rsid w:val="0080212F"/>
    <w:rsid w:val="00804184"/>
    <w:rsid w:val="00807524"/>
    <w:rsid w:val="0081002E"/>
    <w:rsid w:val="00813981"/>
    <w:rsid w:val="00815763"/>
    <w:rsid w:val="00816946"/>
    <w:rsid w:val="0081742D"/>
    <w:rsid w:val="00823102"/>
    <w:rsid w:val="00823ABF"/>
    <w:rsid w:val="008240C6"/>
    <w:rsid w:val="00824D10"/>
    <w:rsid w:val="008341CE"/>
    <w:rsid w:val="0083510A"/>
    <w:rsid w:val="008355A1"/>
    <w:rsid w:val="0083620C"/>
    <w:rsid w:val="008363B6"/>
    <w:rsid w:val="00841B27"/>
    <w:rsid w:val="00843519"/>
    <w:rsid w:val="008435CD"/>
    <w:rsid w:val="00844E5C"/>
    <w:rsid w:val="00850433"/>
    <w:rsid w:val="00851356"/>
    <w:rsid w:val="00851C4D"/>
    <w:rsid w:val="008540DC"/>
    <w:rsid w:val="00860DC8"/>
    <w:rsid w:val="00862989"/>
    <w:rsid w:val="00862A45"/>
    <w:rsid w:val="008663CA"/>
    <w:rsid w:val="008674EE"/>
    <w:rsid w:val="00870E09"/>
    <w:rsid w:val="00874628"/>
    <w:rsid w:val="00876917"/>
    <w:rsid w:val="00891CEC"/>
    <w:rsid w:val="00894E28"/>
    <w:rsid w:val="008958DB"/>
    <w:rsid w:val="008A020F"/>
    <w:rsid w:val="008A1BA2"/>
    <w:rsid w:val="008A2D0E"/>
    <w:rsid w:val="008A2D15"/>
    <w:rsid w:val="008A4DC4"/>
    <w:rsid w:val="008A73E0"/>
    <w:rsid w:val="008B3DEC"/>
    <w:rsid w:val="008C3AF5"/>
    <w:rsid w:val="008C49F3"/>
    <w:rsid w:val="008C705B"/>
    <w:rsid w:val="008D0856"/>
    <w:rsid w:val="008D3A44"/>
    <w:rsid w:val="008D7E24"/>
    <w:rsid w:val="008E0540"/>
    <w:rsid w:val="008E33A2"/>
    <w:rsid w:val="008E6B83"/>
    <w:rsid w:val="008F5439"/>
    <w:rsid w:val="0090121C"/>
    <w:rsid w:val="00902163"/>
    <w:rsid w:val="0090467A"/>
    <w:rsid w:val="00910E2C"/>
    <w:rsid w:val="00910E83"/>
    <w:rsid w:val="0092035F"/>
    <w:rsid w:val="00931D87"/>
    <w:rsid w:val="00942E98"/>
    <w:rsid w:val="009436F2"/>
    <w:rsid w:val="00944394"/>
    <w:rsid w:val="00945819"/>
    <w:rsid w:val="009600C8"/>
    <w:rsid w:val="0096240B"/>
    <w:rsid w:val="009677C0"/>
    <w:rsid w:val="00977E24"/>
    <w:rsid w:val="00982AC4"/>
    <w:rsid w:val="00983FA5"/>
    <w:rsid w:val="00987B1D"/>
    <w:rsid w:val="0099008E"/>
    <w:rsid w:val="00992748"/>
    <w:rsid w:val="00996E42"/>
    <w:rsid w:val="00996E4F"/>
    <w:rsid w:val="0099728C"/>
    <w:rsid w:val="00997CD6"/>
    <w:rsid w:val="009A1CDC"/>
    <w:rsid w:val="009A1E93"/>
    <w:rsid w:val="009A34A5"/>
    <w:rsid w:val="009B3C7A"/>
    <w:rsid w:val="009B4F70"/>
    <w:rsid w:val="009B62ED"/>
    <w:rsid w:val="009C1E4E"/>
    <w:rsid w:val="009C3797"/>
    <w:rsid w:val="009C6FEB"/>
    <w:rsid w:val="009D2198"/>
    <w:rsid w:val="009D3916"/>
    <w:rsid w:val="009D7875"/>
    <w:rsid w:val="009E36F1"/>
    <w:rsid w:val="009E5342"/>
    <w:rsid w:val="009E6F2A"/>
    <w:rsid w:val="009F0519"/>
    <w:rsid w:val="009F1065"/>
    <w:rsid w:val="00A00B26"/>
    <w:rsid w:val="00A00EFB"/>
    <w:rsid w:val="00A117D7"/>
    <w:rsid w:val="00A15561"/>
    <w:rsid w:val="00A21993"/>
    <w:rsid w:val="00A23664"/>
    <w:rsid w:val="00A240A7"/>
    <w:rsid w:val="00A25DEC"/>
    <w:rsid w:val="00A277E7"/>
    <w:rsid w:val="00A36875"/>
    <w:rsid w:val="00A405D3"/>
    <w:rsid w:val="00A42369"/>
    <w:rsid w:val="00A45C91"/>
    <w:rsid w:val="00A50048"/>
    <w:rsid w:val="00A62B42"/>
    <w:rsid w:val="00A63200"/>
    <w:rsid w:val="00A646FC"/>
    <w:rsid w:val="00A65BBE"/>
    <w:rsid w:val="00A65FDF"/>
    <w:rsid w:val="00A71316"/>
    <w:rsid w:val="00A7338F"/>
    <w:rsid w:val="00A77A34"/>
    <w:rsid w:val="00A82889"/>
    <w:rsid w:val="00A8675C"/>
    <w:rsid w:val="00A9281B"/>
    <w:rsid w:val="00A963CA"/>
    <w:rsid w:val="00AA3408"/>
    <w:rsid w:val="00AA56AC"/>
    <w:rsid w:val="00AB2E2D"/>
    <w:rsid w:val="00AB3160"/>
    <w:rsid w:val="00AB714C"/>
    <w:rsid w:val="00AB7938"/>
    <w:rsid w:val="00AC150F"/>
    <w:rsid w:val="00AC2630"/>
    <w:rsid w:val="00AC47A2"/>
    <w:rsid w:val="00AD0830"/>
    <w:rsid w:val="00AD0B4C"/>
    <w:rsid w:val="00AD3D48"/>
    <w:rsid w:val="00AD46E2"/>
    <w:rsid w:val="00AE60FB"/>
    <w:rsid w:val="00AE6A78"/>
    <w:rsid w:val="00AF5DE1"/>
    <w:rsid w:val="00B01DA2"/>
    <w:rsid w:val="00B022F5"/>
    <w:rsid w:val="00B04F94"/>
    <w:rsid w:val="00B1191B"/>
    <w:rsid w:val="00B13B7F"/>
    <w:rsid w:val="00B151B9"/>
    <w:rsid w:val="00B15D52"/>
    <w:rsid w:val="00B165CB"/>
    <w:rsid w:val="00B16A12"/>
    <w:rsid w:val="00B22F0D"/>
    <w:rsid w:val="00B23027"/>
    <w:rsid w:val="00B268C2"/>
    <w:rsid w:val="00B3089A"/>
    <w:rsid w:val="00B32956"/>
    <w:rsid w:val="00B32F87"/>
    <w:rsid w:val="00B3428E"/>
    <w:rsid w:val="00B41AE8"/>
    <w:rsid w:val="00B42858"/>
    <w:rsid w:val="00B42B54"/>
    <w:rsid w:val="00B43896"/>
    <w:rsid w:val="00B44184"/>
    <w:rsid w:val="00B4695D"/>
    <w:rsid w:val="00B50692"/>
    <w:rsid w:val="00B51957"/>
    <w:rsid w:val="00B55812"/>
    <w:rsid w:val="00B56A74"/>
    <w:rsid w:val="00B62D9B"/>
    <w:rsid w:val="00B62FD1"/>
    <w:rsid w:val="00B63063"/>
    <w:rsid w:val="00B66236"/>
    <w:rsid w:val="00B667E4"/>
    <w:rsid w:val="00B733A3"/>
    <w:rsid w:val="00B73CE0"/>
    <w:rsid w:val="00B740AC"/>
    <w:rsid w:val="00B74688"/>
    <w:rsid w:val="00B81971"/>
    <w:rsid w:val="00B90B4B"/>
    <w:rsid w:val="00B9309E"/>
    <w:rsid w:val="00BA08A8"/>
    <w:rsid w:val="00BA1ABA"/>
    <w:rsid w:val="00BA3764"/>
    <w:rsid w:val="00BA46B9"/>
    <w:rsid w:val="00BA6FF0"/>
    <w:rsid w:val="00BB23F6"/>
    <w:rsid w:val="00BB2B65"/>
    <w:rsid w:val="00BB3FEA"/>
    <w:rsid w:val="00BB40CD"/>
    <w:rsid w:val="00BB50A9"/>
    <w:rsid w:val="00BB5205"/>
    <w:rsid w:val="00BB76D5"/>
    <w:rsid w:val="00BC00A7"/>
    <w:rsid w:val="00BC0685"/>
    <w:rsid w:val="00BC14DC"/>
    <w:rsid w:val="00BC161B"/>
    <w:rsid w:val="00BC1762"/>
    <w:rsid w:val="00BC35E2"/>
    <w:rsid w:val="00BC6847"/>
    <w:rsid w:val="00BC6ABE"/>
    <w:rsid w:val="00BD6E30"/>
    <w:rsid w:val="00BE57A0"/>
    <w:rsid w:val="00BE5F56"/>
    <w:rsid w:val="00BF41F6"/>
    <w:rsid w:val="00BF7E7E"/>
    <w:rsid w:val="00C0298B"/>
    <w:rsid w:val="00C057ED"/>
    <w:rsid w:val="00C10D22"/>
    <w:rsid w:val="00C11141"/>
    <w:rsid w:val="00C17EEB"/>
    <w:rsid w:val="00C24DB9"/>
    <w:rsid w:val="00C27872"/>
    <w:rsid w:val="00C27CC8"/>
    <w:rsid w:val="00C32D7F"/>
    <w:rsid w:val="00C3540B"/>
    <w:rsid w:val="00C35C41"/>
    <w:rsid w:val="00C4057D"/>
    <w:rsid w:val="00C427C0"/>
    <w:rsid w:val="00C447A9"/>
    <w:rsid w:val="00C45AFC"/>
    <w:rsid w:val="00C47352"/>
    <w:rsid w:val="00C52A22"/>
    <w:rsid w:val="00C539EB"/>
    <w:rsid w:val="00C60D97"/>
    <w:rsid w:val="00C6415B"/>
    <w:rsid w:val="00C65B25"/>
    <w:rsid w:val="00C668DD"/>
    <w:rsid w:val="00C67A77"/>
    <w:rsid w:val="00C75DA9"/>
    <w:rsid w:val="00C760C2"/>
    <w:rsid w:val="00C77C56"/>
    <w:rsid w:val="00C87994"/>
    <w:rsid w:val="00C90BA5"/>
    <w:rsid w:val="00C943ED"/>
    <w:rsid w:val="00C94DE4"/>
    <w:rsid w:val="00CA4476"/>
    <w:rsid w:val="00CA4EF8"/>
    <w:rsid w:val="00CA5028"/>
    <w:rsid w:val="00CB6B23"/>
    <w:rsid w:val="00CB70F7"/>
    <w:rsid w:val="00CC12CE"/>
    <w:rsid w:val="00CD1C0F"/>
    <w:rsid w:val="00CD2418"/>
    <w:rsid w:val="00CE3FEC"/>
    <w:rsid w:val="00CE7065"/>
    <w:rsid w:val="00CF28E1"/>
    <w:rsid w:val="00CF5704"/>
    <w:rsid w:val="00CF7C7D"/>
    <w:rsid w:val="00D0144F"/>
    <w:rsid w:val="00D06885"/>
    <w:rsid w:val="00D12651"/>
    <w:rsid w:val="00D12FFB"/>
    <w:rsid w:val="00D2063A"/>
    <w:rsid w:val="00D210E1"/>
    <w:rsid w:val="00D2162C"/>
    <w:rsid w:val="00D21A3D"/>
    <w:rsid w:val="00D2217D"/>
    <w:rsid w:val="00D27A6F"/>
    <w:rsid w:val="00D35057"/>
    <w:rsid w:val="00D43B19"/>
    <w:rsid w:val="00D45F04"/>
    <w:rsid w:val="00D55234"/>
    <w:rsid w:val="00D8162B"/>
    <w:rsid w:val="00D852C7"/>
    <w:rsid w:val="00D85863"/>
    <w:rsid w:val="00D86BC6"/>
    <w:rsid w:val="00DA608E"/>
    <w:rsid w:val="00DB1A70"/>
    <w:rsid w:val="00DB1B9A"/>
    <w:rsid w:val="00DB264B"/>
    <w:rsid w:val="00DC25D3"/>
    <w:rsid w:val="00DC2787"/>
    <w:rsid w:val="00DC3CF1"/>
    <w:rsid w:val="00DC60BE"/>
    <w:rsid w:val="00DD1DB9"/>
    <w:rsid w:val="00DD3C3F"/>
    <w:rsid w:val="00DD4C14"/>
    <w:rsid w:val="00DD64A6"/>
    <w:rsid w:val="00DE7E03"/>
    <w:rsid w:val="00DF13EB"/>
    <w:rsid w:val="00DF2904"/>
    <w:rsid w:val="00DF4CC1"/>
    <w:rsid w:val="00E02036"/>
    <w:rsid w:val="00E02276"/>
    <w:rsid w:val="00E11760"/>
    <w:rsid w:val="00E14B50"/>
    <w:rsid w:val="00E15BE8"/>
    <w:rsid w:val="00E163C7"/>
    <w:rsid w:val="00E21560"/>
    <w:rsid w:val="00E22584"/>
    <w:rsid w:val="00E25E62"/>
    <w:rsid w:val="00E30903"/>
    <w:rsid w:val="00E33180"/>
    <w:rsid w:val="00E33DE3"/>
    <w:rsid w:val="00E35077"/>
    <w:rsid w:val="00E35715"/>
    <w:rsid w:val="00E35E3F"/>
    <w:rsid w:val="00E40750"/>
    <w:rsid w:val="00E45087"/>
    <w:rsid w:val="00E50041"/>
    <w:rsid w:val="00E52397"/>
    <w:rsid w:val="00E543C2"/>
    <w:rsid w:val="00E5464B"/>
    <w:rsid w:val="00E5534B"/>
    <w:rsid w:val="00E57F33"/>
    <w:rsid w:val="00E603F8"/>
    <w:rsid w:val="00E61029"/>
    <w:rsid w:val="00E61E67"/>
    <w:rsid w:val="00E622A6"/>
    <w:rsid w:val="00E674BE"/>
    <w:rsid w:val="00E678D9"/>
    <w:rsid w:val="00E7118C"/>
    <w:rsid w:val="00E71A3E"/>
    <w:rsid w:val="00E72535"/>
    <w:rsid w:val="00E7430D"/>
    <w:rsid w:val="00E75DFD"/>
    <w:rsid w:val="00E818E0"/>
    <w:rsid w:val="00E84405"/>
    <w:rsid w:val="00E84A33"/>
    <w:rsid w:val="00E92BFD"/>
    <w:rsid w:val="00E95D66"/>
    <w:rsid w:val="00E97BFD"/>
    <w:rsid w:val="00EA1AF5"/>
    <w:rsid w:val="00EA3190"/>
    <w:rsid w:val="00EA4ADE"/>
    <w:rsid w:val="00EB0E97"/>
    <w:rsid w:val="00EB2676"/>
    <w:rsid w:val="00EB2BC9"/>
    <w:rsid w:val="00EB2CBE"/>
    <w:rsid w:val="00EB3399"/>
    <w:rsid w:val="00EB3AAB"/>
    <w:rsid w:val="00ED2360"/>
    <w:rsid w:val="00ED3344"/>
    <w:rsid w:val="00ED42E5"/>
    <w:rsid w:val="00ED5467"/>
    <w:rsid w:val="00EE10E1"/>
    <w:rsid w:val="00EE231F"/>
    <w:rsid w:val="00EE3936"/>
    <w:rsid w:val="00EF04A8"/>
    <w:rsid w:val="00EF27B9"/>
    <w:rsid w:val="00EF3D14"/>
    <w:rsid w:val="00EF523B"/>
    <w:rsid w:val="00EF6C25"/>
    <w:rsid w:val="00F018CF"/>
    <w:rsid w:val="00F01B3E"/>
    <w:rsid w:val="00F01F75"/>
    <w:rsid w:val="00F02B45"/>
    <w:rsid w:val="00F04D0A"/>
    <w:rsid w:val="00F10C44"/>
    <w:rsid w:val="00F13A05"/>
    <w:rsid w:val="00F140E1"/>
    <w:rsid w:val="00F17232"/>
    <w:rsid w:val="00F2208E"/>
    <w:rsid w:val="00F231A6"/>
    <w:rsid w:val="00F267FC"/>
    <w:rsid w:val="00F310FC"/>
    <w:rsid w:val="00F31BF9"/>
    <w:rsid w:val="00F34DFC"/>
    <w:rsid w:val="00F418EA"/>
    <w:rsid w:val="00F436BA"/>
    <w:rsid w:val="00F46181"/>
    <w:rsid w:val="00F50B12"/>
    <w:rsid w:val="00F565B6"/>
    <w:rsid w:val="00F62A45"/>
    <w:rsid w:val="00F65748"/>
    <w:rsid w:val="00F66848"/>
    <w:rsid w:val="00F71345"/>
    <w:rsid w:val="00F71C10"/>
    <w:rsid w:val="00F74A55"/>
    <w:rsid w:val="00F77A5D"/>
    <w:rsid w:val="00F80CAD"/>
    <w:rsid w:val="00F82BD2"/>
    <w:rsid w:val="00F87245"/>
    <w:rsid w:val="00F92C0C"/>
    <w:rsid w:val="00F93F04"/>
    <w:rsid w:val="00F9561D"/>
    <w:rsid w:val="00F95AF7"/>
    <w:rsid w:val="00F970D0"/>
    <w:rsid w:val="00FB02DC"/>
    <w:rsid w:val="00FB275E"/>
    <w:rsid w:val="00FB3CC3"/>
    <w:rsid w:val="00FB58C7"/>
    <w:rsid w:val="00FC07B8"/>
    <w:rsid w:val="00FC1BF5"/>
    <w:rsid w:val="00FC4A32"/>
    <w:rsid w:val="00FD078E"/>
    <w:rsid w:val="00FD4185"/>
    <w:rsid w:val="00FD6239"/>
    <w:rsid w:val="00FF0B33"/>
    <w:rsid w:val="00FF40D6"/>
    <w:rsid w:val="00FF4B12"/>
    <w:rsid w:val="00FF6628"/>
    <w:rsid w:val="00FF7D8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6D5C"/>
  <w15:docId w15:val="{727B0940-7FBB-4957-9521-A16AE0BE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7A0"/>
    <w:rPr>
      <w:rFonts w:ascii="Times New Roman" w:eastAsia="MS Mincho" w:hAnsi="Times New Roman" w:cs="Times New Roman"/>
      <w:sz w:val="24"/>
      <w:szCs w:val="24"/>
      <w:lang w:val="es-ES" w:eastAsia="es-ES"/>
    </w:rPr>
  </w:style>
  <w:style w:type="paragraph" w:styleId="Ttulo1">
    <w:name w:val="heading 1"/>
    <w:aliases w:val="TituloPrincipal"/>
    <w:basedOn w:val="Normal"/>
    <w:next w:val="Normal"/>
    <w:link w:val="Ttulo1Car"/>
    <w:uiPriority w:val="9"/>
    <w:qFormat/>
    <w:rsid w:val="00EB0E97"/>
    <w:pPr>
      <w:keepNext/>
      <w:keepLines/>
      <w:spacing w:before="240"/>
      <w:outlineLvl w:val="0"/>
    </w:pPr>
    <w:rPr>
      <w:rFonts w:ascii="Arial" w:eastAsiaTheme="majorEastAsia" w:hAnsi="Arial" w:cstheme="majorBidi"/>
      <w:b/>
      <w:sz w:val="22"/>
      <w:szCs w:val="32"/>
    </w:rPr>
  </w:style>
  <w:style w:type="paragraph" w:styleId="Ttulo2">
    <w:name w:val="heading 2"/>
    <w:basedOn w:val="Normal"/>
    <w:next w:val="Normal"/>
    <w:link w:val="Ttulo2Car"/>
    <w:autoRedefine/>
    <w:uiPriority w:val="9"/>
    <w:unhideWhenUsed/>
    <w:qFormat/>
    <w:rsid w:val="00687D19"/>
    <w:pPr>
      <w:keepNext/>
      <w:keepLines/>
      <w:numPr>
        <w:numId w:val="43"/>
      </w:numPr>
      <w:ind w:hanging="720"/>
      <w:outlineLvl w:val="1"/>
    </w:pPr>
    <w:rPr>
      <w:rFonts w:ascii="Arial" w:eastAsia="Calibri" w:hAnsi="Arial" w:cs="Arial"/>
      <w:b/>
      <w:bCs/>
      <w:sz w:val="22"/>
      <w:szCs w:val="22"/>
      <w:lang w:val="es-ES_tradnl" w:eastAsia="en-US"/>
    </w:rPr>
  </w:style>
  <w:style w:type="paragraph" w:styleId="Ttulo3">
    <w:name w:val="heading 3"/>
    <w:basedOn w:val="Normal"/>
    <w:next w:val="Normal"/>
    <w:link w:val="Ttulo3Car"/>
    <w:uiPriority w:val="9"/>
    <w:unhideWhenUsed/>
    <w:qFormat/>
    <w:rsid w:val="00EB0E97"/>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9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Normal. Viñetas,List,titulo 3,Ha,Bullets,Lista vistosa - Énfasis 11,Cuadrícula clara - Énfasis 31"/>
    <w:basedOn w:val="Normal"/>
    <w:link w:val="PrrafodelistaCar"/>
    <w:uiPriority w:val="34"/>
    <w:qFormat/>
    <w:rsid w:val="005E04F5"/>
    <w:pPr>
      <w:ind w:left="720"/>
      <w:contextualSpacing/>
    </w:p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99"/>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aliases w:val="Subtitulo"/>
    <w:link w:val="SinespaciadoCar"/>
    <w:uiPriority w:val="1"/>
    <w:qFormat/>
    <w:rsid w:val="007B1D31"/>
  </w:style>
  <w:style w:type="character" w:styleId="Refdecomentario">
    <w:name w:val="annotation reference"/>
    <w:basedOn w:val="Fuentedeprrafopredeter"/>
    <w:uiPriority w:val="99"/>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0D6114"/>
    <w:pPr>
      <w:spacing w:before="100" w:beforeAutospacing="1" w:after="119"/>
    </w:pPr>
    <w:rPr>
      <w:rFonts w:eastAsia="Calibri"/>
    </w:rPr>
  </w:style>
  <w:style w:type="character" w:customStyle="1" w:styleId="SinespaciadoCar">
    <w:name w:val="Sin espaciado Car"/>
    <w:aliases w:val="Subtitulo Car"/>
    <w:basedOn w:val="Fuentedeprrafopredeter"/>
    <w:link w:val="Sinespaciado"/>
    <w:uiPriority w:val="1"/>
    <w:locked/>
    <w:rsid w:val="00E52397"/>
  </w:style>
  <w:style w:type="character" w:customStyle="1" w:styleId="Ttulo1Car">
    <w:name w:val="Título 1 Car"/>
    <w:aliases w:val="TituloPrincipal Car"/>
    <w:basedOn w:val="Fuentedeprrafopredeter"/>
    <w:link w:val="Ttulo1"/>
    <w:uiPriority w:val="9"/>
    <w:rsid w:val="00EB0E97"/>
    <w:rPr>
      <w:rFonts w:ascii="Arial" w:eastAsiaTheme="majorEastAsia" w:hAnsi="Arial" w:cstheme="majorBidi"/>
      <w:b/>
      <w:szCs w:val="32"/>
      <w:lang w:val="es-ES" w:eastAsia="es-ES"/>
    </w:rPr>
  </w:style>
  <w:style w:type="paragraph" w:styleId="Textoindependiente2">
    <w:name w:val="Body Text 2"/>
    <w:basedOn w:val="Normal"/>
    <w:link w:val="Textoindependiente2Car"/>
    <w:uiPriority w:val="99"/>
    <w:semiHidden/>
    <w:unhideWhenUsed/>
    <w:rsid w:val="00E52397"/>
    <w:pPr>
      <w:jc w:val="both"/>
    </w:pPr>
    <w:rPr>
      <w:rFonts w:ascii="Arial" w:eastAsia="Times New Roman" w:hAnsi="Arial"/>
      <w:sz w:val="20"/>
      <w:szCs w:val="20"/>
      <w:lang w:val="es-ES_tradnl"/>
    </w:rPr>
  </w:style>
  <w:style w:type="character" w:customStyle="1" w:styleId="Textoindependiente2Car">
    <w:name w:val="Texto independiente 2 Car"/>
    <w:basedOn w:val="Fuentedeprrafopredeter"/>
    <w:link w:val="Textoindependiente2"/>
    <w:uiPriority w:val="99"/>
    <w:semiHidden/>
    <w:rsid w:val="00E52397"/>
    <w:rPr>
      <w:rFonts w:ascii="Arial" w:eastAsia="Times New Roman" w:hAnsi="Arial" w:cs="Times New Roman"/>
      <w:sz w:val="20"/>
      <w:szCs w:val="20"/>
      <w:lang w:val="es-ES_tradnl" w:eastAsia="es-ES"/>
    </w:rPr>
  </w:style>
  <w:style w:type="character" w:customStyle="1" w:styleId="Ttulo2Car">
    <w:name w:val="Título 2 Car"/>
    <w:basedOn w:val="Fuentedeprrafopredeter"/>
    <w:link w:val="Ttulo2"/>
    <w:uiPriority w:val="9"/>
    <w:rsid w:val="00687D19"/>
    <w:rPr>
      <w:rFonts w:ascii="Arial" w:eastAsia="Calibri" w:hAnsi="Arial" w:cs="Arial"/>
      <w:b/>
      <w:bCs/>
      <w:lang w:val="es-ES_tradnl"/>
    </w:rPr>
  </w:style>
  <w:style w:type="paragraph" w:styleId="Textoindependiente">
    <w:name w:val="Body Text"/>
    <w:basedOn w:val="Normal"/>
    <w:link w:val="TextoindependienteCar"/>
    <w:uiPriority w:val="99"/>
    <w:semiHidden/>
    <w:unhideWhenUsed/>
    <w:rsid w:val="00C60D97"/>
    <w:pPr>
      <w:spacing w:after="120"/>
    </w:pPr>
  </w:style>
  <w:style w:type="character" w:customStyle="1" w:styleId="TextoindependienteCar">
    <w:name w:val="Texto independiente Car"/>
    <w:basedOn w:val="Fuentedeprrafopredeter"/>
    <w:link w:val="Textoindependiente"/>
    <w:uiPriority w:val="99"/>
    <w:semiHidden/>
    <w:rsid w:val="00C60D97"/>
    <w:rPr>
      <w:rFonts w:ascii="Times New Roman" w:eastAsia="MS Mincho" w:hAnsi="Times New Roman" w:cs="Times New Roman"/>
      <w:sz w:val="24"/>
      <w:szCs w:val="24"/>
      <w:lang w:val="es-ES" w:eastAsia="es-ES"/>
    </w:rPr>
  </w:style>
  <w:style w:type="character" w:customStyle="1" w:styleId="PrrafodelistaCar">
    <w:name w:val="Párrafo de lista Car"/>
    <w:aliases w:val="Normal. Viñetas Car,List Car,titulo 3 Car,Ha Car,Bullets Car,Lista vistosa - Énfasis 11 Car,Cuadrícula clara - Énfasis 31 Car"/>
    <w:link w:val="Prrafodelista"/>
    <w:uiPriority w:val="34"/>
    <w:locked/>
    <w:rsid w:val="00062D3F"/>
    <w:rPr>
      <w:rFonts w:ascii="Times New Roman" w:eastAsia="MS Mincho" w:hAnsi="Times New Roman" w:cs="Times New Roman"/>
      <w:sz w:val="24"/>
      <w:szCs w:val="24"/>
      <w:lang w:val="es-ES" w:eastAsia="es-ES"/>
    </w:rPr>
  </w:style>
  <w:style w:type="paragraph" w:customStyle="1" w:styleId="CONPESTexto">
    <w:name w:val="CONPES Texto"/>
    <w:basedOn w:val="Normal"/>
    <w:uiPriority w:val="99"/>
    <w:qFormat/>
    <w:rsid w:val="00A23664"/>
    <w:pPr>
      <w:spacing w:before="120" w:after="120" w:line="276" w:lineRule="auto"/>
      <w:ind w:firstLine="567"/>
      <w:jc w:val="both"/>
    </w:pPr>
    <w:rPr>
      <w:rFonts w:ascii="Futura Std Book" w:eastAsia="Calibri" w:hAnsi="Futura Std Book"/>
      <w:color w:val="000000"/>
      <w:sz w:val="22"/>
      <w:lang w:val="es-CO" w:eastAsia="en-US"/>
    </w:rPr>
  </w:style>
  <w:style w:type="paragraph" w:styleId="Textonotapie">
    <w:name w:val="footnote text"/>
    <w:aliases w:val="Ref. de nota al pie1,Footnote Text Char,Footnote Text Char Char Char Char,Footnote Text Char Char Char Char Char Char Char Char,FA Fu"/>
    <w:basedOn w:val="Normal"/>
    <w:link w:val="TextonotapieCar"/>
    <w:semiHidden/>
    <w:unhideWhenUsed/>
    <w:rsid w:val="00C27872"/>
    <w:rPr>
      <w:sz w:val="20"/>
      <w:szCs w:val="20"/>
    </w:rPr>
  </w:style>
  <w:style w:type="character" w:customStyle="1" w:styleId="TextonotapieCar">
    <w:name w:val="Texto nota pie Car"/>
    <w:aliases w:val="Ref. de nota al pie1 Car,Footnote Text Char Car,Footnote Text Char Char Char Char Car,Footnote Text Char Char Char Char Char Char Char Char Car,FA Fu Car"/>
    <w:basedOn w:val="Fuentedeprrafopredeter"/>
    <w:link w:val="Textonotapie"/>
    <w:semiHidden/>
    <w:rsid w:val="00C27872"/>
    <w:rPr>
      <w:rFonts w:ascii="Times New Roman" w:eastAsia="MS Mincho" w:hAnsi="Times New Roman" w:cs="Times New Roman"/>
      <w:sz w:val="20"/>
      <w:szCs w:val="20"/>
      <w:lang w:val="es-ES" w:eastAsia="es-ES"/>
    </w:rPr>
  </w:style>
  <w:style w:type="character" w:styleId="Refdenotaalpie">
    <w:name w:val="footnote reference"/>
    <w:aliases w:val="Ref. de nota al pie 2,Texto de nota al pie,Pie de Página,FC,Texto de nota al pi,Appel note de bas de page,Footnotes refss,Footnote number,referencia nota al pie,BVI fnr,f,4_G,16 Point,Superscript 6 Point,Texto nota al pie"/>
    <w:basedOn w:val="Fuentedeprrafopredeter"/>
    <w:uiPriority w:val="99"/>
    <w:semiHidden/>
    <w:unhideWhenUsed/>
    <w:qFormat/>
    <w:rsid w:val="00C27872"/>
    <w:rPr>
      <w:vertAlign w:val="superscript"/>
    </w:rPr>
  </w:style>
  <w:style w:type="character" w:customStyle="1" w:styleId="Ttulo3Car">
    <w:name w:val="Título 3 Car"/>
    <w:basedOn w:val="Fuentedeprrafopredeter"/>
    <w:link w:val="Ttulo3"/>
    <w:uiPriority w:val="9"/>
    <w:rsid w:val="00EB0E97"/>
    <w:rPr>
      <w:rFonts w:asciiTheme="majorHAnsi" w:eastAsiaTheme="majorEastAsia" w:hAnsiTheme="majorHAnsi" w:cstheme="majorBidi"/>
      <w:color w:val="243F60" w:themeColor="accent1" w:themeShade="7F"/>
      <w:sz w:val="24"/>
      <w:szCs w:val="24"/>
      <w:lang w:val="es-ES" w:eastAsia="es-ES"/>
    </w:rPr>
  </w:style>
  <w:style w:type="character" w:styleId="Hipervnculovisitado">
    <w:name w:val="FollowedHyperlink"/>
    <w:basedOn w:val="Fuentedeprrafopredeter"/>
    <w:uiPriority w:val="99"/>
    <w:semiHidden/>
    <w:unhideWhenUsed/>
    <w:rsid w:val="00E7118C"/>
    <w:rPr>
      <w:color w:val="800080" w:themeColor="followedHyperlink"/>
      <w:u w:val="single"/>
    </w:rPr>
  </w:style>
  <w:style w:type="character" w:customStyle="1" w:styleId="Ttulo1Car1">
    <w:name w:val="Título 1 Car1"/>
    <w:aliases w:val="TituloPrincipal Car1"/>
    <w:basedOn w:val="Fuentedeprrafopredeter"/>
    <w:uiPriority w:val="9"/>
    <w:rsid w:val="00E7118C"/>
    <w:rPr>
      <w:rFonts w:asciiTheme="majorHAnsi" w:eastAsiaTheme="majorEastAsia" w:hAnsiTheme="majorHAnsi" w:cstheme="majorBidi"/>
      <w:color w:val="365F91" w:themeColor="accent1" w:themeShade="BF"/>
      <w:sz w:val="32"/>
      <w:szCs w:val="32"/>
      <w:lang w:val="es-ES" w:eastAsia="es-ES"/>
    </w:rPr>
  </w:style>
  <w:style w:type="paragraph" w:customStyle="1" w:styleId="msonormal0">
    <w:name w:val="msonormal"/>
    <w:basedOn w:val="Normal"/>
    <w:uiPriority w:val="99"/>
    <w:rsid w:val="00E7118C"/>
    <w:pPr>
      <w:spacing w:before="100" w:beforeAutospacing="1" w:after="119"/>
    </w:pPr>
    <w:rPr>
      <w:rFonts w:eastAsia="Calibri"/>
    </w:rPr>
  </w:style>
  <w:style w:type="character" w:customStyle="1" w:styleId="TextonotapieCar1">
    <w:name w:val="Texto nota pie Car1"/>
    <w:aliases w:val="Ref. de nota al pie1 Car1,Footnote Text Char Car1,Footnote Text Char Char Char Char Car1,Footnote Text Char Char Char Char Char Char Char Char Car1,FA Fu Car1"/>
    <w:basedOn w:val="Fuentedeprrafopredeter"/>
    <w:semiHidden/>
    <w:rsid w:val="00E7118C"/>
    <w:rPr>
      <w:rFonts w:ascii="Times New Roman" w:eastAsia="MS Mincho" w:hAnsi="Times New Roman" w:cs="Times New Roman"/>
      <w:sz w:val="20"/>
      <w:szCs w:val="20"/>
      <w:lang w:val="es-ES" w:eastAsia="es-ES"/>
    </w:rPr>
  </w:style>
  <w:style w:type="paragraph" w:customStyle="1" w:styleId="Default">
    <w:name w:val="Default"/>
    <w:uiPriority w:val="99"/>
    <w:rsid w:val="00244F5E"/>
    <w:pPr>
      <w:autoSpaceDE w:val="0"/>
      <w:autoSpaceDN w:val="0"/>
      <w:adjustRightInd w:val="0"/>
    </w:pPr>
    <w:rPr>
      <w:rFonts w:ascii="Arial" w:hAnsi="Arial" w:cs="Arial"/>
      <w:color w:val="000000"/>
      <w:sz w:val="24"/>
      <w:szCs w:val="24"/>
      <w:lang w:val="en-US"/>
    </w:rPr>
  </w:style>
  <w:style w:type="paragraph" w:customStyle="1" w:styleId="parrafo-division">
    <w:name w:val="parrafo-division"/>
    <w:basedOn w:val="Normal"/>
    <w:uiPriority w:val="99"/>
    <w:rsid w:val="00244F5E"/>
    <w:pPr>
      <w:spacing w:before="100" w:beforeAutospacing="1" w:after="100" w:afterAutospacing="1"/>
    </w:pPr>
    <w:rPr>
      <w:rFonts w:eastAsia="Times New Roman"/>
      <w:lang w:val="es-CO" w:eastAsia="es-CO"/>
    </w:rPr>
  </w:style>
  <w:style w:type="table" w:styleId="Tablaconcuadrcula4-nfasis4">
    <w:name w:val="Grid Table 4 Accent 4"/>
    <w:basedOn w:val="Tablanormal"/>
    <w:uiPriority w:val="49"/>
    <w:rsid w:val="00D2217D"/>
    <w:rPr>
      <w:rFonts w:cs="Calibri"/>
    </w:rPr>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Revisin">
    <w:name w:val="Revision"/>
    <w:hidden/>
    <w:uiPriority w:val="99"/>
    <w:semiHidden/>
    <w:rsid w:val="00721489"/>
    <w:rPr>
      <w:rFonts w:ascii="Times New Roman" w:eastAsia="MS Mincho" w:hAnsi="Times New Roman" w:cs="Times New Roman"/>
      <w:sz w:val="24"/>
      <w:szCs w:val="24"/>
      <w:lang w:val="es-ES" w:eastAsia="es-ES"/>
    </w:rPr>
  </w:style>
  <w:style w:type="character" w:styleId="Mencinsinresolver">
    <w:name w:val="Unresolved Mention"/>
    <w:basedOn w:val="Fuentedeprrafopredeter"/>
    <w:uiPriority w:val="99"/>
    <w:semiHidden/>
    <w:unhideWhenUsed/>
    <w:rsid w:val="002D7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721">
      <w:bodyDiv w:val="1"/>
      <w:marLeft w:val="0"/>
      <w:marRight w:val="0"/>
      <w:marTop w:val="0"/>
      <w:marBottom w:val="0"/>
      <w:divBdr>
        <w:top w:val="none" w:sz="0" w:space="0" w:color="auto"/>
        <w:left w:val="none" w:sz="0" w:space="0" w:color="auto"/>
        <w:bottom w:val="none" w:sz="0" w:space="0" w:color="auto"/>
        <w:right w:val="none" w:sz="0" w:space="0" w:color="auto"/>
      </w:divBdr>
    </w:div>
    <w:div w:id="25957795">
      <w:bodyDiv w:val="1"/>
      <w:marLeft w:val="0"/>
      <w:marRight w:val="0"/>
      <w:marTop w:val="0"/>
      <w:marBottom w:val="0"/>
      <w:divBdr>
        <w:top w:val="none" w:sz="0" w:space="0" w:color="auto"/>
        <w:left w:val="none" w:sz="0" w:space="0" w:color="auto"/>
        <w:bottom w:val="none" w:sz="0" w:space="0" w:color="auto"/>
        <w:right w:val="none" w:sz="0" w:space="0" w:color="auto"/>
      </w:divBdr>
    </w:div>
    <w:div w:id="97796959">
      <w:bodyDiv w:val="1"/>
      <w:marLeft w:val="0"/>
      <w:marRight w:val="0"/>
      <w:marTop w:val="0"/>
      <w:marBottom w:val="0"/>
      <w:divBdr>
        <w:top w:val="none" w:sz="0" w:space="0" w:color="auto"/>
        <w:left w:val="none" w:sz="0" w:space="0" w:color="auto"/>
        <w:bottom w:val="none" w:sz="0" w:space="0" w:color="auto"/>
        <w:right w:val="none" w:sz="0" w:space="0" w:color="auto"/>
      </w:divBdr>
    </w:div>
    <w:div w:id="151869107">
      <w:bodyDiv w:val="1"/>
      <w:marLeft w:val="0"/>
      <w:marRight w:val="0"/>
      <w:marTop w:val="0"/>
      <w:marBottom w:val="0"/>
      <w:divBdr>
        <w:top w:val="none" w:sz="0" w:space="0" w:color="auto"/>
        <w:left w:val="none" w:sz="0" w:space="0" w:color="auto"/>
        <w:bottom w:val="none" w:sz="0" w:space="0" w:color="auto"/>
        <w:right w:val="none" w:sz="0" w:space="0" w:color="auto"/>
      </w:divBdr>
    </w:div>
    <w:div w:id="221333437">
      <w:bodyDiv w:val="1"/>
      <w:marLeft w:val="0"/>
      <w:marRight w:val="0"/>
      <w:marTop w:val="0"/>
      <w:marBottom w:val="0"/>
      <w:divBdr>
        <w:top w:val="none" w:sz="0" w:space="0" w:color="auto"/>
        <w:left w:val="none" w:sz="0" w:space="0" w:color="auto"/>
        <w:bottom w:val="none" w:sz="0" w:space="0" w:color="auto"/>
        <w:right w:val="none" w:sz="0" w:space="0" w:color="auto"/>
      </w:divBdr>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380978759">
      <w:bodyDiv w:val="1"/>
      <w:marLeft w:val="0"/>
      <w:marRight w:val="0"/>
      <w:marTop w:val="0"/>
      <w:marBottom w:val="0"/>
      <w:divBdr>
        <w:top w:val="none" w:sz="0" w:space="0" w:color="auto"/>
        <w:left w:val="none" w:sz="0" w:space="0" w:color="auto"/>
        <w:bottom w:val="none" w:sz="0" w:space="0" w:color="auto"/>
        <w:right w:val="none" w:sz="0" w:space="0" w:color="auto"/>
      </w:divBdr>
    </w:div>
    <w:div w:id="441727585">
      <w:bodyDiv w:val="1"/>
      <w:marLeft w:val="0"/>
      <w:marRight w:val="0"/>
      <w:marTop w:val="0"/>
      <w:marBottom w:val="0"/>
      <w:divBdr>
        <w:top w:val="none" w:sz="0" w:space="0" w:color="auto"/>
        <w:left w:val="none" w:sz="0" w:space="0" w:color="auto"/>
        <w:bottom w:val="none" w:sz="0" w:space="0" w:color="auto"/>
        <w:right w:val="none" w:sz="0" w:space="0" w:color="auto"/>
      </w:divBdr>
    </w:div>
    <w:div w:id="536821224">
      <w:bodyDiv w:val="1"/>
      <w:marLeft w:val="0"/>
      <w:marRight w:val="0"/>
      <w:marTop w:val="0"/>
      <w:marBottom w:val="0"/>
      <w:divBdr>
        <w:top w:val="none" w:sz="0" w:space="0" w:color="auto"/>
        <w:left w:val="none" w:sz="0" w:space="0" w:color="auto"/>
        <w:bottom w:val="none" w:sz="0" w:space="0" w:color="auto"/>
        <w:right w:val="none" w:sz="0" w:space="0" w:color="auto"/>
      </w:divBdr>
    </w:div>
    <w:div w:id="573707907">
      <w:bodyDiv w:val="1"/>
      <w:marLeft w:val="0"/>
      <w:marRight w:val="0"/>
      <w:marTop w:val="0"/>
      <w:marBottom w:val="0"/>
      <w:divBdr>
        <w:top w:val="none" w:sz="0" w:space="0" w:color="auto"/>
        <w:left w:val="none" w:sz="0" w:space="0" w:color="auto"/>
        <w:bottom w:val="none" w:sz="0" w:space="0" w:color="auto"/>
        <w:right w:val="none" w:sz="0" w:space="0" w:color="auto"/>
      </w:divBdr>
    </w:div>
    <w:div w:id="583271578">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698699978">
      <w:bodyDiv w:val="1"/>
      <w:marLeft w:val="0"/>
      <w:marRight w:val="0"/>
      <w:marTop w:val="0"/>
      <w:marBottom w:val="0"/>
      <w:divBdr>
        <w:top w:val="none" w:sz="0" w:space="0" w:color="auto"/>
        <w:left w:val="none" w:sz="0" w:space="0" w:color="auto"/>
        <w:bottom w:val="none" w:sz="0" w:space="0" w:color="auto"/>
        <w:right w:val="none" w:sz="0" w:space="0" w:color="auto"/>
      </w:divBdr>
    </w:div>
    <w:div w:id="793790621">
      <w:bodyDiv w:val="1"/>
      <w:marLeft w:val="0"/>
      <w:marRight w:val="0"/>
      <w:marTop w:val="0"/>
      <w:marBottom w:val="0"/>
      <w:divBdr>
        <w:top w:val="none" w:sz="0" w:space="0" w:color="auto"/>
        <w:left w:val="none" w:sz="0" w:space="0" w:color="auto"/>
        <w:bottom w:val="none" w:sz="0" w:space="0" w:color="auto"/>
        <w:right w:val="none" w:sz="0" w:space="0" w:color="auto"/>
      </w:divBdr>
    </w:div>
    <w:div w:id="858473402">
      <w:bodyDiv w:val="1"/>
      <w:marLeft w:val="0"/>
      <w:marRight w:val="0"/>
      <w:marTop w:val="0"/>
      <w:marBottom w:val="0"/>
      <w:divBdr>
        <w:top w:val="none" w:sz="0" w:space="0" w:color="auto"/>
        <w:left w:val="none" w:sz="0" w:space="0" w:color="auto"/>
        <w:bottom w:val="none" w:sz="0" w:space="0" w:color="auto"/>
        <w:right w:val="none" w:sz="0" w:space="0" w:color="auto"/>
      </w:divBdr>
    </w:div>
    <w:div w:id="915480796">
      <w:bodyDiv w:val="1"/>
      <w:marLeft w:val="0"/>
      <w:marRight w:val="0"/>
      <w:marTop w:val="0"/>
      <w:marBottom w:val="0"/>
      <w:divBdr>
        <w:top w:val="none" w:sz="0" w:space="0" w:color="auto"/>
        <w:left w:val="none" w:sz="0" w:space="0" w:color="auto"/>
        <w:bottom w:val="none" w:sz="0" w:space="0" w:color="auto"/>
        <w:right w:val="none" w:sz="0" w:space="0" w:color="auto"/>
      </w:divBdr>
    </w:div>
    <w:div w:id="969748886">
      <w:bodyDiv w:val="1"/>
      <w:marLeft w:val="0"/>
      <w:marRight w:val="0"/>
      <w:marTop w:val="0"/>
      <w:marBottom w:val="0"/>
      <w:divBdr>
        <w:top w:val="none" w:sz="0" w:space="0" w:color="auto"/>
        <w:left w:val="none" w:sz="0" w:space="0" w:color="auto"/>
        <w:bottom w:val="none" w:sz="0" w:space="0" w:color="auto"/>
        <w:right w:val="none" w:sz="0" w:space="0" w:color="auto"/>
      </w:divBdr>
    </w:div>
    <w:div w:id="978458946">
      <w:bodyDiv w:val="1"/>
      <w:marLeft w:val="0"/>
      <w:marRight w:val="0"/>
      <w:marTop w:val="0"/>
      <w:marBottom w:val="0"/>
      <w:divBdr>
        <w:top w:val="none" w:sz="0" w:space="0" w:color="auto"/>
        <w:left w:val="none" w:sz="0" w:space="0" w:color="auto"/>
        <w:bottom w:val="none" w:sz="0" w:space="0" w:color="auto"/>
        <w:right w:val="none" w:sz="0" w:space="0" w:color="auto"/>
      </w:divBdr>
    </w:div>
    <w:div w:id="1080982136">
      <w:bodyDiv w:val="1"/>
      <w:marLeft w:val="0"/>
      <w:marRight w:val="0"/>
      <w:marTop w:val="0"/>
      <w:marBottom w:val="0"/>
      <w:divBdr>
        <w:top w:val="none" w:sz="0" w:space="0" w:color="auto"/>
        <w:left w:val="none" w:sz="0" w:space="0" w:color="auto"/>
        <w:bottom w:val="none" w:sz="0" w:space="0" w:color="auto"/>
        <w:right w:val="none" w:sz="0" w:space="0" w:color="auto"/>
      </w:divBdr>
    </w:div>
    <w:div w:id="1296134223">
      <w:bodyDiv w:val="1"/>
      <w:marLeft w:val="0"/>
      <w:marRight w:val="0"/>
      <w:marTop w:val="0"/>
      <w:marBottom w:val="0"/>
      <w:divBdr>
        <w:top w:val="none" w:sz="0" w:space="0" w:color="auto"/>
        <w:left w:val="none" w:sz="0" w:space="0" w:color="auto"/>
        <w:bottom w:val="none" w:sz="0" w:space="0" w:color="auto"/>
        <w:right w:val="none" w:sz="0" w:space="0" w:color="auto"/>
      </w:divBdr>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314945558">
      <w:bodyDiv w:val="1"/>
      <w:marLeft w:val="0"/>
      <w:marRight w:val="0"/>
      <w:marTop w:val="0"/>
      <w:marBottom w:val="0"/>
      <w:divBdr>
        <w:top w:val="none" w:sz="0" w:space="0" w:color="auto"/>
        <w:left w:val="none" w:sz="0" w:space="0" w:color="auto"/>
        <w:bottom w:val="none" w:sz="0" w:space="0" w:color="auto"/>
        <w:right w:val="none" w:sz="0" w:space="0" w:color="auto"/>
      </w:divBdr>
    </w:div>
    <w:div w:id="1337808237">
      <w:bodyDiv w:val="1"/>
      <w:marLeft w:val="0"/>
      <w:marRight w:val="0"/>
      <w:marTop w:val="0"/>
      <w:marBottom w:val="0"/>
      <w:divBdr>
        <w:top w:val="none" w:sz="0" w:space="0" w:color="auto"/>
        <w:left w:val="none" w:sz="0" w:space="0" w:color="auto"/>
        <w:bottom w:val="none" w:sz="0" w:space="0" w:color="auto"/>
        <w:right w:val="none" w:sz="0" w:space="0" w:color="auto"/>
      </w:divBdr>
    </w:div>
    <w:div w:id="1424182393">
      <w:bodyDiv w:val="1"/>
      <w:marLeft w:val="0"/>
      <w:marRight w:val="0"/>
      <w:marTop w:val="0"/>
      <w:marBottom w:val="0"/>
      <w:divBdr>
        <w:top w:val="none" w:sz="0" w:space="0" w:color="auto"/>
        <w:left w:val="none" w:sz="0" w:space="0" w:color="auto"/>
        <w:bottom w:val="none" w:sz="0" w:space="0" w:color="auto"/>
        <w:right w:val="none" w:sz="0" w:space="0" w:color="auto"/>
      </w:divBdr>
    </w:div>
    <w:div w:id="1469787866">
      <w:bodyDiv w:val="1"/>
      <w:marLeft w:val="0"/>
      <w:marRight w:val="0"/>
      <w:marTop w:val="0"/>
      <w:marBottom w:val="0"/>
      <w:divBdr>
        <w:top w:val="none" w:sz="0" w:space="0" w:color="auto"/>
        <w:left w:val="none" w:sz="0" w:space="0" w:color="auto"/>
        <w:bottom w:val="none" w:sz="0" w:space="0" w:color="auto"/>
        <w:right w:val="none" w:sz="0" w:space="0" w:color="auto"/>
      </w:divBdr>
    </w:div>
    <w:div w:id="1470707864">
      <w:bodyDiv w:val="1"/>
      <w:marLeft w:val="0"/>
      <w:marRight w:val="0"/>
      <w:marTop w:val="0"/>
      <w:marBottom w:val="0"/>
      <w:divBdr>
        <w:top w:val="none" w:sz="0" w:space="0" w:color="auto"/>
        <w:left w:val="none" w:sz="0" w:space="0" w:color="auto"/>
        <w:bottom w:val="none" w:sz="0" w:space="0" w:color="auto"/>
        <w:right w:val="none" w:sz="0" w:space="0" w:color="auto"/>
      </w:divBdr>
    </w:div>
    <w:div w:id="1506699998">
      <w:bodyDiv w:val="1"/>
      <w:marLeft w:val="0"/>
      <w:marRight w:val="0"/>
      <w:marTop w:val="0"/>
      <w:marBottom w:val="0"/>
      <w:divBdr>
        <w:top w:val="none" w:sz="0" w:space="0" w:color="auto"/>
        <w:left w:val="none" w:sz="0" w:space="0" w:color="auto"/>
        <w:bottom w:val="none" w:sz="0" w:space="0" w:color="auto"/>
        <w:right w:val="none" w:sz="0" w:space="0" w:color="auto"/>
      </w:divBdr>
    </w:div>
    <w:div w:id="1622804702">
      <w:bodyDiv w:val="1"/>
      <w:marLeft w:val="0"/>
      <w:marRight w:val="0"/>
      <w:marTop w:val="0"/>
      <w:marBottom w:val="0"/>
      <w:divBdr>
        <w:top w:val="none" w:sz="0" w:space="0" w:color="auto"/>
        <w:left w:val="none" w:sz="0" w:space="0" w:color="auto"/>
        <w:bottom w:val="none" w:sz="0" w:space="0" w:color="auto"/>
        <w:right w:val="none" w:sz="0" w:space="0" w:color="auto"/>
      </w:divBdr>
    </w:div>
    <w:div w:id="1686587861">
      <w:bodyDiv w:val="1"/>
      <w:marLeft w:val="0"/>
      <w:marRight w:val="0"/>
      <w:marTop w:val="0"/>
      <w:marBottom w:val="0"/>
      <w:divBdr>
        <w:top w:val="none" w:sz="0" w:space="0" w:color="auto"/>
        <w:left w:val="none" w:sz="0" w:space="0" w:color="auto"/>
        <w:bottom w:val="none" w:sz="0" w:space="0" w:color="auto"/>
        <w:right w:val="none" w:sz="0" w:space="0" w:color="auto"/>
      </w:divBdr>
    </w:div>
    <w:div w:id="1693998261">
      <w:bodyDiv w:val="1"/>
      <w:marLeft w:val="0"/>
      <w:marRight w:val="0"/>
      <w:marTop w:val="0"/>
      <w:marBottom w:val="0"/>
      <w:divBdr>
        <w:top w:val="none" w:sz="0" w:space="0" w:color="auto"/>
        <w:left w:val="none" w:sz="0" w:space="0" w:color="auto"/>
        <w:bottom w:val="none" w:sz="0" w:space="0" w:color="auto"/>
        <w:right w:val="none" w:sz="0" w:space="0" w:color="auto"/>
      </w:divBdr>
    </w:div>
    <w:div w:id="1722318474">
      <w:bodyDiv w:val="1"/>
      <w:marLeft w:val="0"/>
      <w:marRight w:val="0"/>
      <w:marTop w:val="0"/>
      <w:marBottom w:val="0"/>
      <w:divBdr>
        <w:top w:val="none" w:sz="0" w:space="0" w:color="auto"/>
        <w:left w:val="none" w:sz="0" w:space="0" w:color="auto"/>
        <w:bottom w:val="none" w:sz="0" w:space="0" w:color="auto"/>
        <w:right w:val="none" w:sz="0" w:space="0" w:color="auto"/>
      </w:divBdr>
    </w:div>
    <w:div w:id="1766459460">
      <w:bodyDiv w:val="1"/>
      <w:marLeft w:val="0"/>
      <w:marRight w:val="0"/>
      <w:marTop w:val="0"/>
      <w:marBottom w:val="0"/>
      <w:divBdr>
        <w:top w:val="none" w:sz="0" w:space="0" w:color="auto"/>
        <w:left w:val="none" w:sz="0" w:space="0" w:color="auto"/>
        <w:bottom w:val="none" w:sz="0" w:space="0" w:color="auto"/>
        <w:right w:val="none" w:sz="0" w:space="0" w:color="auto"/>
      </w:divBdr>
    </w:div>
    <w:div w:id="1780830221">
      <w:bodyDiv w:val="1"/>
      <w:marLeft w:val="0"/>
      <w:marRight w:val="0"/>
      <w:marTop w:val="0"/>
      <w:marBottom w:val="0"/>
      <w:divBdr>
        <w:top w:val="none" w:sz="0" w:space="0" w:color="auto"/>
        <w:left w:val="none" w:sz="0" w:space="0" w:color="auto"/>
        <w:bottom w:val="none" w:sz="0" w:space="0" w:color="auto"/>
        <w:right w:val="none" w:sz="0" w:space="0" w:color="auto"/>
      </w:divBdr>
    </w:div>
    <w:div w:id="1833327783">
      <w:bodyDiv w:val="1"/>
      <w:marLeft w:val="0"/>
      <w:marRight w:val="0"/>
      <w:marTop w:val="0"/>
      <w:marBottom w:val="0"/>
      <w:divBdr>
        <w:top w:val="none" w:sz="0" w:space="0" w:color="auto"/>
        <w:left w:val="none" w:sz="0" w:space="0" w:color="auto"/>
        <w:bottom w:val="none" w:sz="0" w:space="0" w:color="auto"/>
        <w:right w:val="none" w:sz="0" w:space="0" w:color="auto"/>
      </w:divBdr>
    </w:div>
    <w:div w:id="1840542686">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2004552403">
      <w:bodyDiv w:val="1"/>
      <w:marLeft w:val="0"/>
      <w:marRight w:val="0"/>
      <w:marTop w:val="0"/>
      <w:marBottom w:val="0"/>
      <w:divBdr>
        <w:top w:val="none" w:sz="0" w:space="0" w:color="auto"/>
        <w:left w:val="none" w:sz="0" w:space="0" w:color="auto"/>
        <w:bottom w:val="none" w:sz="0" w:space="0" w:color="auto"/>
        <w:right w:val="none" w:sz="0" w:space="0" w:color="auto"/>
      </w:divBdr>
    </w:div>
    <w:div w:id="2022582367">
      <w:bodyDiv w:val="1"/>
      <w:marLeft w:val="0"/>
      <w:marRight w:val="0"/>
      <w:marTop w:val="0"/>
      <w:marBottom w:val="0"/>
      <w:divBdr>
        <w:top w:val="none" w:sz="0" w:space="0" w:color="auto"/>
        <w:left w:val="none" w:sz="0" w:space="0" w:color="auto"/>
        <w:bottom w:val="none" w:sz="0" w:space="0" w:color="auto"/>
        <w:right w:val="none" w:sz="0" w:space="0" w:color="auto"/>
      </w:divBdr>
    </w:div>
    <w:div w:id="2082209902">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yksan/Ministerio%20de%20Hacienda/028%20SGP%20y%20HOSPITALES%20-%20EDUCACION%20BASICA%20Y%20MEDIA%20-%20EDUCACION%20BASICA%20Y%20MEDIA/3%20Entidades/Pasto/DIAGNOSTICO/Papeles%20de%20trabajo/Analisis%20financiero%202021-2022.xls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14" Type="http://schemas.openxmlformats.org/officeDocument/2006/relationships/hyperlink" Target="https://www.contratos.gov.co/consultas/resultadoListadoProcesos.jsp"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2DDCF9B2-14ED-4128-8DB2-579F18003FF6}">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891C01B2-849D-472E-943D-8CE1DF749A86}"/>
</file>

<file path=customXml/itemProps3.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4.xml><?xml version="1.0" encoding="utf-8"?>
<ds:datastoreItem xmlns:ds="http://schemas.openxmlformats.org/officeDocument/2006/customXml" ds:itemID="{193EFF50-D46A-43E1-97BB-C7CA6A9B77F7}">
  <ds:schemaRefs>
    <ds:schemaRef ds:uri="http://schemas.microsoft.com/sharepoint/events"/>
  </ds:schemaRefs>
</ds:datastoreItem>
</file>

<file path=customXml/itemProps5.xml><?xml version="1.0" encoding="utf-8"?>
<ds:datastoreItem xmlns:ds="http://schemas.openxmlformats.org/officeDocument/2006/customXml" ds:itemID="{D8AD9BB1-A5F1-40EC-9FCD-134D1C58EA54}"/>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86</Pages>
  <Words>32617</Words>
  <Characters>179394</Characters>
  <Application>Microsoft Office Word</Application>
  <DocSecurity>0</DocSecurity>
  <Lines>1494</Lines>
  <Paragraphs>423</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211588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dc:description>Octubre de 2014</dc:description>
  <cp:lastModifiedBy>Pablo Andres Parra Cubides</cp:lastModifiedBy>
  <cp:revision>2</cp:revision>
  <cp:lastPrinted>2015-12-16T15:04:00Z</cp:lastPrinted>
  <dcterms:created xsi:type="dcterms:W3CDTF">2024-06-18T03:19:00Z</dcterms:created>
  <dcterms:modified xsi:type="dcterms:W3CDTF">2024-06-18T03:19:00Z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