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3A5D" w14:textId="77777777" w:rsidR="00911C69" w:rsidRPr="00433E58" w:rsidRDefault="00911C69" w:rsidP="00911C69">
      <w:pPr>
        <w:contextualSpacing/>
        <w:jc w:val="center"/>
        <w:rPr>
          <w:rStyle w:val="Textoennegrita"/>
          <w:rFonts w:ascii="Verdana" w:hAnsi="Verdana" w:cs="Arial"/>
          <w:sz w:val="22"/>
          <w:szCs w:val="22"/>
          <w:lang w:val="es-419"/>
        </w:rPr>
      </w:pPr>
    </w:p>
    <w:p w14:paraId="21E2A66D" w14:textId="77777777" w:rsidR="00911C69" w:rsidRPr="00830754" w:rsidRDefault="00911C69" w:rsidP="00911C69">
      <w:pPr>
        <w:pStyle w:val="Textocomentario"/>
        <w:contextualSpacing/>
        <w:jc w:val="center"/>
        <w:rPr>
          <w:rFonts w:ascii="Verdana" w:hAnsi="Verdana" w:cs="Arial"/>
          <w:b/>
          <w:bCs/>
          <w:sz w:val="22"/>
          <w:szCs w:val="22"/>
        </w:rPr>
      </w:pPr>
      <w:r w:rsidRPr="00830754">
        <w:rPr>
          <w:rFonts w:ascii="Verdana" w:hAnsi="Verdana" w:cs="Arial"/>
          <w:b/>
          <w:bCs/>
          <w:sz w:val="22"/>
          <w:szCs w:val="22"/>
        </w:rPr>
        <w:t>INFORME DE DIAGNÓSTICO</w:t>
      </w:r>
    </w:p>
    <w:p w14:paraId="0F17769F" w14:textId="77777777" w:rsidR="00911C69" w:rsidRPr="00830754" w:rsidRDefault="00911C69" w:rsidP="00911C69">
      <w:pPr>
        <w:pStyle w:val="Textocomentario"/>
        <w:contextualSpacing/>
        <w:jc w:val="center"/>
        <w:rPr>
          <w:rFonts w:ascii="Verdana" w:hAnsi="Verdana" w:cs="Arial"/>
          <w:b/>
          <w:bCs/>
          <w:sz w:val="22"/>
          <w:szCs w:val="22"/>
        </w:rPr>
      </w:pPr>
      <w:r w:rsidRPr="00830754">
        <w:rPr>
          <w:rFonts w:ascii="Verdana" w:hAnsi="Verdana" w:cs="Arial"/>
          <w:b/>
          <w:bCs/>
          <w:sz w:val="22"/>
          <w:szCs w:val="22"/>
        </w:rPr>
        <w:t>PARTICIPACIÓN DE AGUA POTABLE Y SANEAMIENTO BÁSICO DEL SISTEMA GENERAL DE PARTICIPACIONES</w:t>
      </w:r>
    </w:p>
    <w:p w14:paraId="122E6F22" w14:textId="77777777" w:rsidR="00911C69" w:rsidRPr="00830754" w:rsidRDefault="00911C69" w:rsidP="00911C69">
      <w:pPr>
        <w:pStyle w:val="Sinespaciado"/>
        <w:contextualSpacing/>
        <w:jc w:val="center"/>
        <w:rPr>
          <w:rFonts w:ascii="Verdana" w:hAnsi="Verdana" w:cs="Arial"/>
          <w:b/>
          <w:bCs/>
          <w:lang w:val="es-ES"/>
        </w:rPr>
      </w:pPr>
      <w:r w:rsidRPr="00830754">
        <w:rPr>
          <w:rFonts w:ascii="Verdana" w:hAnsi="Verdana" w:cs="Arial"/>
          <w:b/>
          <w:bCs/>
        </w:rPr>
        <w:t>MUNICIPIO DE COTA - DEPARTAMENTO DE CUNDINAMARCA</w:t>
      </w:r>
    </w:p>
    <w:p w14:paraId="1A6A15C3" w14:textId="77777777" w:rsidR="00911C69" w:rsidRPr="00433E58" w:rsidRDefault="00911C69" w:rsidP="00911C69">
      <w:pPr>
        <w:contextualSpacing/>
        <w:jc w:val="both"/>
        <w:rPr>
          <w:rFonts w:ascii="Verdana" w:hAnsi="Verdana" w:cs="Arial"/>
          <w:sz w:val="22"/>
          <w:szCs w:val="22"/>
        </w:rPr>
      </w:pPr>
    </w:p>
    <w:p w14:paraId="72D1AC55" w14:textId="77777777" w:rsidR="00911C69" w:rsidRPr="00433E58" w:rsidRDefault="00911C69" w:rsidP="00911C69">
      <w:pPr>
        <w:contextualSpacing/>
        <w:jc w:val="both"/>
        <w:rPr>
          <w:rFonts w:ascii="Verdana" w:hAnsi="Verdana" w:cs="Arial"/>
          <w:sz w:val="22"/>
          <w:szCs w:val="22"/>
        </w:rPr>
      </w:pPr>
    </w:p>
    <w:tbl>
      <w:tblPr>
        <w:tblW w:w="6662" w:type="dxa"/>
        <w:tblInd w:w="1408" w:type="dxa"/>
        <w:tblCellMar>
          <w:left w:w="70" w:type="dxa"/>
          <w:right w:w="70" w:type="dxa"/>
        </w:tblCellMar>
        <w:tblLook w:val="04A0" w:firstRow="1" w:lastRow="0" w:firstColumn="1" w:lastColumn="0" w:noHBand="0" w:noVBand="1"/>
      </w:tblPr>
      <w:tblGrid>
        <w:gridCol w:w="2693"/>
        <w:gridCol w:w="3969"/>
      </w:tblGrid>
      <w:tr w:rsidR="00830754" w:rsidRPr="002A7A67" w14:paraId="65D8FA33" w14:textId="77777777" w:rsidTr="00AB0D36">
        <w:trPr>
          <w:trHeight w:val="418"/>
        </w:trPr>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CD388E" w14:textId="77777777" w:rsidR="00830754" w:rsidRPr="002A7A67" w:rsidRDefault="00830754" w:rsidP="00830754">
            <w:pP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val="es-CO" w:eastAsia="es-CO"/>
              </w:rPr>
              <w:t>Número de Expediente</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0BFF8D36" w14:textId="77777777" w:rsidR="00830754" w:rsidRPr="002A7A67" w:rsidRDefault="00830754" w:rsidP="00830754">
            <w:pPr>
              <w:jc w:val="cente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val="es-CO" w:eastAsia="es-CO"/>
              </w:rPr>
              <w:t>12/2019/D028-PREDI</w:t>
            </w:r>
          </w:p>
        </w:tc>
      </w:tr>
      <w:tr w:rsidR="00830754" w:rsidRPr="002A7A67" w14:paraId="2B0BB54E" w14:textId="77777777" w:rsidTr="00AB0D36">
        <w:trPr>
          <w:trHeight w:val="418"/>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50036F76" w14:textId="77777777" w:rsidR="00830754" w:rsidRPr="002A7A67" w:rsidRDefault="00830754" w:rsidP="00830754">
            <w:pP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val="es-CO" w:eastAsia="es-CO"/>
              </w:rPr>
              <w:t>Sector</w:t>
            </w:r>
          </w:p>
        </w:tc>
        <w:tc>
          <w:tcPr>
            <w:tcW w:w="3969" w:type="dxa"/>
            <w:tcBorders>
              <w:top w:val="nil"/>
              <w:left w:val="nil"/>
              <w:bottom w:val="single" w:sz="8" w:space="0" w:color="auto"/>
              <w:right w:val="single" w:sz="8" w:space="0" w:color="auto"/>
            </w:tcBorders>
            <w:shd w:val="clear" w:color="auto" w:fill="auto"/>
            <w:vAlign w:val="center"/>
            <w:hideMark/>
          </w:tcPr>
          <w:p w14:paraId="2ED7E227" w14:textId="77777777" w:rsidR="00830754" w:rsidRPr="002A7A67" w:rsidRDefault="00830754" w:rsidP="00830754">
            <w:pPr>
              <w:jc w:val="cente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val="es-CO" w:eastAsia="es-CO"/>
              </w:rPr>
              <w:t>Agua Potable y Saneamiento Básico</w:t>
            </w:r>
          </w:p>
        </w:tc>
      </w:tr>
      <w:tr w:rsidR="00830754" w:rsidRPr="002A7A67" w14:paraId="3B1CDA5A" w14:textId="77777777" w:rsidTr="00AB0D36">
        <w:trPr>
          <w:trHeight w:val="302"/>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7B374195" w14:textId="77777777" w:rsidR="00830754" w:rsidRPr="002A7A67" w:rsidRDefault="00830754" w:rsidP="00830754">
            <w:pP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val="es-CO" w:eastAsia="es-CO"/>
              </w:rPr>
              <w:t>Tipo de Entidad</w:t>
            </w:r>
          </w:p>
        </w:tc>
        <w:tc>
          <w:tcPr>
            <w:tcW w:w="3969" w:type="dxa"/>
            <w:tcBorders>
              <w:top w:val="nil"/>
              <w:left w:val="nil"/>
              <w:bottom w:val="single" w:sz="8" w:space="0" w:color="auto"/>
              <w:right w:val="single" w:sz="8" w:space="0" w:color="auto"/>
            </w:tcBorders>
            <w:shd w:val="clear" w:color="auto" w:fill="auto"/>
            <w:vAlign w:val="center"/>
            <w:hideMark/>
          </w:tcPr>
          <w:p w14:paraId="11DBDF94" w14:textId="77777777" w:rsidR="00830754" w:rsidRPr="002A7A67" w:rsidRDefault="00830754" w:rsidP="00830754">
            <w:pPr>
              <w:jc w:val="cente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eastAsia="es-CO"/>
              </w:rPr>
              <w:t>Municipio</w:t>
            </w:r>
          </w:p>
        </w:tc>
      </w:tr>
      <w:tr w:rsidR="00830754" w:rsidRPr="002A7A67" w14:paraId="63CEC60B" w14:textId="77777777" w:rsidTr="00AB0D36">
        <w:trPr>
          <w:trHeight w:val="65"/>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5CF18144" w14:textId="77777777" w:rsidR="00830754" w:rsidRPr="002A7A67" w:rsidRDefault="00830754" w:rsidP="00830754">
            <w:pP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val="es-CO" w:eastAsia="es-CO"/>
              </w:rPr>
              <w:t>Entidad</w:t>
            </w:r>
          </w:p>
        </w:tc>
        <w:tc>
          <w:tcPr>
            <w:tcW w:w="3969" w:type="dxa"/>
            <w:tcBorders>
              <w:top w:val="nil"/>
              <w:left w:val="nil"/>
              <w:bottom w:val="single" w:sz="8" w:space="0" w:color="auto"/>
              <w:right w:val="single" w:sz="8" w:space="0" w:color="auto"/>
            </w:tcBorders>
            <w:shd w:val="clear" w:color="auto" w:fill="auto"/>
            <w:vAlign w:val="center"/>
            <w:hideMark/>
          </w:tcPr>
          <w:p w14:paraId="37F8EDFD" w14:textId="77777777" w:rsidR="00830754" w:rsidRPr="002A7A67" w:rsidRDefault="00830754" w:rsidP="00830754">
            <w:pPr>
              <w:jc w:val="center"/>
              <w:rPr>
                <w:rFonts w:ascii="Verdana" w:eastAsia="Times New Roman" w:hAnsi="Verdana" w:cs="Calibri"/>
                <w:b/>
                <w:bCs/>
                <w:color w:val="000000"/>
                <w:sz w:val="18"/>
                <w:szCs w:val="18"/>
                <w:lang w:val="es-CO" w:eastAsia="es-CO"/>
              </w:rPr>
            </w:pPr>
            <w:r w:rsidRPr="002A7A67">
              <w:rPr>
                <w:rFonts w:ascii="Verdana" w:eastAsia="Times New Roman" w:hAnsi="Verdana" w:cs="Calibri"/>
                <w:b/>
                <w:bCs/>
                <w:color w:val="000000"/>
                <w:sz w:val="18"/>
                <w:szCs w:val="18"/>
                <w:lang w:eastAsia="es-CO"/>
              </w:rPr>
              <w:t>Cota - Cundinamarca</w:t>
            </w:r>
          </w:p>
        </w:tc>
      </w:tr>
    </w:tbl>
    <w:p w14:paraId="0E908A9C" w14:textId="77777777" w:rsidR="00911C69" w:rsidRPr="00433E58" w:rsidRDefault="00911C69" w:rsidP="00911C69">
      <w:pPr>
        <w:contextualSpacing/>
        <w:jc w:val="both"/>
        <w:rPr>
          <w:rFonts w:ascii="Verdana" w:hAnsi="Verdana" w:cs="Arial"/>
          <w:b/>
          <w:sz w:val="22"/>
          <w:szCs w:val="22"/>
          <w:shd w:val="clear" w:color="auto" w:fill="FFFF00"/>
          <w:lang w:val="es-CO"/>
        </w:rPr>
      </w:pPr>
    </w:p>
    <w:p w14:paraId="5A224AC0" w14:textId="77777777" w:rsidR="00911C69" w:rsidRPr="00830754" w:rsidRDefault="00911C69" w:rsidP="00911C69">
      <w:pPr>
        <w:contextualSpacing/>
        <w:jc w:val="both"/>
        <w:rPr>
          <w:rFonts w:ascii="Verdana" w:hAnsi="Verdana" w:cs="Arial"/>
          <w:b/>
          <w:sz w:val="22"/>
          <w:szCs w:val="22"/>
          <w:shd w:val="clear" w:color="auto" w:fill="FFFF00"/>
          <w:lang w:val="es-CO"/>
        </w:rPr>
      </w:pPr>
    </w:p>
    <w:p w14:paraId="709A9DE9" w14:textId="77777777" w:rsidR="00911C69" w:rsidRPr="00830754" w:rsidRDefault="00911C69" w:rsidP="00911C69">
      <w:pPr>
        <w:numPr>
          <w:ilvl w:val="0"/>
          <w:numId w:val="1"/>
        </w:numPr>
        <w:tabs>
          <w:tab w:val="num" w:pos="720"/>
        </w:tabs>
        <w:ind w:left="1080" w:hanging="720"/>
        <w:contextualSpacing/>
        <w:jc w:val="both"/>
        <w:rPr>
          <w:rFonts w:ascii="Verdana" w:hAnsi="Verdana" w:cs="Arial"/>
          <w:b/>
          <w:sz w:val="22"/>
          <w:szCs w:val="22"/>
        </w:rPr>
      </w:pPr>
      <w:r w:rsidRPr="00830754">
        <w:rPr>
          <w:rFonts w:ascii="Verdana" w:hAnsi="Verdana" w:cs="Arial"/>
          <w:b/>
          <w:sz w:val="22"/>
          <w:szCs w:val="22"/>
        </w:rPr>
        <w:t>ANTECEDENTES.</w:t>
      </w:r>
    </w:p>
    <w:p w14:paraId="76A8DEA4" w14:textId="77777777" w:rsidR="00911C69" w:rsidRPr="00830754" w:rsidRDefault="00911C69" w:rsidP="00911C69">
      <w:pPr>
        <w:contextualSpacing/>
        <w:jc w:val="both"/>
        <w:rPr>
          <w:rFonts w:ascii="Verdana" w:hAnsi="Verdana" w:cs="Arial"/>
          <w:sz w:val="22"/>
          <w:szCs w:val="22"/>
        </w:rPr>
      </w:pPr>
    </w:p>
    <w:p w14:paraId="4772221A" w14:textId="77777777" w:rsidR="00911C69" w:rsidRPr="00830754" w:rsidRDefault="00911C69" w:rsidP="00911C69">
      <w:pPr>
        <w:contextualSpacing/>
        <w:jc w:val="both"/>
        <w:rPr>
          <w:rFonts w:ascii="Verdana" w:eastAsiaTheme="minorHAnsi" w:hAnsi="Verdana" w:cs="Arial"/>
          <w:sz w:val="22"/>
          <w:szCs w:val="22"/>
        </w:rPr>
      </w:pPr>
      <w:r w:rsidRPr="00830754">
        <w:rPr>
          <w:rFonts w:ascii="Verdana" w:eastAsiaTheme="minorHAnsi" w:hAnsi="Verdana" w:cs="Arial"/>
          <w:sz w:val="22"/>
          <w:szCs w:val="22"/>
        </w:rPr>
        <w:t>El Ministerio de Vivienda, Ciudad y Territorio, remitió a la Dirección General de Apoyo Fiscal - DAF a través de oficio con radicado No. 1-2018-064061 del 13 de julio de 2018, un informe de visita de monitoreo especial al uso y ejecución de los recursos del Sistema General de Participaciones para Agua Potable y Saneamiento Básico con el fin de que se iniciaran las actividades de seguimiento y control.</w:t>
      </w:r>
    </w:p>
    <w:p w14:paraId="00932846" w14:textId="77777777" w:rsidR="00911C69" w:rsidRPr="00830754" w:rsidRDefault="00911C69" w:rsidP="00911C69">
      <w:pPr>
        <w:contextualSpacing/>
        <w:jc w:val="both"/>
        <w:rPr>
          <w:rFonts w:ascii="Verdana" w:eastAsiaTheme="minorHAnsi" w:hAnsi="Verdana" w:cs="Arial"/>
          <w:sz w:val="22"/>
          <w:szCs w:val="22"/>
        </w:rPr>
      </w:pPr>
    </w:p>
    <w:p w14:paraId="287CBD54" w14:textId="77777777" w:rsidR="00911C69" w:rsidRPr="00830754" w:rsidRDefault="00911C69" w:rsidP="00911C69">
      <w:pPr>
        <w:contextualSpacing/>
        <w:jc w:val="both"/>
        <w:rPr>
          <w:rFonts w:ascii="Verdana" w:eastAsiaTheme="minorHAnsi" w:hAnsi="Verdana" w:cs="Arial"/>
          <w:sz w:val="22"/>
          <w:szCs w:val="22"/>
        </w:rPr>
      </w:pPr>
      <w:r w:rsidRPr="00830754">
        <w:rPr>
          <w:rFonts w:ascii="Verdana" w:eastAsiaTheme="minorHAnsi" w:hAnsi="Verdana" w:cs="Arial"/>
          <w:sz w:val="22"/>
          <w:szCs w:val="22"/>
        </w:rPr>
        <w:t>Esta Dirección, en el marco de la Estrategia de Monitoreo, Seguimiento y Control Integral al uso de los recursos del Sistema General de Participaciones envió al Municipio una comunicación de requerimiento de información relacionada con el uso de los recursos del Sector Agua Potable y Saneamiento Básico a través de oficio con radicado No. 2-2019-010421 del 29 de marzo de 2019, estableciendo como plazo máximo de envío de la información el viernes 3 de mayo. El Municipio remitió dicha información a través de oficio con radicado No. 1-2019-041044 del 3 de mayo de 2019.</w:t>
      </w:r>
    </w:p>
    <w:p w14:paraId="54780653" w14:textId="77777777" w:rsidR="00911C69" w:rsidRPr="00830754" w:rsidRDefault="00911C69" w:rsidP="00911C69">
      <w:pPr>
        <w:contextualSpacing/>
        <w:jc w:val="both"/>
        <w:rPr>
          <w:rFonts w:ascii="Verdana" w:eastAsiaTheme="minorHAnsi" w:hAnsi="Verdana" w:cs="Arial"/>
          <w:sz w:val="22"/>
          <w:szCs w:val="22"/>
        </w:rPr>
      </w:pPr>
    </w:p>
    <w:p w14:paraId="1B977615" w14:textId="77777777" w:rsidR="00911C69" w:rsidRPr="00830754" w:rsidRDefault="00911C69" w:rsidP="00911C69">
      <w:pPr>
        <w:contextualSpacing/>
        <w:jc w:val="both"/>
        <w:rPr>
          <w:rFonts w:ascii="Verdana" w:eastAsiaTheme="minorHAnsi" w:hAnsi="Verdana" w:cs="Arial"/>
          <w:sz w:val="22"/>
          <w:szCs w:val="22"/>
        </w:rPr>
      </w:pPr>
      <w:r w:rsidRPr="00830754">
        <w:rPr>
          <w:rFonts w:ascii="Verdana" w:eastAsiaTheme="minorHAnsi" w:hAnsi="Verdana" w:cs="Arial"/>
          <w:sz w:val="22"/>
          <w:szCs w:val="22"/>
        </w:rPr>
        <w:t>La Dirección General de Apoyo Fiscal realizó una visita de reconocimiento virtual al Municipio, entre el 8 y el 16 de julio de 2020, con el propósito de recolectar información que permitiera evaluar la calidad del gasto (administración y uso) de los recursos del Sector de Agua Potable y Saneamiento Básico y si aplica, asociarlas a los eventos de riesgo de acuerdo con lo establecido en los artículos 9 del Decreto 028 de 2008 y 2.3.5.1.6.3.41 del Decreto 1077 de 2015.</w:t>
      </w:r>
    </w:p>
    <w:p w14:paraId="1C99D035" w14:textId="77777777" w:rsidR="00911C69" w:rsidRPr="00830754" w:rsidRDefault="00911C69" w:rsidP="00911C69">
      <w:pPr>
        <w:pStyle w:val="paragraph"/>
        <w:spacing w:before="0" w:beforeAutospacing="0" w:after="0" w:afterAutospacing="0"/>
        <w:contextualSpacing/>
        <w:jc w:val="both"/>
        <w:textAlignment w:val="baseline"/>
        <w:rPr>
          <w:rFonts w:ascii="Verdana" w:eastAsiaTheme="minorHAnsi" w:hAnsi="Verdana" w:cs="Arial"/>
          <w:sz w:val="22"/>
          <w:szCs w:val="22"/>
          <w:lang w:val="es-ES" w:eastAsia="es-ES"/>
        </w:rPr>
      </w:pPr>
    </w:p>
    <w:p w14:paraId="53D54D28" w14:textId="77777777" w:rsidR="00911C69" w:rsidRPr="00830754" w:rsidRDefault="00911C69" w:rsidP="00911C69">
      <w:pPr>
        <w:autoSpaceDE w:val="0"/>
        <w:autoSpaceDN w:val="0"/>
        <w:adjustRightInd w:val="0"/>
        <w:contextualSpacing/>
        <w:jc w:val="both"/>
        <w:rPr>
          <w:rFonts w:ascii="Verdana" w:eastAsia="Calibri" w:hAnsi="Verdana" w:cs="Arial"/>
          <w:sz w:val="22"/>
          <w:szCs w:val="22"/>
          <w:lang w:val="es-CO"/>
        </w:rPr>
      </w:pPr>
      <w:r w:rsidRPr="00830754">
        <w:rPr>
          <w:rFonts w:ascii="Verdana" w:eastAsiaTheme="minorHAnsi" w:hAnsi="Verdana" w:cs="Arial"/>
          <w:sz w:val="22"/>
          <w:szCs w:val="22"/>
        </w:rPr>
        <w:t xml:space="preserve">De igual manera, a través de oficio con radicado No. 2-2021-023797 del 7 de mayo de 2021, en el marco de </w:t>
      </w:r>
      <w:r w:rsidRPr="00830754">
        <w:rPr>
          <w:rFonts w:ascii="Verdana" w:hAnsi="Verdana" w:cs="Arial"/>
          <w:bCs/>
          <w:sz w:val="22"/>
          <w:szCs w:val="22"/>
        </w:rPr>
        <w:t xml:space="preserve">la competencia de seguimiento y control establecida en el Decreto 028 de 2008, la Dirección General de Apoyo Fiscal realizó un requerimiento de información adicional, debido a </w:t>
      </w:r>
      <w:r w:rsidRPr="00830754">
        <w:rPr>
          <w:rFonts w:ascii="Verdana" w:eastAsia="Calibri" w:hAnsi="Verdana" w:cs="Arial"/>
          <w:sz w:val="22"/>
          <w:szCs w:val="22"/>
          <w:lang w:val="es-CO"/>
        </w:rPr>
        <w:t xml:space="preserve">que la información enviada por el Municipio a </w:t>
      </w:r>
      <w:r w:rsidRPr="00830754">
        <w:rPr>
          <w:rFonts w:ascii="Verdana" w:eastAsia="Calibri" w:hAnsi="Verdana" w:cs="Arial"/>
          <w:sz w:val="22"/>
          <w:szCs w:val="22"/>
          <w:lang w:val="es-CO"/>
        </w:rPr>
        <w:lastRenderedPageBreak/>
        <w:t>través de los oficios con radicados No 1-2020-083077 y 1-2020-083114 del 14 de septiembre de 2020 y 1-2020-109812 y 1-2020-109870 del 30 de noviembre de 2020 no había sido suficiente para realizar un diagnóstico de la prestación de los servicios del Sector Agua Potable y Saneamiento Básico en la Entidad Territorial</w:t>
      </w:r>
      <w:r w:rsidRPr="00830754">
        <w:rPr>
          <w:rFonts w:ascii="Verdana" w:hAnsi="Verdana" w:cs="Arial"/>
          <w:bCs/>
          <w:sz w:val="22"/>
          <w:szCs w:val="22"/>
        </w:rPr>
        <w:t>, esta última solicitud fue respondida a través de los oficios con radicados No. 1-2021-046826, No. 1-2021-046831, No. 1-2021-047194 del 31 de mayo de 2021, 1-2021-088660 del 7 de octubre de 2021, 1-2021-088892 del 8 de octubre de 2021 y 1-2021-089666 y 1-2021-089671 del 11 de octubre de 2021.</w:t>
      </w:r>
    </w:p>
    <w:p w14:paraId="38FDD172" w14:textId="77777777" w:rsidR="00911C69" w:rsidRPr="00830754" w:rsidRDefault="00911C69" w:rsidP="00911C69">
      <w:pPr>
        <w:contextualSpacing/>
        <w:jc w:val="both"/>
        <w:rPr>
          <w:rFonts w:ascii="Verdana" w:eastAsiaTheme="minorHAnsi" w:hAnsi="Verdana" w:cs="Arial"/>
          <w:sz w:val="22"/>
          <w:szCs w:val="22"/>
        </w:rPr>
      </w:pPr>
    </w:p>
    <w:p w14:paraId="7C58DB0D" w14:textId="77777777" w:rsidR="00911C69" w:rsidRPr="00830754" w:rsidRDefault="00911C69" w:rsidP="00911C69">
      <w:pPr>
        <w:tabs>
          <w:tab w:val="left" w:pos="5985"/>
        </w:tabs>
        <w:contextualSpacing/>
        <w:jc w:val="both"/>
        <w:rPr>
          <w:rFonts w:ascii="Verdana" w:hAnsi="Verdana" w:cs="Arial"/>
          <w:bCs/>
          <w:sz w:val="22"/>
          <w:szCs w:val="22"/>
        </w:rPr>
      </w:pPr>
      <w:r w:rsidRPr="00830754">
        <w:rPr>
          <w:rFonts w:ascii="Verdana" w:eastAsiaTheme="minorHAnsi" w:hAnsi="Verdana" w:cs="Arial"/>
          <w:sz w:val="22"/>
          <w:szCs w:val="22"/>
        </w:rPr>
        <w:t xml:space="preserve">Sin embargo, debido a que la información enviada no correspondía a lo requerido por este Despacho </w:t>
      </w:r>
      <w:r w:rsidRPr="00830754">
        <w:rPr>
          <w:rFonts w:ascii="Verdana" w:hAnsi="Verdana" w:cs="Arial"/>
          <w:bCs/>
          <w:sz w:val="22"/>
          <w:szCs w:val="22"/>
        </w:rPr>
        <w:t>y que, por esa razón aun no era suficiente para realizar un diagnóstico de la prestación de los servicios del Sector Agua Potable y Saneamiento Básico en la Entidad, se realizó otr</w:t>
      </w:r>
      <w:r w:rsidR="00433E58" w:rsidRPr="00830754">
        <w:rPr>
          <w:rFonts w:ascii="Verdana" w:hAnsi="Verdana" w:cs="Arial"/>
          <w:bCs/>
          <w:sz w:val="22"/>
          <w:szCs w:val="22"/>
        </w:rPr>
        <w:t>a solicitud</w:t>
      </w:r>
      <w:r w:rsidRPr="00830754">
        <w:rPr>
          <w:rFonts w:ascii="Verdana" w:hAnsi="Verdana" w:cs="Arial"/>
          <w:bCs/>
          <w:sz w:val="22"/>
          <w:szCs w:val="22"/>
        </w:rPr>
        <w:t xml:space="preserve"> a través del oficio con radicado No. 2-2022-014032 del 4 de abril de 2022, </w:t>
      </w:r>
      <w:r w:rsidR="00433E58" w:rsidRPr="00830754">
        <w:rPr>
          <w:rFonts w:ascii="Verdana" w:hAnsi="Verdana" w:cs="Arial"/>
          <w:bCs/>
          <w:sz w:val="22"/>
          <w:szCs w:val="22"/>
        </w:rPr>
        <w:t>la</w:t>
      </w:r>
      <w:r w:rsidRPr="00830754">
        <w:rPr>
          <w:rFonts w:ascii="Verdana" w:hAnsi="Verdana" w:cs="Arial"/>
          <w:bCs/>
          <w:sz w:val="22"/>
          <w:szCs w:val="22"/>
        </w:rPr>
        <w:t xml:space="preserve"> cual fue respondid</w:t>
      </w:r>
      <w:r w:rsidR="00433E58" w:rsidRPr="00830754">
        <w:rPr>
          <w:rFonts w:ascii="Verdana" w:hAnsi="Verdana" w:cs="Arial"/>
          <w:bCs/>
          <w:sz w:val="22"/>
          <w:szCs w:val="22"/>
        </w:rPr>
        <w:t>a</w:t>
      </w:r>
      <w:r w:rsidRPr="00830754">
        <w:rPr>
          <w:rFonts w:ascii="Verdana" w:hAnsi="Verdana" w:cs="Arial"/>
          <w:bCs/>
          <w:sz w:val="22"/>
          <w:szCs w:val="22"/>
        </w:rPr>
        <w:t xml:space="preserve"> por medio de los oficios con radicados No. 1-2022-030600 del 22 de abril de 2022, 1-2022-033744 del 4 de mayo de 2022 y 1-2022-049607 del 23 de junio de 2022.</w:t>
      </w:r>
      <w:r w:rsidR="009445D9" w:rsidRPr="00830754">
        <w:rPr>
          <w:rFonts w:ascii="Verdana" w:hAnsi="Verdana" w:cs="Arial"/>
          <w:bCs/>
          <w:sz w:val="22"/>
          <w:szCs w:val="22"/>
        </w:rPr>
        <w:t xml:space="preserve"> Del mismo modo, con el objeto de </w:t>
      </w:r>
      <w:r w:rsidR="0016550B" w:rsidRPr="00830754">
        <w:rPr>
          <w:rFonts w:ascii="Verdana" w:hAnsi="Verdana" w:cs="Arial"/>
          <w:bCs/>
          <w:sz w:val="22"/>
          <w:szCs w:val="22"/>
        </w:rPr>
        <w:t xml:space="preserve">actualizar este informe, se </w:t>
      </w:r>
      <w:r w:rsidR="00433E58" w:rsidRPr="00830754">
        <w:rPr>
          <w:rFonts w:ascii="Verdana" w:hAnsi="Verdana" w:cs="Arial"/>
          <w:bCs/>
          <w:sz w:val="22"/>
          <w:szCs w:val="22"/>
        </w:rPr>
        <w:t>realizó requerimiento de</w:t>
      </w:r>
      <w:r w:rsidR="0016550B" w:rsidRPr="00830754">
        <w:rPr>
          <w:rFonts w:ascii="Verdana" w:hAnsi="Verdana" w:cs="Arial"/>
          <w:bCs/>
          <w:sz w:val="22"/>
          <w:szCs w:val="22"/>
        </w:rPr>
        <w:t xml:space="preserve"> información al Municipio de Cota por medio de oficio con radicado No. 2-2023-020428</w:t>
      </w:r>
      <w:r w:rsidR="00433E58" w:rsidRPr="00830754">
        <w:rPr>
          <w:rFonts w:ascii="Verdana" w:hAnsi="Verdana" w:cs="Arial"/>
          <w:bCs/>
          <w:sz w:val="22"/>
          <w:szCs w:val="22"/>
        </w:rPr>
        <w:t xml:space="preserve"> del 27 de abril de 2023, el cual, al no ser atendido, se reiteró a través de radicado No. 2-2023-023954 del 16 de mayo de 2023. La información fue remitida por medio de oficios con radicado No. 1-2023-041571 del 17 de mayo y 1-2023-043301 del 24 de mayo de 2023.</w:t>
      </w:r>
    </w:p>
    <w:p w14:paraId="77D87D5A" w14:textId="77777777" w:rsidR="00911C69" w:rsidRPr="00830754" w:rsidRDefault="00911C69" w:rsidP="00911C69">
      <w:pPr>
        <w:contextualSpacing/>
        <w:jc w:val="both"/>
        <w:rPr>
          <w:rFonts w:ascii="Verdana" w:eastAsiaTheme="minorHAnsi" w:hAnsi="Verdana" w:cs="Arial"/>
          <w:sz w:val="22"/>
          <w:szCs w:val="22"/>
        </w:rPr>
      </w:pPr>
    </w:p>
    <w:p w14:paraId="474DDACF" w14:textId="77777777" w:rsidR="00911C69" w:rsidRPr="00830754" w:rsidRDefault="00911C69" w:rsidP="00911C69">
      <w:pPr>
        <w:contextualSpacing/>
        <w:jc w:val="both"/>
        <w:rPr>
          <w:rFonts w:ascii="Verdana" w:eastAsiaTheme="minorHAnsi" w:hAnsi="Verdana" w:cs="Arial"/>
          <w:sz w:val="22"/>
          <w:szCs w:val="22"/>
        </w:rPr>
      </w:pPr>
      <w:r w:rsidRPr="00830754">
        <w:rPr>
          <w:rFonts w:ascii="Verdana" w:eastAsiaTheme="minorHAnsi" w:hAnsi="Verdana" w:cs="Arial"/>
          <w:sz w:val="22"/>
          <w:szCs w:val="22"/>
        </w:rPr>
        <w:t>En este sentido, se analizó la modalidad de prestación de cada uno de estos servicios por parte del Municipio, el cumplimiento de las metas de continuidad, cobertura y calidad en la prestación y la forma como se ha garantizado a la población la prestación de los Servicios Públicos Domiciliarios de Acueducto, Alcantarillado y Aseo, de acuerdo con la Ley 142 de 1994.</w:t>
      </w:r>
    </w:p>
    <w:p w14:paraId="10D00D72" w14:textId="77777777" w:rsidR="00911C69" w:rsidRPr="00830754" w:rsidRDefault="00911C69" w:rsidP="00911C69">
      <w:pPr>
        <w:contextualSpacing/>
        <w:jc w:val="both"/>
        <w:rPr>
          <w:rFonts w:ascii="Verdana" w:eastAsiaTheme="minorHAnsi" w:hAnsi="Verdana" w:cs="Arial"/>
          <w:sz w:val="22"/>
          <w:szCs w:val="22"/>
        </w:rPr>
      </w:pPr>
    </w:p>
    <w:p w14:paraId="18A08484" w14:textId="77777777" w:rsidR="00911C69" w:rsidRPr="00830754" w:rsidRDefault="00911C69" w:rsidP="00911C69">
      <w:pPr>
        <w:contextualSpacing/>
        <w:jc w:val="both"/>
        <w:rPr>
          <w:rFonts w:ascii="Verdana" w:eastAsiaTheme="minorHAnsi" w:hAnsi="Verdana" w:cs="Arial"/>
          <w:sz w:val="22"/>
          <w:szCs w:val="22"/>
        </w:rPr>
      </w:pPr>
      <w:r w:rsidRPr="00830754">
        <w:rPr>
          <w:rFonts w:ascii="Verdana" w:eastAsiaTheme="minorHAnsi" w:hAnsi="Verdana" w:cs="Arial"/>
          <w:sz w:val="22"/>
          <w:szCs w:val="22"/>
        </w:rPr>
        <w:t>Finalmente, es preciso indicar que para la elaboración del presente informe se dispuso de información institucional aportada por las autoridades municipales y sectoriales, así como fuentes de información consistentes en documentos o publicaciones de carácter oficial, disposiciones normativas y publicaciones particulares, cada una de las cuales es citada cuando ello es requerido.</w:t>
      </w:r>
    </w:p>
    <w:p w14:paraId="610874F9" w14:textId="77777777" w:rsidR="00911C69" w:rsidRPr="00830754" w:rsidRDefault="00911C69" w:rsidP="00911C69">
      <w:pPr>
        <w:contextualSpacing/>
        <w:jc w:val="both"/>
        <w:rPr>
          <w:rFonts w:ascii="Verdana" w:hAnsi="Verdana" w:cs="Arial"/>
          <w:b/>
          <w:sz w:val="22"/>
          <w:szCs w:val="22"/>
        </w:rPr>
      </w:pPr>
    </w:p>
    <w:p w14:paraId="1C7C5711" w14:textId="77777777" w:rsidR="00911C69" w:rsidRPr="00830754" w:rsidRDefault="00911C69" w:rsidP="00911C69">
      <w:pPr>
        <w:contextualSpacing/>
        <w:jc w:val="both"/>
        <w:rPr>
          <w:rFonts w:ascii="Verdana" w:hAnsi="Verdana" w:cs="Arial"/>
          <w:sz w:val="22"/>
          <w:szCs w:val="22"/>
        </w:rPr>
      </w:pPr>
    </w:p>
    <w:p w14:paraId="6924DC26" w14:textId="77777777" w:rsidR="00911C69" w:rsidRPr="00830754" w:rsidRDefault="00911C69" w:rsidP="00911C69">
      <w:pPr>
        <w:numPr>
          <w:ilvl w:val="0"/>
          <w:numId w:val="1"/>
        </w:numPr>
        <w:tabs>
          <w:tab w:val="num" w:pos="720"/>
        </w:tabs>
        <w:ind w:left="1080" w:hanging="720"/>
        <w:contextualSpacing/>
        <w:jc w:val="both"/>
        <w:rPr>
          <w:rFonts w:ascii="Verdana" w:hAnsi="Verdana" w:cs="Arial"/>
          <w:b/>
          <w:sz w:val="22"/>
          <w:szCs w:val="22"/>
        </w:rPr>
      </w:pPr>
      <w:r w:rsidRPr="00830754">
        <w:rPr>
          <w:rFonts w:ascii="Verdana" w:hAnsi="Verdana" w:cs="Arial"/>
          <w:b/>
          <w:sz w:val="22"/>
          <w:szCs w:val="22"/>
        </w:rPr>
        <w:t>CARACTERIZACIÓN.</w:t>
      </w:r>
    </w:p>
    <w:p w14:paraId="461E87C1" w14:textId="77777777" w:rsidR="00911C69" w:rsidRPr="00830754" w:rsidRDefault="00911C69" w:rsidP="00911C69">
      <w:pPr>
        <w:ind w:left="1080"/>
        <w:contextualSpacing/>
        <w:jc w:val="both"/>
        <w:rPr>
          <w:rFonts w:ascii="Verdana" w:hAnsi="Verdana" w:cs="Arial"/>
          <w:b/>
          <w:sz w:val="22"/>
          <w:szCs w:val="22"/>
          <w:lang w:val="es-CO"/>
        </w:rPr>
      </w:pPr>
    </w:p>
    <w:p w14:paraId="1C4ACAD0" w14:textId="77777777" w:rsidR="00911C69" w:rsidRPr="00830754" w:rsidRDefault="00911C69" w:rsidP="00911C69">
      <w:pPr>
        <w:pStyle w:val="Prrafodelista"/>
        <w:numPr>
          <w:ilvl w:val="0"/>
          <w:numId w:val="2"/>
        </w:numPr>
        <w:tabs>
          <w:tab w:val="num" w:pos="720"/>
        </w:tabs>
        <w:jc w:val="both"/>
        <w:rPr>
          <w:rFonts w:ascii="Verdana" w:hAnsi="Verdana" w:cs="Arial"/>
          <w:b/>
          <w:sz w:val="22"/>
          <w:szCs w:val="22"/>
        </w:rPr>
      </w:pPr>
      <w:r w:rsidRPr="00830754">
        <w:rPr>
          <w:rFonts w:ascii="Verdana" w:hAnsi="Verdana" w:cs="Arial"/>
          <w:b/>
          <w:sz w:val="22"/>
          <w:szCs w:val="22"/>
        </w:rPr>
        <w:t>Contexto Regional:</w:t>
      </w:r>
    </w:p>
    <w:p w14:paraId="7C533CEA" w14:textId="77777777" w:rsidR="00911C69" w:rsidRPr="00830754" w:rsidRDefault="00911C69" w:rsidP="00911C69">
      <w:pPr>
        <w:autoSpaceDE w:val="0"/>
        <w:autoSpaceDN w:val="0"/>
        <w:adjustRightInd w:val="0"/>
        <w:contextualSpacing/>
        <w:jc w:val="both"/>
        <w:rPr>
          <w:rFonts w:ascii="Verdana" w:eastAsiaTheme="minorHAnsi" w:hAnsi="Verdana" w:cs="Arial"/>
          <w:sz w:val="22"/>
          <w:szCs w:val="22"/>
        </w:rPr>
      </w:pPr>
    </w:p>
    <w:p w14:paraId="2054D56B" w14:textId="77777777" w:rsidR="00911C69" w:rsidRPr="00830754" w:rsidRDefault="00911C69" w:rsidP="00911C69">
      <w:pPr>
        <w:ind w:left="1416"/>
        <w:contextualSpacing/>
        <w:jc w:val="both"/>
        <w:rPr>
          <w:rFonts w:ascii="Verdana" w:hAnsi="Verdana" w:cs="Arial"/>
          <w:bCs/>
          <w:i/>
          <w:iCs/>
          <w:sz w:val="22"/>
          <w:szCs w:val="22"/>
        </w:rPr>
      </w:pPr>
      <w:r w:rsidRPr="00830754">
        <w:rPr>
          <w:rFonts w:ascii="Verdana" w:hAnsi="Verdana" w:cs="Arial"/>
          <w:bCs/>
          <w:i/>
          <w:iCs/>
          <w:sz w:val="22"/>
          <w:szCs w:val="22"/>
        </w:rPr>
        <w:t xml:space="preserve">“Cota es uno de los 116 municipios de Cundinamarca que se encuentra situado en la Sabana de Bogotá, a una altitud de 2.566 msnm. Tiene un área de 53,43 km2: con un área urbana de 1,41 km2 y área rural de </w:t>
      </w:r>
      <w:r w:rsidRPr="00830754">
        <w:rPr>
          <w:rFonts w:ascii="Verdana" w:hAnsi="Verdana" w:cs="Arial"/>
          <w:bCs/>
          <w:i/>
          <w:iCs/>
          <w:sz w:val="22"/>
          <w:szCs w:val="22"/>
        </w:rPr>
        <w:lastRenderedPageBreak/>
        <w:t xml:space="preserve">52,02 km2, con una temperatura promedio de 13,5 °C. En su mayoría es de terreno plano y se extiende desde la hoya del río Bogotá por el oriente, hasta una estribación de la cordillera oriental por el occidente. Su capa vegetal se caracteriza por ser rica en nutrientes, lo que potencia significativamente la producción agrícola. </w:t>
      </w:r>
    </w:p>
    <w:p w14:paraId="718C3FD0" w14:textId="77777777" w:rsidR="00911C69" w:rsidRPr="00830754" w:rsidRDefault="00911C69" w:rsidP="00911C69">
      <w:pPr>
        <w:ind w:left="1416"/>
        <w:contextualSpacing/>
        <w:jc w:val="both"/>
        <w:rPr>
          <w:rFonts w:ascii="Verdana" w:hAnsi="Verdana" w:cs="Arial"/>
          <w:bCs/>
          <w:i/>
          <w:iCs/>
          <w:sz w:val="22"/>
          <w:szCs w:val="22"/>
        </w:rPr>
      </w:pPr>
    </w:p>
    <w:p w14:paraId="2C78F584" w14:textId="77777777" w:rsidR="00911C69" w:rsidRPr="00830754" w:rsidRDefault="00911C69" w:rsidP="00911C69">
      <w:pPr>
        <w:ind w:left="1416"/>
        <w:contextualSpacing/>
        <w:jc w:val="both"/>
        <w:rPr>
          <w:rFonts w:ascii="Verdana" w:hAnsi="Verdana" w:cs="Arial"/>
          <w:bCs/>
          <w:i/>
          <w:iCs/>
          <w:sz w:val="22"/>
          <w:szCs w:val="22"/>
        </w:rPr>
      </w:pPr>
      <w:r w:rsidRPr="00830754">
        <w:rPr>
          <w:rFonts w:ascii="Verdana" w:hAnsi="Verdana" w:cs="Arial"/>
          <w:bCs/>
          <w:i/>
          <w:iCs/>
          <w:sz w:val="22"/>
          <w:szCs w:val="22"/>
        </w:rPr>
        <w:t xml:space="preserve">El municipio está localizado a los 4°49’05,665” de latitud norte y a los 74° 06´15´´de longitud oeste. Sus características orográficas, localización y situación como parte de la Sabana de Bogotá, hace que su temperatura media oscile entre los 11o y los 13o C. El territorio, sus componentes y características han sido abordados desde el concepto de geografía aplicada. </w:t>
      </w:r>
    </w:p>
    <w:p w14:paraId="376F929C" w14:textId="77777777" w:rsidR="00911C69" w:rsidRPr="00830754" w:rsidRDefault="00911C69" w:rsidP="00911C69">
      <w:pPr>
        <w:ind w:left="1416"/>
        <w:contextualSpacing/>
        <w:jc w:val="both"/>
        <w:rPr>
          <w:rFonts w:ascii="Verdana" w:hAnsi="Verdana" w:cs="Arial"/>
          <w:bCs/>
          <w:i/>
          <w:iCs/>
          <w:sz w:val="22"/>
          <w:szCs w:val="22"/>
        </w:rPr>
      </w:pPr>
    </w:p>
    <w:p w14:paraId="4E58335A" w14:textId="77777777" w:rsidR="00911C69" w:rsidRPr="00830754" w:rsidRDefault="00911C69" w:rsidP="00911C69">
      <w:pPr>
        <w:ind w:left="1416"/>
        <w:contextualSpacing/>
        <w:jc w:val="both"/>
        <w:rPr>
          <w:rFonts w:ascii="Verdana" w:hAnsi="Verdana" w:cs="Arial"/>
          <w:bCs/>
          <w:i/>
          <w:iCs/>
          <w:sz w:val="22"/>
          <w:szCs w:val="22"/>
        </w:rPr>
      </w:pPr>
      <w:r w:rsidRPr="00830754">
        <w:rPr>
          <w:rFonts w:ascii="Verdana" w:hAnsi="Verdana" w:cs="Arial"/>
          <w:bCs/>
          <w:i/>
          <w:iCs/>
          <w:sz w:val="22"/>
          <w:szCs w:val="22"/>
        </w:rPr>
        <w:t xml:space="preserve">Dos de sus límites son arcifinios: por el oriente el río Bogotá, otrora espléndido por su belleza y fuente milenaria de alimento proteico de la comunidad cotense proveniente de la pesca y de espacio vital para las especies vivientes nativas y migrantes; por el occidente la cadena montañosa controladora del clima sabanero denominada serranía del </w:t>
      </w:r>
      <w:proofErr w:type="spellStart"/>
      <w:r w:rsidRPr="00830754">
        <w:rPr>
          <w:rFonts w:ascii="Verdana" w:hAnsi="Verdana" w:cs="Arial"/>
          <w:bCs/>
          <w:i/>
          <w:iCs/>
          <w:sz w:val="22"/>
          <w:szCs w:val="22"/>
        </w:rPr>
        <w:t>Majuy</w:t>
      </w:r>
      <w:proofErr w:type="spellEnd"/>
      <w:r w:rsidRPr="00830754">
        <w:rPr>
          <w:rFonts w:ascii="Verdana" w:hAnsi="Verdana" w:cs="Arial"/>
          <w:bCs/>
          <w:i/>
          <w:iCs/>
          <w:sz w:val="22"/>
          <w:szCs w:val="22"/>
        </w:rPr>
        <w:t>, que en sus entrañas alberga el cañón del Abra y la Cueva de los zorros, dos laberintos guardianes de mitos y leyendas, albergues de especies vegetales y animales. Limita al norte con el municipio de Chía, al sur con el municipio de Funza, al oriente con la localidad de Suba - Bogotá, y al occidente con el municipio de Tenjo”</w:t>
      </w:r>
      <w:r w:rsidRPr="00830754">
        <w:rPr>
          <w:rFonts w:ascii="Verdana" w:hAnsi="Verdana" w:cs="Arial"/>
          <w:bCs/>
          <w:i/>
          <w:iCs/>
          <w:sz w:val="22"/>
          <w:szCs w:val="22"/>
          <w:vertAlign w:val="superscript"/>
        </w:rPr>
        <w:footnoteReference w:id="1"/>
      </w:r>
    </w:p>
    <w:p w14:paraId="28B6E4E1" w14:textId="77777777" w:rsidR="00433E58" w:rsidRPr="00433E58" w:rsidRDefault="00433E58" w:rsidP="00911C69">
      <w:pPr>
        <w:ind w:left="1416"/>
        <w:contextualSpacing/>
        <w:jc w:val="both"/>
        <w:rPr>
          <w:rFonts w:ascii="Verdana" w:hAnsi="Verdana" w:cs="Arial"/>
          <w:bCs/>
          <w:i/>
          <w:iCs/>
          <w:sz w:val="18"/>
          <w:szCs w:val="18"/>
        </w:rPr>
      </w:pPr>
    </w:p>
    <w:p w14:paraId="0B7755C5" w14:textId="77777777" w:rsidR="00911C69" w:rsidRPr="00433E58" w:rsidRDefault="00911C69" w:rsidP="00911C69">
      <w:pPr>
        <w:autoSpaceDE w:val="0"/>
        <w:autoSpaceDN w:val="0"/>
        <w:adjustRightInd w:val="0"/>
        <w:contextualSpacing/>
        <w:jc w:val="center"/>
        <w:rPr>
          <w:rFonts w:ascii="Verdana" w:eastAsiaTheme="minorHAnsi" w:hAnsi="Verdana" w:cs="Arial"/>
          <w:i/>
          <w:iCs/>
          <w:sz w:val="22"/>
          <w:szCs w:val="22"/>
        </w:rPr>
      </w:pPr>
      <w:r w:rsidRPr="00433E58">
        <w:rPr>
          <w:rFonts w:ascii="Verdana" w:eastAsiaTheme="minorHAnsi" w:hAnsi="Verdana" w:cs="Arial"/>
          <w:i/>
          <w:iCs/>
          <w:noProof/>
          <w:sz w:val="22"/>
          <w:szCs w:val="22"/>
          <w:lang w:val="es-CO" w:eastAsia="es-CO"/>
        </w:rPr>
        <w:lastRenderedPageBreak/>
        <w:drawing>
          <wp:inline distT="0" distB="0" distL="0" distR="0" wp14:anchorId="22D91149" wp14:editId="7C78E42C">
            <wp:extent cx="3011170" cy="2876550"/>
            <wp:effectExtent l="0" t="0" r="0" b="0"/>
            <wp:docPr id="4" name="Imagen 4" descr="C:\Users\dparrado\Downloads\428px-Colombia_-_Cundinamarca_-_Cota.sv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arrado\Downloads\428px-Colombia_-_Cundinamarca_-_Cota.svg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563" cy="2902718"/>
                    </a:xfrm>
                    <a:prstGeom prst="rect">
                      <a:avLst/>
                    </a:prstGeom>
                    <a:noFill/>
                    <a:ln>
                      <a:noFill/>
                    </a:ln>
                  </pic:spPr>
                </pic:pic>
              </a:graphicData>
            </a:graphic>
          </wp:inline>
        </w:drawing>
      </w:r>
    </w:p>
    <w:p w14:paraId="7C222BB9" w14:textId="77777777" w:rsidR="00911C69" w:rsidRPr="00235509" w:rsidRDefault="00911C69" w:rsidP="00911C69">
      <w:pPr>
        <w:autoSpaceDE w:val="0"/>
        <w:autoSpaceDN w:val="0"/>
        <w:adjustRightInd w:val="0"/>
        <w:contextualSpacing/>
        <w:jc w:val="center"/>
        <w:rPr>
          <w:rFonts w:ascii="Verdana" w:hAnsi="Verdana" w:cs="Arial"/>
          <w:sz w:val="16"/>
          <w:szCs w:val="16"/>
        </w:rPr>
      </w:pPr>
      <w:r w:rsidRPr="00235509">
        <w:rPr>
          <w:rFonts w:ascii="Verdana" w:hAnsi="Verdana" w:cs="Arial"/>
          <w:sz w:val="16"/>
          <w:szCs w:val="16"/>
        </w:rPr>
        <w:t>Fuente: Wikipedia.</w:t>
      </w:r>
    </w:p>
    <w:p w14:paraId="45F44B26" w14:textId="77777777" w:rsidR="00911C69" w:rsidRPr="00235509" w:rsidRDefault="00911C69" w:rsidP="00911C69">
      <w:pPr>
        <w:autoSpaceDE w:val="0"/>
        <w:autoSpaceDN w:val="0"/>
        <w:adjustRightInd w:val="0"/>
        <w:contextualSpacing/>
        <w:jc w:val="both"/>
        <w:rPr>
          <w:rFonts w:ascii="Verdana" w:hAnsi="Verdana" w:cs="Arial"/>
          <w:b/>
          <w:sz w:val="16"/>
          <w:szCs w:val="16"/>
        </w:rPr>
      </w:pPr>
    </w:p>
    <w:p w14:paraId="47F3BCDB" w14:textId="77777777" w:rsidR="00911C69" w:rsidRPr="00235509" w:rsidRDefault="00911C69" w:rsidP="00911C69">
      <w:pPr>
        <w:autoSpaceDE w:val="0"/>
        <w:autoSpaceDN w:val="0"/>
        <w:adjustRightInd w:val="0"/>
        <w:contextualSpacing/>
        <w:jc w:val="center"/>
        <w:rPr>
          <w:rFonts w:ascii="Verdana" w:hAnsi="Verdana" w:cs="Arial"/>
          <w:sz w:val="16"/>
          <w:szCs w:val="16"/>
        </w:rPr>
      </w:pPr>
      <w:r w:rsidRPr="00235509">
        <w:rPr>
          <w:rFonts w:ascii="Verdana" w:hAnsi="Verdana" w:cs="Arial"/>
          <w:b/>
          <w:sz w:val="16"/>
          <w:szCs w:val="16"/>
        </w:rPr>
        <w:t xml:space="preserve">Cuadro 1. </w:t>
      </w:r>
      <w:r w:rsidRPr="00235509">
        <w:rPr>
          <w:rFonts w:ascii="Verdana" w:hAnsi="Verdana" w:cs="Arial"/>
          <w:sz w:val="16"/>
          <w:szCs w:val="16"/>
        </w:rPr>
        <w:t>Información General</w:t>
      </w:r>
    </w:p>
    <w:tbl>
      <w:tblPr>
        <w:tblW w:w="6920" w:type="dxa"/>
        <w:jc w:val="center"/>
        <w:tblCellMar>
          <w:left w:w="70" w:type="dxa"/>
          <w:right w:w="70" w:type="dxa"/>
        </w:tblCellMar>
        <w:tblLook w:val="04A0" w:firstRow="1" w:lastRow="0" w:firstColumn="1" w:lastColumn="0" w:noHBand="0" w:noVBand="1"/>
      </w:tblPr>
      <w:tblGrid>
        <w:gridCol w:w="2263"/>
        <w:gridCol w:w="4657"/>
      </w:tblGrid>
      <w:tr w:rsidR="00235509" w:rsidRPr="00235509" w14:paraId="78595D8A" w14:textId="77777777" w:rsidTr="00235509">
        <w:trPr>
          <w:trHeight w:val="360"/>
          <w:jc w:val="center"/>
        </w:trPr>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0568" w14:textId="77777777" w:rsidR="00235509" w:rsidRPr="00235509" w:rsidRDefault="00235509" w:rsidP="00235509">
            <w:pPr>
              <w:jc w:val="cente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GENERALIDADES</w:t>
            </w:r>
          </w:p>
        </w:tc>
      </w:tr>
      <w:tr w:rsidR="00235509" w:rsidRPr="00235509" w14:paraId="08CEEEBD"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7667397" w14:textId="77777777" w:rsidR="00235509" w:rsidRPr="00235509" w:rsidRDefault="00235509" w:rsidP="00235509">
            <w:pPr>
              <w:jc w:val="cente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Concepto</w:t>
            </w:r>
          </w:p>
        </w:tc>
        <w:tc>
          <w:tcPr>
            <w:tcW w:w="4657" w:type="dxa"/>
            <w:tcBorders>
              <w:top w:val="nil"/>
              <w:left w:val="nil"/>
              <w:bottom w:val="single" w:sz="4" w:space="0" w:color="auto"/>
              <w:right w:val="single" w:sz="4" w:space="0" w:color="auto"/>
            </w:tcBorders>
            <w:shd w:val="clear" w:color="auto" w:fill="auto"/>
            <w:noWrap/>
            <w:vAlign w:val="center"/>
            <w:hideMark/>
          </w:tcPr>
          <w:p w14:paraId="506D3674" w14:textId="77777777" w:rsidR="00235509" w:rsidRPr="00235509" w:rsidRDefault="00235509" w:rsidP="00235509">
            <w:pPr>
              <w:jc w:val="cente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Datos</w:t>
            </w:r>
          </w:p>
        </w:tc>
      </w:tr>
      <w:tr w:rsidR="00235509" w:rsidRPr="00235509" w14:paraId="1BF75DAC"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5A98009"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Superficie</w:t>
            </w:r>
          </w:p>
        </w:tc>
        <w:tc>
          <w:tcPr>
            <w:tcW w:w="4657" w:type="dxa"/>
            <w:tcBorders>
              <w:top w:val="nil"/>
              <w:left w:val="nil"/>
              <w:bottom w:val="single" w:sz="4" w:space="0" w:color="auto"/>
              <w:right w:val="single" w:sz="4" w:space="0" w:color="auto"/>
            </w:tcBorders>
            <w:shd w:val="clear" w:color="auto" w:fill="auto"/>
            <w:noWrap/>
            <w:vAlign w:val="bottom"/>
            <w:hideMark/>
          </w:tcPr>
          <w:p w14:paraId="52A195A9"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52,00 km²</w:t>
            </w:r>
          </w:p>
        </w:tc>
      </w:tr>
      <w:tr w:rsidR="00235509" w:rsidRPr="00235509" w14:paraId="09FD2C9F"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BD14AD3"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Ubicación</w:t>
            </w:r>
          </w:p>
        </w:tc>
        <w:tc>
          <w:tcPr>
            <w:tcW w:w="4657" w:type="dxa"/>
            <w:tcBorders>
              <w:top w:val="nil"/>
              <w:left w:val="nil"/>
              <w:bottom w:val="single" w:sz="4" w:space="0" w:color="auto"/>
              <w:right w:val="single" w:sz="4" w:space="0" w:color="auto"/>
            </w:tcBorders>
            <w:shd w:val="clear" w:color="auto" w:fill="auto"/>
            <w:noWrap/>
            <w:vAlign w:val="bottom"/>
            <w:hideMark/>
          </w:tcPr>
          <w:p w14:paraId="27307B76"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Latitud: 4,813; Longitud: -74,103</w:t>
            </w:r>
          </w:p>
        </w:tc>
      </w:tr>
      <w:tr w:rsidR="00235509" w:rsidRPr="00235509" w14:paraId="59B55C20"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A57F91"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Código DANE</w:t>
            </w:r>
          </w:p>
        </w:tc>
        <w:tc>
          <w:tcPr>
            <w:tcW w:w="4657" w:type="dxa"/>
            <w:tcBorders>
              <w:top w:val="nil"/>
              <w:left w:val="nil"/>
              <w:bottom w:val="single" w:sz="4" w:space="0" w:color="auto"/>
              <w:right w:val="single" w:sz="4" w:space="0" w:color="auto"/>
            </w:tcBorders>
            <w:shd w:val="clear" w:color="auto" w:fill="auto"/>
            <w:noWrap/>
            <w:vAlign w:val="bottom"/>
            <w:hideMark/>
          </w:tcPr>
          <w:p w14:paraId="781BB32A"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25214</w:t>
            </w:r>
          </w:p>
        </w:tc>
      </w:tr>
      <w:tr w:rsidR="00235509" w:rsidRPr="00235509" w14:paraId="67DA720F"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D9C19DC"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Categoría</w:t>
            </w:r>
          </w:p>
        </w:tc>
        <w:tc>
          <w:tcPr>
            <w:tcW w:w="4657" w:type="dxa"/>
            <w:tcBorders>
              <w:top w:val="nil"/>
              <w:left w:val="nil"/>
              <w:bottom w:val="single" w:sz="4" w:space="0" w:color="auto"/>
              <w:right w:val="single" w:sz="4" w:space="0" w:color="auto"/>
            </w:tcBorders>
            <w:shd w:val="clear" w:color="auto" w:fill="auto"/>
            <w:noWrap/>
            <w:vAlign w:val="bottom"/>
            <w:hideMark/>
          </w:tcPr>
          <w:p w14:paraId="0898C56C"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Segunda</w:t>
            </w:r>
          </w:p>
        </w:tc>
      </w:tr>
      <w:tr w:rsidR="00235509" w:rsidRPr="00235509" w14:paraId="264AC9B2"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256A1A2"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Población Total</w:t>
            </w:r>
          </w:p>
        </w:tc>
        <w:tc>
          <w:tcPr>
            <w:tcW w:w="4657" w:type="dxa"/>
            <w:tcBorders>
              <w:top w:val="nil"/>
              <w:left w:val="nil"/>
              <w:bottom w:val="single" w:sz="4" w:space="0" w:color="auto"/>
              <w:right w:val="single" w:sz="4" w:space="0" w:color="auto"/>
            </w:tcBorders>
            <w:shd w:val="clear" w:color="auto" w:fill="auto"/>
            <w:noWrap/>
            <w:vAlign w:val="bottom"/>
            <w:hideMark/>
          </w:tcPr>
          <w:p w14:paraId="1083AB2E"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38469 habitantes</w:t>
            </w:r>
          </w:p>
        </w:tc>
      </w:tr>
      <w:tr w:rsidR="00235509" w:rsidRPr="00235509" w14:paraId="5FF1B19F"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287E2B"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Alcalde 2020-2023</w:t>
            </w:r>
          </w:p>
        </w:tc>
        <w:tc>
          <w:tcPr>
            <w:tcW w:w="4657" w:type="dxa"/>
            <w:tcBorders>
              <w:top w:val="nil"/>
              <w:left w:val="nil"/>
              <w:bottom w:val="single" w:sz="4" w:space="0" w:color="auto"/>
              <w:right w:val="single" w:sz="4" w:space="0" w:color="auto"/>
            </w:tcBorders>
            <w:shd w:val="clear" w:color="auto" w:fill="auto"/>
            <w:noWrap/>
            <w:vAlign w:val="bottom"/>
            <w:hideMark/>
          </w:tcPr>
          <w:p w14:paraId="127CFC8F"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NESTOR ORLANDO GUITARRERO SANCHEZ</w:t>
            </w:r>
          </w:p>
        </w:tc>
      </w:tr>
      <w:tr w:rsidR="00235509" w:rsidRPr="00235509" w14:paraId="4AEB5215"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637F907"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Región</w:t>
            </w:r>
          </w:p>
        </w:tc>
        <w:tc>
          <w:tcPr>
            <w:tcW w:w="4657" w:type="dxa"/>
            <w:tcBorders>
              <w:top w:val="nil"/>
              <w:left w:val="nil"/>
              <w:bottom w:val="single" w:sz="4" w:space="0" w:color="auto"/>
              <w:right w:val="single" w:sz="4" w:space="0" w:color="auto"/>
            </w:tcBorders>
            <w:shd w:val="clear" w:color="auto" w:fill="auto"/>
            <w:noWrap/>
            <w:vAlign w:val="bottom"/>
            <w:hideMark/>
          </w:tcPr>
          <w:p w14:paraId="3C595A55"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CENTRO ORIENTE</w:t>
            </w:r>
          </w:p>
        </w:tc>
      </w:tr>
      <w:tr w:rsidR="00235509" w:rsidRPr="00235509" w14:paraId="4980908A"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0B8DC5A"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Departamento</w:t>
            </w:r>
          </w:p>
        </w:tc>
        <w:tc>
          <w:tcPr>
            <w:tcW w:w="4657" w:type="dxa"/>
            <w:tcBorders>
              <w:top w:val="nil"/>
              <w:left w:val="nil"/>
              <w:bottom w:val="single" w:sz="4" w:space="0" w:color="auto"/>
              <w:right w:val="single" w:sz="4" w:space="0" w:color="auto"/>
            </w:tcBorders>
            <w:shd w:val="clear" w:color="auto" w:fill="auto"/>
            <w:noWrap/>
            <w:vAlign w:val="bottom"/>
            <w:hideMark/>
          </w:tcPr>
          <w:p w14:paraId="0EEA31AE"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CUNDINAMARCA</w:t>
            </w:r>
          </w:p>
        </w:tc>
      </w:tr>
      <w:tr w:rsidR="00235509" w:rsidRPr="00235509" w14:paraId="289C7586"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435DE0A"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Altitud</w:t>
            </w:r>
          </w:p>
        </w:tc>
        <w:tc>
          <w:tcPr>
            <w:tcW w:w="4657" w:type="dxa"/>
            <w:tcBorders>
              <w:top w:val="nil"/>
              <w:left w:val="nil"/>
              <w:bottom w:val="single" w:sz="4" w:space="0" w:color="auto"/>
              <w:right w:val="single" w:sz="4" w:space="0" w:color="auto"/>
            </w:tcBorders>
            <w:shd w:val="clear" w:color="auto" w:fill="auto"/>
            <w:noWrap/>
            <w:vAlign w:val="bottom"/>
            <w:hideMark/>
          </w:tcPr>
          <w:p w14:paraId="019412A8"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2.561 m. s. n. m.</w:t>
            </w:r>
          </w:p>
        </w:tc>
      </w:tr>
      <w:tr w:rsidR="00235509" w:rsidRPr="00235509" w14:paraId="1C222A19" w14:textId="77777777" w:rsidTr="00570786">
        <w:trPr>
          <w:trHeight w:val="33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555BE4" w14:textId="77777777" w:rsidR="00235509" w:rsidRPr="00235509" w:rsidRDefault="00235509" w:rsidP="00235509">
            <w:pPr>
              <w:rPr>
                <w:rFonts w:ascii="Verdana" w:eastAsia="Times New Roman" w:hAnsi="Verdana" w:cs="Calibri"/>
                <w:b/>
                <w:bCs/>
                <w:color w:val="000000"/>
                <w:sz w:val="18"/>
                <w:szCs w:val="18"/>
                <w:lang w:val="es-CO" w:eastAsia="es-CO"/>
              </w:rPr>
            </w:pPr>
            <w:r w:rsidRPr="00235509">
              <w:rPr>
                <w:rFonts w:ascii="Verdana" w:eastAsia="Times New Roman" w:hAnsi="Verdana" w:cs="Calibri"/>
                <w:b/>
                <w:bCs/>
                <w:color w:val="000000"/>
                <w:sz w:val="18"/>
                <w:szCs w:val="18"/>
                <w:lang w:val="es-CO" w:eastAsia="es-CO"/>
              </w:rPr>
              <w:t>PDET</w:t>
            </w:r>
          </w:p>
        </w:tc>
        <w:tc>
          <w:tcPr>
            <w:tcW w:w="4657" w:type="dxa"/>
            <w:tcBorders>
              <w:top w:val="nil"/>
              <w:left w:val="nil"/>
              <w:bottom w:val="single" w:sz="4" w:space="0" w:color="auto"/>
              <w:right w:val="single" w:sz="4" w:space="0" w:color="auto"/>
            </w:tcBorders>
            <w:shd w:val="clear" w:color="auto" w:fill="auto"/>
            <w:noWrap/>
            <w:vAlign w:val="bottom"/>
            <w:hideMark/>
          </w:tcPr>
          <w:p w14:paraId="06B30060" w14:textId="77777777" w:rsidR="00235509" w:rsidRPr="00235509" w:rsidRDefault="00235509" w:rsidP="00235509">
            <w:pPr>
              <w:jc w:val="center"/>
              <w:rPr>
                <w:rFonts w:ascii="Verdana" w:eastAsia="Times New Roman" w:hAnsi="Verdana" w:cs="Calibri"/>
                <w:color w:val="000000"/>
                <w:sz w:val="18"/>
                <w:szCs w:val="18"/>
                <w:lang w:val="es-CO" w:eastAsia="es-CO"/>
              </w:rPr>
            </w:pPr>
            <w:r w:rsidRPr="00235509">
              <w:rPr>
                <w:rFonts w:ascii="Verdana" w:eastAsia="Times New Roman" w:hAnsi="Verdana" w:cs="Calibri"/>
                <w:color w:val="000000"/>
                <w:sz w:val="18"/>
                <w:szCs w:val="18"/>
                <w:lang w:val="es-CO" w:eastAsia="es-CO"/>
              </w:rPr>
              <w:t>NO</w:t>
            </w:r>
          </w:p>
        </w:tc>
      </w:tr>
    </w:tbl>
    <w:p w14:paraId="65B5BA4A" w14:textId="77777777" w:rsidR="00911C69" w:rsidRPr="00235509" w:rsidRDefault="00911C69" w:rsidP="00911C69">
      <w:pPr>
        <w:contextualSpacing/>
        <w:rPr>
          <w:rFonts w:ascii="Verdana" w:hAnsi="Verdana" w:cs="Arial"/>
          <w:b/>
          <w:sz w:val="16"/>
          <w:szCs w:val="16"/>
        </w:rPr>
      </w:pPr>
    </w:p>
    <w:p w14:paraId="07B889BB" w14:textId="77777777" w:rsidR="00911C69" w:rsidRPr="00235509" w:rsidRDefault="00911C69" w:rsidP="00911C69">
      <w:pPr>
        <w:pStyle w:val="paragraph"/>
        <w:spacing w:before="0" w:beforeAutospacing="0" w:after="0" w:afterAutospacing="0"/>
        <w:contextualSpacing/>
        <w:jc w:val="both"/>
        <w:textAlignment w:val="baseline"/>
        <w:rPr>
          <w:rFonts w:ascii="Verdana" w:eastAsiaTheme="minorHAnsi" w:hAnsi="Verdana" w:cs="Arial"/>
          <w:sz w:val="16"/>
          <w:szCs w:val="16"/>
          <w:lang w:val="es-ES" w:eastAsia="es-ES"/>
        </w:rPr>
      </w:pPr>
    </w:p>
    <w:p w14:paraId="4D8888D3" w14:textId="77777777" w:rsidR="00911C69" w:rsidRPr="00570786" w:rsidRDefault="00911C69" w:rsidP="00911C69">
      <w:pPr>
        <w:ind w:left="710"/>
        <w:contextualSpacing/>
        <w:jc w:val="both"/>
        <w:rPr>
          <w:rFonts w:ascii="Verdana" w:hAnsi="Verdana" w:cs="Arial"/>
          <w:b/>
          <w:sz w:val="22"/>
          <w:szCs w:val="22"/>
        </w:rPr>
      </w:pPr>
      <w:r w:rsidRPr="00570786">
        <w:rPr>
          <w:rFonts w:ascii="Verdana" w:hAnsi="Verdana" w:cs="Arial"/>
          <w:b/>
          <w:sz w:val="22"/>
          <w:szCs w:val="22"/>
        </w:rPr>
        <w:t>B. Componentes Sectoriales.</w:t>
      </w:r>
    </w:p>
    <w:p w14:paraId="09F5E1D8" w14:textId="77777777" w:rsidR="00911C69" w:rsidRPr="00570786" w:rsidRDefault="00911C69" w:rsidP="00911C69">
      <w:pPr>
        <w:contextualSpacing/>
        <w:jc w:val="both"/>
        <w:rPr>
          <w:rFonts w:ascii="Verdana" w:hAnsi="Verdana" w:cs="Arial"/>
          <w:b/>
          <w:sz w:val="22"/>
          <w:szCs w:val="22"/>
        </w:rPr>
      </w:pPr>
    </w:p>
    <w:p w14:paraId="38E5D11E"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1. Esquema de Prestación.</w:t>
      </w:r>
    </w:p>
    <w:p w14:paraId="639447D5" w14:textId="77777777" w:rsidR="00911C69" w:rsidRPr="00570786" w:rsidRDefault="00911C69" w:rsidP="00911C69">
      <w:pPr>
        <w:contextualSpacing/>
        <w:jc w:val="both"/>
        <w:rPr>
          <w:rFonts w:ascii="Verdana" w:hAnsi="Verdana" w:cs="Arial"/>
          <w:b/>
          <w:sz w:val="22"/>
          <w:szCs w:val="22"/>
        </w:rPr>
      </w:pPr>
    </w:p>
    <w:p w14:paraId="4A94B1B6"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 xml:space="preserve">El 7 de diciembre del año 2006, el Municipio de Cota y el Instituto Municipal de Recreación y Deporte de Cota celebraron un contrato de constitución de una Sociedad </w:t>
      </w:r>
      <w:r w:rsidRPr="00570786">
        <w:rPr>
          <w:rFonts w:ascii="Verdana" w:hAnsi="Verdana" w:cs="Arial"/>
          <w:sz w:val="22"/>
          <w:szCs w:val="22"/>
        </w:rPr>
        <w:lastRenderedPageBreak/>
        <w:t>Anónima por Acciones de carácter oficial del orden municipal para la prestación de los Servicios Públicos Domiciliarios de Acueducto, Alcantarillado y Aseo según los artículos 14.5, 17 y 19 de la Ley 142 de 1994. La sociedad legalizada mediante Escritura Pública No. 1155 de la Notaría Única de Cota y su denominación corresponde a EMSERCOTA S.A. E.S.P., cuenta con una participación del 91% para el Municipio y el 9% para el Instituto de Recreación y Deporte.</w:t>
      </w:r>
    </w:p>
    <w:p w14:paraId="45726C35" w14:textId="77777777" w:rsidR="00911C69" w:rsidRPr="00570786" w:rsidRDefault="00911C69" w:rsidP="00911C69">
      <w:pPr>
        <w:contextualSpacing/>
        <w:jc w:val="both"/>
        <w:rPr>
          <w:rFonts w:ascii="Verdana" w:hAnsi="Verdana" w:cs="Arial"/>
          <w:sz w:val="22"/>
          <w:szCs w:val="22"/>
        </w:rPr>
      </w:pPr>
    </w:p>
    <w:p w14:paraId="51AE05F8"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El objeto de dicha Sociedad consiste en “</w:t>
      </w:r>
      <w:r w:rsidRPr="00570786">
        <w:rPr>
          <w:rFonts w:ascii="Verdana" w:hAnsi="Verdana" w:cs="Arial"/>
          <w:i/>
          <w:iCs/>
          <w:sz w:val="22"/>
          <w:szCs w:val="22"/>
        </w:rPr>
        <w:t>la prestación de los servicios públicos domiciliarios de acueducto, alcantarillado y aseo, este último en sus dos modalidades de prestación de servicio (ordinario y especial) y a través de sus componentes de recolección, barrido y limpieza de vías y áreas públicas, corte de césped y poda de árboles ubicados en las vías y áreas públicas, lavado de estas áreas; transporte, transferencia, tratamiento, aprovechamiento y disposición final de toda clase de residuos y demás actividades complementarias; con proyección nacional, según sus capacidades técnicas, administrativas, legales y financieras</w:t>
      </w:r>
      <w:r w:rsidRPr="00570786">
        <w:rPr>
          <w:rFonts w:ascii="Verdana" w:hAnsi="Verdana" w:cs="Arial"/>
          <w:sz w:val="22"/>
          <w:szCs w:val="22"/>
        </w:rPr>
        <w:t xml:space="preserve">”. La asamblea y la junta directiva de la Sociedad son los órganos superiores de dirección y administración de la Empresa, donde el presidente de la junta es el </w:t>
      </w:r>
      <w:r w:rsidR="003A1DE6" w:rsidRPr="00570786">
        <w:rPr>
          <w:rFonts w:ascii="Verdana" w:hAnsi="Verdana" w:cs="Arial"/>
          <w:sz w:val="22"/>
          <w:szCs w:val="22"/>
        </w:rPr>
        <w:t>alcalde</w:t>
      </w:r>
      <w:r w:rsidRPr="00570786">
        <w:rPr>
          <w:rFonts w:ascii="Verdana" w:hAnsi="Verdana" w:cs="Arial"/>
          <w:sz w:val="22"/>
          <w:szCs w:val="22"/>
        </w:rPr>
        <w:t xml:space="preserve"> del Municipio.</w:t>
      </w:r>
    </w:p>
    <w:p w14:paraId="1C27D755" w14:textId="77777777" w:rsidR="00911C69" w:rsidRPr="00570786" w:rsidRDefault="00911C69" w:rsidP="00911C69">
      <w:pPr>
        <w:contextualSpacing/>
        <w:jc w:val="both"/>
        <w:rPr>
          <w:rFonts w:ascii="Verdana" w:hAnsi="Verdana" w:cs="Arial"/>
          <w:sz w:val="22"/>
          <w:szCs w:val="22"/>
        </w:rPr>
      </w:pPr>
    </w:p>
    <w:p w14:paraId="3F7CA25C"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No obstante, en el Municipio también prestan los Servicios de Acueducto, Alcantarillado y Aseo, los siguientes operadores:</w:t>
      </w:r>
    </w:p>
    <w:p w14:paraId="2B6D6C07" w14:textId="77777777" w:rsidR="00911C69" w:rsidRPr="00570786" w:rsidRDefault="00911C69" w:rsidP="00911C69">
      <w:pPr>
        <w:contextualSpacing/>
        <w:jc w:val="both"/>
        <w:rPr>
          <w:rFonts w:ascii="Verdana" w:hAnsi="Verdana" w:cs="Arial"/>
          <w:sz w:val="22"/>
          <w:szCs w:val="22"/>
        </w:rPr>
      </w:pPr>
    </w:p>
    <w:p w14:paraId="1FD622C2" w14:textId="77777777" w:rsidR="00911C69" w:rsidRPr="00570786" w:rsidRDefault="00911C69" w:rsidP="00911C69">
      <w:pPr>
        <w:contextualSpacing/>
        <w:jc w:val="center"/>
        <w:rPr>
          <w:rFonts w:ascii="Verdana" w:hAnsi="Verdana" w:cs="Arial"/>
          <w:sz w:val="22"/>
          <w:szCs w:val="22"/>
        </w:rPr>
      </w:pPr>
      <w:r w:rsidRPr="00570786">
        <w:rPr>
          <w:rFonts w:ascii="Verdana" w:hAnsi="Verdana" w:cs="Arial"/>
          <w:b/>
          <w:sz w:val="22"/>
          <w:szCs w:val="22"/>
        </w:rPr>
        <w:t>Cuadro No. 2</w:t>
      </w:r>
      <w:r w:rsidRPr="00570786">
        <w:rPr>
          <w:rFonts w:ascii="Verdana" w:hAnsi="Verdana" w:cs="Arial"/>
          <w:sz w:val="22"/>
          <w:szCs w:val="22"/>
        </w:rPr>
        <w:t xml:space="preserve"> Relación de prestadores de los Servicios de AAA.</w:t>
      </w:r>
    </w:p>
    <w:p w14:paraId="75003AA0" w14:textId="77777777" w:rsidR="00911C69" w:rsidRPr="00433E58" w:rsidRDefault="00911C69" w:rsidP="00911C69">
      <w:pPr>
        <w:contextualSpacing/>
        <w:jc w:val="center"/>
        <w:rPr>
          <w:rFonts w:ascii="Verdana" w:hAnsi="Verdana" w:cs="Arial"/>
          <w:sz w:val="22"/>
          <w:szCs w:val="22"/>
        </w:rPr>
      </w:pPr>
      <w:r w:rsidRPr="00433E58">
        <w:rPr>
          <w:rFonts w:ascii="Verdana" w:hAnsi="Verdana" w:cs="Arial"/>
          <w:noProof/>
          <w:sz w:val="22"/>
          <w:szCs w:val="22"/>
          <w:lang w:val="es-CO" w:eastAsia="es-CO"/>
        </w:rPr>
        <w:lastRenderedPageBreak/>
        <w:drawing>
          <wp:inline distT="0" distB="0" distL="0" distR="0" wp14:anchorId="44D67734" wp14:editId="72A7CC3F">
            <wp:extent cx="6000750" cy="4294135"/>
            <wp:effectExtent l="0" t="0" r="0" b="0"/>
            <wp:docPr id="160723030" name="Imagen 16072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800" cy="4390061"/>
                    </a:xfrm>
                    <a:prstGeom prst="rect">
                      <a:avLst/>
                    </a:prstGeom>
                    <a:noFill/>
                    <a:ln>
                      <a:noFill/>
                    </a:ln>
                  </pic:spPr>
                </pic:pic>
              </a:graphicData>
            </a:graphic>
          </wp:inline>
        </w:drawing>
      </w:r>
    </w:p>
    <w:p w14:paraId="24D5F746" w14:textId="77777777" w:rsidR="00911C69" w:rsidRPr="00570786" w:rsidRDefault="00911C69" w:rsidP="00911C69">
      <w:pPr>
        <w:contextualSpacing/>
        <w:jc w:val="center"/>
        <w:rPr>
          <w:rFonts w:ascii="Verdana" w:hAnsi="Verdana" w:cs="Arial"/>
          <w:sz w:val="16"/>
          <w:szCs w:val="16"/>
        </w:rPr>
      </w:pPr>
      <w:r w:rsidRPr="00570786">
        <w:rPr>
          <w:rFonts w:ascii="Verdana" w:hAnsi="Verdana" w:cs="Arial"/>
          <w:sz w:val="16"/>
          <w:szCs w:val="16"/>
        </w:rPr>
        <w:t>Fuente: Alcaldía de Cota - Cundinamarca</w:t>
      </w:r>
    </w:p>
    <w:p w14:paraId="3F7C08AE" w14:textId="77777777" w:rsidR="00911C69" w:rsidRPr="00433E58" w:rsidRDefault="00911C69" w:rsidP="00911C69">
      <w:pPr>
        <w:contextualSpacing/>
        <w:jc w:val="both"/>
        <w:rPr>
          <w:rFonts w:ascii="Verdana" w:hAnsi="Verdana" w:cs="Arial"/>
          <w:sz w:val="22"/>
          <w:szCs w:val="22"/>
        </w:rPr>
      </w:pPr>
    </w:p>
    <w:p w14:paraId="1465C34C"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Cómo se puede ver, en el Municipio existen nueve operadores, dos que operan en el área urbana y siete en el área rural; sin embargo, EMSERCOTA S.A. ESP es el principal operador de Servicios Públicos en el Municipio.</w:t>
      </w:r>
    </w:p>
    <w:p w14:paraId="1F01E40C" w14:textId="77777777" w:rsidR="00911C69" w:rsidRPr="00570786" w:rsidRDefault="00911C69" w:rsidP="00911C69">
      <w:pPr>
        <w:contextualSpacing/>
        <w:jc w:val="both"/>
        <w:rPr>
          <w:rFonts w:ascii="Verdana" w:hAnsi="Verdana" w:cs="Arial"/>
          <w:sz w:val="22"/>
          <w:szCs w:val="22"/>
        </w:rPr>
      </w:pPr>
    </w:p>
    <w:p w14:paraId="269664FF" w14:textId="77777777" w:rsidR="00911C69" w:rsidRPr="00570786" w:rsidRDefault="00911C69" w:rsidP="00911C69">
      <w:pPr>
        <w:contextualSpacing/>
        <w:jc w:val="both"/>
        <w:rPr>
          <w:rFonts w:ascii="Verdana" w:eastAsia="Calibri" w:hAnsi="Verdana" w:cs="Arial"/>
          <w:sz w:val="22"/>
          <w:szCs w:val="22"/>
          <w:lang w:val="es-CO"/>
        </w:rPr>
      </w:pPr>
      <w:r w:rsidRPr="00570786">
        <w:rPr>
          <w:rFonts w:ascii="Verdana" w:hAnsi="Verdana" w:cs="Arial"/>
          <w:sz w:val="22"/>
          <w:szCs w:val="22"/>
        </w:rPr>
        <w:t xml:space="preserve">Con respecto a la prestación del Servicio de Acueducto, el Municipio remitió un documento de EMSERCOTA S.A. E.S.P., el cual menciona que para la operación de este, </w:t>
      </w:r>
      <w:r w:rsidRPr="00570786">
        <w:rPr>
          <w:rFonts w:ascii="Verdana" w:eastAsia="Calibri" w:hAnsi="Verdana" w:cs="Arial"/>
          <w:sz w:val="22"/>
          <w:szCs w:val="22"/>
          <w:lang w:val="es-CO"/>
        </w:rPr>
        <w:t xml:space="preserve">se abastece únicamente a través de fuentes subterráneas denominadas pozos profundos, los cuales son: Pozo El </w:t>
      </w:r>
      <w:proofErr w:type="spellStart"/>
      <w:r w:rsidRPr="00570786">
        <w:rPr>
          <w:rFonts w:ascii="Verdana" w:eastAsia="Calibri" w:hAnsi="Verdana" w:cs="Arial"/>
          <w:sz w:val="22"/>
          <w:szCs w:val="22"/>
          <w:lang w:val="es-CO"/>
        </w:rPr>
        <w:t>Cetime</w:t>
      </w:r>
      <w:proofErr w:type="spellEnd"/>
      <w:r w:rsidRPr="00570786">
        <w:rPr>
          <w:rFonts w:ascii="Verdana" w:eastAsia="Calibri" w:hAnsi="Verdana" w:cs="Arial"/>
          <w:sz w:val="22"/>
          <w:szCs w:val="22"/>
          <w:lang w:val="es-CO"/>
        </w:rPr>
        <w:t xml:space="preserve">, ubicado en el Camellón de Las Flores en la Vereda de El </w:t>
      </w:r>
      <w:proofErr w:type="spellStart"/>
      <w:r w:rsidRPr="00570786">
        <w:rPr>
          <w:rFonts w:ascii="Verdana" w:eastAsia="Calibri" w:hAnsi="Verdana" w:cs="Arial"/>
          <w:sz w:val="22"/>
          <w:szCs w:val="22"/>
          <w:lang w:val="es-CO"/>
        </w:rPr>
        <w:t>Cetime</w:t>
      </w:r>
      <w:proofErr w:type="spellEnd"/>
      <w:r w:rsidRPr="00570786">
        <w:rPr>
          <w:rFonts w:ascii="Verdana" w:eastAsia="Calibri" w:hAnsi="Verdana" w:cs="Arial"/>
          <w:sz w:val="22"/>
          <w:szCs w:val="22"/>
          <w:lang w:val="es-CO"/>
        </w:rPr>
        <w:t>, Pozo La Moya, ubicado en el Camellón de Las Flores en la Vereda de La Moya, Pozo El Salvio, ubicado en el Camellón de El Salvio en la Vereda de La Moya y el Pozo El Abra, ubicado en el Camellón de El Salvio en la Vereda de El Abra. Según información entregada, cada uno de los pozos cuenta con su respectiva concesión de aguas.</w:t>
      </w:r>
    </w:p>
    <w:p w14:paraId="72AD4CCC" w14:textId="77777777" w:rsidR="00911C69" w:rsidRPr="00570786" w:rsidRDefault="00911C69" w:rsidP="00911C69">
      <w:pPr>
        <w:contextualSpacing/>
        <w:jc w:val="both"/>
        <w:rPr>
          <w:rFonts w:ascii="Verdana" w:eastAsia="Calibri" w:hAnsi="Verdana" w:cs="Arial"/>
          <w:sz w:val="22"/>
          <w:szCs w:val="22"/>
          <w:lang w:val="es-CO"/>
        </w:rPr>
      </w:pPr>
    </w:p>
    <w:p w14:paraId="7D6816DB"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auto"/>
          <w:sz w:val="22"/>
          <w:szCs w:val="22"/>
        </w:rPr>
        <w:lastRenderedPageBreak/>
        <w:t>Para el tratamiento, el agua se extrae del subsuelo y se impulsa por medio de una bomba sumergible ubicada a una profundidad de 150 metros aproximadamente. El agua cruda es bombeada desde los pozos hacia las seis Plantas de Tratamiento de Agua Potable - PTAP, que opera dicha Empresa, donde se lleva a cabo el proceso de potabilización (aireación, floculación, sedimentación, filtración, desinfección, almacenamiento y distribución).</w:t>
      </w:r>
    </w:p>
    <w:p w14:paraId="1D41CD5E" w14:textId="77777777" w:rsidR="00911C69" w:rsidRPr="00570786" w:rsidRDefault="00911C69" w:rsidP="00911C69">
      <w:pPr>
        <w:pStyle w:val="Default"/>
        <w:contextualSpacing/>
        <w:rPr>
          <w:rFonts w:ascii="Verdana" w:hAnsi="Verdana"/>
          <w:color w:val="auto"/>
          <w:sz w:val="22"/>
          <w:szCs w:val="22"/>
        </w:rPr>
      </w:pPr>
    </w:p>
    <w:p w14:paraId="007041BB"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auto"/>
          <w:sz w:val="22"/>
          <w:szCs w:val="22"/>
        </w:rPr>
        <w:t>En cuanto a la calidad del agua, el documento remitido por el Municipio menciona que la Empresa EMSERCOTA S.A. E.S.P. cuenta con un laboratorio de agua potable autorizado mediante Resolución No. 2625 de 2019 del Ministerio de Salud y Protección Social para realizar análisis fisicoquímicos y microbiológicos. En este se analizan diez (10) muestras diarias para control de calidad del agua suministrada por la Empresa y tomadas por el analista en los diez (10) puntos concertados con la Secretaría de Salud dentro del área de influencia en el Municipio; lo anterior, con el fin de verificar que se esté suministrando agua potable de acuerdo con los parámetros establecidos por la Resolución No. 2115 de 2007 del Ministerio de la Protección Social y del entonces Ministerio de Ambiente, Vivienda y Desarrollo Territorial</w:t>
      </w:r>
      <w:r w:rsidRPr="00570786">
        <w:rPr>
          <w:rFonts w:ascii="Verdana" w:hAnsi="Verdana"/>
          <w:color w:val="auto"/>
          <w:sz w:val="22"/>
          <w:szCs w:val="22"/>
          <w:lang w:val="es-ES"/>
        </w:rPr>
        <w:t>, el cual se dividió en lo que son hoy el Ministerio de Ambiente y Desarrollo Sostenible y el Ministerio de Vivienda, Ciudad y Territorio</w:t>
      </w:r>
      <w:r w:rsidRPr="00570786">
        <w:rPr>
          <w:rFonts w:ascii="Verdana" w:hAnsi="Verdana"/>
          <w:color w:val="auto"/>
          <w:sz w:val="22"/>
          <w:szCs w:val="22"/>
        </w:rPr>
        <w:t>. El Laboratorio de Salud Pública de Cundinamarca realiza vigilancia y control de la calidad del agua suministrada mediante la toma de tres (3) muestras mensuales de algunos de los diez puntos concertados y el laboratorio de la empresa toma sus contramuestras. Los parámetros analizados mensualmente son: turbiedad, color, pH, cloro residual libre, hierro, conductividad, alcalinidad, dureza total, fosfatos, aluminio, nitritos, coliformes totales y E-</w:t>
      </w:r>
      <w:proofErr w:type="spellStart"/>
      <w:r w:rsidRPr="00570786">
        <w:rPr>
          <w:rFonts w:ascii="Verdana" w:hAnsi="Verdana"/>
          <w:color w:val="auto"/>
          <w:sz w:val="22"/>
          <w:szCs w:val="22"/>
        </w:rPr>
        <w:t>Coli</w:t>
      </w:r>
      <w:proofErr w:type="spellEnd"/>
      <w:r w:rsidRPr="00570786">
        <w:rPr>
          <w:rFonts w:ascii="Verdana" w:hAnsi="Verdana"/>
          <w:color w:val="auto"/>
          <w:sz w:val="22"/>
          <w:szCs w:val="22"/>
        </w:rPr>
        <w:t>.</w:t>
      </w:r>
    </w:p>
    <w:p w14:paraId="6D964759" w14:textId="77777777" w:rsidR="00911C69" w:rsidRPr="00570786" w:rsidRDefault="00911C69" w:rsidP="00911C69">
      <w:pPr>
        <w:pStyle w:val="Default"/>
        <w:contextualSpacing/>
        <w:jc w:val="both"/>
        <w:rPr>
          <w:rFonts w:ascii="Verdana" w:hAnsi="Verdana"/>
          <w:color w:val="auto"/>
          <w:sz w:val="22"/>
          <w:szCs w:val="22"/>
        </w:rPr>
      </w:pPr>
    </w:p>
    <w:p w14:paraId="393C05D0"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auto"/>
          <w:sz w:val="22"/>
          <w:szCs w:val="22"/>
        </w:rPr>
        <w:t>En cuanto al Servicio de Alcantarillado, el documento entregado indica que el sistema existente incluye la recolección de aguas lluvias, residuales y el tratamiento de aguas residuales; así mismo, señala que “</w:t>
      </w:r>
      <w:r w:rsidRPr="00570786">
        <w:rPr>
          <w:rFonts w:ascii="Verdana" w:hAnsi="Verdana"/>
          <w:i/>
          <w:iCs/>
          <w:color w:val="auto"/>
          <w:sz w:val="22"/>
          <w:szCs w:val="22"/>
        </w:rPr>
        <w:t xml:space="preserve">el alcantarillado sanitario presenta una baja cobertura en lo rural (73%) y urbano (100%) (es válido aclarar que esos porcentajes aplican al área de cobertura actual de </w:t>
      </w:r>
      <w:proofErr w:type="spellStart"/>
      <w:r w:rsidRPr="00570786">
        <w:rPr>
          <w:rFonts w:ascii="Verdana" w:hAnsi="Verdana"/>
          <w:i/>
          <w:iCs/>
          <w:color w:val="auto"/>
          <w:sz w:val="22"/>
          <w:szCs w:val="22"/>
        </w:rPr>
        <w:t>Emsercota</w:t>
      </w:r>
      <w:proofErr w:type="spellEnd"/>
      <w:r w:rsidRPr="00570786">
        <w:rPr>
          <w:rFonts w:ascii="Verdana" w:hAnsi="Verdana"/>
          <w:i/>
          <w:iCs/>
          <w:color w:val="auto"/>
          <w:sz w:val="22"/>
          <w:szCs w:val="22"/>
        </w:rPr>
        <w:t>)</w:t>
      </w:r>
      <w:r w:rsidRPr="00570786">
        <w:rPr>
          <w:rFonts w:ascii="Verdana" w:hAnsi="Verdana"/>
          <w:color w:val="auto"/>
          <w:sz w:val="22"/>
          <w:szCs w:val="22"/>
        </w:rPr>
        <w:t>”, mientras que el alcantarillado pluvial se está desarrollando desde el año 2012. En la actualidad, se están realizando estudios para la ampliación y articulación en el sector norte de parcelas hacia la PTAR de Rozo. En cuanto al restante de la cobertura de alcantarillado sanitario, en la mayor parte de los sectores sólo se cuenta con desagües y drenajes naturales (vallados) y, donde no existen redes, (el 27% restante del Servicio de Alcantarillado sanitario) este Servicio es reemplazado por los pozos sépticos, especialmente en la zona rural.</w:t>
      </w:r>
    </w:p>
    <w:p w14:paraId="4EB7D1E8" w14:textId="77777777" w:rsidR="00911C69" w:rsidRPr="00570786" w:rsidRDefault="00911C69" w:rsidP="00911C69">
      <w:pPr>
        <w:pStyle w:val="Default"/>
        <w:contextualSpacing/>
        <w:jc w:val="both"/>
        <w:rPr>
          <w:rFonts w:ascii="Verdana" w:hAnsi="Verdana"/>
          <w:color w:val="auto"/>
          <w:sz w:val="22"/>
          <w:szCs w:val="22"/>
        </w:rPr>
      </w:pPr>
    </w:p>
    <w:p w14:paraId="7CFC86D9"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auto"/>
          <w:sz w:val="22"/>
          <w:szCs w:val="22"/>
        </w:rPr>
        <w:t xml:space="preserve">En cuanto al Servicio de Aseo, el servicio de recolección de residuos sólidos domiciliarios es prestado por EMSERCOTA S.A. E.S.P., para lo cual, utiliza cuatro vehículos compactadores con una capacidad de 25 yardas cúbicas cada uno, y uno de 16 yardas cúbicas para realizar la prestación. Para lo anterior, la Empresa cuenta con dos macro rutas: la de la zona industrial que cuenta con dos micro rutas y tiene una </w:t>
      </w:r>
      <w:r w:rsidRPr="00570786">
        <w:rPr>
          <w:rFonts w:ascii="Verdana" w:hAnsi="Verdana"/>
          <w:color w:val="auto"/>
          <w:sz w:val="22"/>
          <w:szCs w:val="22"/>
        </w:rPr>
        <w:lastRenderedPageBreak/>
        <w:t>frecuencia de dos veces por semana y la del casco urbano que cuenta con nueve micro rutas; de las cuales, ocho tienen una frecuencia de dos veces por semana y una comercial con una frecuencia de tres veces por semana. La disposición se realiza en el Relleno Sanitario Nuevo Mondoñedo, el cual se encuentra ubicado en el Municipio de Bojacá.</w:t>
      </w:r>
    </w:p>
    <w:p w14:paraId="7ECE1D4D" w14:textId="77777777" w:rsidR="00911C69" w:rsidRPr="00570786" w:rsidRDefault="00911C69" w:rsidP="00911C69">
      <w:pPr>
        <w:pStyle w:val="Default"/>
        <w:contextualSpacing/>
        <w:jc w:val="both"/>
        <w:rPr>
          <w:rFonts w:ascii="Verdana" w:hAnsi="Verdana"/>
          <w:color w:val="000000" w:themeColor="text1"/>
          <w:sz w:val="22"/>
          <w:szCs w:val="22"/>
        </w:rPr>
      </w:pPr>
    </w:p>
    <w:p w14:paraId="44471785"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000000" w:themeColor="text1"/>
          <w:sz w:val="22"/>
          <w:szCs w:val="22"/>
        </w:rPr>
        <w:t>Adicionalmente, el Municipio entregó un Contrato de Suministro de Agua Potable suscrito entre EMSERCOTA S.A. ESP (Prestador Beneficiario) y la Empresa Aguas de la Sabana de Bogotá S.A. ESP (Prestador Proveedor) el 5 de noviembre de 2019, el cual no tiene número y en adelante de denominará “</w:t>
      </w:r>
      <w:r w:rsidRPr="00570786">
        <w:rPr>
          <w:rFonts w:ascii="Verdana" w:hAnsi="Verdana"/>
          <w:i/>
          <w:iCs/>
          <w:color w:val="000000" w:themeColor="text1"/>
          <w:sz w:val="22"/>
          <w:szCs w:val="22"/>
        </w:rPr>
        <w:t>Contrato de Suministro</w:t>
      </w:r>
      <w:r w:rsidRPr="00570786">
        <w:rPr>
          <w:rFonts w:ascii="Verdana" w:hAnsi="Verdana"/>
          <w:color w:val="000000" w:themeColor="text1"/>
          <w:sz w:val="22"/>
          <w:szCs w:val="22"/>
        </w:rPr>
        <w:t xml:space="preserve">”; por medio del cual, se conoció que desde el 21 de febrero de 2018 existía un contrato de interconexión entre las mismas partes, con un suministro transitorio de hasta 7 litros por segundo (LPS); sin embargo, a través del Contrato de 2019, el Prestador Proveedor se obligó a suministrar al Prestador Beneficiario hasta un caudal máximo de 60 LPS </w:t>
      </w:r>
      <w:r w:rsidRPr="00570786">
        <w:rPr>
          <w:rFonts w:ascii="Verdana" w:hAnsi="Verdana"/>
          <w:color w:val="auto"/>
          <w:sz w:val="22"/>
          <w:szCs w:val="22"/>
        </w:rPr>
        <w:t xml:space="preserve">en el punto de acceso ubicado en las inmediaciones del Rio </w:t>
      </w:r>
      <w:proofErr w:type="spellStart"/>
      <w:r w:rsidRPr="00570786">
        <w:rPr>
          <w:rFonts w:ascii="Verdana" w:hAnsi="Verdana"/>
          <w:color w:val="auto"/>
          <w:sz w:val="22"/>
          <w:szCs w:val="22"/>
        </w:rPr>
        <w:t>Chicú</w:t>
      </w:r>
      <w:proofErr w:type="spellEnd"/>
      <w:r w:rsidRPr="00570786">
        <w:rPr>
          <w:rFonts w:ascii="Verdana" w:hAnsi="Verdana"/>
          <w:color w:val="auto"/>
          <w:sz w:val="22"/>
          <w:szCs w:val="22"/>
        </w:rPr>
        <w:t xml:space="preserve">, donde la presión es suficiente para que este último obtenga el caudal contratado en la Estación de Bombeo en la PTAP de Parcelas. Así mismo, el Prestador Proveedor se comprometió a reformar, ampliar y adicionar sus subsistemas de suministro, transporte y/o distribución de agua potable hasta el punto de acceso y realizar demás obras necesarias para garantizar la continuidad del servicio al Prestador Beneficiario; sin embargo, teniendo en cuenta que las obras se encuentran proyectadas para suministrar un caudal de 60 LPS, el consumo estimado promedio mensual sería de 30 LPS durante los primeros 5 años. Adicionalmente, cabe indicar que por medio de un informe de EMSERCOTA S.A. ESP presentado al </w:t>
      </w:r>
      <w:proofErr w:type="gramStart"/>
      <w:r w:rsidRPr="00570786">
        <w:rPr>
          <w:rFonts w:ascii="Verdana" w:hAnsi="Verdana"/>
          <w:color w:val="auto"/>
          <w:sz w:val="22"/>
          <w:szCs w:val="22"/>
        </w:rPr>
        <w:t>Secretario</w:t>
      </w:r>
      <w:proofErr w:type="gramEnd"/>
      <w:r w:rsidRPr="00570786">
        <w:rPr>
          <w:rFonts w:ascii="Verdana" w:hAnsi="Verdana"/>
          <w:color w:val="auto"/>
          <w:sz w:val="22"/>
          <w:szCs w:val="22"/>
        </w:rPr>
        <w:t xml:space="preserve"> de Planeación del Municipio, la Empresa informó que a 2021 las obras presentaban un 95 % de ejecución y que una vez culminadas, ingresarían 60 LPS más, para un total de 166 LPS.</w:t>
      </w:r>
    </w:p>
    <w:p w14:paraId="765E2F97" w14:textId="77777777" w:rsidR="00911C69" w:rsidRPr="00570786" w:rsidRDefault="00911C69" w:rsidP="00911C69">
      <w:pPr>
        <w:pStyle w:val="Default"/>
        <w:contextualSpacing/>
        <w:jc w:val="both"/>
        <w:rPr>
          <w:rFonts w:ascii="Verdana" w:hAnsi="Verdana"/>
          <w:color w:val="auto"/>
          <w:sz w:val="22"/>
          <w:szCs w:val="22"/>
        </w:rPr>
      </w:pPr>
    </w:p>
    <w:p w14:paraId="1654B1BD"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auto"/>
          <w:sz w:val="22"/>
          <w:szCs w:val="22"/>
        </w:rPr>
        <w:t>Igualmente, cabe indicar que la vigencia del Contrato de Suministro es hasta el 12 de mayo de 2025; no obstante, la duración y las condiciones técnicas de dicho Contrato se pactaron acorde con el contrato que el Prestador Proveedor tiene suscrito con la Empresa de Acueducto y Alcantarillado de Bogotá EAAB ESP, ya que, si este último se prorroga, de igual manera se prorrogará el suscrito entre EMSERCOTA S.A.ESP y Aguas de la Sabana de Bogotá S.A. ESP.</w:t>
      </w:r>
    </w:p>
    <w:p w14:paraId="4A335921" w14:textId="77777777" w:rsidR="00911C69" w:rsidRPr="00570786" w:rsidRDefault="00911C69" w:rsidP="00911C69">
      <w:pPr>
        <w:pStyle w:val="Default"/>
        <w:contextualSpacing/>
        <w:jc w:val="both"/>
        <w:rPr>
          <w:rFonts w:ascii="Verdana" w:hAnsi="Verdana"/>
          <w:color w:val="auto"/>
          <w:sz w:val="22"/>
          <w:szCs w:val="22"/>
        </w:rPr>
      </w:pPr>
    </w:p>
    <w:p w14:paraId="2EEF2D0B" w14:textId="77777777" w:rsidR="00911C69" w:rsidRPr="00570786" w:rsidRDefault="00911C69" w:rsidP="00911C69">
      <w:pPr>
        <w:pStyle w:val="Default"/>
        <w:contextualSpacing/>
        <w:jc w:val="both"/>
        <w:rPr>
          <w:rFonts w:ascii="Verdana" w:hAnsi="Verdana"/>
          <w:color w:val="auto"/>
          <w:sz w:val="22"/>
          <w:szCs w:val="22"/>
        </w:rPr>
      </w:pPr>
      <w:r w:rsidRPr="00570786">
        <w:rPr>
          <w:rFonts w:ascii="Verdana" w:hAnsi="Verdana"/>
          <w:color w:val="auto"/>
          <w:sz w:val="22"/>
          <w:szCs w:val="22"/>
        </w:rPr>
        <w:t xml:space="preserve">Así mismo, el Contrato de Suministro menciona que, el 20 de mayo de 2019 se había celebrado una reunión entre el Gerente Corporativo de Servicio al Cliente de la Empresa de Acueducto y Alcantarillado de Bogotá y el Alcalde del Municipio de Cota Doctor Carlos Julio Moreno, en la que el primero manifestó la imposibilidad de atender la solicitud de suministro de agua potable de manera inmediata, ya que se encontraban realizando las obras necesarias para aumentar el caudal disponible y por lo tanto, recomendó buscar otras fuentes de abastecimiento como; por ejemplo: </w:t>
      </w:r>
      <w:r w:rsidRPr="00570786">
        <w:rPr>
          <w:rFonts w:ascii="Verdana" w:hAnsi="Verdana"/>
          <w:color w:val="auto"/>
          <w:sz w:val="22"/>
          <w:szCs w:val="22"/>
        </w:rPr>
        <w:lastRenderedPageBreak/>
        <w:t>solicitar a Aguas de la Sabana de Bogotá S.A. ESP la celebración de un contrato de suministro de agua potable, que fue lo que se hizo.</w:t>
      </w:r>
    </w:p>
    <w:p w14:paraId="289FC19C" w14:textId="77777777" w:rsidR="00911C69" w:rsidRPr="00570786" w:rsidRDefault="00911C69" w:rsidP="00911C69">
      <w:pPr>
        <w:pStyle w:val="Default"/>
        <w:contextualSpacing/>
        <w:jc w:val="both"/>
        <w:rPr>
          <w:rFonts w:ascii="Verdana" w:hAnsi="Verdana"/>
          <w:color w:val="auto"/>
          <w:sz w:val="22"/>
          <w:szCs w:val="22"/>
        </w:rPr>
      </w:pPr>
    </w:p>
    <w:p w14:paraId="13D34382" w14:textId="77777777" w:rsidR="00911C69" w:rsidRPr="00570786" w:rsidRDefault="00911C69" w:rsidP="00911C69">
      <w:pPr>
        <w:pStyle w:val="paragraph"/>
        <w:spacing w:before="0" w:beforeAutospacing="0" w:after="0" w:afterAutospacing="0"/>
        <w:contextualSpacing/>
        <w:jc w:val="both"/>
        <w:textAlignment w:val="baseline"/>
        <w:rPr>
          <w:rFonts w:ascii="Verdana" w:hAnsi="Verdana" w:cs="Arial"/>
          <w:sz w:val="22"/>
          <w:szCs w:val="22"/>
        </w:rPr>
      </w:pPr>
      <w:r w:rsidRPr="00570786">
        <w:rPr>
          <w:rFonts w:ascii="Verdana" w:hAnsi="Verdana" w:cs="Arial"/>
          <w:sz w:val="22"/>
          <w:szCs w:val="22"/>
        </w:rPr>
        <w:t>Del mismo modo, el Municipio envió copia del Convenio No. 9-99-9100-316-1999 celebrado el 9 de agosto de 1999 entre la Empresa de Acueducto y Alcantarillado de Bogotá ESP (EAAB ESP) con la Cooperativa de Servicios Públicos de Acueducto y Alcantarillado de la Parcelación El Jardín Limitada COOPJARDIN ESP LTDA, a través del cual, la EAAB se comprometió a prestar provisionalmente el Servicio de Agua en Bloque, el cual se encuentra vigente.</w:t>
      </w:r>
    </w:p>
    <w:p w14:paraId="2AD190CB" w14:textId="77777777" w:rsidR="00911C69" w:rsidRPr="00570786" w:rsidRDefault="00911C69" w:rsidP="00911C69">
      <w:pPr>
        <w:contextualSpacing/>
        <w:jc w:val="both"/>
        <w:rPr>
          <w:rFonts w:ascii="Verdana" w:hAnsi="Verdana" w:cs="Arial"/>
          <w:sz w:val="22"/>
          <w:szCs w:val="22"/>
        </w:rPr>
      </w:pPr>
    </w:p>
    <w:p w14:paraId="44AC88EC"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2. Tarifas.</w:t>
      </w:r>
    </w:p>
    <w:p w14:paraId="2A0DA306" w14:textId="77777777" w:rsidR="00F10560" w:rsidRPr="00570786" w:rsidRDefault="00F10560" w:rsidP="00911C69">
      <w:pPr>
        <w:contextualSpacing/>
        <w:jc w:val="both"/>
        <w:rPr>
          <w:rFonts w:ascii="Verdana" w:hAnsi="Verdana" w:cs="Arial"/>
          <w:sz w:val="22"/>
          <w:szCs w:val="22"/>
        </w:rPr>
      </w:pPr>
    </w:p>
    <w:p w14:paraId="6833D620" w14:textId="77777777" w:rsidR="00F10560" w:rsidRPr="00570786" w:rsidRDefault="00F10560" w:rsidP="00911C69">
      <w:pPr>
        <w:contextualSpacing/>
        <w:jc w:val="both"/>
        <w:rPr>
          <w:rFonts w:ascii="Verdana" w:hAnsi="Verdana" w:cs="Arial"/>
          <w:sz w:val="22"/>
          <w:szCs w:val="22"/>
        </w:rPr>
      </w:pPr>
      <w:r w:rsidRPr="00570786">
        <w:rPr>
          <w:rFonts w:ascii="Verdana" w:hAnsi="Verdana" w:cs="Arial"/>
          <w:sz w:val="22"/>
          <w:szCs w:val="22"/>
        </w:rPr>
        <w:t xml:space="preserve">A través de la página </w:t>
      </w:r>
      <w:r w:rsidR="003932F2" w:rsidRPr="00570786">
        <w:rPr>
          <w:rFonts w:ascii="Verdana" w:hAnsi="Verdana" w:cs="Arial"/>
          <w:sz w:val="22"/>
          <w:szCs w:val="22"/>
        </w:rPr>
        <w:t xml:space="preserve">web </w:t>
      </w:r>
      <w:r w:rsidRPr="00570786">
        <w:rPr>
          <w:rFonts w:ascii="Verdana" w:hAnsi="Verdana" w:cs="Arial"/>
          <w:sz w:val="22"/>
          <w:szCs w:val="22"/>
        </w:rPr>
        <w:t xml:space="preserve">de EMSERCOTA S.A. E.S.P. se pudo </w:t>
      </w:r>
      <w:r w:rsidR="003932F2" w:rsidRPr="00570786">
        <w:rPr>
          <w:rFonts w:ascii="Verdana" w:hAnsi="Verdana" w:cs="Arial"/>
          <w:sz w:val="22"/>
          <w:szCs w:val="22"/>
        </w:rPr>
        <w:t xml:space="preserve">conocer </w:t>
      </w:r>
      <w:r w:rsidRPr="00570786">
        <w:rPr>
          <w:rFonts w:ascii="Verdana" w:hAnsi="Verdana" w:cs="Arial"/>
          <w:sz w:val="22"/>
          <w:szCs w:val="22"/>
        </w:rPr>
        <w:t>que las tarifas para los servicios de acueducto y alcantarillado resultantes de la metodología aplicada por dicha empresa, actualmente son las siguientes:</w:t>
      </w:r>
    </w:p>
    <w:p w14:paraId="27AA6544" w14:textId="77777777" w:rsidR="00911C69" w:rsidRPr="00570786" w:rsidRDefault="00911C69" w:rsidP="00911C69">
      <w:pPr>
        <w:contextualSpacing/>
        <w:jc w:val="both"/>
        <w:rPr>
          <w:rFonts w:ascii="Verdana" w:hAnsi="Verdana" w:cs="Arial"/>
          <w:sz w:val="22"/>
          <w:szCs w:val="22"/>
        </w:rPr>
      </w:pPr>
    </w:p>
    <w:p w14:paraId="4EFB9ACC" w14:textId="77777777" w:rsidR="00911C69" w:rsidRPr="00570786" w:rsidRDefault="00911C69" w:rsidP="00911C69">
      <w:pPr>
        <w:contextualSpacing/>
        <w:jc w:val="center"/>
        <w:rPr>
          <w:rFonts w:ascii="Verdana" w:hAnsi="Verdana" w:cs="Arial"/>
          <w:sz w:val="22"/>
          <w:szCs w:val="22"/>
        </w:rPr>
      </w:pPr>
      <w:r w:rsidRPr="00570786">
        <w:rPr>
          <w:rFonts w:ascii="Verdana" w:hAnsi="Verdana" w:cs="Arial"/>
          <w:b/>
          <w:sz w:val="22"/>
          <w:szCs w:val="22"/>
        </w:rPr>
        <w:t>Cuadro No. 3</w:t>
      </w:r>
      <w:r w:rsidRPr="00570786">
        <w:rPr>
          <w:rFonts w:ascii="Verdana" w:hAnsi="Verdana" w:cs="Arial"/>
          <w:sz w:val="22"/>
          <w:szCs w:val="22"/>
        </w:rPr>
        <w:t xml:space="preserve"> Tarifas servicio de acueducto y alcantarillado. (Cifras en pesos).</w:t>
      </w:r>
    </w:p>
    <w:tbl>
      <w:tblPr>
        <w:tblW w:w="9371" w:type="dxa"/>
        <w:tblCellMar>
          <w:left w:w="70" w:type="dxa"/>
          <w:right w:w="70" w:type="dxa"/>
        </w:tblCellMar>
        <w:tblLook w:val="04A0" w:firstRow="1" w:lastRow="0" w:firstColumn="1" w:lastColumn="0" w:noHBand="0" w:noVBand="1"/>
      </w:tblPr>
      <w:tblGrid>
        <w:gridCol w:w="435"/>
        <w:gridCol w:w="705"/>
        <w:gridCol w:w="1461"/>
        <w:gridCol w:w="930"/>
        <w:gridCol w:w="935"/>
        <w:gridCol w:w="669"/>
        <w:gridCol w:w="706"/>
        <w:gridCol w:w="1461"/>
        <w:gridCol w:w="1043"/>
        <w:gridCol w:w="1050"/>
      </w:tblGrid>
      <w:tr w:rsidR="003932F2" w:rsidRPr="003932F2" w14:paraId="01E894B6" w14:textId="77777777" w:rsidTr="003932F2">
        <w:trPr>
          <w:trHeight w:val="68"/>
        </w:trPr>
        <w:tc>
          <w:tcPr>
            <w:tcW w:w="44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6DAF"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Acueducto</w:t>
            </w:r>
          </w:p>
        </w:tc>
        <w:tc>
          <w:tcPr>
            <w:tcW w:w="4945"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72A9CB"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Alcantarillado</w:t>
            </w:r>
          </w:p>
        </w:tc>
      </w:tr>
      <w:tr w:rsidR="003932F2" w:rsidRPr="003932F2" w14:paraId="61C1BD1E" w14:textId="77777777" w:rsidTr="008946B0">
        <w:trPr>
          <w:trHeight w:val="194"/>
        </w:trPr>
        <w:tc>
          <w:tcPr>
            <w:tcW w:w="382" w:type="dxa"/>
            <w:vMerge w:val="restart"/>
            <w:tcBorders>
              <w:top w:val="nil"/>
              <w:left w:val="single" w:sz="4" w:space="0" w:color="auto"/>
              <w:bottom w:val="single" w:sz="4" w:space="0" w:color="auto"/>
              <w:right w:val="single" w:sz="4" w:space="0" w:color="auto"/>
            </w:tcBorders>
            <w:shd w:val="clear" w:color="auto" w:fill="auto"/>
            <w:textDirection w:val="tbLrV"/>
            <w:vAlign w:val="center"/>
            <w:hideMark/>
          </w:tcPr>
          <w:p w14:paraId="529DB3ED"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Residencial</w:t>
            </w:r>
          </w:p>
        </w:tc>
        <w:tc>
          <w:tcPr>
            <w:tcW w:w="707" w:type="dxa"/>
            <w:tcBorders>
              <w:top w:val="nil"/>
              <w:left w:val="nil"/>
              <w:bottom w:val="single" w:sz="4" w:space="0" w:color="auto"/>
              <w:right w:val="single" w:sz="4" w:space="0" w:color="auto"/>
            </w:tcBorders>
            <w:shd w:val="clear" w:color="auto" w:fill="auto"/>
            <w:vAlign w:val="center"/>
            <w:hideMark/>
          </w:tcPr>
          <w:p w14:paraId="070C7294"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Estrato</w:t>
            </w:r>
          </w:p>
        </w:tc>
        <w:tc>
          <w:tcPr>
            <w:tcW w:w="1466" w:type="dxa"/>
            <w:tcBorders>
              <w:top w:val="nil"/>
              <w:left w:val="nil"/>
              <w:bottom w:val="single" w:sz="4" w:space="0" w:color="auto"/>
              <w:right w:val="single" w:sz="4" w:space="0" w:color="auto"/>
            </w:tcBorders>
            <w:shd w:val="clear" w:color="auto" w:fill="auto"/>
            <w:vAlign w:val="center"/>
            <w:hideMark/>
          </w:tcPr>
          <w:p w14:paraId="03945C54"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Cargo Fijo $/Suscriptor/Mes</w:t>
            </w:r>
          </w:p>
        </w:tc>
        <w:tc>
          <w:tcPr>
            <w:tcW w:w="933" w:type="dxa"/>
            <w:tcBorders>
              <w:top w:val="nil"/>
              <w:left w:val="nil"/>
              <w:bottom w:val="single" w:sz="4" w:space="0" w:color="auto"/>
              <w:right w:val="single" w:sz="4" w:space="0" w:color="auto"/>
            </w:tcBorders>
            <w:shd w:val="clear" w:color="auto" w:fill="auto"/>
            <w:vAlign w:val="center"/>
            <w:hideMark/>
          </w:tcPr>
          <w:p w14:paraId="6DA6BDB5"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Consumo $/m3</w:t>
            </w:r>
          </w:p>
        </w:tc>
        <w:tc>
          <w:tcPr>
            <w:tcW w:w="938" w:type="dxa"/>
            <w:tcBorders>
              <w:top w:val="nil"/>
              <w:left w:val="nil"/>
              <w:bottom w:val="single" w:sz="4" w:space="0" w:color="auto"/>
              <w:right w:val="single" w:sz="4" w:space="0" w:color="auto"/>
            </w:tcBorders>
            <w:shd w:val="clear" w:color="auto" w:fill="auto"/>
            <w:vAlign w:val="center"/>
            <w:hideMark/>
          </w:tcPr>
          <w:p w14:paraId="30C8B5A0"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Consumo no Básico $/m3</w:t>
            </w:r>
          </w:p>
        </w:tc>
        <w:tc>
          <w:tcPr>
            <w:tcW w:w="671" w:type="dxa"/>
            <w:vMerge w:val="restart"/>
            <w:tcBorders>
              <w:top w:val="nil"/>
              <w:left w:val="single" w:sz="4" w:space="0" w:color="auto"/>
              <w:bottom w:val="single" w:sz="4" w:space="0" w:color="auto"/>
              <w:right w:val="single" w:sz="4" w:space="0" w:color="auto"/>
            </w:tcBorders>
            <w:shd w:val="clear" w:color="auto" w:fill="auto"/>
            <w:textDirection w:val="tbLrV"/>
            <w:vAlign w:val="center"/>
            <w:hideMark/>
          </w:tcPr>
          <w:p w14:paraId="1EEC921E"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Residencial</w:t>
            </w:r>
          </w:p>
        </w:tc>
        <w:tc>
          <w:tcPr>
            <w:tcW w:w="708" w:type="dxa"/>
            <w:tcBorders>
              <w:top w:val="nil"/>
              <w:left w:val="nil"/>
              <w:bottom w:val="single" w:sz="4" w:space="0" w:color="auto"/>
              <w:right w:val="single" w:sz="4" w:space="0" w:color="auto"/>
            </w:tcBorders>
            <w:shd w:val="clear" w:color="auto" w:fill="auto"/>
            <w:vAlign w:val="center"/>
            <w:hideMark/>
          </w:tcPr>
          <w:p w14:paraId="74AE5E50"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Estrato</w:t>
            </w:r>
          </w:p>
        </w:tc>
        <w:tc>
          <w:tcPr>
            <w:tcW w:w="1466" w:type="dxa"/>
            <w:tcBorders>
              <w:top w:val="nil"/>
              <w:left w:val="nil"/>
              <w:bottom w:val="single" w:sz="4" w:space="0" w:color="auto"/>
              <w:right w:val="single" w:sz="4" w:space="0" w:color="auto"/>
            </w:tcBorders>
            <w:shd w:val="clear" w:color="auto" w:fill="auto"/>
            <w:vAlign w:val="center"/>
            <w:hideMark/>
          </w:tcPr>
          <w:p w14:paraId="606525F6"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Cargo Fijo $/Suscriptor/Mes</w:t>
            </w:r>
          </w:p>
        </w:tc>
        <w:tc>
          <w:tcPr>
            <w:tcW w:w="1046" w:type="dxa"/>
            <w:tcBorders>
              <w:top w:val="nil"/>
              <w:left w:val="nil"/>
              <w:bottom w:val="single" w:sz="4" w:space="0" w:color="auto"/>
              <w:right w:val="single" w:sz="4" w:space="0" w:color="auto"/>
            </w:tcBorders>
            <w:shd w:val="clear" w:color="auto" w:fill="auto"/>
            <w:vAlign w:val="center"/>
            <w:hideMark/>
          </w:tcPr>
          <w:p w14:paraId="236E34CC"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Vertimiento $/m3</w:t>
            </w:r>
          </w:p>
        </w:tc>
        <w:tc>
          <w:tcPr>
            <w:tcW w:w="1046" w:type="dxa"/>
            <w:tcBorders>
              <w:top w:val="nil"/>
              <w:left w:val="nil"/>
              <w:bottom w:val="single" w:sz="4" w:space="0" w:color="auto"/>
              <w:right w:val="single" w:sz="4" w:space="0" w:color="auto"/>
            </w:tcBorders>
            <w:shd w:val="clear" w:color="auto" w:fill="auto"/>
            <w:vAlign w:val="center"/>
            <w:hideMark/>
          </w:tcPr>
          <w:p w14:paraId="55EC3533"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Vertimiento no Básico $/m3</w:t>
            </w:r>
          </w:p>
        </w:tc>
      </w:tr>
      <w:tr w:rsidR="003932F2" w:rsidRPr="003932F2" w14:paraId="071E8E7F" w14:textId="77777777" w:rsidTr="008946B0">
        <w:trPr>
          <w:trHeight w:val="73"/>
        </w:trPr>
        <w:tc>
          <w:tcPr>
            <w:tcW w:w="382" w:type="dxa"/>
            <w:vMerge/>
            <w:tcBorders>
              <w:top w:val="nil"/>
              <w:left w:val="single" w:sz="4" w:space="0" w:color="auto"/>
              <w:bottom w:val="single" w:sz="4" w:space="0" w:color="auto"/>
              <w:right w:val="single" w:sz="4" w:space="0" w:color="auto"/>
            </w:tcBorders>
            <w:vAlign w:val="center"/>
            <w:hideMark/>
          </w:tcPr>
          <w:p w14:paraId="60810EB3"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7" w:type="dxa"/>
            <w:tcBorders>
              <w:top w:val="nil"/>
              <w:left w:val="nil"/>
              <w:bottom w:val="single" w:sz="4" w:space="0" w:color="auto"/>
              <w:right w:val="single" w:sz="4" w:space="0" w:color="auto"/>
            </w:tcBorders>
            <w:shd w:val="clear" w:color="auto" w:fill="auto"/>
            <w:noWrap/>
            <w:vAlign w:val="bottom"/>
            <w:hideMark/>
          </w:tcPr>
          <w:p w14:paraId="521DCAF5"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1</w:t>
            </w:r>
          </w:p>
        </w:tc>
        <w:tc>
          <w:tcPr>
            <w:tcW w:w="1466" w:type="dxa"/>
            <w:tcBorders>
              <w:top w:val="nil"/>
              <w:left w:val="nil"/>
              <w:bottom w:val="single" w:sz="4" w:space="0" w:color="auto"/>
              <w:right w:val="single" w:sz="4" w:space="0" w:color="auto"/>
            </w:tcBorders>
            <w:shd w:val="clear" w:color="auto" w:fill="auto"/>
            <w:noWrap/>
            <w:vAlign w:val="bottom"/>
            <w:hideMark/>
          </w:tcPr>
          <w:p w14:paraId="5C00025A"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1.891 </w:t>
            </w:r>
          </w:p>
        </w:tc>
        <w:tc>
          <w:tcPr>
            <w:tcW w:w="933" w:type="dxa"/>
            <w:tcBorders>
              <w:top w:val="nil"/>
              <w:left w:val="nil"/>
              <w:bottom w:val="single" w:sz="4" w:space="0" w:color="auto"/>
              <w:right w:val="single" w:sz="4" w:space="0" w:color="auto"/>
            </w:tcBorders>
            <w:shd w:val="clear" w:color="auto" w:fill="auto"/>
            <w:noWrap/>
            <w:vAlign w:val="bottom"/>
            <w:hideMark/>
          </w:tcPr>
          <w:p w14:paraId="07671F60"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705 </w:t>
            </w:r>
          </w:p>
        </w:tc>
        <w:tc>
          <w:tcPr>
            <w:tcW w:w="938" w:type="dxa"/>
            <w:tcBorders>
              <w:top w:val="nil"/>
              <w:left w:val="nil"/>
              <w:bottom w:val="single" w:sz="4" w:space="0" w:color="auto"/>
              <w:right w:val="single" w:sz="4" w:space="0" w:color="auto"/>
            </w:tcBorders>
            <w:shd w:val="clear" w:color="auto" w:fill="auto"/>
            <w:noWrap/>
            <w:vAlign w:val="bottom"/>
            <w:hideMark/>
          </w:tcPr>
          <w:p w14:paraId="1A2B4FD6"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671" w:type="dxa"/>
            <w:vMerge/>
            <w:tcBorders>
              <w:top w:val="nil"/>
              <w:left w:val="single" w:sz="4" w:space="0" w:color="auto"/>
              <w:bottom w:val="single" w:sz="4" w:space="0" w:color="auto"/>
              <w:right w:val="single" w:sz="4" w:space="0" w:color="auto"/>
            </w:tcBorders>
            <w:vAlign w:val="center"/>
            <w:hideMark/>
          </w:tcPr>
          <w:p w14:paraId="0AA293CC"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8" w:type="dxa"/>
            <w:tcBorders>
              <w:top w:val="nil"/>
              <w:left w:val="nil"/>
              <w:bottom w:val="single" w:sz="4" w:space="0" w:color="auto"/>
              <w:right w:val="single" w:sz="4" w:space="0" w:color="auto"/>
            </w:tcBorders>
            <w:shd w:val="clear" w:color="auto" w:fill="auto"/>
            <w:noWrap/>
            <w:vAlign w:val="bottom"/>
            <w:hideMark/>
          </w:tcPr>
          <w:p w14:paraId="1A0C9E6D"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1</w:t>
            </w:r>
          </w:p>
        </w:tc>
        <w:tc>
          <w:tcPr>
            <w:tcW w:w="1466" w:type="dxa"/>
            <w:tcBorders>
              <w:top w:val="nil"/>
              <w:left w:val="nil"/>
              <w:bottom w:val="single" w:sz="4" w:space="0" w:color="auto"/>
              <w:right w:val="single" w:sz="4" w:space="0" w:color="auto"/>
            </w:tcBorders>
            <w:shd w:val="clear" w:color="auto" w:fill="auto"/>
            <w:noWrap/>
            <w:vAlign w:val="bottom"/>
            <w:hideMark/>
          </w:tcPr>
          <w:p w14:paraId="7126809B"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1.105 </w:t>
            </w:r>
          </w:p>
        </w:tc>
        <w:tc>
          <w:tcPr>
            <w:tcW w:w="1046" w:type="dxa"/>
            <w:tcBorders>
              <w:top w:val="nil"/>
              <w:left w:val="nil"/>
              <w:bottom w:val="single" w:sz="4" w:space="0" w:color="auto"/>
              <w:right w:val="single" w:sz="4" w:space="0" w:color="auto"/>
            </w:tcBorders>
            <w:shd w:val="clear" w:color="auto" w:fill="auto"/>
            <w:noWrap/>
            <w:vAlign w:val="bottom"/>
            <w:hideMark/>
          </w:tcPr>
          <w:p w14:paraId="6D209F4F"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206 </w:t>
            </w:r>
          </w:p>
        </w:tc>
        <w:tc>
          <w:tcPr>
            <w:tcW w:w="1046" w:type="dxa"/>
            <w:tcBorders>
              <w:top w:val="nil"/>
              <w:left w:val="nil"/>
              <w:bottom w:val="single" w:sz="4" w:space="0" w:color="auto"/>
              <w:right w:val="single" w:sz="4" w:space="0" w:color="auto"/>
            </w:tcBorders>
            <w:shd w:val="clear" w:color="auto" w:fill="auto"/>
            <w:noWrap/>
            <w:vAlign w:val="bottom"/>
            <w:hideMark/>
          </w:tcPr>
          <w:p w14:paraId="178C9436"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r>
      <w:tr w:rsidR="003932F2" w:rsidRPr="003932F2" w14:paraId="10F716CE" w14:textId="77777777" w:rsidTr="008946B0">
        <w:trPr>
          <w:trHeight w:val="73"/>
        </w:trPr>
        <w:tc>
          <w:tcPr>
            <w:tcW w:w="382" w:type="dxa"/>
            <w:vMerge/>
            <w:tcBorders>
              <w:top w:val="nil"/>
              <w:left w:val="single" w:sz="4" w:space="0" w:color="auto"/>
              <w:bottom w:val="single" w:sz="4" w:space="0" w:color="auto"/>
              <w:right w:val="single" w:sz="4" w:space="0" w:color="auto"/>
            </w:tcBorders>
            <w:vAlign w:val="center"/>
            <w:hideMark/>
          </w:tcPr>
          <w:p w14:paraId="3A4D5E6D"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7" w:type="dxa"/>
            <w:tcBorders>
              <w:top w:val="nil"/>
              <w:left w:val="nil"/>
              <w:bottom w:val="single" w:sz="4" w:space="0" w:color="auto"/>
              <w:right w:val="single" w:sz="4" w:space="0" w:color="auto"/>
            </w:tcBorders>
            <w:shd w:val="clear" w:color="auto" w:fill="auto"/>
            <w:noWrap/>
            <w:vAlign w:val="bottom"/>
            <w:hideMark/>
          </w:tcPr>
          <w:p w14:paraId="452C4F98"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2</w:t>
            </w:r>
          </w:p>
        </w:tc>
        <w:tc>
          <w:tcPr>
            <w:tcW w:w="1466" w:type="dxa"/>
            <w:tcBorders>
              <w:top w:val="nil"/>
              <w:left w:val="nil"/>
              <w:bottom w:val="single" w:sz="4" w:space="0" w:color="auto"/>
              <w:right w:val="single" w:sz="4" w:space="0" w:color="auto"/>
            </w:tcBorders>
            <w:shd w:val="clear" w:color="auto" w:fill="auto"/>
            <w:noWrap/>
            <w:vAlign w:val="bottom"/>
            <w:hideMark/>
          </w:tcPr>
          <w:p w14:paraId="4FF64572"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3.782 </w:t>
            </w:r>
          </w:p>
        </w:tc>
        <w:tc>
          <w:tcPr>
            <w:tcW w:w="933" w:type="dxa"/>
            <w:tcBorders>
              <w:top w:val="nil"/>
              <w:left w:val="nil"/>
              <w:bottom w:val="single" w:sz="4" w:space="0" w:color="auto"/>
              <w:right w:val="single" w:sz="4" w:space="0" w:color="auto"/>
            </w:tcBorders>
            <w:shd w:val="clear" w:color="auto" w:fill="auto"/>
            <w:noWrap/>
            <w:vAlign w:val="bottom"/>
            <w:hideMark/>
          </w:tcPr>
          <w:p w14:paraId="35D30E57"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1.410 </w:t>
            </w:r>
          </w:p>
        </w:tc>
        <w:tc>
          <w:tcPr>
            <w:tcW w:w="938" w:type="dxa"/>
            <w:tcBorders>
              <w:top w:val="nil"/>
              <w:left w:val="nil"/>
              <w:bottom w:val="single" w:sz="4" w:space="0" w:color="auto"/>
              <w:right w:val="single" w:sz="4" w:space="0" w:color="auto"/>
            </w:tcBorders>
            <w:shd w:val="clear" w:color="auto" w:fill="auto"/>
            <w:noWrap/>
            <w:vAlign w:val="bottom"/>
            <w:hideMark/>
          </w:tcPr>
          <w:p w14:paraId="7CD9F6F8"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671" w:type="dxa"/>
            <w:vMerge/>
            <w:tcBorders>
              <w:top w:val="nil"/>
              <w:left w:val="single" w:sz="4" w:space="0" w:color="auto"/>
              <w:bottom w:val="single" w:sz="4" w:space="0" w:color="auto"/>
              <w:right w:val="single" w:sz="4" w:space="0" w:color="auto"/>
            </w:tcBorders>
            <w:vAlign w:val="center"/>
            <w:hideMark/>
          </w:tcPr>
          <w:p w14:paraId="50E4805A"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8" w:type="dxa"/>
            <w:tcBorders>
              <w:top w:val="nil"/>
              <w:left w:val="nil"/>
              <w:bottom w:val="single" w:sz="4" w:space="0" w:color="auto"/>
              <w:right w:val="single" w:sz="4" w:space="0" w:color="auto"/>
            </w:tcBorders>
            <w:shd w:val="clear" w:color="auto" w:fill="auto"/>
            <w:noWrap/>
            <w:vAlign w:val="bottom"/>
            <w:hideMark/>
          </w:tcPr>
          <w:p w14:paraId="691CEB10"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2</w:t>
            </w:r>
          </w:p>
        </w:tc>
        <w:tc>
          <w:tcPr>
            <w:tcW w:w="1466" w:type="dxa"/>
            <w:tcBorders>
              <w:top w:val="nil"/>
              <w:left w:val="nil"/>
              <w:bottom w:val="single" w:sz="4" w:space="0" w:color="auto"/>
              <w:right w:val="single" w:sz="4" w:space="0" w:color="auto"/>
            </w:tcBorders>
            <w:shd w:val="clear" w:color="auto" w:fill="auto"/>
            <w:noWrap/>
            <w:vAlign w:val="bottom"/>
            <w:hideMark/>
          </w:tcPr>
          <w:p w14:paraId="1572B402"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2.210 </w:t>
            </w:r>
          </w:p>
        </w:tc>
        <w:tc>
          <w:tcPr>
            <w:tcW w:w="1046" w:type="dxa"/>
            <w:tcBorders>
              <w:top w:val="nil"/>
              <w:left w:val="nil"/>
              <w:bottom w:val="single" w:sz="4" w:space="0" w:color="auto"/>
              <w:right w:val="single" w:sz="4" w:space="0" w:color="auto"/>
            </w:tcBorders>
            <w:shd w:val="clear" w:color="auto" w:fill="auto"/>
            <w:noWrap/>
            <w:vAlign w:val="bottom"/>
            <w:hideMark/>
          </w:tcPr>
          <w:p w14:paraId="6C70797B"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413 </w:t>
            </w:r>
          </w:p>
        </w:tc>
        <w:tc>
          <w:tcPr>
            <w:tcW w:w="1046" w:type="dxa"/>
            <w:tcBorders>
              <w:top w:val="nil"/>
              <w:left w:val="nil"/>
              <w:bottom w:val="single" w:sz="4" w:space="0" w:color="auto"/>
              <w:right w:val="single" w:sz="4" w:space="0" w:color="auto"/>
            </w:tcBorders>
            <w:shd w:val="clear" w:color="auto" w:fill="auto"/>
            <w:noWrap/>
            <w:vAlign w:val="bottom"/>
            <w:hideMark/>
          </w:tcPr>
          <w:p w14:paraId="31F14BD6"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r>
      <w:tr w:rsidR="003932F2" w:rsidRPr="003932F2" w14:paraId="262CC3ED" w14:textId="77777777" w:rsidTr="008946B0">
        <w:trPr>
          <w:trHeight w:val="73"/>
        </w:trPr>
        <w:tc>
          <w:tcPr>
            <w:tcW w:w="382" w:type="dxa"/>
            <w:vMerge/>
            <w:tcBorders>
              <w:top w:val="nil"/>
              <w:left w:val="single" w:sz="4" w:space="0" w:color="auto"/>
              <w:bottom w:val="single" w:sz="4" w:space="0" w:color="auto"/>
              <w:right w:val="single" w:sz="4" w:space="0" w:color="auto"/>
            </w:tcBorders>
            <w:vAlign w:val="center"/>
            <w:hideMark/>
          </w:tcPr>
          <w:p w14:paraId="723289F1"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7" w:type="dxa"/>
            <w:tcBorders>
              <w:top w:val="nil"/>
              <w:left w:val="nil"/>
              <w:bottom w:val="single" w:sz="4" w:space="0" w:color="auto"/>
              <w:right w:val="single" w:sz="4" w:space="0" w:color="auto"/>
            </w:tcBorders>
            <w:shd w:val="clear" w:color="auto" w:fill="auto"/>
            <w:noWrap/>
            <w:vAlign w:val="bottom"/>
            <w:hideMark/>
          </w:tcPr>
          <w:p w14:paraId="17E2C9BB"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3</w:t>
            </w:r>
          </w:p>
        </w:tc>
        <w:tc>
          <w:tcPr>
            <w:tcW w:w="1466" w:type="dxa"/>
            <w:tcBorders>
              <w:top w:val="nil"/>
              <w:left w:val="nil"/>
              <w:bottom w:val="single" w:sz="4" w:space="0" w:color="auto"/>
              <w:right w:val="single" w:sz="4" w:space="0" w:color="auto"/>
            </w:tcBorders>
            <w:shd w:val="clear" w:color="auto" w:fill="auto"/>
            <w:noWrap/>
            <w:vAlign w:val="bottom"/>
            <w:hideMark/>
          </w:tcPr>
          <w:p w14:paraId="7261C30D"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5.358 </w:t>
            </w:r>
          </w:p>
        </w:tc>
        <w:tc>
          <w:tcPr>
            <w:tcW w:w="933" w:type="dxa"/>
            <w:tcBorders>
              <w:top w:val="nil"/>
              <w:left w:val="nil"/>
              <w:bottom w:val="single" w:sz="4" w:space="0" w:color="auto"/>
              <w:right w:val="single" w:sz="4" w:space="0" w:color="auto"/>
            </w:tcBorders>
            <w:shd w:val="clear" w:color="auto" w:fill="auto"/>
            <w:noWrap/>
            <w:vAlign w:val="bottom"/>
            <w:hideMark/>
          </w:tcPr>
          <w:p w14:paraId="2B84CBCD"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1.997 </w:t>
            </w:r>
          </w:p>
        </w:tc>
        <w:tc>
          <w:tcPr>
            <w:tcW w:w="938" w:type="dxa"/>
            <w:tcBorders>
              <w:top w:val="nil"/>
              <w:left w:val="nil"/>
              <w:bottom w:val="single" w:sz="4" w:space="0" w:color="auto"/>
              <w:right w:val="single" w:sz="4" w:space="0" w:color="auto"/>
            </w:tcBorders>
            <w:shd w:val="clear" w:color="auto" w:fill="auto"/>
            <w:noWrap/>
            <w:vAlign w:val="bottom"/>
            <w:hideMark/>
          </w:tcPr>
          <w:p w14:paraId="208B378A"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671" w:type="dxa"/>
            <w:vMerge/>
            <w:tcBorders>
              <w:top w:val="nil"/>
              <w:left w:val="single" w:sz="4" w:space="0" w:color="auto"/>
              <w:bottom w:val="single" w:sz="4" w:space="0" w:color="auto"/>
              <w:right w:val="single" w:sz="4" w:space="0" w:color="auto"/>
            </w:tcBorders>
            <w:vAlign w:val="center"/>
            <w:hideMark/>
          </w:tcPr>
          <w:p w14:paraId="17DE683A"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8" w:type="dxa"/>
            <w:tcBorders>
              <w:top w:val="nil"/>
              <w:left w:val="nil"/>
              <w:bottom w:val="single" w:sz="4" w:space="0" w:color="auto"/>
              <w:right w:val="single" w:sz="4" w:space="0" w:color="auto"/>
            </w:tcBorders>
            <w:shd w:val="clear" w:color="auto" w:fill="auto"/>
            <w:noWrap/>
            <w:vAlign w:val="bottom"/>
            <w:hideMark/>
          </w:tcPr>
          <w:p w14:paraId="4A512A4C"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3</w:t>
            </w:r>
          </w:p>
        </w:tc>
        <w:tc>
          <w:tcPr>
            <w:tcW w:w="1466" w:type="dxa"/>
            <w:tcBorders>
              <w:top w:val="nil"/>
              <w:left w:val="nil"/>
              <w:bottom w:val="single" w:sz="4" w:space="0" w:color="auto"/>
              <w:right w:val="single" w:sz="4" w:space="0" w:color="auto"/>
            </w:tcBorders>
            <w:shd w:val="clear" w:color="auto" w:fill="auto"/>
            <w:noWrap/>
            <w:vAlign w:val="bottom"/>
            <w:hideMark/>
          </w:tcPr>
          <w:p w14:paraId="26D08C6A"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3.130 </w:t>
            </w:r>
          </w:p>
        </w:tc>
        <w:tc>
          <w:tcPr>
            <w:tcW w:w="1046" w:type="dxa"/>
            <w:tcBorders>
              <w:top w:val="nil"/>
              <w:left w:val="nil"/>
              <w:bottom w:val="single" w:sz="4" w:space="0" w:color="auto"/>
              <w:right w:val="single" w:sz="4" w:space="0" w:color="auto"/>
            </w:tcBorders>
            <w:shd w:val="clear" w:color="auto" w:fill="auto"/>
            <w:noWrap/>
            <w:vAlign w:val="bottom"/>
            <w:hideMark/>
          </w:tcPr>
          <w:p w14:paraId="29A77A14"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565 </w:t>
            </w:r>
          </w:p>
        </w:tc>
        <w:tc>
          <w:tcPr>
            <w:tcW w:w="1046" w:type="dxa"/>
            <w:tcBorders>
              <w:top w:val="nil"/>
              <w:left w:val="nil"/>
              <w:bottom w:val="single" w:sz="4" w:space="0" w:color="auto"/>
              <w:right w:val="single" w:sz="4" w:space="0" w:color="auto"/>
            </w:tcBorders>
            <w:shd w:val="clear" w:color="auto" w:fill="auto"/>
            <w:noWrap/>
            <w:vAlign w:val="bottom"/>
            <w:hideMark/>
          </w:tcPr>
          <w:p w14:paraId="19031441"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r>
      <w:tr w:rsidR="003932F2" w:rsidRPr="003932F2" w14:paraId="780D80DC" w14:textId="77777777" w:rsidTr="008946B0">
        <w:trPr>
          <w:trHeight w:val="73"/>
        </w:trPr>
        <w:tc>
          <w:tcPr>
            <w:tcW w:w="382" w:type="dxa"/>
            <w:vMerge/>
            <w:tcBorders>
              <w:top w:val="nil"/>
              <w:left w:val="single" w:sz="4" w:space="0" w:color="auto"/>
              <w:bottom w:val="single" w:sz="4" w:space="0" w:color="auto"/>
              <w:right w:val="single" w:sz="4" w:space="0" w:color="auto"/>
            </w:tcBorders>
            <w:vAlign w:val="center"/>
            <w:hideMark/>
          </w:tcPr>
          <w:p w14:paraId="1E652B6C"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7" w:type="dxa"/>
            <w:tcBorders>
              <w:top w:val="nil"/>
              <w:left w:val="nil"/>
              <w:bottom w:val="single" w:sz="4" w:space="0" w:color="auto"/>
              <w:right w:val="single" w:sz="4" w:space="0" w:color="auto"/>
            </w:tcBorders>
            <w:shd w:val="clear" w:color="auto" w:fill="auto"/>
            <w:noWrap/>
            <w:vAlign w:val="bottom"/>
            <w:hideMark/>
          </w:tcPr>
          <w:p w14:paraId="2A3F9D49"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4</w:t>
            </w:r>
          </w:p>
        </w:tc>
        <w:tc>
          <w:tcPr>
            <w:tcW w:w="1466" w:type="dxa"/>
            <w:tcBorders>
              <w:top w:val="nil"/>
              <w:left w:val="nil"/>
              <w:bottom w:val="single" w:sz="4" w:space="0" w:color="auto"/>
              <w:right w:val="single" w:sz="4" w:space="0" w:color="auto"/>
            </w:tcBorders>
            <w:shd w:val="clear" w:color="auto" w:fill="auto"/>
            <w:noWrap/>
            <w:vAlign w:val="bottom"/>
            <w:hideMark/>
          </w:tcPr>
          <w:p w14:paraId="6581C532"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6.304 </w:t>
            </w:r>
          </w:p>
        </w:tc>
        <w:tc>
          <w:tcPr>
            <w:tcW w:w="933" w:type="dxa"/>
            <w:tcBorders>
              <w:top w:val="nil"/>
              <w:left w:val="nil"/>
              <w:bottom w:val="single" w:sz="4" w:space="0" w:color="auto"/>
              <w:right w:val="single" w:sz="4" w:space="0" w:color="auto"/>
            </w:tcBorders>
            <w:shd w:val="clear" w:color="auto" w:fill="auto"/>
            <w:noWrap/>
            <w:vAlign w:val="bottom"/>
            <w:hideMark/>
          </w:tcPr>
          <w:p w14:paraId="3E76FA89"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938" w:type="dxa"/>
            <w:tcBorders>
              <w:top w:val="nil"/>
              <w:left w:val="nil"/>
              <w:bottom w:val="single" w:sz="4" w:space="0" w:color="auto"/>
              <w:right w:val="single" w:sz="4" w:space="0" w:color="auto"/>
            </w:tcBorders>
            <w:shd w:val="clear" w:color="auto" w:fill="auto"/>
            <w:noWrap/>
            <w:vAlign w:val="bottom"/>
            <w:hideMark/>
          </w:tcPr>
          <w:p w14:paraId="75763EC5"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671" w:type="dxa"/>
            <w:vMerge/>
            <w:tcBorders>
              <w:top w:val="nil"/>
              <w:left w:val="single" w:sz="4" w:space="0" w:color="auto"/>
              <w:bottom w:val="single" w:sz="4" w:space="0" w:color="auto"/>
              <w:right w:val="single" w:sz="4" w:space="0" w:color="auto"/>
            </w:tcBorders>
            <w:vAlign w:val="center"/>
            <w:hideMark/>
          </w:tcPr>
          <w:p w14:paraId="54530613"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8" w:type="dxa"/>
            <w:tcBorders>
              <w:top w:val="nil"/>
              <w:left w:val="nil"/>
              <w:bottom w:val="single" w:sz="4" w:space="0" w:color="auto"/>
              <w:right w:val="single" w:sz="4" w:space="0" w:color="auto"/>
            </w:tcBorders>
            <w:shd w:val="clear" w:color="auto" w:fill="auto"/>
            <w:noWrap/>
            <w:vAlign w:val="bottom"/>
            <w:hideMark/>
          </w:tcPr>
          <w:p w14:paraId="101CE025"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4</w:t>
            </w:r>
          </w:p>
        </w:tc>
        <w:tc>
          <w:tcPr>
            <w:tcW w:w="1466" w:type="dxa"/>
            <w:tcBorders>
              <w:top w:val="nil"/>
              <w:left w:val="nil"/>
              <w:bottom w:val="single" w:sz="4" w:space="0" w:color="auto"/>
              <w:right w:val="single" w:sz="4" w:space="0" w:color="auto"/>
            </w:tcBorders>
            <w:shd w:val="clear" w:color="auto" w:fill="auto"/>
            <w:noWrap/>
            <w:vAlign w:val="bottom"/>
            <w:hideMark/>
          </w:tcPr>
          <w:p w14:paraId="3ECFABBB"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3.683 </w:t>
            </w:r>
          </w:p>
        </w:tc>
        <w:tc>
          <w:tcPr>
            <w:tcW w:w="1046" w:type="dxa"/>
            <w:tcBorders>
              <w:top w:val="nil"/>
              <w:left w:val="nil"/>
              <w:bottom w:val="single" w:sz="4" w:space="0" w:color="auto"/>
              <w:right w:val="single" w:sz="4" w:space="0" w:color="auto"/>
            </w:tcBorders>
            <w:shd w:val="clear" w:color="auto" w:fill="auto"/>
            <w:noWrap/>
            <w:vAlign w:val="bottom"/>
            <w:hideMark/>
          </w:tcPr>
          <w:p w14:paraId="3FFBF8EE"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c>
          <w:tcPr>
            <w:tcW w:w="1046" w:type="dxa"/>
            <w:tcBorders>
              <w:top w:val="nil"/>
              <w:left w:val="nil"/>
              <w:bottom w:val="single" w:sz="4" w:space="0" w:color="auto"/>
              <w:right w:val="single" w:sz="4" w:space="0" w:color="auto"/>
            </w:tcBorders>
            <w:shd w:val="clear" w:color="auto" w:fill="auto"/>
            <w:noWrap/>
            <w:vAlign w:val="bottom"/>
            <w:hideMark/>
          </w:tcPr>
          <w:p w14:paraId="40898DB0"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r>
      <w:tr w:rsidR="003932F2" w:rsidRPr="003932F2" w14:paraId="1B29B01E" w14:textId="77777777" w:rsidTr="008946B0">
        <w:trPr>
          <w:trHeight w:val="73"/>
        </w:trPr>
        <w:tc>
          <w:tcPr>
            <w:tcW w:w="382" w:type="dxa"/>
            <w:vMerge/>
            <w:tcBorders>
              <w:top w:val="nil"/>
              <w:left w:val="single" w:sz="4" w:space="0" w:color="auto"/>
              <w:bottom w:val="single" w:sz="4" w:space="0" w:color="auto"/>
              <w:right w:val="single" w:sz="4" w:space="0" w:color="auto"/>
            </w:tcBorders>
            <w:vAlign w:val="center"/>
            <w:hideMark/>
          </w:tcPr>
          <w:p w14:paraId="391575A7"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7" w:type="dxa"/>
            <w:tcBorders>
              <w:top w:val="nil"/>
              <w:left w:val="nil"/>
              <w:bottom w:val="single" w:sz="4" w:space="0" w:color="auto"/>
              <w:right w:val="single" w:sz="4" w:space="0" w:color="auto"/>
            </w:tcBorders>
            <w:shd w:val="clear" w:color="auto" w:fill="auto"/>
            <w:noWrap/>
            <w:vAlign w:val="bottom"/>
            <w:hideMark/>
          </w:tcPr>
          <w:p w14:paraId="074F59B8"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5</w:t>
            </w:r>
          </w:p>
        </w:tc>
        <w:tc>
          <w:tcPr>
            <w:tcW w:w="1466" w:type="dxa"/>
            <w:tcBorders>
              <w:top w:val="nil"/>
              <w:left w:val="nil"/>
              <w:bottom w:val="single" w:sz="4" w:space="0" w:color="auto"/>
              <w:right w:val="single" w:sz="4" w:space="0" w:color="auto"/>
            </w:tcBorders>
            <w:shd w:val="clear" w:color="auto" w:fill="auto"/>
            <w:noWrap/>
            <w:vAlign w:val="bottom"/>
            <w:hideMark/>
          </w:tcPr>
          <w:p w14:paraId="0A31975A"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9.456 </w:t>
            </w:r>
          </w:p>
        </w:tc>
        <w:tc>
          <w:tcPr>
            <w:tcW w:w="933" w:type="dxa"/>
            <w:tcBorders>
              <w:top w:val="nil"/>
              <w:left w:val="nil"/>
              <w:bottom w:val="single" w:sz="4" w:space="0" w:color="auto"/>
              <w:right w:val="single" w:sz="4" w:space="0" w:color="auto"/>
            </w:tcBorders>
            <w:shd w:val="clear" w:color="auto" w:fill="auto"/>
            <w:noWrap/>
            <w:vAlign w:val="bottom"/>
            <w:hideMark/>
          </w:tcPr>
          <w:p w14:paraId="2B881151"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3.525 </w:t>
            </w:r>
          </w:p>
        </w:tc>
        <w:tc>
          <w:tcPr>
            <w:tcW w:w="938" w:type="dxa"/>
            <w:tcBorders>
              <w:top w:val="nil"/>
              <w:left w:val="nil"/>
              <w:bottom w:val="single" w:sz="4" w:space="0" w:color="auto"/>
              <w:right w:val="single" w:sz="4" w:space="0" w:color="auto"/>
            </w:tcBorders>
            <w:shd w:val="clear" w:color="auto" w:fill="auto"/>
            <w:noWrap/>
            <w:vAlign w:val="bottom"/>
            <w:hideMark/>
          </w:tcPr>
          <w:p w14:paraId="1E0D1E0E"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3.525 </w:t>
            </w:r>
          </w:p>
        </w:tc>
        <w:tc>
          <w:tcPr>
            <w:tcW w:w="671" w:type="dxa"/>
            <w:vMerge/>
            <w:tcBorders>
              <w:top w:val="nil"/>
              <w:left w:val="single" w:sz="4" w:space="0" w:color="auto"/>
              <w:bottom w:val="single" w:sz="4" w:space="0" w:color="auto"/>
              <w:right w:val="single" w:sz="4" w:space="0" w:color="auto"/>
            </w:tcBorders>
            <w:vAlign w:val="center"/>
            <w:hideMark/>
          </w:tcPr>
          <w:p w14:paraId="7846B974"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8" w:type="dxa"/>
            <w:tcBorders>
              <w:top w:val="nil"/>
              <w:left w:val="nil"/>
              <w:bottom w:val="single" w:sz="4" w:space="0" w:color="auto"/>
              <w:right w:val="single" w:sz="4" w:space="0" w:color="auto"/>
            </w:tcBorders>
            <w:shd w:val="clear" w:color="auto" w:fill="auto"/>
            <w:noWrap/>
            <w:vAlign w:val="bottom"/>
            <w:hideMark/>
          </w:tcPr>
          <w:p w14:paraId="4C458416"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5</w:t>
            </w:r>
          </w:p>
        </w:tc>
        <w:tc>
          <w:tcPr>
            <w:tcW w:w="1466" w:type="dxa"/>
            <w:tcBorders>
              <w:top w:val="nil"/>
              <w:left w:val="nil"/>
              <w:bottom w:val="single" w:sz="4" w:space="0" w:color="auto"/>
              <w:right w:val="single" w:sz="4" w:space="0" w:color="auto"/>
            </w:tcBorders>
            <w:shd w:val="clear" w:color="auto" w:fill="auto"/>
            <w:noWrap/>
            <w:vAlign w:val="bottom"/>
            <w:hideMark/>
          </w:tcPr>
          <w:p w14:paraId="21E91E08"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5.524 </w:t>
            </w:r>
          </w:p>
        </w:tc>
        <w:tc>
          <w:tcPr>
            <w:tcW w:w="1046" w:type="dxa"/>
            <w:tcBorders>
              <w:top w:val="nil"/>
              <w:left w:val="nil"/>
              <w:bottom w:val="single" w:sz="4" w:space="0" w:color="auto"/>
              <w:right w:val="single" w:sz="4" w:space="0" w:color="auto"/>
            </w:tcBorders>
            <w:shd w:val="clear" w:color="auto" w:fill="auto"/>
            <w:noWrap/>
            <w:vAlign w:val="bottom"/>
            <w:hideMark/>
          </w:tcPr>
          <w:p w14:paraId="0731CAD0"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1.032 </w:t>
            </w:r>
          </w:p>
        </w:tc>
        <w:tc>
          <w:tcPr>
            <w:tcW w:w="1046" w:type="dxa"/>
            <w:tcBorders>
              <w:top w:val="nil"/>
              <w:left w:val="nil"/>
              <w:bottom w:val="single" w:sz="4" w:space="0" w:color="auto"/>
              <w:right w:val="single" w:sz="4" w:space="0" w:color="auto"/>
            </w:tcBorders>
            <w:shd w:val="clear" w:color="auto" w:fill="auto"/>
            <w:noWrap/>
            <w:vAlign w:val="bottom"/>
            <w:hideMark/>
          </w:tcPr>
          <w:p w14:paraId="1C3E3FFE"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1.032 </w:t>
            </w:r>
          </w:p>
        </w:tc>
      </w:tr>
      <w:tr w:rsidR="003932F2" w:rsidRPr="003932F2" w14:paraId="79488ED5" w14:textId="77777777" w:rsidTr="008946B0">
        <w:trPr>
          <w:trHeight w:val="73"/>
        </w:trPr>
        <w:tc>
          <w:tcPr>
            <w:tcW w:w="382" w:type="dxa"/>
            <w:vMerge/>
            <w:tcBorders>
              <w:top w:val="nil"/>
              <w:left w:val="single" w:sz="4" w:space="0" w:color="auto"/>
              <w:bottom w:val="single" w:sz="4" w:space="0" w:color="auto"/>
              <w:right w:val="single" w:sz="4" w:space="0" w:color="auto"/>
            </w:tcBorders>
            <w:vAlign w:val="center"/>
            <w:hideMark/>
          </w:tcPr>
          <w:p w14:paraId="29563542"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7" w:type="dxa"/>
            <w:tcBorders>
              <w:top w:val="nil"/>
              <w:left w:val="nil"/>
              <w:bottom w:val="single" w:sz="4" w:space="0" w:color="auto"/>
              <w:right w:val="single" w:sz="4" w:space="0" w:color="auto"/>
            </w:tcBorders>
            <w:shd w:val="clear" w:color="auto" w:fill="auto"/>
            <w:noWrap/>
            <w:vAlign w:val="bottom"/>
            <w:hideMark/>
          </w:tcPr>
          <w:p w14:paraId="6B45EDF4"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6</w:t>
            </w:r>
          </w:p>
        </w:tc>
        <w:tc>
          <w:tcPr>
            <w:tcW w:w="1466" w:type="dxa"/>
            <w:tcBorders>
              <w:top w:val="nil"/>
              <w:left w:val="nil"/>
              <w:bottom w:val="single" w:sz="4" w:space="0" w:color="auto"/>
              <w:right w:val="single" w:sz="4" w:space="0" w:color="auto"/>
            </w:tcBorders>
            <w:shd w:val="clear" w:color="auto" w:fill="auto"/>
            <w:noWrap/>
            <w:vAlign w:val="bottom"/>
            <w:hideMark/>
          </w:tcPr>
          <w:p w14:paraId="74C6A6B1"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10.086 </w:t>
            </w:r>
          </w:p>
        </w:tc>
        <w:tc>
          <w:tcPr>
            <w:tcW w:w="933" w:type="dxa"/>
            <w:tcBorders>
              <w:top w:val="nil"/>
              <w:left w:val="nil"/>
              <w:bottom w:val="single" w:sz="4" w:space="0" w:color="auto"/>
              <w:right w:val="single" w:sz="4" w:space="0" w:color="auto"/>
            </w:tcBorders>
            <w:shd w:val="clear" w:color="auto" w:fill="auto"/>
            <w:noWrap/>
            <w:vAlign w:val="bottom"/>
            <w:hideMark/>
          </w:tcPr>
          <w:p w14:paraId="03F5DAA7"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3.759 </w:t>
            </w:r>
          </w:p>
        </w:tc>
        <w:tc>
          <w:tcPr>
            <w:tcW w:w="938" w:type="dxa"/>
            <w:tcBorders>
              <w:top w:val="nil"/>
              <w:left w:val="nil"/>
              <w:bottom w:val="single" w:sz="4" w:space="0" w:color="auto"/>
              <w:right w:val="single" w:sz="4" w:space="0" w:color="auto"/>
            </w:tcBorders>
            <w:shd w:val="clear" w:color="auto" w:fill="auto"/>
            <w:noWrap/>
            <w:vAlign w:val="bottom"/>
            <w:hideMark/>
          </w:tcPr>
          <w:p w14:paraId="09D1E002"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3.759 </w:t>
            </w:r>
          </w:p>
        </w:tc>
        <w:tc>
          <w:tcPr>
            <w:tcW w:w="671" w:type="dxa"/>
            <w:vMerge/>
            <w:tcBorders>
              <w:top w:val="nil"/>
              <w:left w:val="single" w:sz="4" w:space="0" w:color="auto"/>
              <w:bottom w:val="single" w:sz="4" w:space="0" w:color="auto"/>
              <w:right w:val="single" w:sz="4" w:space="0" w:color="auto"/>
            </w:tcBorders>
            <w:vAlign w:val="center"/>
            <w:hideMark/>
          </w:tcPr>
          <w:p w14:paraId="538B6E10" w14:textId="77777777" w:rsidR="003932F2" w:rsidRPr="003932F2" w:rsidRDefault="003932F2" w:rsidP="003932F2">
            <w:pPr>
              <w:rPr>
                <w:rFonts w:ascii="Arial Narrow" w:eastAsia="Times New Roman" w:hAnsi="Arial Narrow" w:cs="Calibri"/>
                <w:b/>
                <w:bCs/>
                <w:color w:val="000000"/>
                <w:sz w:val="20"/>
                <w:szCs w:val="20"/>
                <w:lang w:val="es-CO" w:eastAsia="es-CO"/>
              </w:rPr>
            </w:pPr>
          </w:p>
        </w:tc>
        <w:tc>
          <w:tcPr>
            <w:tcW w:w="708" w:type="dxa"/>
            <w:tcBorders>
              <w:top w:val="nil"/>
              <w:left w:val="nil"/>
              <w:bottom w:val="single" w:sz="4" w:space="0" w:color="auto"/>
              <w:right w:val="single" w:sz="4" w:space="0" w:color="auto"/>
            </w:tcBorders>
            <w:shd w:val="clear" w:color="auto" w:fill="auto"/>
            <w:noWrap/>
            <w:vAlign w:val="bottom"/>
            <w:hideMark/>
          </w:tcPr>
          <w:p w14:paraId="270A44A4" w14:textId="77777777" w:rsidR="003932F2" w:rsidRPr="003932F2" w:rsidRDefault="003932F2" w:rsidP="003932F2">
            <w:pPr>
              <w:jc w:val="right"/>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6</w:t>
            </w:r>
          </w:p>
        </w:tc>
        <w:tc>
          <w:tcPr>
            <w:tcW w:w="1466" w:type="dxa"/>
            <w:tcBorders>
              <w:top w:val="nil"/>
              <w:left w:val="nil"/>
              <w:bottom w:val="single" w:sz="4" w:space="0" w:color="auto"/>
              <w:right w:val="single" w:sz="4" w:space="0" w:color="auto"/>
            </w:tcBorders>
            <w:shd w:val="clear" w:color="auto" w:fill="auto"/>
            <w:noWrap/>
            <w:vAlign w:val="bottom"/>
            <w:hideMark/>
          </w:tcPr>
          <w:p w14:paraId="4FF7FF79"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5.892 </w:t>
            </w:r>
          </w:p>
        </w:tc>
        <w:tc>
          <w:tcPr>
            <w:tcW w:w="1046" w:type="dxa"/>
            <w:tcBorders>
              <w:top w:val="nil"/>
              <w:left w:val="nil"/>
              <w:bottom w:val="single" w:sz="4" w:space="0" w:color="auto"/>
              <w:right w:val="single" w:sz="4" w:space="0" w:color="auto"/>
            </w:tcBorders>
            <w:shd w:val="clear" w:color="auto" w:fill="auto"/>
            <w:noWrap/>
            <w:vAlign w:val="bottom"/>
            <w:hideMark/>
          </w:tcPr>
          <w:p w14:paraId="7810B220"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1.101 </w:t>
            </w:r>
          </w:p>
        </w:tc>
        <w:tc>
          <w:tcPr>
            <w:tcW w:w="1046" w:type="dxa"/>
            <w:tcBorders>
              <w:top w:val="nil"/>
              <w:left w:val="nil"/>
              <w:bottom w:val="single" w:sz="4" w:space="0" w:color="auto"/>
              <w:right w:val="single" w:sz="4" w:space="0" w:color="auto"/>
            </w:tcBorders>
            <w:shd w:val="clear" w:color="auto" w:fill="auto"/>
            <w:noWrap/>
            <w:vAlign w:val="bottom"/>
            <w:hideMark/>
          </w:tcPr>
          <w:p w14:paraId="338E686B"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1.101 </w:t>
            </w:r>
          </w:p>
        </w:tc>
      </w:tr>
      <w:tr w:rsidR="003932F2" w:rsidRPr="003932F2" w14:paraId="1BC741E8" w14:textId="77777777" w:rsidTr="008946B0">
        <w:trPr>
          <w:trHeight w:val="68"/>
        </w:trPr>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C89E5"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USO</w:t>
            </w:r>
          </w:p>
        </w:tc>
        <w:tc>
          <w:tcPr>
            <w:tcW w:w="1466" w:type="dxa"/>
            <w:tcBorders>
              <w:top w:val="nil"/>
              <w:left w:val="nil"/>
              <w:bottom w:val="single" w:sz="4" w:space="0" w:color="auto"/>
              <w:right w:val="single" w:sz="4" w:space="0" w:color="auto"/>
            </w:tcBorders>
            <w:shd w:val="clear" w:color="auto" w:fill="auto"/>
            <w:vAlign w:val="center"/>
            <w:hideMark/>
          </w:tcPr>
          <w:p w14:paraId="63631498"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Cargo Fijo $/Suscriptor/Mes</w:t>
            </w:r>
          </w:p>
        </w:tc>
        <w:tc>
          <w:tcPr>
            <w:tcW w:w="1871" w:type="dxa"/>
            <w:gridSpan w:val="2"/>
            <w:tcBorders>
              <w:top w:val="single" w:sz="4" w:space="0" w:color="auto"/>
              <w:left w:val="nil"/>
              <w:bottom w:val="single" w:sz="4" w:space="0" w:color="auto"/>
              <w:right w:val="single" w:sz="4" w:space="0" w:color="auto"/>
            </w:tcBorders>
            <w:shd w:val="clear" w:color="auto" w:fill="auto"/>
            <w:vAlign w:val="center"/>
            <w:hideMark/>
          </w:tcPr>
          <w:p w14:paraId="6B19F58A"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Consumo $/m3</w:t>
            </w:r>
          </w:p>
        </w:tc>
        <w:tc>
          <w:tcPr>
            <w:tcW w:w="13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EDA5AB"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USO</w:t>
            </w:r>
          </w:p>
        </w:tc>
        <w:tc>
          <w:tcPr>
            <w:tcW w:w="1466" w:type="dxa"/>
            <w:tcBorders>
              <w:top w:val="nil"/>
              <w:left w:val="nil"/>
              <w:bottom w:val="single" w:sz="4" w:space="0" w:color="auto"/>
              <w:right w:val="single" w:sz="4" w:space="0" w:color="auto"/>
            </w:tcBorders>
            <w:shd w:val="clear" w:color="auto" w:fill="auto"/>
            <w:vAlign w:val="center"/>
            <w:hideMark/>
          </w:tcPr>
          <w:p w14:paraId="00F978C0"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Cargo Fijo $/Suscriptor/Mes</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14:paraId="7D9A193D" w14:textId="77777777" w:rsidR="003932F2" w:rsidRPr="003932F2" w:rsidRDefault="003932F2" w:rsidP="003932F2">
            <w:pPr>
              <w:jc w:val="center"/>
              <w:rPr>
                <w:rFonts w:ascii="Arial Narrow" w:eastAsia="Times New Roman" w:hAnsi="Arial Narrow" w:cs="Calibri"/>
                <w:b/>
                <w:bCs/>
                <w:color w:val="000000"/>
                <w:sz w:val="20"/>
                <w:szCs w:val="20"/>
                <w:lang w:val="es-CO" w:eastAsia="es-CO"/>
              </w:rPr>
            </w:pPr>
            <w:r w:rsidRPr="003932F2">
              <w:rPr>
                <w:rFonts w:ascii="Arial Narrow" w:eastAsia="Times New Roman" w:hAnsi="Arial Narrow" w:cs="Calibri"/>
                <w:b/>
                <w:bCs/>
                <w:color w:val="000000"/>
                <w:sz w:val="20"/>
                <w:szCs w:val="20"/>
                <w:lang w:val="es-CO" w:eastAsia="es-CO"/>
              </w:rPr>
              <w:t>Vertimiento $/m3</w:t>
            </w:r>
          </w:p>
        </w:tc>
      </w:tr>
      <w:tr w:rsidR="003932F2" w:rsidRPr="003932F2" w14:paraId="25533E6A" w14:textId="77777777" w:rsidTr="008946B0">
        <w:trPr>
          <w:trHeight w:val="85"/>
        </w:trPr>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3354"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Industrial</w:t>
            </w:r>
          </w:p>
        </w:tc>
        <w:tc>
          <w:tcPr>
            <w:tcW w:w="1466" w:type="dxa"/>
            <w:tcBorders>
              <w:top w:val="nil"/>
              <w:left w:val="nil"/>
              <w:bottom w:val="single" w:sz="4" w:space="0" w:color="auto"/>
              <w:right w:val="single" w:sz="4" w:space="0" w:color="auto"/>
            </w:tcBorders>
            <w:shd w:val="clear" w:color="auto" w:fill="auto"/>
            <w:noWrap/>
            <w:vAlign w:val="bottom"/>
            <w:hideMark/>
          </w:tcPr>
          <w:p w14:paraId="7515F361"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9.141 </w:t>
            </w:r>
          </w:p>
        </w:tc>
        <w:tc>
          <w:tcPr>
            <w:tcW w:w="187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26D695"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3.407 </w:t>
            </w:r>
          </w:p>
        </w:tc>
        <w:tc>
          <w:tcPr>
            <w:tcW w:w="13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30631"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Industrial</w:t>
            </w:r>
          </w:p>
        </w:tc>
        <w:tc>
          <w:tcPr>
            <w:tcW w:w="1466" w:type="dxa"/>
            <w:tcBorders>
              <w:top w:val="nil"/>
              <w:left w:val="nil"/>
              <w:bottom w:val="single" w:sz="4" w:space="0" w:color="auto"/>
              <w:right w:val="single" w:sz="4" w:space="0" w:color="auto"/>
            </w:tcBorders>
            <w:shd w:val="clear" w:color="auto" w:fill="auto"/>
            <w:noWrap/>
            <w:vAlign w:val="bottom"/>
            <w:hideMark/>
          </w:tcPr>
          <w:p w14:paraId="3E116D81"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5.340 </w:t>
            </w:r>
          </w:p>
        </w:tc>
        <w:tc>
          <w:tcPr>
            <w:tcW w:w="21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DA2B053"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997 </w:t>
            </w:r>
          </w:p>
        </w:tc>
      </w:tr>
      <w:tr w:rsidR="003932F2" w:rsidRPr="003932F2" w14:paraId="12462BB5" w14:textId="77777777" w:rsidTr="008946B0">
        <w:trPr>
          <w:trHeight w:val="73"/>
        </w:trPr>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2F52"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Comercial</w:t>
            </w:r>
          </w:p>
        </w:tc>
        <w:tc>
          <w:tcPr>
            <w:tcW w:w="1466" w:type="dxa"/>
            <w:tcBorders>
              <w:top w:val="nil"/>
              <w:left w:val="nil"/>
              <w:bottom w:val="single" w:sz="4" w:space="0" w:color="auto"/>
              <w:right w:val="single" w:sz="4" w:space="0" w:color="auto"/>
            </w:tcBorders>
            <w:shd w:val="clear" w:color="auto" w:fill="auto"/>
            <w:noWrap/>
            <w:vAlign w:val="bottom"/>
            <w:hideMark/>
          </w:tcPr>
          <w:p w14:paraId="3ABA02DA"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9.456 </w:t>
            </w:r>
          </w:p>
        </w:tc>
        <w:tc>
          <w:tcPr>
            <w:tcW w:w="187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D0C4987"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3.525 </w:t>
            </w:r>
          </w:p>
        </w:tc>
        <w:tc>
          <w:tcPr>
            <w:tcW w:w="13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6D7BD6"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Comercial</w:t>
            </w:r>
          </w:p>
        </w:tc>
        <w:tc>
          <w:tcPr>
            <w:tcW w:w="1466" w:type="dxa"/>
            <w:tcBorders>
              <w:top w:val="nil"/>
              <w:left w:val="nil"/>
              <w:bottom w:val="single" w:sz="4" w:space="0" w:color="auto"/>
              <w:right w:val="single" w:sz="4" w:space="0" w:color="auto"/>
            </w:tcBorders>
            <w:shd w:val="clear" w:color="auto" w:fill="auto"/>
            <w:noWrap/>
            <w:vAlign w:val="bottom"/>
            <w:hideMark/>
          </w:tcPr>
          <w:p w14:paraId="223498A3"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5.524 </w:t>
            </w:r>
          </w:p>
        </w:tc>
        <w:tc>
          <w:tcPr>
            <w:tcW w:w="21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D05B2A"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1.032 </w:t>
            </w:r>
          </w:p>
        </w:tc>
      </w:tr>
      <w:tr w:rsidR="003932F2" w:rsidRPr="003932F2" w14:paraId="3A6A8325" w14:textId="77777777" w:rsidTr="008946B0">
        <w:trPr>
          <w:trHeight w:val="73"/>
        </w:trPr>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833D"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Oficial</w:t>
            </w:r>
          </w:p>
        </w:tc>
        <w:tc>
          <w:tcPr>
            <w:tcW w:w="1466" w:type="dxa"/>
            <w:tcBorders>
              <w:top w:val="nil"/>
              <w:left w:val="nil"/>
              <w:bottom w:val="single" w:sz="4" w:space="0" w:color="auto"/>
              <w:right w:val="single" w:sz="4" w:space="0" w:color="auto"/>
            </w:tcBorders>
            <w:shd w:val="clear" w:color="auto" w:fill="auto"/>
            <w:noWrap/>
            <w:vAlign w:val="bottom"/>
            <w:hideMark/>
          </w:tcPr>
          <w:p w14:paraId="204295C0"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6.304 </w:t>
            </w:r>
          </w:p>
        </w:tc>
        <w:tc>
          <w:tcPr>
            <w:tcW w:w="187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77B161"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13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DCACC8"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Oficial</w:t>
            </w:r>
          </w:p>
        </w:tc>
        <w:tc>
          <w:tcPr>
            <w:tcW w:w="1466" w:type="dxa"/>
            <w:tcBorders>
              <w:top w:val="nil"/>
              <w:left w:val="nil"/>
              <w:bottom w:val="single" w:sz="4" w:space="0" w:color="auto"/>
              <w:right w:val="single" w:sz="4" w:space="0" w:color="auto"/>
            </w:tcBorders>
            <w:shd w:val="clear" w:color="auto" w:fill="auto"/>
            <w:noWrap/>
            <w:vAlign w:val="bottom"/>
            <w:hideMark/>
          </w:tcPr>
          <w:p w14:paraId="6BDD46A0"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3.683 </w:t>
            </w:r>
          </w:p>
        </w:tc>
        <w:tc>
          <w:tcPr>
            <w:tcW w:w="21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EB5D64"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r>
      <w:tr w:rsidR="003932F2" w:rsidRPr="003932F2" w14:paraId="5B66DFB1" w14:textId="77777777" w:rsidTr="008946B0">
        <w:trPr>
          <w:trHeight w:val="94"/>
        </w:trPr>
        <w:tc>
          <w:tcPr>
            <w:tcW w:w="10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5F6AA"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Especial</w:t>
            </w:r>
          </w:p>
        </w:tc>
        <w:tc>
          <w:tcPr>
            <w:tcW w:w="1466" w:type="dxa"/>
            <w:tcBorders>
              <w:top w:val="nil"/>
              <w:left w:val="nil"/>
              <w:bottom w:val="single" w:sz="4" w:space="0" w:color="auto"/>
              <w:right w:val="single" w:sz="4" w:space="0" w:color="auto"/>
            </w:tcBorders>
            <w:shd w:val="clear" w:color="auto" w:fill="auto"/>
            <w:noWrap/>
            <w:vAlign w:val="bottom"/>
            <w:hideMark/>
          </w:tcPr>
          <w:p w14:paraId="68449187"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6.304 </w:t>
            </w:r>
          </w:p>
        </w:tc>
        <w:tc>
          <w:tcPr>
            <w:tcW w:w="187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8FC39B"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2.350 </w:t>
            </w:r>
          </w:p>
        </w:tc>
        <w:tc>
          <w:tcPr>
            <w:tcW w:w="13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4FE9CD"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Especial</w:t>
            </w:r>
          </w:p>
        </w:tc>
        <w:tc>
          <w:tcPr>
            <w:tcW w:w="1466" w:type="dxa"/>
            <w:tcBorders>
              <w:top w:val="nil"/>
              <w:left w:val="nil"/>
              <w:bottom w:val="single" w:sz="4" w:space="0" w:color="auto"/>
              <w:right w:val="single" w:sz="4" w:space="0" w:color="auto"/>
            </w:tcBorders>
            <w:shd w:val="clear" w:color="auto" w:fill="auto"/>
            <w:noWrap/>
            <w:vAlign w:val="bottom"/>
            <w:hideMark/>
          </w:tcPr>
          <w:p w14:paraId="13C924CF" w14:textId="77777777" w:rsidR="003932F2" w:rsidRPr="003932F2" w:rsidRDefault="003932F2" w:rsidP="003932F2">
            <w:pP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3.683 </w:t>
            </w:r>
          </w:p>
        </w:tc>
        <w:tc>
          <w:tcPr>
            <w:tcW w:w="21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95C9AE" w14:textId="77777777" w:rsidR="003932F2" w:rsidRPr="003932F2" w:rsidRDefault="003932F2" w:rsidP="003932F2">
            <w:pPr>
              <w:jc w:val="center"/>
              <w:rPr>
                <w:rFonts w:ascii="Arial Narrow" w:eastAsia="Times New Roman" w:hAnsi="Arial Narrow" w:cs="Calibri"/>
                <w:color w:val="000000"/>
                <w:sz w:val="20"/>
                <w:szCs w:val="20"/>
                <w:lang w:val="es-CO" w:eastAsia="es-CO"/>
              </w:rPr>
            </w:pPr>
            <w:r w:rsidRPr="003932F2">
              <w:rPr>
                <w:rFonts w:ascii="Arial Narrow" w:eastAsia="Times New Roman" w:hAnsi="Arial Narrow" w:cs="Calibri"/>
                <w:color w:val="000000"/>
                <w:sz w:val="20"/>
                <w:szCs w:val="20"/>
                <w:lang w:val="es-CO" w:eastAsia="es-CO"/>
              </w:rPr>
              <w:t xml:space="preserve">                                            688 </w:t>
            </w:r>
          </w:p>
        </w:tc>
      </w:tr>
    </w:tbl>
    <w:p w14:paraId="14A06E15" w14:textId="77777777" w:rsidR="008946B0" w:rsidRPr="00433E58" w:rsidRDefault="008946B0" w:rsidP="008946B0">
      <w:pPr>
        <w:contextualSpacing/>
        <w:jc w:val="center"/>
        <w:rPr>
          <w:rFonts w:ascii="Verdana" w:hAnsi="Verdana" w:cs="Arial"/>
          <w:sz w:val="22"/>
          <w:szCs w:val="22"/>
        </w:rPr>
      </w:pPr>
      <w:r w:rsidRPr="00433E58">
        <w:rPr>
          <w:rFonts w:ascii="Verdana" w:hAnsi="Verdana" w:cs="Arial"/>
          <w:sz w:val="16"/>
          <w:szCs w:val="16"/>
        </w:rPr>
        <w:t>Fuente: Página Web de EMSERCOTA.</w:t>
      </w:r>
    </w:p>
    <w:p w14:paraId="69ABDADE" w14:textId="77777777" w:rsidR="00911C69" w:rsidRPr="00433E58" w:rsidRDefault="00911C69" w:rsidP="00911C69">
      <w:pPr>
        <w:contextualSpacing/>
        <w:rPr>
          <w:rFonts w:ascii="Verdana" w:hAnsi="Verdana" w:cs="Arial"/>
          <w:sz w:val="22"/>
          <w:szCs w:val="22"/>
        </w:rPr>
      </w:pPr>
    </w:p>
    <w:p w14:paraId="00F85C2E"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 xml:space="preserve">Igualmente, por medio de la página de internet </w:t>
      </w:r>
      <w:r w:rsidR="003932F2" w:rsidRPr="00570786">
        <w:rPr>
          <w:rFonts w:ascii="Verdana" w:hAnsi="Verdana" w:cs="Arial"/>
          <w:sz w:val="22"/>
          <w:szCs w:val="22"/>
        </w:rPr>
        <w:t>mencionada</w:t>
      </w:r>
      <w:r w:rsidR="00294792" w:rsidRPr="00570786">
        <w:rPr>
          <w:rFonts w:ascii="Verdana" w:hAnsi="Verdana" w:cs="Arial"/>
          <w:sz w:val="22"/>
          <w:szCs w:val="22"/>
        </w:rPr>
        <w:t>,</w:t>
      </w:r>
      <w:r w:rsidRPr="00570786">
        <w:rPr>
          <w:rFonts w:ascii="Verdana" w:hAnsi="Verdana" w:cs="Arial"/>
          <w:sz w:val="22"/>
          <w:szCs w:val="22"/>
        </w:rPr>
        <w:t xml:space="preserve"> fue posible ver </w:t>
      </w:r>
      <w:r w:rsidR="00294792" w:rsidRPr="00570786">
        <w:rPr>
          <w:rFonts w:ascii="Verdana" w:hAnsi="Verdana" w:cs="Arial"/>
          <w:sz w:val="22"/>
          <w:szCs w:val="22"/>
        </w:rPr>
        <w:t>que las tarifas del servicio público domiciliario de aseo son las siguientes:</w:t>
      </w:r>
    </w:p>
    <w:p w14:paraId="52F508E8" w14:textId="77777777" w:rsidR="00911C69" w:rsidRPr="00570786" w:rsidRDefault="00911C69" w:rsidP="00911C69">
      <w:pPr>
        <w:contextualSpacing/>
        <w:jc w:val="both"/>
        <w:rPr>
          <w:rFonts w:ascii="Verdana" w:hAnsi="Verdana" w:cs="Arial"/>
          <w:sz w:val="22"/>
          <w:szCs w:val="22"/>
        </w:rPr>
      </w:pPr>
    </w:p>
    <w:p w14:paraId="1D638EF7" w14:textId="77777777" w:rsidR="00911C69" w:rsidRPr="00570786" w:rsidRDefault="00911C69" w:rsidP="00911C69">
      <w:pPr>
        <w:contextualSpacing/>
        <w:jc w:val="center"/>
        <w:rPr>
          <w:rFonts w:ascii="Verdana" w:hAnsi="Verdana" w:cs="Arial"/>
          <w:sz w:val="22"/>
          <w:szCs w:val="22"/>
        </w:rPr>
      </w:pPr>
      <w:r w:rsidRPr="00570786">
        <w:rPr>
          <w:rFonts w:ascii="Verdana" w:hAnsi="Verdana" w:cs="Arial"/>
          <w:b/>
          <w:sz w:val="22"/>
          <w:szCs w:val="22"/>
        </w:rPr>
        <w:t>Cuadro No. 4</w:t>
      </w:r>
      <w:r w:rsidRPr="00570786">
        <w:rPr>
          <w:rFonts w:ascii="Verdana" w:hAnsi="Verdana" w:cs="Arial"/>
          <w:sz w:val="22"/>
          <w:szCs w:val="22"/>
        </w:rPr>
        <w:t xml:space="preserve"> </w:t>
      </w:r>
      <w:r w:rsidR="00294792" w:rsidRPr="00570786">
        <w:rPr>
          <w:rFonts w:ascii="Verdana" w:hAnsi="Verdana" w:cs="Arial"/>
          <w:sz w:val="22"/>
          <w:szCs w:val="22"/>
        </w:rPr>
        <w:t>Tarifas</w:t>
      </w:r>
      <w:r w:rsidRPr="00570786">
        <w:rPr>
          <w:rFonts w:ascii="Verdana" w:hAnsi="Verdana" w:cs="Arial"/>
          <w:sz w:val="22"/>
          <w:szCs w:val="22"/>
        </w:rPr>
        <w:t xml:space="preserve"> servicio público de aseo. (Cifras en pesos)</w:t>
      </w:r>
    </w:p>
    <w:tbl>
      <w:tblPr>
        <w:tblW w:w="9508" w:type="dxa"/>
        <w:tblCellMar>
          <w:left w:w="70" w:type="dxa"/>
          <w:right w:w="70" w:type="dxa"/>
        </w:tblCellMar>
        <w:tblLook w:val="04A0" w:firstRow="1" w:lastRow="0" w:firstColumn="1" w:lastColumn="0" w:noHBand="0" w:noVBand="1"/>
      </w:tblPr>
      <w:tblGrid>
        <w:gridCol w:w="2545"/>
        <w:gridCol w:w="2321"/>
        <w:gridCol w:w="2321"/>
        <w:gridCol w:w="2321"/>
      </w:tblGrid>
      <w:tr w:rsidR="008946B0" w:rsidRPr="00570786" w14:paraId="06537220" w14:textId="77777777" w:rsidTr="008946B0">
        <w:trPr>
          <w:trHeight w:val="716"/>
        </w:trPr>
        <w:tc>
          <w:tcPr>
            <w:tcW w:w="2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706124"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Estrato/Uso </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654B5986"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 Tarifa Mensual Suscriptores No Aforados </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16B65368"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 Tarifa Mensual Suscriptor Aforado </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6BAA7B92"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 Tarifa Predio Desocupado </w:t>
            </w:r>
          </w:p>
        </w:tc>
      </w:tr>
      <w:tr w:rsidR="008946B0" w:rsidRPr="00570786" w14:paraId="34D5CD62" w14:textId="77777777" w:rsidTr="008946B0">
        <w:trPr>
          <w:trHeight w:val="519"/>
        </w:trPr>
        <w:tc>
          <w:tcPr>
            <w:tcW w:w="2545" w:type="dxa"/>
            <w:vMerge/>
            <w:tcBorders>
              <w:top w:val="single" w:sz="4" w:space="0" w:color="auto"/>
              <w:left w:val="single" w:sz="4" w:space="0" w:color="auto"/>
              <w:bottom w:val="single" w:sz="4" w:space="0" w:color="000000"/>
              <w:right w:val="single" w:sz="4" w:space="0" w:color="auto"/>
            </w:tcBorders>
            <w:vAlign w:val="center"/>
            <w:hideMark/>
          </w:tcPr>
          <w:p w14:paraId="4A4DE042" w14:textId="77777777" w:rsidR="008946B0" w:rsidRPr="00570786" w:rsidRDefault="008946B0" w:rsidP="008946B0">
            <w:pPr>
              <w:rPr>
                <w:rFonts w:ascii="Verdana" w:eastAsia="Times New Roman" w:hAnsi="Verdana" w:cs="Calibri"/>
                <w:b/>
                <w:bCs/>
                <w:color w:val="000000"/>
                <w:sz w:val="18"/>
                <w:szCs w:val="18"/>
                <w:lang w:val="es-CO" w:eastAsia="es-CO"/>
              </w:rPr>
            </w:pPr>
          </w:p>
        </w:tc>
        <w:tc>
          <w:tcPr>
            <w:tcW w:w="2321" w:type="dxa"/>
            <w:tcBorders>
              <w:top w:val="nil"/>
              <w:left w:val="nil"/>
              <w:bottom w:val="single" w:sz="4" w:space="0" w:color="auto"/>
              <w:right w:val="single" w:sz="4" w:space="0" w:color="auto"/>
            </w:tcBorders>
            <w:shd w:val="clear" w:color="auto" w:fill="auto"/>
            <w:vAlign w:val="center"/>
            <w:hideMark/>
          </w:tcPr>
          <w:p w14:paraId="28A12B61"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 Tarifa Final Suscriptor</w:t>
            </w:r>
          </w:p>
        </w:tc>
        <w:tc>
          <w:tcPr>
            <w:tcW w:w="2321" w:type="dxa"/>
            <w:tcBorders>
              <w:top w:val="nil"/>
              <w:left w:val="nil"/>
              <w:bottom w:val="single" w:sz="4" w:space="0" w:color="auto"/>
              <w:right w:val="single" w:sz="4" w:space="0" w:color="auto"/>
            </w:tcBorders>
            <w:shd w:val="clear" w:color="auto" w:fill="auto"/>
            <w:vAlign w:val="center"/>
            <w:hideMark/>
          </w:tcPr>
          <w:p w14:paraId="4A09F530"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 Tarifa Final Suscriptor</w:t>
            </w:r>
          </w:p>
        </w:tc>
        <w:tc>
          <w:tcPr>
            <w:tcW w:w="2321" w:type="dxa"/>
            <w:tcBorders>
              <w:top w:val="nil"/>
              <w:left w:val="nil"/>
              <w:bottom w:val="single" w:sz="4" w:space="0" w:color="auto"/>
              <w:right w:val="single" w:sz="4" w:space="0" w:color="auto"/>
            </w:tcBorders>
            <w:shd w:val="clear" w:color="auto" w:fill="auto"/>
            <w:vAlign w:val="center"/>
            <w:hideMark/>
          </w:tcPr>
          <w:p w14:paraId="7B10212E" w14:textId="77777777" w:rsidR="008946B0" w:rsidRPr="00570786" w:rsidRDefault="008946B0" w:rsidP="008946B0">
            <w:pPr>
              <w:jc w:val="center"/>
              <w:rPr>
                <w:rFonts w:ascii="Verdana" w:eastAsia="Times New Roman" w:hAnsi="Verdana" w:cs="Calibri"/>
                <w:b/>
                <w:bCs/>
                <w:color w:val="000000"/>
                <w:sz w:val="18"/>
                <w:szCs w:val="18"/>
                <w:lang w:val="es-CO" w:eastAsia="es-CO"/>
              </w:rPr>
            </w:pPr>
            <w:r w:rsidRPr="00570786">
              <w:rPr>
                <w:rFonts w:ascii="Verdana" w:eastAsia="Times New Roman" w:hAnsi="Verdana" w:cs="Calibri"/>
                <w:b/>
                <w:bCs/>
                <w:color w:val="000000"/>
                <w:sz w:val="18"/>
                <w:szCs w:val="18"/>
                <w:lang w:val="es-CO" w:eastAsia="es-CO"/>
              </w:rPr>
              <w:t xml:space="preserve"> Tarifa Final Suscriptor</w:t>
            </w:r>
          </w:p>
        </w:tc>
      </w:tr>
      <w:tr w:rsidR="008946B0" w:rsidRPr="00570786" w14:paraId="597F2DA4"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09350332"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Estrato 1 </w:t>
            </w:r>
          </w:p>
        </w:tc>
        <w:tc>
          <w:tcPr>
            <w:tcW w:w="2321" w:type="dxa"/>
            <w:tcBorders>
              <w:top w:val="nil"/>
              <w:left w:val="nil"/>
              <w:bottom w:val="single" w:sz="4" w:space="0" w:color="auto"/>
              <w:right w:val="single" w:sz="4" w:space="0" w:color="auto"/>
            </w:tcBorders>
            <w:shd w:val="clear" w:color="auto" w:fill="auto"/>
            <w:noWrap/>
            <w:vAlign w:val="center"/>
            <w:hideMark/>
          </w:tcPr>
          <w:p w14:paraId="51C8396E"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4.652 </w:t>
            </w:r>
          </w:p>
        </w:tc>
        <w:tc>
          <w:tcPr>
            <w:tcW w:w="2321" w:type="dxa"/>
            <w:tcBorders>
              <w:top w:val="nil"/>
              <w:left w:val="nil"/>
              <w:bottom w:val="single" w:sz="4" w:space="0" w:color="auto"/>
              <w:right w:val="single" w:sz="4" w:space="0" w:color="auto"/>
            </w:tcBorders>
            <w:shd w:val="clear" w:color="auto" w:fill="auto"/>
            <w:noWrap/>
            <w:vAlign w:val="center"/>
            <w:hideMark/>
          </w:tcPr>
          <w:p w14:paraId="09500782"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5E3CB1D5"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1.477 </w:t>
            </w:r>
          </w:p>
        </w:tc>
      </w:tr>
      <w:tr w:rsidR="008946B0" w:rsidRPr="00570786" w14:paraId="13EB0480"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7F06D0AE"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Estrato 2 </w:t>
            </w:r>
          </w:p>
        </w:tc>
        <w:tc>
          <w:tcPr>
            <w:tcW w:w="2321" w:type="dxa"/>
            <w:tcBorders>
              <w:top w:val="nil"/>
              <w:left w:val="nil"/>
              <w:bottom w:val="single" w:sz="4" w:space="0" w:color="auto"/>
              <w:right w:val="single" w:sz="4" w:space="0" w:color="auto"/>
            </w:tcBorders>
            <w:shd w:val="clear" w:color="auto" w:fill="auto"/>
            <w:noWrap/>
            <w:vAlign w:val="center"/>
            <w:hideMark/>
          </w:tcPr>
          <w:p w14:paraId="438096D3"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9.757 </w:t>
            </w:r>
          </w:p>
        </w:tc>
        <w:tc>
          <w:tcPr>
            <w:tcW w:w="2321" w:type="dxa"/>
            <w:tcBorders>
              <w:top w:val="nil"/>
              <w:left w:val="nil"/>
              <w:bottom w:val="single" w:sz="4" w:space="0" w:color="auto"/>
              <w:right w:val="single" w:sz="4" w:space="0" w:color="auto"/>
            </w:tcBorders>
            <w:shd w:val="clear" w:color="auto" w:fill="auto"/>
            <w:noWrap/>
            <w:vAlign w:val="center"/>
            <w:hideMark/>
          </w:tcPr>
          <w:p w14:paraId="372700FB"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6E5D7F56"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2.954 </w:t>
            </w:r>
          </w:p>
        </w:tc>
      </w:tr>
      <w:tr w:rsidR="008946B0" w:rsidRPr="00570786" w14:paraId="6666B058"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3A185886"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Estrato 3 </w:t>
            </w:r>
          </w:p>
        </w:tc>
        <w:tc>
          <w:tcPr>
            <w:tcW w:w="2321" w:type="dxa"/>
            <w:tcBorders>
              <w:top w:val="nil"/>
              <w:left w:val="nil"/>
              <w:bottom w:val="single" w:sz="4" w:space="0" w:color="auto"/>
              <w:right w:val="single" w:sz="4" w:space="0" w:color="auto"/>
            </w:tcBorders>
            <w:shd w:val="clear" w:color="auto" w:fill="auto"/>
            <w:noWrap/>
            <w:vAlign w:val="center"/>
            <w:hideMark/>
          </w:tcPr>
          <w:p w14:paraId="5308E518"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14.189 </w:t>
            </w:r>
          </w:p>
        </w:tc>
        <w:tc>
          <w:tcPr>
            <w:tcW w:w="2321" w:type="dxa"/>
            <w:tcBorders>
              <w:top w:val="nil"/>
              <w:left w:val="nil"/>
              <w:bottom w:val="single" w:sz="4" w:space="0" w:color="auto"/>
              <w:right w:val="single" w:sz="4" w:space="0" w:color="auto"/>
            </w:tcBorders>
            <w:shd w:val="clear" w:color="auto" w:fill="auto"/>
            <w:noWrap/>
            <w:vAlign w:val="center"/>
            <w:hideMark/>
          </w:tcPr>
          <w:p w14:paraId="1749B073"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0102E062"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4.185 </w:t>
            </w:r>
          </w:p>
        </w:tc>
      </w:tr>
      <w:tr w:rsidR="008946B0" w:rsidRPr="00570786" w14:paraId="1217D6F0"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0C880846"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Estrato 4 </w:t>
            </w:r>
          </w:p>
        </w:tc>
        <w:tc>
          <w:tcPr>
            <w:tcW w:w="2321" w:type="dxa"/>
            <w:tcBorders>
              <w:top w:val="nil"/>
              <w:left w:val="nil"/>
              <w:bottom w:val="single" w:sz="4" w:space="0" w:color="auto"/>
              <w:right w:val="single" w:sz="4" w:space="0" w:color="auto"/>
            </w:tcBorders>
            <w:shd w:val="clear" w:color="auto" w:fill="auto"/>
            <w:noWrap/>
            <w:vAlign w:val="center"/>
            <w:hideMark/>
          </w:tcPr>
          <w:p w14:paraId="59B21E60"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17.770 </w:t>
            </w:r>
          </w:p>
        </w:tc>
        <w:tc>
          <w:tcPr>
            <w:tcW w:w="2321" w:type="dxa"/>
            <w:tcBorders>
              <w:top w:val="nil"/>
              <w:left w:val="nil"/>
              <w:bottom w:val="single" w:sz="4" w:space="0" w:color="auto"/>
              <w:right w:val="single" w:sz="4" w:space="0" w:color="auto"/>
            </w:tcBorders>
            <w:shd w:val="clear" w:color="auto" w:fill="auto"/>
            <w:noWrap/>
            <w:vAlign w:val="center"/>
            <w:hideMark/>
          </w:tcPr>
          <w:p w14:paraId="21442484"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4E39950C"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4.923 </w:t>
            </w:r>
          </w:p>
        </w:tc>
      </w:tr>
      <w:tr w:rsidR="008946B0" w:rsidRPr="00570786" w14:paraId="4F35B592"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379D660B"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Estrato 5 </w:t>
            </w:r>
          </w:p>
        </w:tc>
        <w:tc>
          <w:tcPr>
            <w:tcW w:w="2321" w:type="dxa"/>
            <w:tcBorders>
              <w:top w:val="nil"/>
              <w:left w:val="nil"/>
              <w:bottom w:val="single" w:sz="4" w:space="0" w:color="auto"/>
              <w:right w:val="single" w:sz="4" w:space="0" w:color="auto"/>
            </w:tcBorders>
            <w:shd w:val="clear" w:color="auto" w:fill="auto"/>
            <w:noWrap/>
            <w:vAlign w:val="center"/>
            <w:hideMark/>
          </w:tcPr>
          <w:p w14:paraId="2C6077F5"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30.211 </w:t>
            </w:r>
          </w:p>
        </w:tc>
        <w:tc>
          <w:tcPr>
            <w:tcW w:w="2321" w:type="dxa"/>
            <w:tcBorders>
              <w:top w:val="nil"/>
              <w:left w:val="nil"/>
              <w:bottom w:val="single" w:sz="4" w:space="0" w:color="auto"/>
              <w:right w:val="single" w:sz="4" w:space="0" w:color="auto"/>
            </w:tcBorders>
            <w:shd w:val="clear" w:color="auto" w:fill="auto"/>
            <w:noWrap/>
            <w:vAlign w:val="center"/>
            <w:hideMark/>
          </w:tcPr>
          <w:p w14:paraId="0BE6C22E"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2EB41FD3"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7.385 </w:t>
            </w:r>
          </w:p>
        </w:tc>
      </w:tr>
      <w:tr w:rsidR="008946B0" w:rsidRPr="00570786" w14:paraId="3DE06B0B"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5A838CA9"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Estrato 6 </w:t>
            </w:r>
          </w:p>
        </w:tc>
        <w:tc>
          <w:tcPr>
            <w:tcW w:w="2321" w:type="dxa"/>
            <w:tcBorders>
              <w:top w:val="nil"/>
              <w:left w:val="nil"/>
              <w:bottom w:val="single" w:sz="4" w:space="0" w:color="auto"/>
              <w:right w:val="single" w:sz="4" w:space="0" w:color="auto"/>
            </w:tcBorders>
            <w:shd w:val="clear" w:color="auto" w:fill="auto"/>
            <w:noWrap/>
            <w:vAlign w:val="center"/>
            <w:hideMark/>
          </w:tcPr>
          <w:p w14:paraId="03B81B72"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37.053 </w:t>
            </w:r>
          </w:p>
        </w:tc>
        <w:tc>
          <w:tcPr>
            <w:tcW w:w="2321" w:type="dxa"/>
            <w:tcBorders>
              <w:top w:val="nil"/>
              <w:left w:val="nil"/>
              <w:bottom w:val="single" w:sz="4" w:space="0" w:color="auto"/>
              <w:right w:val="single" w:sz="4" w:space="0" w:color="auto"/>
            </w:tcBorders>
            <w:shd w:val="clear" w:color="auto" w:fill="auto"/>
            <w:noWrap/>
            <w:vAlign w:val="center"/>
            <w:hideMark/>
          </w:tcPr>
          <w:p w14:paraId="4901950B"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5CBF9C6A"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7.877 </w:t>
            </w:r>
          </w:p>
        </w:tc>
      </w:tr>
      <w:tr w:rsidR="008946B0" w:rsidRPr="00570786" w14:paraId="269D5409"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65776B59"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Pequeños P. Industriales </w:t>
            </w:r>
          </w:p>
        </w:tc>
        <w:tc>
          <w:tcPr>
            <w:tcW w:w="2321" w:type="dxa"/>
            <w:tcBorders>
              <w:top w:val="nil"/>
              <w:left w:val="nil"/>
              <w:bottom w:val="single" w:sz="4" w:space="0" w:color="auto"/>
              <w:right w:val="single" w:sz="4" w:space="0" w:color="auto"/>
            </w:tcBorders>
            <w:shd w:val="clear" w:color="auto" w:fill="auto"/>
            <w:noWrap/>
            <w:vAlign w:val="center"/>
            <w:hideMark/>
          </w:tcPr>
          <w:p w14:paraId="315E13D1"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48.267 </w:t>
            </w:r>
          </w:p>
        </w:tc>
        <w:tc>
          <w:tcPr>
            <w:tcW w:w="2321" w:type="dxa"/>
            <w:tcBorders>
              <w:top w:val="nil"/>
              <w:left w:val="nil"/>
              <w:bottom w:val="single" w:sz="4" w:space="0" w:color="auto"/>
              <w:right w:val="single" w:sz="4" w:space="0" w:color="auto"/>
            </w:tcBorders>
            <w:shd w:val="clear" w:color="auto" w:fill="auto"/>
            <w:noWrap/>
            <w:vAlign w:val="center"/>
            <w:hideMark/>
          </w:tcPr>
          <w:p w14:paraId="012B14A4"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6CC397A4"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7.139 </w:t>
            </w:r>
          </w:p>
        </w:tc>
      </w:tr>
      <w:tr w:rsidR="008946B0" w:rsidRPr="00570786" w14:paraId="3119792C"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7CAD9A08"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Pequeños P. Comerciales </w:t>
            </w:r>
          </w:p>
        </w:tc>
        <w:tc>
          <w:tcPr>
            <w:tcW w:w="2321" w:type="dxa"/>
            <w:tcBorders>
              <w:top w:val="nil"/>
              <w:left w:val="nil"/>
              <w:bottom w:val="single" w:sz="4" w:space="0" w:color="auto"/>
              <w:right w:val="single" w:sz="4" w:space="0" w:color="auto"/>
            </w:tcBorders>
            <w:shd w:val="clear" w:color="auto" w:fill="auto"/>
            <w:noWrap/>
            <w:vAlign w:val="center"/>
            <w:hideMark/>
          </w:tcPr>
          <w:p w14:paraId="2AFB3106"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49.931 </w:t>
            </w:r>
          </w:p>
        </w:tc>
        <w:tc>
          <w:tcPr>
            <w:tcW w:w="2321" w:type="dxa"/>
            <w:tcBorders>
              <w:top w:val="nil"/>
              <w:left w:val="nil"/>
              <w:bottom w:val="single" w:sz="4" w:space="0" w:color="auto"/>
              <w:right w:val="single" w:sz="4" w:space="0" w:color="auto"/>
            </w:tcBorders>
            <w:shd w:val="clear" w:color="auto" w:fill="auto"/>
            <w:noWrap/>
            <w:vAlign w:val="center"/>
            <w:hideMark/>
          </w:tcPr>
          <w:p w14:paraId="0194806F"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390FE037"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7.385 </w:t>
            </w:r>
          </w:p>
        </w:tc>
      </w:tr>
      <w:tr w:rsidR="008946B0" w:rsidRPr="00570786" w14:paraId="55FE6623"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394A4E19"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Pequeños P. Oficiales </w:t>
            </w:r>
          </w:p>
        </w:tc>
        <w:tc>
          <w:tcPr>
            <w:tcW w:w="2321" w:type="dxa"/>
            <w:tcBorders>
              <w:top w:val="nil"/>
              <w:left w:val="nil"/>
              <w:bottom w:val="single" w:sz="4" w:space="0" w:color="auto"/>
              <w:right w:val="single" w:sz="4" w:space="0" w:color="auto"/>
            </w:tcBorders>
            <w:shd w:val="clear" w:color="auto" w:fill="auto"/>
            <w:noWrap/>
            <w:vAlign w:val="center"/>
            <w:hideMark/>
          </w:tcPr>
          <w:p w14:paraId="72A2E900"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33.287 </w:t>
            </w:r>
          </w:p>
        </w:tc>
        <w:tc>
          <w:tcPr>
            <w:tcW w:w="2321" w:type="dxa"/>
            <w:tcBorders>
              <w:top w:val="nil"/>
              <w:left w:val="nil"/>
              <w:bottom w:val="single" w:sz="4" w:space="0" w:color="auto"/>
              <w:right w:val="single" w:sz="4" w:space="0" w:color="auto"/>
            </w:tcBorders>
            <w:shd w:val="clear" w:color="auto" w:fill="auto"/>
            <w:noWrap/>
            <w:vAlign w:val="center"/>
            <w:hideMark/>
          </w:tcPr>
          <w:p w14:paraId="6ED18F9F"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787FB2E1"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4.923 </w:t>
            </w:r>
          </w:p>
        </w:tc>
      </w:tr>
      <w:tr w:rsidR="008946B0" w:rsidRPr="00570786" w14:paraId="6997173F"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1BA1250F"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Gran Productor Industrial </w:t>
            </w:r>
          </w:p>
        </w:tc>
        <w:tc>
          <w:tcPr>
            <w:tcW w:w="2321" w:type="dxa"/>
            <w:tcBorders>
              <w:top w:val="nil"/>
              <w:left w:val="nil"/>
              <w:bottom w:val="single" w:sz="4" w:space="0" w:color="auto"/>
              <w:right w:val="single" w:sz="4" w:space="0" w:color="auto"/>
            </w:tcBorders>
            <w:shd w:val="clear" w:color="auto" w:fill="auto"/>
            <w:noWrap/>
            <w:vAlign w:val="center"/>
            <w:hideMark/>
          </w:tcPr>
          <w:p w14:paraId="101769D9"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6D44628D"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275.756 </w:t>
            </w:r>
          </w:p>
        </w:tc>
        <w:tc>
          <w:tcPr>
            <w:tcW w:w="2321" w:type="dxa"/>
            <w:tcBorders>
              <w:top w:val="nil"/>
              <w:left w:val="nil"/>
              <w:bottom w:val="single" w:sz="4" w:space="0" w:color="auto"/>
              <w:right w:val="single" w:sz="4" w:space="0" w:color="auto"/>
            </w:tcBorders>
            <w:shd w:val="clear" w:color="auto" w:fill="auto"/>
            <w:noWrap/>
            <w:vAlign w:val="center"/>
            <w:hideMark/>
          </w:tcPr>
          <w:p w14:paraId="7385A851"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7.139 </w:t>
            </w:r>
          </w:p>
        </w:tc>
      </w:tr>
      <w:tr w:rsidR="008946B0" w:rsidRPr="00570786" w14:paraId="44C155DF"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6463B469"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Gran Productor Comercial </w:t>
            </w:r>
          </w:p>
        </w:tc>
        <w:tc>
          <w:tcPr>
            <w:tcW w:w="2321" w:type="dxa"/>
            <w:tcBorders>
              <w:top w:val="nil"/>
              <w:left w:val="nil"/>
              <w:bottom w:val="single" w:sz="4" w:space="0" w:color="auto"/>
              <w:right w:val="single" w:sz="4" w:space="0" w:color="auto"/>
            </w:tcBorders>
            <w:shd w:val="clear" w:color="auto" w:fill="auto"/>
            <w:noWrap/>
            <w:vAlign w:val="center"/>
            <w:hideMark/>
          </w:tcPr>
          <w:p w14:paraId="600D08E5"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6F1B107B"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285.265 </w:t>
            </w:r>
          </w:p>
        </w:tc>
        <w:tc>
          <w:tcPr>
            <w:tcW w:w="2321" w:type="dxa"/>
            <w:tcBorders>
              <w:top w:val="nil"/>
              <w:left w:val="nil"/>
              <w:bottom w:val="single" w:sz="4" w:space="0" w:color="auto"/>
              <w:right w:val="single" w:sz="4" w:space="0" w:color="auto"/>
            </w:tcBorders>
            <w:shd w:val="clear" w:color="auto" w:fill="auto"/>
            <w:noWrap/>
            <w:vAlign w:val="center"/>
            <w:hideMark/>
          </w:tcPr>
          <w:p w14:paraId="7C542FF9"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7.385 </w:t>
            </w:r>
          </w:p>
        </w:tc>
      </w:tr>
      <w:tr w:rsidR="008946B0" w:rsidRPr="00570786" w14:paraId="2C96F4EB" w14:textId="77777777" w:rsidTr="008946B0">
        <w:trPr>
          <w:trHeight w:val="19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480833F0" w14:textId="77777777" w:rsidR="008946B0" w:rsidRPr="00570786" w:rsidRDefault="008946B0" w:rsidP="008946B0">
            <w:pP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Gran Productor Oficial </w:t>
            </w:r>
          </w:p>
        </w:tc>
        <w:tc>
          <w:tcPr>
            <w:tcW w:w="2321" w:type="dxa"/>
            <w:tcBorders>
              <w:top w:val="nil"/>
              <w:left w:val="nil"/>
              <w:bottom w:val="single" w:sz="4" w:space="0" w:color="auto"/>
              <w:right w:val="single" w:sz="4" w:space="0" w:color="auto"/>
            </w:tcBorders>
            <w:shd w:val="clear" w:color="auto" w:fill="auto"/>
            <w:noWrap/>
            <w:vAlign w:val="center"/>
            <w:hideMark/>
          </w:tcPr>
          <w:p w14:paraId="7DBD558D"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N/A </w:t>
            </w:r>
          </w:p>
        </w:tc>
        <w:tc>
          <w:tcPr>
            <w:tcW w:w="2321" w:type="dxa"/>
            <w:tcBorders>
              <w:top w:val="nil"/>
              <w:left w:val="nil"/>
              <w:bottom w:val="single" w:sz="4" w:space="0" w:color="auto"/>
              <w:right w:val="single" w:sz="4" w:space="0" w:color="auto"/>
            </w:tcBorders>
            <w:shd w:val="clear" w:color="auto" w:fill="auto"/>
            <w:noWrap/>
            <w:vAlign w:val="center"/>
            <w:hideMark/>
          </w:tcPr>
          <w:p w14:paraId="6387FA7B"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190.176 </w:t>
            </w:r>
          </w:p>
        </w:tc>
        <w:tc>
          <w:tcPr>
            <w:tcW w:w="2321" w:type="dxa"/>
            <w:tcBorders>
              <w:top w:val="nil"/>
              <w:left w:val="nil"/>
              <w:bottom w:val="single" w:sz="4" w:space="0" w:color="auto"/>
              <w:right w:val="single" w:sz="4" w:space="0" w:color="auto"/>
            </w:tcBorders>
            <w:shd w:val="clear" w:color="auto" w:fill="auto"/>
            <w:noWrap/>
            <w:vAlign w:val="center"/>
            <w:hideMark/>
          </w:tcPr>
          <w:p w14:paraId="72A12F0D" w14:textId="77777777" w:rsidR="008946B0" w:rsidRPr="00570786" w:rsidRDefault="008946B0" w:rsidP="008946B0">
            <w:pPr>
              <w:jc w:val="center"/>
              <w:rPr>
                <w:rFonts w:ascii="Verdana" w:eastAsia="Times New Roman" w:hAnsi="Verdana" w:cs="Calibri"/>
                <w:color w:val="000000"/>
                <w:sz w:val="18"/>
                <w:szCs w:val="18"/>
                <w:lang w:val="es-CO" w:eastAsia="es-CO"/>
              </w:rPr>
            </w:pPr>
            <w:r w:rsidRPr="00570786">
              <w:rPr>
                <w:rFonts w:ascii="Verdana" w:eastAsia="Times New Roman" w:hAnsi="Verdana" w:cs="Calibri"/>
                <w:color w:val="000000"/>
                <w:sz w:val="18"/>
                <w:szCs w:val="18"/>
                <w:lang w:val="es-CO" w:eastAsia="es-CO"/>
              </w:rPr>
              <w:t xml:space="preserve">                                           4.923 </w:t>
            </w:r>
          </w:p>
        </w:tc>
      </w:tr>
    </w:tbl>
    <w:p w14:paraId="363EA421" w14:textId="77777777" w:rsidR="00911C69" w:rsidRPr="00433E58" w:rsidRDefault="00911C69" w:rsidP="00911C69">
      <w:pPr>
        <w:contextualSpacing/>
        <w:jc w:val="center"/>
        <w:rPr>
          <w:rFonts w:ascii="Verdana" w:hAnsi="Verdana" w:cs="Arial"/>
          <w:sz w:val="22"/>
          <w:szCs w:val="22"/>
        </w:rPr>
      </w:pPr>
      <w:r w:rsidRPr="00433E58">
        <w:rPr>
          <w:rFonts w:ascii="Verdana" w:hAnsi="Verdana" w:cs="Arial"/>
          <w:sz w:val="16"/>
          <w:szCs w:val="16"/>
        </w:rPr>
        <w:t>Fuente: Página Web de EMSERCOTA.</w:t>
      </w:r>
    </w:p>
    <w:p w14:paraId="1C2B47C7" w14:textId="77777777" w:rsidR="00911C69" w:rsidRPr="006764D4" w:rsidRDefault="00911C69" w:rsidP="00911C69">
      <w:pPr>
        <w:contextualSpacing/>
        <w:jc w:val="both"/>
        <w:rPr>
          <w:rFonts w:ascii="Verdana" w:hAnsi="Verdana" w:cs="Arial"/>
          <w:sz w:val="20"/>
          <w:szCs w:val="20"/>
        </w:rPr>
      </w:pPr>
    </w:p>
    <w:p w14:paraId="436D6334" w14:textId="77777777" w:rsidR="00AB0D36" w:rsidRDefault="00AB0D36" w:rsidP="00911C69">
      <w:pPr>
        <w:contextualSpacing/>
        <w:jc w:val="both"/>
        <w:rPr>
          <w:rFonts w:ascii="Verdana" w:hAnsi="Verdana" w:cs="Arial"/>
          <w:b/>
          <w:sz w:val="22"/>
          <w:szCs w:val="22"/>
        </w:rPr>
      </w:pPr>
    </w:p>
    <w:p w14:paraId="5683876C" w14:textId="77777777" w:rsidR="00AB0D36" w:rsidRDefault="00AB0D36" w:rsidP="00911C69">
      <w:pPr>
        <w:contextualSpacing/>
        <w:jc w:val="both"/>
        <w:rPr>
          <w:rFonts w:ascii="Verdana" w:hAnsi="Verdana" w:cs="Arial"/>
          <w:b/>
          <w:sz w:val="22"/>
          <w:szCs w:val="22"/>
        </w:rPr>
      </w:pPr>
    </w:p>
    <w:p w14:paraId="0EEF29A8" w14:textId="77777777" w:rsidR="00AB0D36" w:rsidRDefault="00AB0D36" w:rsidP="00911C69">
      <w:pPr>
        <w:contextualSpacing/>
        <w:jc w:val="both"/>
        <w:rPr>
          <w:rFonts w:ascii="Verdana" w:hAnsi="Verdana" w:cs="Arial"/>
          <w:b/>
          <w:sz w:val="22"/>
          <w:szCs w:val="22"/>
        </w:rPr>
      </w:pPr>
    </w:p>
    <w:p w14:paraId="081DC955"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3. Aseguramiento de la prestación.</w:t>
      </w:r>
    </w:p>
    <w:p w14:paraId="79C1774D" w14:textId="77777777" w:rsidR="00911C69" w:rsidRPr="00570786" w:rsidRDefault="00911C69" w:rsidP="00911C69">
      <w:pPr>
        <w:contextualSpacing/>
        <w:jc w:val="both"/>
        <w:rPr>
          <w:rFonts w:ascii="Verdana" w:hAnsi="Verdana" w:cs="Arial"/>
          <w:b/>
          <w:sz w:val="22"/>
          <w:szCs w:val="22"/>
        </w:rPr>
      </w:pPr>
    </w:p>
    <w:p w14:paraId="0E0AB25F"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3.1. Otorgamiento de Subsidios.</w:t>
      </w:r>
    </w:p>
    <w:p w14:paraId="4B69A17B" w14:textId="77777777" w:rsidR="00911C69" w:rsidRPr="00570786" w:rsidRDefault="00911C69" w:rsidP="00911C69">
      <w:pPr>
        <w:contextualSpacing/>
        <w:jc w:val="both"/>
        <w:rPr>
          <w:rFonts w:ascii="Verdana" w:hAnsi="Verdana" w:cs="Arial"/>
          <w:sz w:val="22"/>
          <w:szCs w:val="22"/>
        </w:rPr>
      </w:pPr>
    </w:p>
    <w:p w14:paraId="2E64C3A7" w14:textId="77777777" w:rsidR="00911C69" w:rsidRPr="00570786" w:rsidRDefault="00911C69" w:rsidP="00911C69">
      <w:pPr>
        <w:contextualSpacing/>
        <w:jc w:val="both"/>
        <w:rPr>
          <w:rFonts w:ascii="Verdana" w:hAnsi="Verdana" w:cs="Arial"/>
          <w:sz w:val="22"/>
          <w:szCs w:val="22"/>
          <w:lang w:val="es-CO"/>
        </w:rPr>
      </w:pPr>
      <w:r w:rsidRPr="00570786">
        <w:rPr>
          <w:rFonts w:ascii="Verdana" w:hAnsi="Verdana" w:cs="Arial"/>
          <w:sz w:val="22"/>
          <w:szCs w:val="22"/>
        </w:rPr>
        <w:t>El Municipio hizo entrega de copia del Acuerdo No. 017 del 30 de diciembre de 2021 “</w:t>
      </w:r>
      <w:r w:rsidRPr="00570786">
        <w:rPr>
          <w:rFonts w:ascii="Verdana" w:hAnsi="Verdana" w:cs="Arial"/>
          <w:i/>
          <w:iCs/>
          <w:sz w:val="22"/>
          <w:szCs w:val="22"/>
        </w:rPr>
        <w:t>Por medio del cual se establecen y aprueban los porcentajes de subsidios y aportes solidarios para los servicios de acueducto, alcantarillado y aseo del Municipio de Cota</w:t>
      </w:r>
      <w:r w:rsidRPr="00570786">
        <w:rPr>
          <w:rFonts w:ascii="Verdana" w:hAnsi="Verdana" w:cs="Arial"/>
          <w:sz w:val="22"/>
          <w:szCs w:val="22"/>
          <w:lang w:val="es-CO"/>
        </w:rPr>
        <w:t>”.</w:t>
      </w:r>
    </w:p>
    <w:p w14:paraId="6AB29A95" w14:textId="77777777" w:rsidR="00911C69" w:rsidRPr="00570786" w:rsidRDefault="00911C69" w:rsidP="00911C69">
      <w:pPr>
        <w:contextualSpacing/>
        <w:jc w:val="both"/>
        <w:rPr>
          <w:rFonts w:ascii="Verdana" w:hAnsi="Verdana" w:cs="Arial"/>
          <w:sz w:val="22"/>
          <w:szCs w:val="22"/>
          <w:lang w:val="es-CO"/>
        </w:rPr>
      </w:pPr>
    </w:p>
    <w:p w14:paraId="60E139D1" w14:textId="77777777" w:rsidR="00911C69" w:rsidRPr="00570786" w:rsidRDefault="00911C69" w:rsidP="00911C69">
      <w:pPr>
        <w:contextualSpacing/>
        <w:jc w:val="center"/>
        <w:rPr>
          <w:rFonts w:ascii="Verdana" w:hAnsi="Verdana" w:cs="Arial"/>
          <w:sz w:val="22"/>
          <w:szCs w:val="22"/>
        </w:rPr>
      </w:pPr>
      <w:r w:rsidRPr="00570786">
        <w:rPr>
          <w:rFonts w:ascii="Verdana" w:hAnsi="Verdana" w:cs="Arial"/>
          <w:b/>
          <w:sz w:val="22"/>
          <w:szCs w:val="22"/>
        </w:rPr>
        <w:t>Cuadro No. 5</w:t>
      </w:r>
      <w:r w:rsidRPr="00570786">
        <w:rPr>
          <w:rFonts w:ascii="Verdana" w:hAnsi="Verdana" w:cs="Arial"/>
          <w:sz w:val="22"/>
          <w:szCs w:val="22"/>
        </w:rPr>
        <w:t xml:space="preserve"> Porcentajes de Subsidios AAA.</w:t>
      </w:r>
    </w:p>
    <w:tbl>
      <w:tblPr>
        <w:tblW w:w="4946" w:type="dxa"/>
        <w:jc w:val="center"/>
        <w:tblCellMar>
          <w:left w:w="70" w:type="dxa"/>
          <w:right w:w="70" w:type="dxa"/>
        </w:tblCellMar>
        <w:tblLook w:val="04A0" w:firstRow="1" w:lastRow="0" w:firstColumn="1" w:lastColumn="0" w:noHBand="0" w:noVBand="1"/>
      </w:tblPr>
      <w:tblGrid>
        <w:gridCol w:w="868"/>
        <w:gridCol w:w="880"/>
        <w:gridCol w:w="1072"/>
        <w:gridCol w:w="880"/>
        <w:gridCol w:w="1336"/>
        <w:gridCol w:w="630"/>
      </w:tblGrid>
      <w:tr w:rsidR="00911C69" w:rsidRPr="00570786" w14:paraId="25A0D853" w14:textId="77777777" w:rsidTr="00640C2F">
        <w:trPr>
          <w:trHeight w:val="300"/>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3F226"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Estrato</w:t>
            </w: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1D72DE"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Acueducto</w:t>
            </w:r>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CCB167"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Alcantarillado</w:t>
            </w:r>
          </w:p>
        </w:tc>
        <w:tc>
          <w:tcPr>
            <w:tcW w:w="5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E6E78"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Aseo</w:t>
            </w:r>
          </w:p>
        </w:tc>
      </w:tr>
      <w:tr w:rsidR="00911C69" w:rsidRPr="00570786" w14:paraId="77050D70" w14:textId="77777777" w:rsidTr="00640C2F">
        <w:trPr>
          <w:trHeight w:val="615"/>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26979CD4" w14:textId="77777777" w:rsidR="00911C69" w:rsidRPr="00570786" w:rsidRDefault="00911C69" w:rsidP="00640C2F">
            <w:pPr>
              <w:contextualSpacing/>
              <w:jc w:val="center"/>
              <w:rPr>
                <w:rFonts w:ascii="Verdana" w:eastAsia="Times New Roman" w:hAnsi="Verdana" w:cs="Arial"/>
                <w:b/>
                <w:bCs/>
                <w:sz w:val="18"/>
                <w:szCs w:val="18"/>
                <w:lang w:val="es-CO" w:eastAsia="es-CO"/>
              </w:rPr>
            </w:pPr>
          </w:p>
        </w:tc>
        <w:tc>
          <w:tcPr>
            <w:tcW w:w="880" w:type="dxa"/>
            <w:tcBorders>
              <w:top w:val="nil"/>
              <w:left w:val="nil"/>
              <w:bottom w:val="single" w:sz="4" w:space="0" w:color="auto"/>
              <w:right w:val="single" w:sz="4" w:space="0" w:color="auto"/>
            </w:tcBorders>
            <w:shd w:val="clear" w:color="auto" w:fill="auto"/>
            <w:vAlign w:val="center"/>
            <w:hideMark/>
          </w:tcPr>
          <w:p w14:paraId="21683F18"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Cargo Fijo</w:t>
            </w:r>
          </w:p>
        </w:tc>
        <w:tc>
          <w:tcPr>
            <w:tcW w:w="897" w:type="dxa"/>
            <w:tcBorders>
              <w:top w:val="nil"/>
              <w:left w:val="nil"/>
              <w:bottom w:val="single" w:sz="4" w:space="0" w:color="auto"/>
              <w:right w:val="single" w:sz="4" w:space="0" w:color="auto"/>
            </w:tcBorders>
            <w:shd w:val="clear" w:color="auto" w:fill="auto"/>
            <w:vAlign w:val="center"/>
            <w:hideMark/>
          </w:tcPr>
          <w:p w14:paraId="37493989"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Consumo Básico</w:t>
            </w:r>
          </w:p>
        </w:tc>
        <w:tc>
          <w:tcPr>
            <w:tcW w:w="880" w:type="dxa"/>
            <w:tcBorders>
              <w:top w:val="nil"/>
              <w:left w:val="nil"/>
              <w:bottom w:val="single" w:sz="4" w:space="0" w:color="auto"/>
              <w:right w:val="single" w:sz="4" w:space="0" w:color="auto"/>
            </w:tcBorders>
            <w:shd w:val="clear" w:color="auto" w:fill="auto"/>
            <w:vAlign w:val="center"/>
            <w:hideMark/>
          </w:tcPr>
          <w:p w14:paraId="0F3110FE"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Cargo Fijo</w:t>
            </w:r>
          </w:p>
        </w:tc>
        <w:tc>
          <w:tcPr>
            <w:tcW w:w="1043" w:type="dxa"/>
            <w:tcBorders>
              <w:top w:val="nil"/>
              <w:left w:val="nil"/>
              <w:bottom w:val="single" w:sz="4" w:space="0" w:color="auto"/>
              <w:right w:val="single" w:sz="4" w:space="0" w:color="auto"/>
            </w:tcBorders>
            <w:shd w:val="clear" w:color="auto" w:fill="auto"/>
            <w:vAlign w:val="center"/>
            <w:hideMark/>
          </w:tcPr>
          <w:p w14:paraId="68659A0A"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Vertimiento Básico</w:t>
            </w:r>
          </w:p>
        </w:tc>
        <w:tc>
          <w:tcPr>
            <w:tcW w:w="541" w:type="dxa"/>
            <w:vMerge/>
            <w:tcBorders>
              <w:top w:val="single" w:sz="4" w:space="0" w:color="auto"/>
              <w:left w:val="single" w:sz="4" w:space="0" w:color="auto"/>
              <w:bottom w:val="single" w:sz="4" w:space="0" w:color="auto"/>
              <w:right w:val="single" w:sz="4" w:space="0" w:color="auto"/>
            </w:tcBorders>
            <w:vAlign w:val="center"/>
            <w:hideMark/>
          </w:tcPr>
          <w:p w14:paraId="1CD37390" w14:textId="77777777" w:rsidR="00911C69" w:rsidRPr="00570786" w:rsidRDefault="00911C69" w:rsidP="00640C2F">
            <w:pPr>
              <w:contextualSpacing/>
              <w:jc w:val="center"/>
              <w:rPr>
                <w:rFonts w:ascii="Verdana" w:eastAsia="Times New Roman" w:hAnsi="Verdana" w:cs="Arial"/>
                <w:b/>
                <w:bCs/>
                <w:sz w:val="18"/>
                <w:szCs w:val="18"/>
                <w:lang w:val="es-CO" w:eastAsia="es-CO"/>
              </w:rPr>
            </w:pPr>
          </w:p>
        </w:tc>
      </w:tr>
      <w:tr w:rsidR="00911C69" w:rsidRPr="00570786" w14:paraId="24D0915D" w14:textId="77777777" w:rsidTr="00640C2F">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7E16F63"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1</w:t>
            </w:r>
          </w:p>
        </w:tc>
        <w:tc>
          <w:tcPr>
            <w:tcW w:w="880" w:type="dxa"/>
            <w:tcBorders>
              <w:top w:val="nil"/>
              <w:left w:val="nil"/>
              <w:bottom w:val="single" w:sz="4" w:space="0" w:color="auto"/>
              <w:right w:val="single" w:sz="4" w:space="0" w:color="auto"/>
            </w:tcBorders>
            <w:shd w:val="clear" w:color="auto" w:fill="auto"/>
            <w:noWrap/>
            <w:vAlign w:val="bottom"/>
            <w:hideMark/>
          </w:tcPr>
          <w:p w14:paraId="3E7AD972"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70 %</w:t>
            </w:r>
          </w:p>
        </w:tc>
        <w:tc>
          <w:tcPr>
            <w:tcW w:w="897" w:type="dxa"/>
            <w:tcBorders>
              <w:top w:val="nil"/>
              <w:left w:val="nil"/>
              <w:bottom w:val="single" w:sz="4" w:space="0" w:color="auto"/>
              <w:right w:val="single" w:sz="4" w:space="0" w:color="auto"/>
            </w:tcBorders>
            <w:shd w:val="clear" w:color="auto" w:fill="auto"/>
            <w:noWrap/>
            <w:vAlign w:val="bottom"/>
            <w:hideMark/>
          </w:tcPr>
          <w:p w14:paraId="09F4B1E6"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70 %</w:t>
            </w:r>
          </w:p>
        </w:tc>
        <w:tc>
          <w:tcPr>
            <w:tcW w:w="880" w:type="dxa"/>
            <w:tcBorders>
              <w:top w:val="nil"/>
              <w:left w:val="nil"/>
              <w:bottom w:val="single" w:sz="4" w:space="0" w:color="auto"/>
              <w:right w:val="single" w:sz="4" w:space="0" w:color="auto"/>
            </w:tcBorders>
            <w:shd w:val="clear" w:color="auto" w:fill="auto"/>
            <w:noWrap/>
            <w:vAlign w:val="bottom"/>
            <w:hideMark/>
          </w:tcPr>
          <w:p w14:paraId="0B5982F9"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70 %</w:t>
            </w:r>
          </w:p>
        </w:tc>
        <w:tc>
          <w:tcPr>
            <w:tcW w:w="1043" w:type="dxa"/>
            <w:tcBorders>
              <w:top w:val="nil"/>
              <w:left w:val="nil"/>
              <w:bottom w:val="single" w:sz="4" w:space="0" w:color="auto"/>
              <w:right w:val="single" w:sz="4" w:space="0" w:color="auto"/>
            </w:tcBorders>
            <w:shd w:val="clear" w:color="auto" w:fill="auto"/>
            <w:noWrap/>
            <w:vAlign w:val="bottom"/>
            <w:hideMark/>
          </w:tcPr>
          <w:p w14:paraId="040249B3"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70 %</w:t>
            </w:r>
          </w:p>
        </w:tc>
        <w:tc>
          <w:tcPr>
            <w:tcW w:w="541" w:type="dxa"/>
            <w:tcBorders>
              <w:top w:val="nil"/>
              <w:left w:val="nil"/>
              <w:bottom w:val="single" w:sz="4" w:space="0" w:color="auto"/>
              <w:right w:val="single" w:sz="4" w:space="0" w:color="auto"/>
            </w:tcBorders>
            <w:shd w:val="clear" w:color="auto" w:fill="auto"/>
            <w:noWrap/>
            <w:vAlign w:val="bottom"/>
            <w:hideMark/>
          </w:tcPr>
          <w:p w14:paraId="66D21731"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70 %</w:t>
            </w:r>
          </w:p>
        </w:tc>
      </w:tr>
      <w:tr w:rsidR="00911C69" w:rsidRPr="00570786" w14:paraId="4C9FF0F5" w14:textId="77777777" w:rsidTr="00640C2F">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7065591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2</w:t>
            </w:r>
          </w:p>
        </w:tc>
        <w:tc>
          <w:tcPr>
            <w:tcW w:w="880" w:type="dxa"/>
            <w:tcBorders>
              <w:top w:val="nil"/>
              <w:left w:val="nil"/>
              <w:bottom w:val="single" w:sz="4" w:space="0" w:color="auto"/>
              <w:right w:val="single" w:sz="4" w:space="0" w:color="auto"/>
            </w:tcBorders>
            <w:shd w:val="clear" w:color="auto" w:fill="auto"/>
            <w:noWrap/>
            <w:vAlign w:val="bottom"/>
            <w:hideMark/>
          </w:tcPr>
          <w:p w14:paraId="7B181CBF"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40 %</w:t>
            </w:r>
          </w:p>
        </w:tc>
        <w:tc>
          <w:tcPr>
            <w:tcW w:w="897" w:type="dxa"/>
            <w:tcBorders>
              <w:top w:val="nil"/>
              <w:left w:val="nil"/>
              <w:bottom w:val="single" w:sz="4" w:space="0" w:color="auto"/>
              <w:right w:val="single" w:sz="4" w:space="0" w:color="auto"/>
            </w:tcBorders>
            <w:shd w:val="clear" w:color="auto" w:fill="auto"/>
            <w:noWrap/>
            <w:vAlign w:val="bottom"/>
            <w:hideMark/>
          </w:tcPr>
          <w:p w14:paraId="6713D793"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40 %</w:t>
            </w:r>
          </w:p>
        </w:tc>
        <w:tc>
          <w:tcPr>
            <w:tcW w:w="880" w:type="dxa"/>
            <w:tcBorders>
              <w:top w:val="nil"/>
              <w:left w:val="nil"/>
              <w:bottom w:val="single" w:sz="4" w:space="0" w:color="auto"/>
              <w:right w:val="single" w:sz="4" w:space="0" w:color="auto"/>
            </w:tcBorders>
            <w:shd w:val="clear" w:color="auto" w:fill="auto"/>
            <w:noWrap/>
            <w:vAlign w:val="bottom"/>
            <w:hideMark/>
          </w:tcPr>
          <w:p w14:paraId="7F421CE8"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40 %</w:t>
            </w:r>
          </w:p>
        </w:tc>
        <w:tc>
          <w:tcPr>
            <w:tcW w:w="1043" w:type="dxa"/>
            <w:tcBorders>
              <w:top w:val="nil"/>
              <w:left w:val="nil"/>
              <w:bottom w:val="single" w:sz="4" w:space="0" w:color="auto"/>
              <w:right w:val="single" w:sz="4" w:space="0" w:color="auto"/>
            </w:tcBorders>
            <w:shd w:val="clear" w:color="auto" w:fill="auto"/>
            <w:noWrap/>
            <w:vAlign w:val="bottom"/>
            <w:hideMark/>
          </w:tcPr>
          <w:p w14:paraId="265BEFD0"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40 %</w:t>
            </w:r>
          </w:p>
        </w:tc>
        <w:tc>
          <w:tcPr>
            <w:tcW w:w="541" w:type="dxa"/>
            <w:tcBorders>
              <w:top w:val="nil"/>
              <w:left w:val="nil"/>
              <w:bottom w:val="single" w:sz="4" w:space="0" w:color="auto"/>
              <w:right w:val="single" w:sz="4" w:space="0" w:color="auto"/>
            </w:tcBorders>
            <w:shd w:val="clear" w:color="auto" w:fill="auto"/>
            <w:noWrap/>
            <w:vAlign w:val="bottom"/>
            <w:hideMark/>
          </w:tcPr>
          <w:p w14:paraId="300BB809"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40 %</w:t>
            </w:r>
          </w:p>
        </w:tc>
      </w:tr>
      <w:tr w:rsidR="00911C69" w:rsidRPr="00570786" w14:paraId="3C1FFC8A" w14:textId="77777777" w:rsidTr="00640C2F">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EEBCFFB"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3</w:t>
            </w:r>
          </w:p>
        </w:tc>
        <w:tc>
          <w:tcPr>
            <w:tcW w:w="880" w:type="dxa"/>
            <w:tcBorders>
              <w:top w:val="nil"/>
              <w:left w:val="nil"/>
              <w:bottom w:val="single" w:sz="4" w:space="0" w:color="auto"/>
              <w:right w:val="single" w:sz="4" w:space="0" w:color="auto"/>
            </w:tcBorders>
            <w:shd w:val="clear" w:color="auto" w:fill="auto"/>
            <w:noWrap/>
            <w:vAlign w:val="bottom"/>
            <w:hideMark/>
          </w:tcPr>
          <w:p w14:paraId="27969605"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15 %</w:t>
            </w:r>
          </w:p>
        </w:tc>
        <w:tc>
          <w:tcPr>
            <w:tcW w:w="897" w:type="dxa"/>
            <w:tcBorders>
              <w:top w:val="nil"/>
              <w:left w:val="nil"/>
              <w:bottom w:val="single" w:sz="4" w:space="0" w:color="auto"/>
              <w:right w:val="single" w:sz="4" w:space="0" w:color="auto"/>
            </w:tcBorders>
            <w:shd w:val="clear" w:color="auto" w:fill="auto"/>
            <w:noWrap/>
            <w:vAlign w:val="bottom"/>
            <w:hideMark/>
          </w:tcPr>
          <w:p w14:paraId="5705FC61"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15 %</w:t>
            </w:r>
          </w:p>
        </w:tc>
        <w:tc>
          <w:tcPr>
            <w:tcW w:w="880" w:type="dxa"/>
            <w:tcBorders>
              <w:top w:val="nil"/>
              <w:left w:val="nil"/>
              <w:bottom w:val="single" w:sz="4" w:space="0" w:color="auto"/>
              <w:right w:val="single" w:sz="4" w:space="0" w:color="auto"/>
            </w:tcBorders>
            <w:shd w:val="clear" w:color="auto" w:fill="auto"/>
            <w:noWrap/>
            <w:vAlign w:val="bottom"/>
            <w:hideMark/>
          </w:tcPr>
          <w:p w14:paraId="1BB008C8"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15 %</w:t>
            </w:r>
          </w:p>
        </w:tc>
        <w:tc>
          <w:tcPr>
            <w:tcW w:w="1043" w:type="dxa"/>
            <w:tcBorders>
              <w:top w:val="nil"/>
              <w:left w:val="nil"/>
              <w:bottom w:val="single" w:sz="4" w:space="0" w:color="auto"/>
              <w:right w:val="single" w:sz="4" w:space="0" w:color="auto"/>
            </w:tcBorders>
            <w:shd w:val="clear" w:color="auto" w:fill="auto"/>
            <w:noWrap/>
            <w:vAlign w:val="bottom"/>
            <w:hideMark/>
          </w:tcPr>
          <w:p w14:paraId="4B4D9794"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15 %</w:t>
            </w:r>
          </w:p>
        </w:tc>
        <w:tc>
          <w:tcPr>
            <w:tcW w:w="541" w:type="dxa"/>
            <w:tcBorders>
              <w:top w:val="nil"/>
              <w:left w:val="nil"/>
              <w:bottom w:val="single" w:sz="4" w:space="0" w:color="auto"/>
              <w:right w:val="single" w:sz="4" w:space="0" w:color="auto"/>
            </w:tcBorders>
            <w:shd w:val="clear" w:color="auto" w:fill="auto"/>
            <w:noWrap/>
            <w:vAlign w:val="bottom"/>
            <w:hideMark/>
          </w:tcPr>
          <w:p w14:paraId="7ABCE812"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15 %</w:t>
            </w:r>
          </w:p>
        </w:tc>
      </w:tr>
    </w:tbl>
    <w:p w14:paraId="322819AB" w14:textId="77777777" w:rsidR="00911C69" w:rsidRPr="00433E58" w:rsidRDefault="00911C69" w:rsidP="00911C69">
      <w:pPr>
        <w:contextualSpacing/>
        <w:jc w:val="center"/>
        <w:rPr>
          <w:rFonts w:ascii="Verdana" w:hAnsi="Verdana" w:cs="Arial"/>
          <w:sz w:val="16"/>
          <w:szCs w:val="16"/>
        </w:rPr>
      </w:pPr>
      <w:r w:rsidRPr="00433E58">
        <w:rPr>
          <w:rFonts w:ascii="Verdana" w:hAnsi="Verdana" w:cs="Arial"/>
          <w:sz w:val="16"/>
          <w:szCs w:val="16"/>
        </w:rPr>
        <w:t>Fuente: Acuerdo No 017 del 30 de diciembre de 2021.</w:t>
      </w:r>
    </w:p>
    <w:p w14:paraId="476D7F4D" w14:textId="77777777" w:rsidR="00911C69" w:rsidRPr="00433E58" w:rsidRDefault="00911C69" w:rsidP="00911C69">
      <w:pPr>
        <w:contextualSpacing/>
        <w:jc w:val="both"/>
        <w:rPr>
          <w:rFonts w:ascii="Verdana" w:hAnsi="Verdana" w:cs="Arial"/>
          <w:sz w:val="22"/>
          <w:szCs w:val="22"/>
        </w:rPr>
      </w:pPr>
    </w:p>
    <w:p w14:paraId="4EB98011" w14:textId="77777777" w:rsidR="00911C69" w:rsidRPr="00570786" w:rsidRDefault="00911C69" w:rsidP="00911C69">
      <w:pPr>
        <w:contextualSpacing/>
        <w:jc w:val="center"/>
        <w:rPr>
          <w:rFonts w:ascii="Verdana" w:hAnsi="Verdana" w:cs="Arial"/>
          <w:sz w:val="22"/>
          <w:szCs w:val="22"/>
        </w:rPr>
      </w:pPr>
      <w:r w:rsidRPr="00570786">
        <w:rPr>
          <w:rFonts w:ascii="Verdana" w:hAnsi="Verdana" w:cs="Arial"/>
          <w:b/>
          <w:sz w:val="22"/>
          <w:szCs w:val="22"/>
        </w:rPr>
        <w:t>Cuadro No. 6</w:t>
      </w:r>
      <w:r w:rsidRPr="00570786">
        <w:rPr>
          <w:rFonts w:ascii="Verdana" w:hAnsi="Verdana" w:cs="Arial"/>
          <w:sz w:val="22"/>
          <w:szCs w:val="22"/>
        </w:rPr>
        <w:t xml:space="preserve"> Porcentajes de Contribuciones AAA.</w:t>
      </w:r>
    </w:p>
    <w:tbl>
      <w:tblPr>
        <w:tblW w:w="5143" w:type="dxa"/>
        <w:jc w:val="center"/>
        <w:tblCellMar>
          <w:left w:w="70" w:type="dxa"/>
          <w:right w:w="70" w:type="dxa"/>
        </w:tblCellMar>
        <w:tblLook w:val="04A0" w:firstRow="1" w:lastRow="0" w:firstColumn="1" w:lastColumn="0" w:noHBand="0" w:noVBand="1"/>
      </w:tblPr>
      <w:tblGrid>
        <w:gridCol w:w="1035"/>
        <w:gridCol w:w="880"/>
        <w:gridCol w:w="1072"/>
        <w:gridCol w:w="880"/>
        <w:gridCol w:w="1336"/>
        <w:gridCol w:w="630"/>
      </w:tblGrid>
      <w:tr w:rsidR="00911C69" w:rsidRPr="00570786" w14:paraId="7B90BDBA" w14:textId="77777777" w:rsidTr="00640C2F">
        <w:trPr>
          <w:trHeight w:val="510"/>
          <w:tblHeader/>
          <w:jc w:val="center"/>
        </w:trPr>
        <w:tc>
          <w:tcPr>
            <w:tcW w:w="8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72F6E0"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Estrato / Uso</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75BC06"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Acueducto</w:t>
            </w:r>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BB2B6B"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Alcantarillado</w:t>
            </w:r>
          </w:p>
        </w:tc>
        <w:tc>
          <w:tcPr>
            <w:tcW w:w="5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D5773"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Aseo</w:t>
            </w:r>
          </w:p>
        </w:tc>
      </w:tr>
      <w:tr w:rsidR="00911C69" w:rsidRPr="00570786" w14:paraId="58838CB2" w14:textId="77777777" w:rsidTr="00640C2F">
        <w:trPr>
          <w:trHeight w:val="510"/>
          <w:tblHeader/>
          <w:jc w:val="center"/>
        </w:trPr>
        <w:tc>
          <w:tcPr>
            <w:tcW w:w="879" w:type="dxa"/>
            <w:vMerge/>
            <w:tcBorders>
              <w:top w:val="single" w:sz="4" w:space="0" w:color="auto"/>
              <w:left w:val="single" w:sz="4" w:space="0" w:color="auto"/>
              <w:bottom w:val="single" w:sz="4" w:space="0" w:color="000000"/>
              <w:right w:val="single" w:sz="4" w:space="0" w:color="auto"/>
            </w:tcBorders>
            <w:vAlign w:val="center"/>
            <w:hideMark/>
          </w:tcPr>
          <w:p w14:paraId="7ACB7896" w14:textId="77777777" w:rsidR="00911C69" w:rsidRPr="00570786" w:rsidRDefault="00911C69" w:rsidP="00640C2F">
            <w:pPr>
              <w:contextualSpacing/>
              <w:jc w:val="center"/>
              <w:rPr>
                <w:rFonts w:ascii="Verdana" w:eastAsia="Times New Roman" w:hAnsi="Verdana" w:cs="Arial"/>
                <w:b/>
                <w:bCs/>
                <w:sz w:val="18"/>
                <w:szCs w:val="18"/>
                <w:lang w:val="es-CO" w:eastAsia="es-CO"/>
              </w:rPr>
            </w:pPr>
          </w:p>
        </w:tc>
        <w:tc>
          <w:tcPr>
            <w:tcW w:w="880" w:type="dxa"/>
            <w:tcBorders>
              <w:top w:val="nil"/>
              <w:left w:val="nil"/>
              <w:bottom w:val="single" w:sz="4" w:space="0" w:color="auto"/>
              <w:right w:val="single" w:sz="4" w:space="0" w:color="auto"/>
            </w:tcBorders>
            <w:shd w:val="clear" w:color="auto" w:fill="auto"/>
            <w:vAlign w:val="center"/>
            <w:hideMark/>
          </w:tcPr>
          <w:p w14:paraId="6ADE019C"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Cargo Fijo</w:t>
            </w:r>
          </w:p>
        </w:tc>
        <w:tc>
          <w:tcPr>
            <w:tcW w:w="920" w:type="dxa"/>
            <w:tcBorders>
              <w:top w:val="nil"/>
              <w:left w:val="nil"/>
              <w:bottom w:val="single" w:sz="4" w:space="0" w:color="auto"/>
              <w:right w:val="single" w:sz="4" w:space="0" w:color="auto"/>
            </w:tcBorders>
            <w:shd w:val="clear" w:color="auto" w:fill="auto"/>
            <w:vAlign w:val="center"/>
            <w:hideMark/>
          </w:tcPr>
          <w:p w14:paraId="61F0A5E5"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Consumo</w:t>
            </w:r>
          </w:p>
        </w:tc>
        <w:tc>
          <w:tcPr>
            <w:tcW w:w="880" w:type="dxa"/>
            <w:tcBorders>
              <w:top w:val="nil"/>
              <w:left w:val="nil"/>
              <w:bottom w:val="single" w:sz="4" w:space="0" w:color="auto"/>
              <w:right w:val="single" w:sz="4" w:space="0" w:color="auto"/>
            </w:tcBorders>
            <w:shd w:val="clear" w:color="auto" w:fill="auto"/>
            <w:vAlign w:val="center"/>
            <w:hideMark/>
          </w:tcPr>
          <w:p w14:paraId="68193581"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Cargo Fijo</w:t>
            </w:r>
          </w:p>
        </w:tc>
        <w:tc>
          <w:tcPr>
            <w:tcW w:w="1043" w:type="dxa"/>
            <w:tcBorders>
              <w:top w:val="nil"/>
              <w:left w:val="nil"/>
              <w:bottom w:val="single" w:sz="4" w:space="0" w:color="auto"/>
              <w:right w:val="single" w:sz="4" w:space="0" w:color="auto"/>
            </w:tcBorders>
            <w:shd w:val="clear" w:color="auto" w:fill="auto"/>
            <w:vAlign w:val="center"/>
            <w:hideMark/>
          </w:tcPr>
          <w:p w14:paraId="2A26849C" w14:textId="77777777" w:rsidR="00911C69" w:rsidRPr="00570786" w:rsidRDefault="00911C69" w:rsidP="00640C2F">
            <w:pPr>
              <w:contextualSpacing/>
              <w:jc w:val="center"/>
              <w:rPr>
                <w:rFonts w:ascii="Verdana" w:eastAsia="Times New Roman" w:hAnsi="Verdana" w:cs="Arial"/>
                <w:b/>
                <w:bCs/>
                <w:sz w:val="18"/>
                <w:szCs w:val="18"/>
                <w:lang w:val="es-CO" w:eastAsia="es-CO"/>
              </w:rPr>
            </w:pPr>
            <w:r w:rsidRPr="00570786">
              <w:rPr>
                <w:rFonts w:ascii="Verdana" w:eastAsia="Times New Roman" w:hAnsi="Verdana" w:cs="Arial"/>
                <w:b/>
                <w:bCs/>
                <w:sz w:val="18"/>
                <w:szCs w:val="18"/>
                <w:lang w:val="es-CO" w:eastAsia="es-CO"/>
              </w:rPr>
              <w:t>Vertimiento</w:t>
            </w:r>
          </w:p>
        </w:tc>
        <w:tc>
          <w:tcPr>
            <w:tcW w:w="541" w:type="dxa"/>
            <w:vMerge/>
            <w:tcBorders>
              <w:top w:val="single" w:sz="4" w:space="0" w:color="auto"/>
              <w:left w:val="single" w:sz="4" w:space="0" w:color="auto"/>
              <w:bottom w:val="single" w:sz="4" w:space="0" w:color="auto"/>
              <w:right w:val="single" w:sz="4" w:space="0" w:color="auto"/>
            </w:tcBorders>
            <w:vAlign w:val="center"/>
            <w:hideMark/>
          </w:tcPr>
          <w:p w14:paraId="22BA19FC" w14:textId="77777777" w:rsidR="00911C69" w:rsidRPr="00570786" w:rsidRDefault="00911C69" w:rsidP="00640C2F">
            <w:pPr>
              <w:contextualSpacing/>
              <w:jc w:val="center"/>
              <w:rPr>
                <w:rFonts w:ascii="Verdana" w:eastAsia="Times New Roman" w:hAnsi="Verdana" w:cs="Arial"/>
                <w:b/>
                <w:bCs/>
                <w:sz w:val="18"/>
                <w:szCs w:val="18"/>
                <w:lang w:val="es-CO" w:eastAsia="es-CO"/>
              </w:rPr>
            </w:pPr>
          </w:p>
        </w:tc>
      </w:tr>
      <w:tr w:rsidR="00911C69" w:rsidRPr="00570786" w14:paraId="517D9835" w14:textId="77777777" w:rsidTr="00640C2F">
        <w:trPr>
          <w:trHeight w:val="30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14:paraId="49B972B0"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w:t>
            </w:r>
          </w:p>
        </w:tc>
        <w:tc>
          <w:tcPr>
            <w:tcW w:w="880" w:type="dxa"/>
            <w:tcBorders>
              <w:top w:val="nil"/>
              <w:left w:val="nil"/>
              <w:bottom w:val="single" w:sz="4" w:space="0" w:color="auto"/>
              <w:right w:val="single" w:sz="4" w:space="0" w:color="auto"/>
            </w:tcBorders>
            <w:shd w:val="clear" w:color="auto" w:fill="auto"/>
            <w:noWrap/>
            <w:vAlign w:val="bottom"/>
            <w:hideMark/>
          </w:tcPr>
          <w:p w14:paraId="6A71A499"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920" w:type="dxa"/>
            <w:tcBorders>
              <w:top w:val="nil"/>
              <w:left w:val="nil"/>
              <w:bottom w:val="single" w:sz="4" w:space="0" w:color="auto"/>
              <w:right w:val="single" w:sz="4" w:space="0" w:color="auto"/>
            </w:tcBorders>
            <w:shd w:val="clear" w:color="auto" w:fill="auto"/>
            <w:noWrap/>
            <w:vAlign w:val="bottom"/>
            <w:hideMark/>
          </w:tcPr>
          <w:p w14:paraId="24C4798B"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880" w:type="dxa"/>
            <w:tcBorders>
              <w:top w:val="nil"/>
              <w:left w:val="nil"/>
              <w:bottom w:val="single" w:sz="4" w:space="0" w:color="auto"/>
              <w:right w:val="single" w:sz="4" w:space="0" w:color="auto"/>
            </w:tcBorders>
            <w:shd w:val="clear" w:color="auto" w:fill="auto"/>
            <w:noWrap/>
            <w:vAlign w:val="bottom"/>
            <w:hideMark/>
          </w:tcPr>
          <w:p w14:paraId="20779BEB"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1043" w:type="dxa"/>
            <w:tcBorders>
              <w:top w:val="nil"/>
              <w:left w:val="nil"/>
              <w:bottom w:val="single" w:sz="4" w:space="0" w:color="auto"/>
              <w:right w:val="single" w:sz="4" w:space="0" w:color="auto"/>
            </w:tcBorders>
            <w:shd w:val="clear" w:color="auto" w:fill="auto"/>
            <w:noWrap/>
            <w:vAlign w:val="bottom"/>
            <w:hideMark/>
          </w:tcPr>
          <w:p w14:paraId="27A558B8"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541" w:type="dxa"/>
            <w:tcBorders>
              <w:top w:val="nil"/>
              <w:left w:val="nil"/>
              <w:bottom w:val="single" w:sz="4" w:space="0" w:color="auto"/>
              <w:right w:val="single" w:sz="4" w:space="0" w:color="auto"/>
            </w:tcBorders>
            <w:shd w:val="clear" w:color="auto" w:fill="auto"/>
            <w:noWrap/>
            <w:vAlign w:val="bottom"/>
            <w:hideMark/>
          </w:tcPr>
          <w:p w14:paraId="0D49563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r>
      <w:tr w:rsidR="00911C69" w:rsidRPr="00570786" w14:paraId="09F47F81" w14:textId="77777777" w:rsidTr="00640C2F">
        <w:trPr>
          <w:trHeight w:val="30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14:paraId="5A44F860"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6</w:t>
            </w:r>
          </w:p>
        </w:tc>
        <w:tc>
          <w:tcPr>
            <w:tcW w:w="880" w:type="dxa"/>
            <w:tcBorders>
              <w:top w:val="nil"/>
              <w:left w:val="nil"/>
              <w:bottom w:val="single" w:sz="4" w:space="0" w:color="auto"/>
              <w:right w:val="single" w:sz="4" w:space="0" w:color="auto"/>
            </w:tcBorders>
            <w:shd w:val="clear" w:color="auto" w:fill="auto"/>
            <w:noWrap/>
            <w:vAlign w:val="bottom"/>
            <w:hideMark/>
          </w:tcPr>
          <w:p w14:paraId="22F973E3"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60 %</w:t>
            </w:r>
          </w:p>
        </w:tc>
        <w:tc>
          <w:tcPr>
            <w:tcW w:w="920" w:type="dxa"/>
            <w:tcBorders>
              <w:top w:val="nil"/>
              <w:left w:val="nil"/>
              <w:bottom w:val="single" w:sz="4" w:space="0" w:color="auto"/>
              <w:right w:val="single" w:sz="4" w:space="0" w:color="auto"/>
            </w:tcBorders>
            <w:shd w:val="clear" w:color="auto" w:fill="auto"/>
            <w:noWrap/>
            <w:vAlign w:val="bottom"/>
            <w:hideMark/>
          </w:tcPr>
          <w:p w14:paraId="56DF8C5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60 %</w:t>
            </w:r>
          </w:p>
        </w:tc>
        <w:tc>
          <w:tcPr>
            <w:tcW w:w="880" w:type="dxa"/>
            <w:tcBorders>
              <w:top w:val="nil"/>
              <w:left w:val="nil"/>
              <w:bottom w:val="single" w:sz="4" w:space="0" w:color="auto"/>
              <w:right w:val="single" w:sz="4" w:space="0" w:color="auto"/>
            </w:tcBorders>
            <w:shd w:val="clear" w:color="auto" w:fill="auto"/>
            <w:noWrap/>
            <w:vAlign w:val="bottom"/>
            <w:hideMark/>
          </w:tcPr>
          <w:p w14:paraId="59183E12"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60 %</w:t>
            </w:r>
          </w:p>
        </w:tc>
        <w:tc>
          <w:tcPr>
            <w:tcW w:w="1043" w:type="dxa"/>
            <w:tcBorders>
              <w:top w:val="nil"/>
              <w:left w:val="nil"/>
              <w:bottom w:val="single" w:sz="4" w:space="0" w:color="auto"/>
              <w:right w:val="single" w:sz="4" w:space="0" w:color="auto"/>
            </w:tcBorders>
            <w:shd w:val="clear" w:color="auto" w:fill="auto"/>
            <w:noWrap/>
            <w:vAlign w:val="bottom"/>
            <w:hideMark/>
          </w:tcPr>
          <w:p w14:paraId="12122F87"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60 %</w:t>
            </w:r>
          </w:p>
        </w:tc>
        <w:tc>
          <w:tcPr>
            <w:tcW w:w="541" w:type="dxa"/>
            <w:tcBorders>
              <w:top w:val="nil"/>
              <w:left w:val="nil"/>
              <w:bottom w:val="single" w:sz="4" w:space="0" w:color="auto"/>
              <w:right w:val="single" w:sz="4" w:space="0" w:color="auto"/>
            </w:tcBorders>
            <w:shd w:val="clear" w:color="auto" w:fill="auto"/>
            <w:noWrap/>
            <w:vAlign w:val="bottom"/>
            <w:hideMark/>
          </w:tcPr>
          <w:p w14:paraId="5EB6129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60 %</w:t>
            </w:r>
          </w:p>
        </w:tc>
      </w:tr>
      <w:tr w:rsidR="00911C69" w:rsidRPr="00570786" w14:paraId="41534EA0" w14:textId="77777777" w:rsidTr="00640C2F">
        <w:trPr>
          <w:trHeight w:val="30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14:paraId="03CC3E60"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Industrial</w:t>
            </w:r>
          </w:p>
        </w:tc>
        <w:tc>
          <w:tcPr>
            <w:tcW w:w="880" w:type="dxa"/>
            <w:tcBorders>
              <w:top w:val="nil"/>
              <w:left w:val="nil"/>
              <w:bottom w:val="single" w:sz="4" w:space="0" w:color="auto"/>
              <w:right w:val="single" w:sz="4" w:space="0" w:color="auto"/>
            </w:tcBorders>
            <w:shd w:val="clear" w:color="auto" w:fill="auto"/>
            <w:noWrap/>
            <w:vAlign w:val="bottom"/>
            <w:hideMark/>
          </w:tcPr>
          <w:p w14:paraId="4D81996E"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45 %</w:t>
            </w:r>
          </w:p>
        </w:tc>
        <w:tc>
          <w:tcPr>
            <w:tcW w:w="920" w:type="dxa"/>
            <w:tcBorders>
              <w:top w:val="nil"/>
              <w:left w:val="nil"/>
              <w:bottom w:val="single" w:sz="4" w:space="0" w:color="auto"/>
              <w:right w:val="single" w:sz="4" w:space="0" w:color="auto"/>
            </w:tcBorders>
            <w:shd w:val="clear" w:color="auto" w:fill="auto"/>
            <w:noWrap/>
            <w:vAlign w:val="bottom"/>
            <w:hideMark/>
          </w:tcPr>
          <w:p w14:paraId="7FE7DF68"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45 %</w:t>
            </w:r>
          </w:p>
        </w:tc>
        <w:tc>
          <w:tcPr>
            <w:tcW w:w="880" w:type="dxa"/>
            <w:tcBorders>
              <w:top w:val="nil"/>
              <w:left w:val="nil"/>
              <w:bottom w:val="single" w:sz="4" w:space="0" w:color="auto"/>
              <w:right w:val="single" w:sz="4" w:space="0" w:color="auto"/>
            </w:tcBorders>
            <w:shd w:val="clear" w:color="auto" w:fill="auto"/>
            <w:noWrap/>
            <w:vAlign w:val="bottom"/>
            <w:hideMark/>
          </w:tcPr>
          <w:p w14:paraId="7D729FCC"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45 %</w:t>
            </w:r>
          </w:p>
        </w:tc>
        <w:tc>
          <w:tcPr>
            <w:tcW w:w="1043" w:type="dxa"/>
            <w:tcBorders>
              <w:top w:val="nil"/>
              <w:left w:val="nil"/>
              <w:bottom w:val="single" w:sz="4" w:space="0" w:color="auto"/>
              <w:right w:val="single" w:sz="4" w:space="0" w:color="auto"/>
            </w:tcBorders>
            <w:shd w:val="clear" w:color="auto" w:fill="auto"/>
            <w:noWrap/>
            <w:vAlign w:val="bottom"/>
            <w:hideMark/>
          </w:tcPr>
          <w:p w14:paraId="3169619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45 %</w:t>
            </w:r>
          </w:p>
        </w:tc>
        <w:tc>
          <w:tcPr>
            <w:tcW w:w="541" w:type="dxa"/>
            <w:tcBorders>
              <w:top w:val="nil"/>
              <w:left w:val="nil"/>
              <w:bottom w:val="single" w:sz="4" w:space="0" w:color="auto"/>
              <w:right w:val="single" w:sz="4" w:space="0" w:color="auto"/>
            </w:tcBorders>
            <w:shd w:val="clear" w:color="auto" w:fill="auto"/>
            <w:noWrap/>
            <w:vAlign w:val="bottom"/>
            <w:hideMark/>
          </w:tcPr>
          <w:p w14:paraId="32D21A9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45 %</w:t>
            </w:r>
          </w:p>
        </w:tc>
      </w:tr>
      <w:tr w:rsidR="00911C69" w:rsidRPr="00570786" w14:paraId="641CB0C7" w14:textId="77777777" w:rsidTr="00640C2F">
        <w:trPr>
          <w:trHeight w:val="300"/>
          <w:jc w:val="center"/>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14:paraId="33FC314F"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Comercial</w:t>
            </w:r>
          </w:p>
        </w:tc>
        <w:tc>
          <w:tcPr>
            <w:tcW w:w="880" w:type="dxa"/>
            <w:tcBorders>
              <w:top w:val="nil"/>
              <w:left w:val="nil"/>
              <w:bottom w:val="single" w:sz="4" w:space="0" w:color="auto"/>
              <w:right w:val="single" w:sz="4" w:space="0" w:color="auto"/>
            </w:tcBorders>
            <w:shd w:val="clear" w:color="auto" w:fill="auto"/>
            <w:noWrap/>
            <w:vAlign w:val="bottom"/>
            <w:hideMark/>
          </w:tcPr>
          <w:p w14:paraId="6CFC6DBA"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920" w:type="dxa"/>
            <w:tcBorders>
              <w:top w:val="nil"/>
              <w:left w:val="nil"/>
              <w:bottom w:val="single" w:sz="4" w:space="0" w:color="auto"/>
              <w:right w:val="single" w:sz="4" w:space="0" w:color="auto"/>
            </w:tcBorders>
            <w:shd w:val="clear" w:color="auto" w:fill="auto"/>
            <w:noWrap/>
            <w:vAlign w:val="bottom"/>
            <w:hideMark/>
          </w:tcPr>
          <w:p w14:paraId="2B0A6418"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880" w:type="dxa"/>
            <w:tcBorders>
              <w:top w:val="nil"/>
              <w:left w:val="nil"/>
              <w:bottom w:val="single" w:sz="4" w:space="0" w:color="auto"/>
              <w:right w:val="single" w:sz="4" w:space="0" w:color="auto"/>
            </w:tcBorders>
            <w:shd w:val="clear" w:color="auto" w:fill="auto"/>
            <w:noWrap/>
            <w:vAlign w:val="bottom"/>
            <w:hideMark/>
          </w:tcPr>
          <w:p w14:paraId="48AEB95F"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1043" w:type="dxa"/>
            <w:tcBorders>
              <w:top w:val="nil"/>
              <w:left w:val="nil"/>
              <w:bottom w:val="single" w:sz="4" w:space="0" w:color="auto"/>
              <w:right w:val="single" w:sz="4" w:space="0" w:color="auto"/>
            </w:tcBorders>
            <w:shd w:val="clear" w:color="auto" w:fill="auto"/>
            <w:noWrap/>
            <w:vAlign w:val="bottom"/>
            <w:hideMark/>
          </w:tcPr>
          <w:p w14:paraId="720A4461"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c>
          <w:tcPr>
            <w:tcW w:w="541" w:type="dxa"/>
            <w:tcBorders>
              <w:top w:val="nil"/>
              <w:left w:val="nil"/>
              <w:bottom w:val="single" w:sz="4" w:space="0" w:color="auto"/>
              <w:right w:val="single" w:sz="4" w:space="0" w:color="auto"/>
            </w:tcBorders>
            <w:shd w:val="clear" w:color="auto" w:fill="auto"/>
            <w:noWrap/>
            <w:vAlign w:val="bottom"/>
            <w:hideMark/>
          </w:tcPr>
          <w:p w14:paraId="0EEE3966" w14:textId="77777777" w:rsidR="00911C69" w:rsidRPr="00570786" w:rsidRDefault="00911C69" w:rsidP="00640C2F">
            <w:pPr>
              <w:contextualSpacing/>
              <w:jc w:val="center"/>
              <w:rPr>
                <w:rFonts w:ascii="Verdana" w:eastAsia="Times New Roman" w:hAnsi="Verdana" w:cs="Arial"/>
                <w:sz w:val="18"/>
                <w:szCs w:val="18"/>
                <w:lang w:val="es-CO" w:eastAsia="es-CO"/>
              </w:rPr>
            </w:pPr>
            <w:r w:rsidRPr="00570786">
              <w:rPr>
                <w:rFonts w:ascii="Verdana" w:eastAsia="Times New Roman" w:hAnsi="Verdana" w:cs="Arial"/>
                <w:sz w:val="18"/>
                <w:szCs w:val="18"/>
                <w:lang w:val="es-CO" w:eastAsia="es-CO"/>
              </w:rPr>
              <w:t>50 %</w:t>
            </w:r>
          </w:p>
        </w:tc>
      </w:tr>
    </w:tbl>
    <w:p w14:paraId="3BB6C15F" w14:textId="77777777" w:rsidR="00911C69" w:rsidRPr="00433E58" w:rsidRDefault="00911C69" w:rsidP="00911C69">
      <w:pPr>
        <w:contextualSpacing/>
        <w:jc w:val="center"/>
        <w:rPr>
          <w:rFonts w:ascii="Verdana" w:hAnsi="Verdana" w:cs="Arial"/>
          <w:sz w:val="16"/>
          <w:szCs w:val="16"/>
        </w:rPr>
      </w:pPr>
      <w:r w:rsidRPr="00433E58">
        <w:rPr>
          <w:rFonts w:ascii="Verdana" w:hAnsi="Verdana" w:cs="Arial"/>
          <w:sz w:val="16"/>
          <w:szCs w:val="16"/>
        </w:rPr>
        <w:t>Fuente: Acuerdo No 017 del 30 de diciembre de 2021.</w:t>
      </w:r>
    </w:p>
    <w:p w14:paraId="6D2535BF" w14:textId="77777777" w:rsidR="00911C69" w:rsidRPr="00433E58" w:rsidRDefault="00911C69" w:rsidP="00911C69">
      <w:pPr>
        <w:contextualSpacing/>
        <w:jc w:val="both"/>
        <w:rPr>
          <w:rFonts w:ascii="Verdana" w:hAnsi="Verdana" w:cs="Arial"/>
          <w:sz w:val="22"/>
          <w:szCs w:val="22"/>
        </w:rPr>
      </w:pPr>
    </w:p>
    <w:p w14:paraId="478BD13B"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Por otro lado, frente al tema de los convenios de transferencia por concepto de subsidios, por medio de la autorización para pago, previa revisión de las facturas electrónicas que envió el Secretario de Planeación a la Secretaria de Hacienda y a la Tesorera Municipal de los meses de agosto a octubre de 2021, fue posible ver que el funcionario aclar</w:t>
      </w:r>
      <w:r w:rsidR="00EF04C8" w:rsidRPr="00570786">
        <w:rPr>
          <w:rFonts w:ascii="Verdana" w:hAnsi="Verdana" w:cs="Arial"/>
          <w:sz w:val="22"/>
          <w:szCs w:val="22"/>
        </w:rPr>
        <w:t>a</w:t>
      </w:r>
      <w:r w:rsidRPr="00570786">
        <w:rPr>
          <w:rFonts w:ascii="Verdana" w:hAnsi="Verdana" w:cs="Arial"/>
          <w:sz w:val="22"/>
          <w:szCs w:val="22"/>
        </w:rPr>
        <w:t xml:space="preserve"> “</w:t>
      </w:r>
      <w:r w:rsidRPr="00570786">
        <w:rPr>
          <w:rFonts w:ascii="Verdana" w:hAnsi="Verdana" w:cs="Arial"/>
          <w:i/>
          <w:iCs/>
          <w:sz w:val="22"/>
          <w:szCs w:val="22"/>
        </w:rPr>
        <w:t>que hoy no existe convenio o resolución alguna, sin embargo, el último que se realizó fue el Convenio 008 de 2016 (AUNAR ESFUERZOS INSTITUCIONALES Y ECONÓMICOS Y FINANCIEROS PARA LA TRANSFERENCIA DE LOS RECURSOS DEL MUNICIPIO DE COTA – CUNDINAMARCA A LA EMPRESA DE SERVICIOS PÚBLICOS DE COTA EMSERCOTA S.A. E.S.P. CON DESEMBOLSO DE LOS RECURSOS QUE SE APROPIEN, DESTINADOS A SUBSIDIAR LA DEMANDA DEL SERVICIO DE ASEO, ACUEDUCTO Y ALCANTARILLADO DE LA CABECERA MUNICIPAL PARA LOS USUARIOS DE LOS ESTRATOS 1, 2 Y 3)</w:t>
      </w:r>
      <w:r w:rsidRPr="00570786">
        <w:rPr>
          <w:rFonts w:ascii="Verdana" w:hAnsi="Verdana" w:cs="Arial"/>
          <w:sz w:val="22"/>
          <w:szCs w:val="22"/>
        </w:rPr>
        <w:t xml:space="preserve">”; sin embargo, </w:t>
      </w:r>
      <w:bookmarkStart w:id="0" w:name="_Hlk113544278"/>
      <w:r w:rsidRPr="00570786">
        <w:rPr>
          <w:rFonts w:ascii="Verdana" w:hAnsi="Verdana" w:cs="Arial"/>
          <w:sz w:val="22"/>
          <w:szCs w:val="22"/>
        </w:rPr>
        <w:t>a través del SECOP y a partir de la información entregada por la Entidad Territorial se pudo observar que el último Convenio para la transferencia de subsidios suscrito entre el Municipio de Cota – Cundinamarca y la empresa EMSERCOTA S.A. E.S.P. es el Convenio No. 722 del 26 de marzo de 2019, por un valor de $306 millones, de los cuales, $125 correspondieron a SGP – APSB. Así mismo, cabe resaltar que no se remitieron convenios de transferencia por concepto de subsidios, ni facturas de otros operadores.</w:t>
      </w:r>
    </w:p>
    <w:bookmarkEnd w:id="0"/>
    <w:p w14:paraId="59E68D30" w14:textId="77777777" w:rsidR="00911C69" w:rsidRPr="00570786" w:rsidRDefault="00911C69" w:rsidP="00911C69">
      <w:pPr>
        <w:contextualSpacing/>
        <w:jc w:val="both"/>
        <w:rPr>
          <w:rFonts w:ascii="Verdana" w:hAnsi="Verdana" w:cs="Arial"/>
          <w:sz w:val="22"/>
          <w:szCs w:val="22"/>
        </w:rPr>
      </w:pPr>
    </w:p>
    <w:p w14:paraId="7CC35296"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lastRenderedPageBreak/>
        <w:t>Igualmente, a través de la información entregada por el Municipio se pudo conocer el Convenio Interadministrativo No. 005 de 2020, el cual tenía como objeto la transferencia de recursos relacionados con el pago de las facturas a los usuarios de los estratos 1, 2 y 3 de los Servicios Públicos de Acueducto, Alcantarillado y Aseo por causa del COVID-19; el cual, no fue financiado con recursos de la participación para APSB del SGP.</w:t>
      </w:r>
    </w:p>
    <w:p w14:paraId="6C4430C3" w14:textId="77777777" w:rsidR="00911C69" w:rsidRPr="00570786" w:rsidRDefault="00911C69" w:rsidP="00911C69">
      <w:pPr>
        <w:contextualSpacing/>
        <w:jc w:val="both"/>
        <w:rPr>
          <w:rFonts w:ascii="Verdana" w:hAnsi="Verdana" w:cs="Arial"/>
          <w:sz w:val="22"/>
          <w:szCs w:val="22"/>
        </w:rPr>
      </w:pPr>
    </w:p>
    <w:p w14:paraId="0F0F94D1" w14:textId="77777777" w:rsidR="00911C69" w:rsidRPr="00570786" w:rsidRDefault="00911C69" w:rsidP="00911C69">
      <w:pPr>
        <w:autoSpaceDE w:val="0"/>
        <w:autoSpaceDN w:val="0"/>
        <w:adjustRightInd w:val="0"/>
        <w:contextualSpacing/>
        <w:jc w:val="both"/>
        <w:rPr>
          <w:rFonts w:ascii="Verdana" w:hAnsi="Verdana" w:cs="Arial"/>
          <w:sz w:val="22"/>
          <w:szCs w:val="22"/>
        </w:rPr>
      </w:pPr>
      <w:r w:rsidRPr="00570786">
        <w:rPr>
          <w:rFonts w:ascii="Verdana" w:hAnsi="Verdana" w:cs="Arial"/>
          <w:sz w:val="22"/>
          <w:szCs w:val="22"/>
        </w:rPr>
        <w:t xml:space="preserve">Así mismo, es importante señalar que por medio de la información entregada se pudo ver que </w:t>
      </w:r>
      <w:bookmarkStart w:id="1" w:name="_Hlk113544951"/>
      <w:r w:rsidRPr="00570786">
        <w:rPr>
          <w:rFonts w:ascii="Verdana" w:hAnsi="Verdana" w:cs="Arial"/>
          <w:sz w:val="22"/>
          <w:szCs w:val="22"/>
        </w:rPr>
        <w:t>el Municipio de Cota suscribió el Convenio No. 747 de 2019, cuyo objeto consistió en la “</w:t>
      </w:r>
      <w:r w:rsidRPr="00570786">
        <w:rPr>
          <w:rFonts w:ascii="Verdana" w:hAnsi="Verdana" w:cs="Arial"/>
          <w:i/>
          <w:iCs/>
          <w:sz w:val="22"/>
          <w:szCs w:val="22"/>
        </w:rPr>
        <w:t xml:space="preserve">Transferencia de los recursos del Municipio de Cota – Cundinamarca a la Empresa de Servicios Públicos de Cota </w:t>
      </w:r>
      <w:proofErr w:type="spellStart"/>
      <w:r w:rsidRPr="00570786">
        <w:rPr>
          <w:rFonts w:ascii="Verdana" w:hAnsi="Verdana" w:cs="Arial"/>
          <w:i/>
          <w:iCs/>
          <w:sz w:val="22"/>
          <w:szCs w:val="22"/>
        </w:rPr>
        <w:t>Emsercota</w:t>
      </w:r>
      <w:proofErr w:type="spellEnd"/>
      <w:r w:rsidRPr="00570786">
        <w:rPr>
          <w:rFonts w:ascii="Verdana" w:hAnsi="Verdana" w:cs="Arial"/>
          <w:i/>
          <w:iCs/>
          <w:sz w:val="22"/>
          <w:szCs w:val="22"/>
        </w:rPr>
        <w:t xml:space="preserve"> S.A. E.S.P., con desembolso de los recursos que se apropien, destinados a subsidiar las conexiones domiciliarias del servicio de aseo, acueducto y alcantarillado en la cabecera Municipal</w:t>
      </w:r>
      <w:r w:rsidRPr="00570786">
        <w:rPr>
          <w:rFonts w:ascii="Verdana" w:hAnsi="Verdana" w:cs="Arial"/>
          <w:sz w:val="22"/>
          <w:szCs w:val="22"/>
        </w:rPr>
        <w:t>”, por valor de $9.953 millones, convenio en el que se invirtieron recursos, tal como indica el correspondiente CDP y RP, que tenían como fuente las transferencias realizadas por la empresa Aguas de la Sabana S.A. E.S.P. por los Servicios de Acueducto, Alcantarillado y Aseo, rendimientos financieros del Fondo de Solidaridad y Redistribución de Ingresos del Servicio de Aseo y recursos de la Participación para Agua Potable y Saneamiento Básico del Sistema General de Participaciones.</w:t>
      </w:r>
      <w:bookmarkEnd w:id="1"/>
    </w:p>
    <w:p w14:paraId="63CCBFA9" w14:textId="77777777" w:rsidR="00911C69" w:rsidRPr="00570786" w:rsidRDefault="00911C69" w:rsidP="00911C69">
      <w:pPr>
        <w:autoSpaceDE w:val="0"/>
        <w:autoSpaceDN w:val="0"/>
        <w:adjustRightInd w:val="0"/>
        <w:contextualSpacing/>
        <w:jc w:val="both"/>
        <w:rPr>
          <w:rFonts w:ascii="Verdana" w:hAnsi="Verdana" w:cs="Arial"/>
          <w:sz w:val="22"/>
          <w:szCs w:val="22"/>
        </w:rPr>
      </w:pPr>
    </w:p>
    <w:p w14:paraId="40E196E7" w14:textId="77777777" w:rsidR="00911C69" w:rsidRPr="00570786" w:rsidRDefault="00911C69" w:rsidP="00911C69">
      <w:pPr>
        <w:autoSpaceDE w:val="0"/>
        <w:autoSpaceDN w:val="0"/>
        <w:adjustRightInd w:val="0"/>
        <w:contextualSpacing/>
        <w:jc w:val="both"/>
        <w:rPr>
          <w:rFonts w:ascii="Verdana" w:hAnsi="Verdana" w:cs="Arial"/>
          <w:sz w:val="22"/>
          <w:szCs w:val="22"/>
        </w:rPr>
      </w:pPr>
      <w:r w:rsidRPr="00570786">
        <w:rPr>
          <w:rFonts w:ascii="Verdana" w:hAnsi="Verdana" w:cs="Arial"/>
          <w:sz w:val="22"/>
          <w:szCs w:val="22"/>
        </w:rPr>
        <w:t>Sin embargo, cabe mencionar que en la ejecución presupuestal de ingresos de la vigencia 2019 se encontró un rubro que el Municipio denominó “</w:t>
      </w:r>
      <w:r w:rsidRPr="00570786">
        <w:rPr>
          <w:rFonts w:ascii="Verdana" w:hAnsi="Verdana" w:cs="Arial"/>
          <w:i/>
          <w:iCs/>
          <w:sz w:val="22"/>
          <w:szCs w:val="22"/>
        </w:rPr>
        <w:t>EXCEDENTES FONDO DE SOLIDARIDAD Y REDISTRIBUCIÓN DE INGRESOS</w:t>
      </w:r>
      <w:r w:rsidRPr="00570786">
        <w:rPr>
          <w:rFonts w:ascii="Verdana" w:hAnsi="Verdana" w:cs="Arial"/>
          <w:sz w:val="22"/>
          <w:szCs w:val="22"/>
        </w:rPr>
        <w:t xml:space="preserve">”, que mostró una apropiación definitiva y un recaudo por valor de $10.124 millones, que tenía como fuente las transferencias de la Empresa Aguas de la Sabana de Bogotá S.A. E.S.P. por los Servicios de Acueducto, Alcantarillado y Aseo y, que tal como se pudo constatar a través de la ejecución presupuestal de gastos de la misma vigencia, eran el 72,35 %, de los recursos que aparecían discriminados en el Registro Presupuestal del Convenio No. 747 de 2019; no obstante, es importante señalar que si esos excedentes corresponden al superávit en los FSRI por concepto de aportes solidarios, había que tener en cuenta lo establecido en el </w:t>
      </w:r>
      <w:bookmarkStart w:id="2" w:name="2.3.4.1.4.15"/>
      <w:r w:rsidRPr="00570786">
        <w:rPr>
          <w:rFonts w:ascii="Verdana" w:hAnsi="Verdana" w:cs="Arial"/>
          <w:bCs/>
          <w:sz w:val="22"/>
          <w:szCs w:val="22"/>
        </w:rPr>
        <w:t>artículo 2.3.4.1.4.15.</w:t>
      </w:r>
      <w:bookmarkEnd w:id="2"/>
      <w:r w:rsidRPr="00570786">
        <w:rPr>
          <w:rFonts w:ascii="Verdana" w:hAnsi="Verdana" w:cs="Arial"/>
          <w:bCs/>
          <w:sz w:val="22"/>
          <w:szCs w:val="22"/>
        </w:rPr>
        <w:t xml:space="preserve"> del Decreto 1077 de 2015, el cual indica que </w:t>
      </w:r>
      <w:r w:rsidRPr="00570786">
        <w:rPr>
          <w:rFonts w:ascii="Verdana" w:hAnsi="Verdana" w:cs="Arial"/>
          <w:sz w:val="22"/>
          <w:szCs w:val="22"/>
        </w:rPr>
        <w:t>“</w:t>
      </w:r>
      <w:r w:rsidRPr="00570786">
        <w:rPr>
          <w:rFonts w:ascii="Verdana" w:hAnsi="Verdana" w:cs="Arial"/>
          <w:i/>
          <w:iCs/>
          <w:sz w:val="22"/>
          <w:szCs w:val="22"/>
        </w:rPr>
        <w:t>Los superávits en los Fondos de Solidaridad y Redistribución de Ingresos por concepto de aportes solidarios, serán destinados exclusivamente a cubrir los déficits en subsidios</w:t>
      </w:r>
      <w:r w:rsidRPr="00570786">
        <w:rPr>
          <w:rFonts w:ascii="Verdana" w:hAnsi="Verdana" w:cs="Arial"/>
          <w:sz w:val="22"/>
          <w:szCs w:val="22"/>
        </w:rPr>
        <w:t xml:space="preserve">”; es decir, que con esos recursos sólo se debía cubrir el resultado negativo del cruce entre subsidios y aportes solidarios que realizan las entidades prestadoras de los servicios públicos domiciliarios mensual o bimensualmente (según su periodo de facturación) por la prestación de los servicios, no los cargos por aportes de conexión domiciliaria (incluyendo la acometida y el medidor de los estratos 1, 2 y 3, ya que, si bien, el artículo 2.3.4.1.1.3. del Decreto 1077 de 2015 menciona que estos son objeto de subsidio, este concepto no correspondía a un déficit por subsidios y, por tanto, no se debía financiar con los recursos de superávit en el Fondo de Solidaridad y Redistribución de Ingresos por </w:t>
      </w:r>
      <w:r w:rsidRPr="00570786">
        <w:rPr>
          <w:rFonts w:ascii="Verdana" w:hAnsi="Verdana" w:cs="Arial"/>
          <w:sz w:val="22"/>
          <w:szCs w:val="22"/>
        </w:rPr>
        <w:lastRenderedPageBreak/>
        <w:t>concepto de aportes solidarios, ni la adición y prórroga del Convenio No. 747 de 2019 celebrada en la vigencia 2021.</w:t>
      </w:r>
    </w:p>
    <w:p w14:paraId="2966F3F6" w14:textId="77777777" w:rsidR="00911C69" w:rsidRPr="00570786" w:rsidRDefault="00911C69" w:rsidP="00911C69">
      <w:pPr>
        <w:autoSpaceDE w:val="0"/>
        <w:autoSpaceDN w:val="0"/>
        <w:adjustRightInd w:val="0"/>
        <w:contextualSpacing/>
        <w:jc w:val="both"/>
        <w:rPr>
          <w:rFonts w:ascii="Verdana" w:hAnsi="Verdana" w:cs="Arial"/>
          <w:sz w:val="22"/>
          <w:szCs w:val="22"/>
        </w:rPr>
      </w:pPr>
    </w:p>
    <w:p w14:paraId="6DA9E840" w14:textId="77777777" w:rsidR="00911C69" w:rsidRPr="00570786" w:rsidRDefault="00911C69" w:rsidP="00911C69">
      <w:pPr>
        <w:autoSpaceDE w:val="0"/>
        <w:autoSpaceDN w:val="0"/>
        <w:adjustRightInd w:val="0"/>
        <w:contextualSpacing/>
        <w:jc w:val="both"/>
        <w:rPr>
          <w:rFonts w:ascii="Verdana" w:hAnsi="Verdana" w:cs="Arial"/>
          <w:sz w:val="22"/>
          <w:szCs w:val="22"/>
          <w:lang w:val="es-CO" w:eastAsia="en-US"/>
        </w:rPr>
      </w:pPr>
      <w:r w:rsidRPr="00570786">
        <w:rPr>
          <w:rFonts w:ascii="Verdana" w:hAnsi="Verdana" w:cs="Arial"/>
          <w:sz w:val="22"/>
          <w:szCs w:val="22"/>
        </w:rPr>
        <w:t xml:space="preserve">Con respecto al objeto del Convenio No. 747 de 2019 cabe indicar que si bien </w:t>
      </w:r>
      <w:r w:rsidRPr="00570786">
        <w:rPr>
          <w:rFonts w:ascii="Verdana" w:hAnsi="Verdana" w:cs="Arial"/>
          <w:sz w:val="22"/>
          <w:szCs w:val="22"/>
          <w:lang w:val="es-CO" w:eastAsia="en-US"/>
        </w:rPr>
        <w:t>la Ley 142 de 1994</w:t>
      </w:r>
      <w:r w:rsidRPr="00570786">
        <w:rPr>
          <w:rFonts w:ascii="Verdana" w:hAnsi="Verdana" w:cs="Arial"/>
          <w:sz w:val="22"/>
          <w:szCs w:val="22"/>
        </w:rPr>
        <w:t xml:space="preserve"> permitió </w:t>
      </w:r>
      <w:r w:rsidRPr="00570786">
        <w:rPr>
          <w:rFonts w:ascii="Verdana" w:hAnsi="Verdana" w:cs="Arial"/>
          <w:sz w:val="22"/>
          <w:szCs w:val="22"/>
          <w:lang w:val="es-CO" w:eastAsia="en-US"/>
        </w:rPr>
        <w:t xml:space="preserve">el subsidio por parte de la entidad territorial con cargo al presupuesto municipal del aporte por conexión por una sola vez, la Ley 1176 de 2007 limitó el uso de la fuente (SGP-APSB) únicamente para el pago de micromedidor en el marco de un programa de </w:t>
      </w:r>
      <w:proofErr w:type="spellStart"/>
      <w:r w:rsidRPr="00570786">
        <w:rPr>
          <w:rFonts w:ascii="Verdana" w:hAnsi="Verdana" w:cs="Arial"/>
          <w:sz w:val="22"/>
          <w:szCs w:val="22"/>
          <w:lang w:val="es-CO" w:eastAsia="en-US"/>
        </w:rPr>
        <w:t>micromedición</w:t>
      </w:r>
      <w:proofErr w:type="spellEnd"/>
      <w:r w:rsidRPr="00570786">
        <w:rPr>
          <w:rFonts w:ascii="Verdana" w:hAnsi="Verdana" w:cs="Arial"/>
          <w:sz w:val="22"/>
          <w:szCs w:val="22"/>
          <w:lang w:val="es-CO" w:eastAsia="en-US"/>
        </w:rPr>
        <w:t xml:space="preserve">, teniendo en cuenta varias consideraciones, entre las que se encuentra que la compra e instalación de micromedidores sea por primera vez para los estratos subsidiables de conformidad con lo señalado en el artículo 97 de la Ley 142 de 1994, siempre y cuando la continuidad del servicio de acueducto garantice su funcionamiento y se cumpla con las características técnicas establecidas en la reglamentación para su instalación, sin embargo, a través del Informe de Gestión 2018 - 2020 presentado por el cambio de Gerencia de EMSERCOTA S.A. E.S.P. encontrado en la página web de la Empresa, se pudo conocer que en el marco del Plan masivo de conexiones domiciliarias de los servicios de acueducto, alcantarillado y aseo en el Municipio de Cota – FASE I y II, los usuarios de los estratos residenciales de los estratos 1, 2 y 3 fueron beneficiados con cambio de medidor e instalaciones con nuevas tecnologías (telemetría), lo cual muestra que no hubo una compra e instalación de medidores por primera vez, razón por la cual, estos no podían ser financiados con los recursos de la participación para APSB del Sistema General de Participaciones. </w:t>
      </w:r>
    </w:p>
    <w:p w14:paraId="2A3FCED2" w14:textId="77777777" w:rsidR="00911C69" w:rsidRPr="00570786" w:rsidRDefault="00911C69" w:rsidP="00911C69">
      <w:pPr>
        <w:autoSpaceDE w:val="0"/>
        <w:autoSpaceDN w:val="0"/>
        <w:adjustRightInd w:val="0"/>
        <w:contextualSpacing/>
        <w:jc w:val="both"/>
        <w:rPr>
          <w:rFonts w:ascii="Verdana" w:hAnsi="Verdana" w:cs="Arial"/>
          <w:sz w:val="22"/>
          <w:szCs w:val="22"/>
        </w:rPr>
      </w:pPr>
    </w:p>
    <w:p w14:paraId="6CEE1398" w14:textId="77777777" w:rsidR="00911C69" w:rsidRPr="00570786" w:rsidRDefault="00911C69" w:rsidP="00911C69">
      <w:pPr>
        <w:spacing w:after="160" w:line="259" w:lineRule="auto"/>
        <w:jc w:val="both"/>
        <w:rPr>
          <w:rFonts w:ascii="Verdana" w:hAnsi="Verdana" w:cs="Arial"/>
          <w:sz w:val="22"/>
          <w:szCs w:val="22"/>
          <w:lang w:val="es-CO" w:eastAsia="en-US"/>
        </w:rPr>
      </w:pPr>
      <w:r w:rsidRPr="00570786">
        <w:rPr>
          <w:rFonts w:ascii="Verdana" w:hAnsi="Verdana" w:cs="Arial"/>
          <w:sz w:val="22"/>
          <w:szCs w:val="22"/>
          <w:lang w:val="es-CO" w:eastAsia="en-US"/>
        </w:rPr>
        <w:t xml:space="preserve">Igualmente, es importante mencionar que dado que el objeto del Convenio No. 747 de 2019 hace referencia </w:t>
      </w:r>
      <w:r w:rsidRPr="00570786">
        <w:rPr>
          <w:rFonts w:ascii="Verdana" w:hAnsi="Verdana" w:cs="Arial"/>
          <w:sz w:val="22"/>
          <w:szCs w:val="22"/>
        </w:rPr>
        <w:t xml:space="preserve">a una transferencia destinada a subsidiar unas conexiones domiciliarias del servicio de aseo y que sólo existen las conexiones domiciliarias para el servicio de acueducto y alcantarillado, se solicitó información al Municipio que permitiera conocer qué se financió con ese rubro, razón por la cual, la Entidad Territorial remitió tres </w:t>
      </w:r>
      <w:r w:rsidRPr="00570786">
        <w:rPr>
          <w:rFonts w:ascii="Verdana" w:hAnsi="Verdana" w:cs="Arial"/>
          <w:sz w:val="22"/>
          <w:szCs w:val="22"/>
          <w:lang w:val="es-CO" w:eastAsia="en-US"/>
        </w:rPr>
        <w:t xml:space="preserve">informes de la Empresa EMSERCOTA S.A. E.S.P. realizados en el marco de la supervisión general del contrato del Plan masivo de conexiones domiciliarias de los servicios de acueducto, alcantarillado y aseo en el Municipio de Cota – FASE I y II, correspondiente a los meses de mayo a julio de 2022, los cuales mencionan que </w:t>
      </w:r>
      <w:r w:rsidRPr="00570786">
        <w:rPr>
          <w:rFonts w:ascii="Verdana" w:hAnsi="Verdana" w:cs="Arial"/>
          <w:i/>
          <w:iCs/>
          <w:sz w:val="22"/>
          <w:szCs w:val="22"/>
          <w:lang w:val="es-CO" w:eastAsia="en-US"/>
        </w:rPr>
        <w:t xml:space="preserve">“Para las conexiones domiciliarias de aseo, </w:t>
      </w:r>
      <w:r w:rsidRPr="00570786">
        <w:rPr>
          <w:rFonts w:ascii="Verdana" w:hAnsi="Verdana" w:cs="Arial"/>
          <w:i/>
          <w:iCs/>
          <w:sz w:val="22"/>
          <w:szCs w:val="22"/>
        </w:rPr>
        <w:t xml:space="preserve">serán entregados contenedores de 35 litros a los usuarios, que les permitirán realizar una adecuada separación en la fuente de los residuos sólidos que producen en cada hogar, al momento de la entrega, el usuario recibe una sensibilización para el adecuado uso de los contenedores.”, </w:t>
      </w:r>
      <w:r w:rsidRPr="00570786">
        <w:rPr>
          <w:rFonts w:ascii="Verdana" w:hAnsi="Verdana" w:cs="Arial"/>
          <w:sz w:val="22"/>
          <w:szCs w:val="22"/>
        </w:rPr>
        <w:t>no obstante,</w:t>
      </w:r>
      <w:r w:rsidRPr="00570786">
        <w:rPr>
          <w:rFonts w:ascii="Verdana" w:hAnsi="Verdana" w:cs="Arial"/>
          <w:i/>
          <w:iCs/>
          <w:sz w:val="22"/>
          <w:szCs w:val="22"/>
        </w:rPr>
        <w:t xml:space="preserve"> </w:t>
      </w:r>
      <w:r w:rsidRPr="00570786">
        <w:rPr>
          <w:rFonts w:ascii="Verdana" w:hAnsi="Verdana" w:cs="Arial"/>
          <w:sz w:val="22"/>
          <w:szCs w:val="22"/>
          <w:lang w:val="es-CO" w:eastAsia="en-US"/>
        </w:rPr>
        <w:t xml:space="preserve">es importante indicar que la compra y entrega de contenedores para la separación de residuos </w:t>
      </w:r>
      <w:proofErr w:type="spellStart"/>
      <w:r w:rsidRPr="00570786">
        <w:rPr>
          <w:rFonts w:ascii="Verdana" w:hAnsi="Verdana" w:cs="Arial"/>
          <w:sz w:val="22"/>
          <w:szCs w:val="22"/>
          <w:lang w:val="es-CO" w:eastAsia="en-US"/>
        </w:rPr>
        <w:t>só</w:t>
      </w:r>
      <w:r w:rsidRPr="00570786">
        <w:rPr>
          <w:rFonts w:ascii="Verdana" w:hAnsi="Verdana" w:cs="Arial"/>
          <w:sz w:val="22"/>
          <w:szCs w:val="22"/>
        </w:rPr>
        <w:t>lidos</w:t>
      </w:r>
      <w:proofErr w:type="spellEnd"/>
      <w:r w:rsidRPr="00570786">
        <w:rPr>
          <w:rFonts w:ascii="Verdana" w:hAnsi="Verdana" w:cs="Arial"/>
          <w:sz w:val="22"/>
          <w:szCs w:val="22"/>
        </w:rPr>
        <w:t xml:space="preserve"> no es una actividad elegible como objeto de gasto con recursos de la Participación de Agua Potable y Saneamiento </w:t>
      </w:r>
      <w:r w:rsidRPr="00570786">
        <w:rPr>
          <w:rFonts w:ascii="Verdana" w:hAnsi="Verdana" w:cs="Arial"/>
          <w:sz w:val="22"/>
          <w:szCs w:val="22"/>
        </w:rPr>
        <w:lastRenderedPageBreak/>
        <w:t>Básico del Sistema General de Participaciones de acuerdo al artículo 11 de la Ley 1176 de 2007.</w:t>
      </w:r>
    </w:p>
    <w:p w14:paraId="0472AF19" w14:textId="77777777" w:rsidR="00911C69" w:rsidRPr="00570786" w:rsidRDefault="00911C69" w:rsidP="00911C69">
      <w:pPr>
        <w:contextualSpacing/>
        <w:jc w:val="both"/>
        <w:rPr>
          <w:rFonts w:ascii="Verdana" w:hAnsi="Verdana" w:cs="Arial"/>
          <w:noProof/>
          <w:sz w:val="22"/>
          <w:szCs w:val="22"/>
        </w:rPr>
      </w:pPr>
      <w:r w:rsidRPr="00570786">
        <w:rPr>
          <w:rFonts w:ascii="Verdana" w:hAnsi="Verdana" w:cs="Arial"/>
          <w:noProof/>
          <w:sz w:val="22"/>
          <w:szCs w:val="22"/>
        </w:rPr>
        <w:t>Por otro lado, frente a la verificación a las facturas que por concepto de subsidios presentan las empresas prestadoras de los servicios públicos al Municipio, este envió un oficio a través del cual, el Secretario de Planeación Municipal le responde a la Secretaria de Hacienda que esa dependencia revisa la apropiación realizada con base en la proyección que envía la Empresa EMSERCOTA S.A. E.S.P. en julio (aplicación de la metodología de equilibrio), que realiza la verificación de los valores solicitados y aplicados a los usuarios del Municipio de Cota en las facturas de cobro de los servicios públicos y con la validación del visto bueno del revisor fiscal y pago de parafiscales, procede a autorizar el pago de las facturas.</w:t>
      </w:r>
    </w:p>
    <w:p w14:paraId="3EB415BE" w14:textId="77777777" w:rsidR="00911C69" w:rsidRPr="00570786" w:rsidRDefault="00911C69" w:rsidP="00911C69">
      <w:pPr>
        <w:contextualSpacing/>
        <w:jc w:val="both"/>
        <w:rPr>
          <w:rFonts w:ascii="Verdana" w:hAnsi="Verdana" w:cs="Arial"/>
          <w:noProof/>
          <w:sz w:val="22"/>
          <w:szCs w:val="22"/>
        </w:rPr>
      </w:pPr>
    </w:p>
    <w:p w14:paraId="1DB2F4B0"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3.2. Estratificación Socioeconómica.</w:t>
      </w:r>
    </w:p>
    <w:p w14:paraId="7561D588" w14:textId="77777777" w:rsidR="00911C69" w:rsidRPr="00570786" w:rsidRDefault="00911C69" w:rsidP="00911C69">
      <w:pPr>
        <w:contextualSpacing/>
        <w:jc w:val="both"/>
        <w:rPr>
          <w:rFonts w:ascii="Verdana" w:hAnsi="Verdana" w:cs="Arial"/>
          <w:b/>
          <w:sz w:val="22"/>
          <w:szCs w:val="22"/>
        </w:rPr>
      </w:pPr>
    </w:p>
    <w:p w14:paraId="4549BB31" w14:textId="77777777" w:rsidR="00911C69" w:rsidRPr="00570786" w:rsidRDefault="00911C69" w:rsidP="00911C69">
      <w:pPr>
        <w:pStyle w:val="NormalWeb"/>
        <w:shd w:val="clear" w:color="auto" w:fill="FFFFFF"/>
        <w:spacing w:before="0" w:beforeAutospacing="0" w:after="0" w:afterAutospacing="0"/>
        <w:contextualSpacing/>
        <w:jc w:val="both"/>
        <w:rPr>
          <w:rFonts w:ascii="Verdana" w:hAnsi="Verdana" w:cs="Arial"/>
          <w:sz w:val="22"/>
          <w:szCs w:val="22"/>
        </w:rPr>
      </w:pPr>
      <w:r w:rsidRPr="00570786">
        <w:rPr>
          <w:rFonts w:ascii="Verdana" w:hAnsi="Verdana" w:cs="Arial"/>
          <w:sz w:val="22"/>
          <w:szCs w:val="22"/>
        </w:rPr>
        <w:t xml:space="preserve">La </w:t>
      </w:r>
      <w:r w:rsidRPr="00570786">
        <w:rPr>
          <w:rFonts w:ascii="Verdana" w:eastAsia="MS Mincho" w:hAnsi="Verdana" w:cs="Arial"/>
          <w:sz w:val="22"/>
          <w:szCs w:val="22"/>
        </w:rPr>
        <w:t>E</w:t>
      </w:r>
      <w:r w:rsidRPr="00570786">
        <w:rPr>
          <w:rFonts w:ascii="Verdana" w:hAnsi="Verdana" w:cs="Arial"/>
          <w:sz w:val="22"/>
          <w:szCs w:val="22"/>
        </w:rPr>
        <w:t xml:space="preserve">ntidad </w:t>
      </w:r>
      <w:r w:rsidRPr="00570786">
        <w:rPr>
          <w:rFonts w:ascii="Verdana" w:eastAsia="MS Mincho" w:hAnsi="Verdana" w:cs="Arial"/>
          <w:sz w:val="22"/>
          <w:szCs w:val="22"/>
        </w:rPr>
        <w:t>T</w:t>
      </w:r>
      <w:r w:rsidRPr="00570786">
        <w:rPr>
          <w:rFonts w:ascii="Verdana" w:hAnsi="Verdana" w:cs="Arial"/>
          <w:sz w:val="22"/>
          <w:szCs w:val="22"/>
        </w:rPr>
        <w:t>erritorial allegó copia del Decreto 067 del 30 de mayo de 2016 “</w:t>
      </w:r>
      <w:r w:rsidRPr="00570786">
        <w:rPr>
          <w:rFonts w:ascii="Verdana" w:hAnsi="Verdana" w:cs="Arial"/>
          <w:i/>
          <w:iCs/>
          <w:sz w:val="22"/>
          <w:szCs w:val="22"/>
        </w:rPr>
        <w:t>Por medio del cual se adopta la revisión de la estratificación urbana del Municipio de Cota – Departamento de Cundinamarca</w:t>
      </w:r>
      <w:r w:rsidRPr="00570786">
        <w:rPr>
          <w:rFonts w:ascii="Verdana" w:hAnsi="Verdana" w:cs="Arial"/>
          <w:sz w:val="22"/>
          <w:szCs w:val="22"/>
        </w:rPr>
        <w:t>”.</w:t>
      </w:r>
    </w:p>
    <w:p w14:paraId="389F1926" w14:textId="77777777" w:rsidR="00911C69" w:rsidRPr="00570786" w:rsidRDefault="00911C69" w:rsidP="00911C69">
      <w:pPr>
        <w:pStyle w:val="NormalWeb"/>
        <w:shd w:val="clear" w:color="auto" w:fill="FFFFFF"/>
        <w:spacing w:before="0" w:beforeAutospacing="0" w:after="0" w:afterAutospacing="0"/>
        <w:contextualSpacing/>
        <w:jc w:val="both"/>
        <w:rPr>
          <w:rFonts w:ascii="Verdana" w:hAnsi="Verdana" w:cs="Arial"/>
          <w:sz w:val="22"/>
          <w:szCs w:val="22"/>
        </w:rPr>
      </w:pPr>
    </w:p>
    <w:p w14:paraId="4A94922F" w14:textId="77777777" w:rsidR="00911C69" w:rsidRPr="00570786" w:rsidRDefault="00911C69" w:rsidP="00911C69">
      <w:pPr>
        <w:contextualSpacing/>
        <w:jc w:val="both"/>
        <w:rPr>
          <w:rFonts w:ascii="Verdana" w:hAnsi="Verdana" w:cs="Arial"/>
          <w:sz w:val="22"/>
          <w:szCs w:val="22"/>
        </w:rPr>
      </w:pPr>
      <w:r w:rsidRPr="00570786">
        <w:rPr>
          <w:rFonts w:ascii="Verdana" w:eastAsia="Times New Roman" w:hAnsi="Verdana" w:cs="Arial"/>
          <w:sz w:val="22"/>
          <w:szCs w:val="22"/>
          <w:lang w:val="es-CO" w:eastAsia="es-CO"/>
        </w:rPr>
        <w:t>Este decreto clasificó las viviendas en cinco estratos socioeconómicos: 1. Bajo-Bajo, 2. Bajo, 3. Medio-Bajo, 4. Medio y 5. Medio Alto.</w:t>
      </w:r>
    </w:p>
    <w:p w14:paraId="40B8E493" w14:textId="77777777" w:rsidR="00911C69" w:rsidRPr="00570786" w:rsidRDefault="00911C69" w:rsidP="00911C69">
      <w:pPr>
        <w:contextualSpacing/>
        <w:jc w:val="both"/>
        <w:rPr>
          <w:rFonts w:ascii="Verdana" w:hAnsi="Verdana" w:cs="Arial"/>
          <w:sz w:val="22"/>
          <w:szCs w:val="22"/>
        </w:rPr>
      </w:pPr>
    </w:p>
    <w:p w14:paraId="1025AA88"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Así mismo, el Municipio entregó el Decreto 068 del 30 de mayo de 2016 “</w:t>
      </w:r>
      <w:r w:rsidRPr="00570786">
        <w:rPr>
          <w:rFonts w:ascii="Verdana" w:hAnsi="Verdana" w:cs="Arial"/>
          <w:i/>
          <w:iCs/>
          <w:sz w:val="22"/>
          <w:szCs w:val="22"/>
        </w:rPr>
        <w:t>Por medio del cual se adopta la estratificación de fincas y viviendas dispersas localizadas en la zona rural del Municipio de Cota – Cundinamarca</w:t>
      </w:r>
      <w:r w:rsidRPr="00570786">
        <w:rPr>
          <w:rFonts w:ascii="Verdana" w:hAnsi="Verdana" w:cs="Arial"/>
          <w:sz w:val="22"/>
          <w:szCs w:val="22"/>
        </w:rPr>
        <w:t>”.</w:t>
      </w:r>
    </w:p>
    <w:p w14:paraId="100BCFB1" w14:textId="77777777" w:rsidR="00911C69" w:rsidRPr="00570786" w:rsidRDefault="00911C69" w:rsidP="00911C69">
      <w:pPr>
        <w:contextualSpacing/>
        <w:jc w:val="both"/>
        <w:rPr>
          <w:rFonts w:ascii="Verdana" w:hAnsi="Verdana" w:cs="Arial"/>
          <w:sz w:val="22"/>
          <w:szCs w:val="22"/>
        </w:rPr>
      </w:pPr>
    </w:p>
    <w:p w14:paraId="302B7A31"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Las fincas y viviendas dispersas en la zona rural de este Municipio se clasificaron en seis estratos: 1. Bajo-Bajo, 2. Bajo, 3. Medio-Bajo, 4. Medio, 5. Medio Alto y 6. Alto.</w:t>
      </w:r>
    </w:p>
    <w:p w14:paraId="0EFB68D2" w14:textId="77777777" w:rsidR="00911C69" w:rsidRPr="00570786" w:rsidRDefault="00911C69" w:rsidP="00911C69">
      <w:pPr>
        <w:contextualSpacing/>
        <w:jc w:val="both"/>
        <w:rPr>
          <w:rFonts w:ascii="Verdana" w:hAnsi="Verdana" w:cs="Arial"/>
          <w:sz w:val="22"/>
          <w:szCs w:val="22"/>
        </w:rPr>
      </w:pPr>
    </w:p>
    <w:p w14:paraId="5DF0EA8C" w14:textId="77777777" w:rsidR="00911C69" w:rsidRPr="00570786" w:rsidRDefault="00911C69" w:rsidP="00911C69">
      <w:pPr>
        <w:contextualSpacing/>
        <w:jc w:val="both"/>
        <w:rPr>
          <w:rFonts w:ascii="Verdana" w:eastAsia="Calibri" w:hAnsi="Verdana" w:cs="Arial"/>
          <w:sz w:val="22"/>
          <w:szCs w:val="22"/>
          <w:lang w:val="es-CO"/>
        </w:rPr>
      </w:pPr>
      <w:r w:rsidRPr="00570786">
        <w:rPr>
          <w:rFonts w:ascii="Verdana" w:hAnsi="Verdana" w:cs="Arial"/>
          <w:sz w:val="22"/>
          <w:szCs w:val="22"/>
        </w:rPr>
        <w:t>Del mismo modo, allegó dos actas de reunión del Comité Permanente de Estratificación - CPE, una del 23 de febrero de 2021 y otra del 9 de diciembre de 2021 con los respectivos listados de asistencia. A través de la primer acta se pudo ver que el CPE revisó requerimientos por parte de usuarios, habló de la necesidad de programar las visitas necesarias para atender las reclamaciones, habló de la actualización de la estratificación, para lo cual, mencionó que era necesario previamente realizar la actualización catastral como insumo fundamental para garantizar el ejercicio y obtener una completa identificación de los predios que conforman el Municipio y presentó el documento preliminar del reglamento del CPE para revisión de cada uno de los participantes</w:t>
      </w:r>
      <w:r w:rsidRPr="00570786">
        <w:rPr>
          <w:rFonts w:ascii="Verdana" w:eastAsia="Calibri" w:hAnsi="Verdana" w:cs="Arial"/>
          <w:sz w:val="22"/>
          <w:szCs w:val="22"/>
          <w:lang w:val="es-CO"/>
        </w:rPr>
        <w:t>.</w:t>
      </w:r>
    </w:p>
    <w:p w14:paraId="7E62E7C7" w14:textId="77777777" w:rsidR="00911C69" w:rsidRPr="00570786" w:rsidRDefault="00911C69" w:rsidP="00911C69">
      <w:pPr>
        <w:contextualSpacing/>
        <w:jc w:val="both"/>
        <w:rPr>
          <w:rFonts w:ascii="Verdana" w:eastAsia="Calibri" w:hAnsi="Verdana" w:cs="Arial"/>
          <w:sz w:val="22"/>
          <w:szCs w:val="22"/>
          <w:lang w:val="es-CO"/>
        </w:rPr>
      </w:pPr>
    </w:p>
    <w:p w14:paraId="3362C537"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 xml:space="preserve">Adicionalmente, por medio de la segunda acta se pudo ver que el CPE revisó las reclamaciones realizadas por parte de varios usuarios. Del mismo modo, el </w:t>
      </w:r>
      <w:r w:rsidRPr="00570786">
        <w:rPr>
          <w:rFonts w:ascii="Verdana" w:hAnsi="Verdana" w:cs="Arial"/>
          <w:sz w:val="22"/>
          <w:szCs w:val="22"/>
        </w:rPr>
        <w:lastRenderedPageBreak/>
        <w:t xml:space="preserve">documento mencionó que se está verificando la aplicación por parte de las empresas prestadoras de los servicios públicos domiciliarios en Cota, de la estratificación adoptada mediante los Decretos municipales 067 y 068 de 2016 y que a excepción de </w:t>
      </w:r>
      <w:proofErr w:type="spellStart"/>
      <w:r w:rsidRPr="00570786">
        <w:rPr>
          <w:rFonts w:ascii="Verdana" w:hAnsi="Verdana" w:cs="Arial"/>
          <w:sz w:val="22"/>
          <w:szCs w:val="22"/>
        </w:rPr>
        <w:t>Codensa</w:t>
      </w:r>
      <w:proofErr w:type="spellEnd"/>
      <w:r w:rsidRPr="00570786">
        <w:rPr>
          <w:rFonts w:ascii="Verdana" w:hAnsi="Verdana" w:cs="Arial"/>
          <w:sz w:val="22"/>
          <w:szCs w:val="22"/>
        </w:rPr>
        <w:t>, las empresas están en proceso de revisión de la información teniendo en cuenta que el identificador predial no está homologado en sus bases de datos. Finalmente, se habló del proceso de conformación del CPE para los próximos dos años y sobre el pago de honorarios que hay pendiente a los representantes de la comunidad, derivados de la asistencia a las reuniones del Comité durante la vigencia 2021.</w:t>
      </w:r>
    </w:p>
    <w:p w14:paraId="6F3495A3" w14:textId="77777777" w:rsidR="00911C69" w:rsidRPr="00570786" w:rsidRDefault="00911C69" w:rsidP="00911C69">
      <w:pPr>
        <w:contextualSpacing/>
        <w:jc w:val="both"/>
        <w:rPr>
          <w:rFonts w:ascii="Verdana" w:hAnsi="Verdana" w:cs="Arial"/>
          <w:sz w:val="22"/>
          <w:szCs w:val="22"/>
        </w:rPr>
      </w:pPr>
    </w:p>
    <w:p w14:paraId="4F5D7311" w14:textId="77777777" w:rsidR="00911C69" w:rsidRPr="00570786" w:rsidRDefault="00911C69" w:rsidP="00911C69">
      <w:pPr>
        <w:contextualSpacing/>
        <w:jc w:val="both"/>
        <w:rPr>
          <w:rFonts w:ascii="Verdana" w:hAnsi="Verdana" w:cs="Arial"/>
          <w:b/>
          <w:bCs/>
          <w:sz w:val="22"/>
          <w:szCs w:val="22"/>
        </w:rPr>
      </w:pPr>
      <w:r w:rsidRPr="00570786">
        <w:rPr>
          <w:rFonts w:ascii="Verdana" w:hAnsi="Verdana" w:cs="Arial"/>
          <w:b/>
          <w:bCs/>
          <w:sz w:val="22"/>
          <w:szCs w:val="22"/>
        </w:rPr>
        <w:t>3.3. Ejercicio de Balance Solidario.</w:t>
      </w:r>
    </w:p>
    <w:p w14:paraId="4F143FE5" w14:textId="77777777" w:rsidR="00911C69" w:rsidRPr="00570786" w:rsidRDefault="00911C69" w:rsidP="00911C69">
      <w:pPr>
        <w:contextualSpacing/>
        <w:jc w:val="both"/>
        <w:rPr>
          <w:rFonts w:ascii="Verdana" w:hAnsi="Verdana" w:cs="Arial"/>
          <w:b/>
          <w:bCs/>
          <w:sz w:val="22"/>
          <w:szCs w:val="22"/>
        </w:rPr>
      </w:pPr>
    </w:p>
    <w:p w14:paraId="56E42389"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El Municipio hizo entrega de los oficios a través de los cuales la Empresa de Servicios Públicos de Cota EMSERCOTA S.A. E.S.P envió las proyecciones de subsidios a otorgar, de subsidios requeridos y de recaudo de contribuciones para los Servicios Públicos Domiciliarios de Acueducto, Alcantarillado y Aseo (incluye también la actividad de aprovechamiento y el incentivo de aprovechamiento y tratamiento de residuos sólidos) para las vigencias 2021 y 2022, empleando la metodología para determinar el equilibrio entre los subsidios y contribuciones y teniendo en cuenta el acuerdo a través del cual se establecieron los factores de subsidios y los porcentajes de aporte solidario para los servicios públicos domiciliarios en el Municipio. Adicionalmente, cabe indicar que no se entregó información de las otras empresas prestadoras de los Servicios de Acueducto, Alcantarillado y Aseo en el Municipio.</w:t>
      </w:r>
    </w:p>
    <w:p w14:paraId="09341577" w14:textId="77777777" w:rsidR="00911C69" w:rsidRPr="00570786" w:rsidRDefault="00911C69" w:rsidP="00911C69">
      <w:pPr>
        <w:contextualSpacing/>
        <w:jc w:val="both"/>
        <w:rPr>
          <w:rFonts w:ascii="Verdana" w:hAnsi="Verdana" w:cs="Arial"/>
          <w:sz w:val="22"/>
          <w:szCs w:val="22"/>
        </w:rPr>
      </w:pPr>
    </w:p>
    <w:p w14:paraId="2E282FC7"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3.4. Fondo de Solidaridad y Redistribución del Ingreso.</w:t>
      </w:r>
    </w:p>
    <w:p w14:paraId="56BDABF3" w14:textId="77777777" w:rsidR="00911C69" w:rsidRPr="00570786" w:rsidRDefault="00911C69" w:rsidP="00911C69">
      <w:pPr>
        <w:autoSpaceDE w:val="0"/>
        <w:autoSpaceDN w:val="0"/>
        <w:adjustRightInd w:val="0"/>
        <w:contextualSpacing/>
        <w:jc w:val="both"/>
        <w:rPr>
          <w:rFonts w:ascii="Verdana" w:hAnsi="Verdana" w:cs="Arial"/>
          <w:sz w:val="22"/>
          <w:szCs w:val="22"/>
        </w:rPr>
      </w:pPr>
    </w:p>
    <w:p w14:paraId="457A6E21" w14:textId="77777777" w:rsidR="00911C69" w:rsidRPr="00570786" w:rsidRDefault="00911C69" w:rsidP="00911C69">
      <w:pPr>
        <w:autoSpaceDE w:val="0"/>
        <w:autoSpaceDN w:val="0"/>
        <w:adjustRightInd w:val="0"/>
        <w:contextualSpacing/>
        <w:jc w:val="both"/>
        <w:rPr>
          <w:rFonts w:ascii="Verdana" w:hAnsi="Verdana" w:cs="Arial"/>
          <w:sz w:val="22"/>
          <w:szCs w:val="22"/>
        </w:rPr>
      </w:pPr>
      <w:r w:rsidRPr="00570786">
        <w:rPr>
          <w:rFonts w:ascii="Verdana" w:hAnsi="Verdana" w:cs="Arial"/>
          <w:sz w:val="22"/>
          <w:szCs w:val="22"/>
        </w:rPr>
        <w:t>Los Fondos de Solidaridad y Redistribución de Ingresos, que de acuerdo con la Ley 142 de 1994</w:t>
      </w:r>
      <w:r w:rsidRPr="00570786">
        <w:rPr>
          <w:rFonts w:ascii="Verdana" w:hAnsi="Verdana" w:cs="Arial"/>
          <w:sz w:val="22"/>
          <w:szCs w:val="22"/>
          <w:vertAlign w:val="superscript"/>
        </w:rPr>
        <w:footnoteReference w:id="2"/>
      </w:r>
      <w:r w:rsidRPr="00570786">
        <w:rPr>
          <w:rFonts w:ascii="Verdana" w:hAnsi="Verdana" w:cs="Arial"/>
          <w:sz w:val="22"/>
          <w:szCs w:val="22"/>
        </w:rPr>
        <w:t xml:space="preserve"> deben constituir los concejos municipales y distritales y las asambleas, serán cuentas especiales dentro del presupuesto y la contabilidad de los municipios, distritos y departamentos, a través de las cuales se ejecutarán y contabilizarán exclusivamente los recursos destinados a otorgar subsidios a los servicios públicos domiciliarios.</w:t>
      </w:r>
    </w:p>
    <w:p w14:paraId="04DFD490" w14:textId="77777777" w:rsidR="00911C69" w:rsidRPr="00570786" w:rsidRDefault="00911C69" w:rsidP="00911C69">
      <w:pPr>
        <w:autoSpaceDE w:val="0"/>
        <w:autoSpaceDN w:val="0"/>
        <w:adjustRightInd w:val="0"/>
        <w:contextualSpacing/>
        <w:jc w:val="both"/>
        <w:rPr>
          <w:rFonts w:ascii="Verdana" w:hAnsi="Verdana" w:cs="Arial"/>
          <w:sz w:val="22"/>
          <w:szCs w:val="22"/>
        </w:rPr>
      </w:pPr>
    </w:p>
    <w:p w14:paraId="19EA535C" w14:textId="77777777" w:rsidR="00911C69" w:rsidRPr="00570786" w:rsidRDefault="00911C69" w:rsidP="00911C69">
      <w:pPr>
        <w:autoSpaceDE w:val="0"/>
        <w:autoSpaceDN w:val="0"/>
        <w:adjustRightInd w:val="0"/>
        <w:contextualSpacing/>
        <w:jc w:val="both"/>
        <w:rPr>
          <w:rFonts w:ascii="Verdana" w:hAnsi="Verdana" w:cs="Arial"/>
          <w:sz w:val="22"/>
          <w:szCs w:val="22"/>
        </w:rPr>
      </w:pPr>
      <w:r w:rsidRPr="00570786">
        <w:rPr>
          <w:rFonts w:ascii="Verdana" w:hAnsi="Verdana" w:cs="Arial"/>
          <w:sz w:val="22"/>
          <w:szCs w:val="22"/>
        </w:rPr>
        <w:t>Dentro de cada Fondo creado se llevará la contabilidad separada por cada servicio prestado en el municipio o distrito y al interior de ellos no podrán hacerse transferencias de recursos entre servicios</w:t>
      </w:r>
      <w:r w:rsidRPr="00570786">
        <w:rPr>
          <w:rFonts w:ascii="Verdana" w:hAnsi="Verdana" w:cs="Arial"/>
          <w:sz w:val="22"/>
          <w:szCs w:val="22"/>
          <w:vertAlign w:val="superscript"/>
        </w:rPr>
        <w:footnoteReference w:id="3"/>
      </w:r>
      <w:r w:rsidRPr="00570786">
        <w:rPr>
          <w:rFonts w:ascii="Verdana" w:hAnsi="Verdana" w:cs="Arial"/>
          <w:sz w:val="22"/>
          <w:szCs w:val="22"/>
        </w:rPr>
        <w:t>.</w:t>
      </w:r>
    </w:p>
    <w:p w14:paraId="4D8CA8FE" w14:textId="77777777" w:rsidR="00911C69" w:rsidRPr="00570786" w:rsidRDefault="00911C69" w:rsidP="00911C69">
      <w:pPr>
        <w:contextualSpacing/>
        <w:jc w:val="both"/>
        <w:rPr>
          <w:rFonts w:ascii="Verdana" w:hAnsi="Verdana" w:cs="Arial"/>
          <w:sz w:val="22"/>
          <w:szCs w:val="22"/>
        </w:rPr>
      </w:pPr>
    </w:p>
    <w:p w14:paraId="283BF76F"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La Entidad Territorial hizo entrega del Acuerdo 005 del 10 de mayo de 2000, “</w:t>
      </w:r>
      <w:r w:rsidRPr="00570786">
        <w:rPr>
          <w:rFonts w:ascii="Verdana" w:hAnsi="Verdana" w:cs="Arial"/>
          <w:i/>
          <w:iCs/>
          <w:sz w:val="22"/>
          <w:szCs w:val="22"/>
        </w:rPr>
        <w:t xml:space="preserve">Por el cual se constituye el Fondo de Solidaridad y Redistribución de Ingresos para los </w:t>
      </w:r>
      <w:r w:rsidRPr="00570786">
        <w:rPr>
          <w:rFonts w:ascii="Verdana" w:hAnsi="Verdana" w:cs="Arial"/>
          <w:i/>
          <w:iCs/>
          <w:sz w:val="22"/>
          <w:szCs w:val="22"/>
        </w:rPr>
        <w:lastRenderedPageBreak/>
        <w:t>Servicios Públicos Domiciliarios en el Municipio de Cota - Cundinamarca</w:t>
      </w:r>
      <w:r w:rsidRPr="00570786">
        <w:rPr>
          <w:rFonts w:ascii="Verdana" w:hAnsi="Verdana" w:cs="Arial"/>
          <w:sz w:val="22"/>
          <w:szCs w:val="22"/>
        </w:rPr>
        <w:t>” y a través de las ejecuciones entregadas se pudo ver que hay manejo presupuestal del FSRI, en cuanto al manejo contable, el Municipio entregó los reportes de la cuenta auxiliar correspondiente al FSRI y los balances de prueba de las vigencias 2019, 2020 y 2021, por medio de los cuales, se pudo evidenciar el manejo contable del fondo.</w:t>
      </w:r>
    </w:p>
    <w:p w14:paraId="1F902B07" w14:textId="77777777" w:rsidR="00911C69" w:rsidRPr="00570786" w:rsidRDefault="00911C69" w:rsidP="00911C69">
      <w:pPr>
        <w:contextualSpacing/>
        <w:jc w:val="both"/>
        <w:rPr>
          <w:rFonts w:ascii="Verdana" w:hAnsi="Verdana" w:cs="Arial"/>
          <w:sz w:val="22"/>
          <w:szCs w:val="22"/>
        </w:rPr>
      </w:pPr>
    </w:p>
    <w:p w14:paraId="78CF6CE1"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Igualmente, en el marco del reconocimiento, la Entidad Territorial allegó copia de un contrato entre el Municipio de Cota y la Sociedad Aguas de la Sabana de Bogotá S.A. E.S.P., prestador de los Servicios de Acueducto, Alcantarillado y Aseo, para la transferencia de recursos al Fondo de Solidaridad y Redistribución de Ingresos, suscrito el 15 de diciembre de 2008 (el cual no tiene número), y que menciona que se mantendrá vigente durante el plazo en que Aguas de la Sabana de Bogotá S.A. E.S.P. preste cualquiera de los Servicios en el Municipio de Cota.</w:t>
      </w:r>
    </w:p>
    <w:p w14:paraId="4890DC90" w14:textId="77777777" w:rsidR="00911C69" w:rsidRPr="00570786" w:rsidRDefault="00911C69" w:rsidP="00911C69">
      <w:pPr>
        <w:contextualSpacing/>
        <w:jc w:val="both"/>
        <w:rPr>
          <w:rFonts w:ascii="Verdana" w:hAnsi="Verdana" w:cs="Arial"/>
          <w:sz w:val="22"/>
          <w:szCs w:val="22"/>
        </w:rPr>
      </w:pPr>
    </w:p>
    <w:p w14:paraId="786A5EA5"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Según dicho Contrato de Transferencias, Aguas de la Sabana, empresa de servicios públicos privada, que presta los servicios públicos domiciliarios en una zona del Municipio de Cota, donde un alto porcentaje de los usuarios están clasificados como industriales y comerciales, no precisa de la utilización de subsidios y su actividad; en cambio, genera superávit.</w:t>
      </w:r>
    </w:p>
    <w:p w14:paraId="23BDD415" w14:textId="77777777" w:rsidR="00911C69" w:rsidRPr="00570786" w:rsidRDefault="00911C69" w:rsidP="00911C69">
      <w:pPr>
        <w:contextualSpacing/>
        <w:jc w:val="both"/>
        <w:rPr>
          <w:rFonts w:ascii="Verdana" w:hAnsi="Verdana" w:cs="Arial"/>
          <w:sz w:val="22"/>
          <w:szCs w:val="22"/>
        </w:rPr>
      </w:pPr>
    </w:p>
    <w:p w14:paraId="447DF216"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Teniendo en cuenta que el artículo 89.2 de la Ley 142 de 1994 señala que el superávit generado por empresas privadas o mixtas prestatarias de los Servicios de Agua Potable o Saneamiento Básico, deberán destinarse a los Fondos de Solidaridad y Redistribución de Ingresos para empresas de la misma naturaleza y servicio que cumplan sus actividades en la misma entidad territorial al de la empresa aportante, a través del Contrato del 15 de diciembre de 2008, se acordaron las condiciones para efectuar las transferencias de las sumas que por concepto de superávit en la prestación de los Servicios de Acueducto, Alcantarillado y Aseo en el Municipio de Cota, debe transferir Aguas de la Sabana a favor del Fondo de Solidaridad y Redistribución de Ingresos del Municipio de Cota. Al observar las ejecuciones presupuestales de ingresos y la contabilidad de los FSRI es posible ver las contribuciones realizadas por los estratos 5 y 6 y los usos residenciales y comerciales y recaudadas y transferidas por Aguas de la Sabana al Municipio.</w:t>
      </w:r>
    </w:p>
    <w:p w14:paraId="2EBD0245" w14:textId="77777777" w:rsidR="00911C69" w:rsidRPr="00570786" w:rsidRDefault="00911C69" w:rsidP="00911C69">
      <w:pPr>
        <w:contextualSpacing/>
        <w:jc w:val="both"/>
        <w:rPr>
          <w:rFonts w:ascii="Verdana" w:hAnsi="Verdana" w:cs="Arial"/>
          <w:sz w:val="22"/>
          <w:szCs w:val="22"/>
          <w:highlight w:val="yellow"/>
        </w:rPr>
      </w:pPr>
    </w:p>
    <w:p w14:paraId="240CE776" w14:textId="77777777" w:rsidR="00911C69" w:rsidRPr="00570786" w:rsidRDefault="00911C69" w:rsidP="00911C69">
      <w:pPr>
        <w:contextualSpacing/>
        <w:jc w:val="both"/>
        <w:rPr>
          <w:rFonts w:ascii="Verdana" w:eastAsia="Arial" w:hAnsi="Verdana" w:cs="Arial"/>
          <w:sz w:val="22"/>
          <w:szCs w:val="22"/>
        </w:rPr>
      </w:pPr>
      <w:r w:rsidRPr="00570786">
        <w:rPr>
          <w:rFonts w:ascii="Verdana" w:hAnsi="Verdana" w:cs="Arial"/>
          <w:sz w:val="22"/>
          <w:szCs w:val="22"/>
        </w:rPr>
        <w:t xml:space="preserve">Por otro lado, </w:t>
      </w:r>
      <w:r w:rsidRPr="00570786">
        <w:rPr>
          <w:rFonts w:ascii="Verdana" w:eastAsia="Arial" w:hAnsi="Verdana" w:cs="Arial"/>
          <w:sz w:val="22"/>
          <w:szCs w:val="22"/>
        </w:rPr>
        <w:t xml:space="preserve">el Municipio envió un documento a través del cual, la Tesorera Municipal hace constar que, a 31 de diciembre de 2021, las Empresas: Aguas de la Sabana de Bogotá S.A. ESP, </w:t>
      </w:r>
      <w:proofErr w:type="spellStart"/>
      <w:r w:rsidRPr="00570786">
        <w:rPr>
          <w:rFonts w:ascii="Verdana" w:eastAsia="Arial" w:hAnsi="Verdana" w:cs="Arial"/>
          <w:sz w:val="22"/>
          <w:szCs w:val="22"/>
        </w:rPr>
        <w:t>Interaseo</w:t>
      </w:r>
      <w:proofErr w:type="spellEnd"/>
      <w:r w:rsidRPr="00570786">
        <w:rPr>
          <w:rFonts w:ascii="Verdana" w:eastAsia="Arial" w:hAnsi="Verdana" w:cs="Arial"/>
          <w:sz w:val="22"/>
          <w:szCs w:val="22"/>
        </w:rPr>
        <w:t xml:space="preserve"> S.A.S. ESP y </w:t>
      </w:r>
      <w:proofErr w:type="spellStart"/>
      <w:r w:rsidRPr="00570786">
        <w:rPr>
          <w:rFonts w:ascii="Verdana" w:eastAsia="Arial" w:hAnsi="Verdana" w:cs="Arial"/>
          <w:sz w:val="22"/>
          <w:szCs w:val="22"/>
        </w:rPr>
        <w:t>Ecoservicios</w:t>
      </w:r>
      <w:proofErr w:type="spellEnd"/>
      <w:r w:rsidRPr="00570786">
        <w:rPr>
          <w:rFonts w:ascii="Verdana" w:eastAsia="Arial" w:hAnsi="Verdana" w:cs="Arial"/>
          <w:sz w:val="22"/>
          <w:szCs w:val="22"/>
        </w:rPr>
        <w:t xml:space="preserve"> de Occidente S.A.S. ESP, adeudaban al Fondo de Solidaridad y Redistribución del Ingreso las siguientes sumas:</w:t>
      </w:r>
    </w:p>
    <w:p w14:paraId="1E185DE8" w14:textId="77777777" w:rsidR="00911C69" w:rsidRPr="00570786" w:rsidRDefault="00911C69" w:rsidP="00911C69">
      <w:pPr>
        <w:contextualSpacing/>
        <w:jc w:val="both"/>
        <w:rPr>
          <w:rFonts w:ascii="Verdana" w:eastAsia="Arial" w:hAnsi="Verdana" w:cs="Arial"/>
          <w:sz w:val="22"/>
          <w:szCs w:val="22"/>
        </w:rPr>
      </w:pPr>
    </w:p>
    <w:p w14:paraId="27D73E10" w14:textId="77777777" w:rsidR="00AB0D36" w:rsidRDefault="00AB0D36" w:rsidP="00911C69">
      <w:pPr>
        <w:contextualSpacing/>
        <w:jc w:val="center"/>
        <w:rPr>
          <w:rFonts w:ascii="Verdana" w:hAnsi="Verdana" w:cs="Arial"/>
          <w:b/>
          <w:sz w:val="22"/>
          <w:szCs w:val="22"/>
        </w:rPr>
      </w:pPr>
    </w:p>
    <w:p w14:paraId="0774A8CF" w14:textId="77777777" w:rsidR="00AB0D36" w:rsidRDefault="00AB0D36" w:rsidP="00911C69">
      <w:pPr>
        <w:contextualSpacing/>
        <w:jc w:val="center"/>
        <w:rPr>
          <w:rFonts w:ascii="Verdana" w:hAnsi="Verdana" w:cs="Arial"/>
          <w:b/>
          <w:sz w:val="22"/>
          <w:szCs w:val="22"/>
        </w:rPr>
      </w:pPr>
    </w:p>
    <w:p w14:paraId="217CBB22" w14:textId="77777777" w:rsidR="00AB0D36" w:rsidRDefault="00AB0D36" w:rsidP="00911C69">
      <w:pPr>
        <w:contextualSpacing/>
        <w:jc w:val="center"/>
        <w:rPr>
          <w:rFonts w:ascii="Verdana" w:hAnsi="Verdana" w:cs="Arial"/>
          <w:b/>
          <w:sz w:val="22"/>
          <w:szCs w:val="22"/>
        </w:rPr>
      </w:pPr>
    </w:p>
    <w:p w14:paraId="4923C817" w14:textId="77777777" w:rsidR="00AB0D36" w:rsidRDefault="00AB0D36" w:rsidP="00911C69">
      <w:pPr>
        <w:contextualSpacing/>
        <w:jc w:val="center"/>
        <w:rPr>
          <w:rFonts w:ascii="Verdana" w:hAnsi="Verdana" w:cs="Arial"/>
          <w:b/>
          <w:sz w:val="22"/>
          <w:szCs w:val="22"/>
        </w:rPr>
      </w:pPr>
    </w:p>
    <w:p w14:paraId="7CBFF1CB" w14:textId="77777777" w:rsidR="00AB0D36" w:rsidRDefault="00AB0D36" w:rsidP="00911C69">
      <w:pPr>
        <w:contextualSpacing/>
        <w:jc w:val="center"/>
        <w:rPr>
          <w:rFonts w:ascii="Verdana" w:hAnsi="Verdana" w:cs="Arial"/>
          <w:b/>
          <w:sz w:val="22"/>
          <w:szCs w:val="22"/>
        </w:rPr>
      </w:pPr>
    </w:p>
    <w:p w14:paraId="6AABF7F9" w14:textId="77777777" w:rsidR="00AB0D36" w:rsidRDefault="00AB0D36" w:rsidP="00911C69">
      <w:pPr>
        <w:contextualSpacing/>
        <w:jc w:val="center"/>
        <w:rPr>
          <w:rFonts w:ascii="Verdana" w:hAnsi="Verdana" w:cs="Arial"/>
          <w:b/>
          <w:sz w:val="22"/>
          <w:szCs w:val="22"/>
        </w:rPr>
      </w:pPr>
    </w:p>
    <w:p w14:paraId="6254F5C7" w14:textId="77777777" w:rsidR="00911C69" w:rsidRDefault="00911C69" w:rsidP="00911C69">
      <w:pPr>
        <w:contextualSpacing/>
        <w:jc w:val="center"/>
        <w:rPr>
          <w:rFonts w:ascii="Verdana" w:hAnsi="Verdana" w:cs="Arial"/>
          <w:sz w:val="22"/>
          <w:szCs w:val="22"/>
        </w:rPr>
      </w:pPr>
      <w:r w:rsidRPr="00570786">
        <w:rPr>
          <w:rFonts w:ascii="Verdana" w:hAnsi="Verdana" w:cs="Arial"/>
          <w:b/>
          <w:sz w:val="22"/>
          <w:szCs w:val="22"/>
        </w:rPr>
        <w:t>Cuadro No. 7</w:t>
      </w:r>
      <w:r w:rsidRPr="00570786">
        <w:rPr>
          <w:rFonts w:ascii="Verdana" w:hAnsi="Verdana" w:cs="Arial"/>
          <w:sz w:val="22"/>
          <w:szCs w:val="22"/>
        </w:rPr>
        <w:t xml:space="preserve"> Deudas de prestadores con el FSRI a 31 de diciembre de 2021.</w:t>
      </w:r>
    </w:p>
    <w:p w14:paraId="7065C9D4" w14:textId="77777777" w:rsidR="00AB0D36" w:rsidRPr="00570786" w:rsidRDefault="00AB0D36" w:rsidP="00911C69">
      <w:pPr>
        <w:contextualSpacing/>
        <w:jc w:val="center"/>
        <w:rPr>
          <w:rFonts w:ascii="Verdana" w:hAnsi="Verdana" w:cs="Arial"/>
          <w:sz w:val="22"/>
          <w:szCs w:val="22"/>
        </w:rPr>
      </w:pPr>
    </w:p>
    <w:tbl>
      <w:tblPr>
        <w:tblW w:w="6220" w:type="dxa"/>
        <w:jc w:val="center"/>
        <w:tblLook w:val="04A0" w:firstRow="1" w:lastRow="0" w:firstColumn="1" w:lastColumn="0" w:noHBand="0" w:noVBand="1"/>
      </w:tblPr>
      <w:tblGrid>
        <w:gridCol w:w="3238"/>
        <w:gridCol w:w="1275"/>
        <w:gridCol w:w="1618"/>
        <w:gridCol w:w="706"/>
      </w:tblGrid>
      <w:tr w:rsidR="00911C69" w:rsidRPr="00570786" w14:paraId="783202C4" w14:textId="77777777" w:rsidTr="00640C2F">
        <w:trPr>
          <w:trHeight w:val="264"/>
          <w:jc w:val="center"/>
        </w:trPr>
        <w:tc>
          <w:tcPr>
            <w:tcW w:w="6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B17F"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Balance Fondo de Solidaridad y Redistribución de Ingresos</w:t>
            </w:r>
          </w:p>
        </w:tc>
      </w:tr>
      <w:tr w:rsidR="00911C69" w:rsidRPr="00570786" w14:paraId="0A27F5AD" w14:textId="77777777" w:rsidTr="00640C2F">
        <w:trPr>
          <w:trHeight w:val="264"/>
          <w:jc w:val="center"/>
        </w:trPr>
        <w:tc>
          <w:tcPr>
            <w:tcW w:w="6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0ACC"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Corte a 31 de diciembre de 2021 (cifras en millones de pesos)</w:t>
            </w:r>
          </w:p>
        </w:tc>
      </w:tr>
      <w:tr w:rsidR="00911C69" w:rsidRPr="00570786" w14:paraId="3B6CA549" w14:textId="77777777" w:rsidTr="00640C2F">
        <w:trPr>
          <w:trHeight w:val="264"/>
          <w:jc w:val="center"/>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3A089EDA" w14:textId="77777777" w:rsidR="00911C69" w:rsidRPr="00570786" w:rsidRDefault="00911C69" w:rsidP="00640C2F">
            <w:pPr>
              <w:contextualSpacing/>
              <w:jc w:val="center"/>
              <w:rPr>
                <w:rFonts w:ascii="Verdana" w:eastAsia="Times New Roman" w:hAnsi="Verdana" w:cs="Arial"/>
                <w:b/>
                <w:bCs/>
                <w:sz w:val="18"/>
                <w:szCs w:val="18"/>
                <w:lang w:val="es-CO" w:eastAsia="en-US"/>
              </w:rPr>
            </w:pPr>
          </w:p>
        </w:tc>
        <w:tc>
          <w:tcPr>
            <w:tcW w:w="1064" w:type="dxa"/>
            <w:tcBorders>
              <w:top w:val="nil"/>
              <w:left w:val="nil"/>
              <w:bottom w:val="single" w:sz="4" w:space="0" w:color="auto"/>
              <w:right w:val="single" w:sz="4" w:space="0" w:color="auto"/>
            </w:tcBorders>
            <w:shd w:val="clear" w:color="auto" w:fill="auto"/>
            <w:noWrap/>
            <w:vAlign w:val="center"/>
            <w:hideMark/>
          </w:tcPr>
          <w:p w14:paraId="77C2E317"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Acueducto</w:t>
            </w:r>
          </w:p>
        </w:tc>
        <w:tc>
          <w:tcPr>
            <w:tcW w:w="1301" w:type="dxa"/>
            <w:tcBorders>
              <w:top w:val="nil"/>
              <w:left w:val="nil"/>
              <w:bottom w:val="single" w:sz="4" w:space="0" w:color="auto"/>
              <w:right w:val="single" w:sz="4" w:space="0" w:color="auto"/>
            </w:tcBorders>
            <w:shd w:val="clear" w:color="auto" w:fill="auto"/>
            <w:noWrap/>
            <w:vAlign w:val="center"/>
            <w:hideMark/>
          </w:tcPr>
          <w:p w14:paraId="0A8ED7A7"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Alcantarillado</w:t>
            </w:r>
          </w:p>
        </w:tc>
        <w:tc>
          <w:tcPr>
            <w:tcW w:w="617" w:type="dxa"/>
            <w:tcBorders>
              <w:top w:val="nil"/>
              <w:left w:val="nil"/>
              <w:bottom w:val="single" w:sz="4" w:space="0" w:color="auto"/>
              <w:right w:val="single" w:sz="4" w:space="0" w:color="auto"/>
            </w:tcBorders>
            <w:shd w:val="clear" w:color="auto" w:fill="auto"/>
            <w:noWrap/>
            <w:vAlign w:val="center"/>
            <w:hideMark/>
          </w:tcPr>
          <w:p w14:paraId="24F3E388"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Aseo</w:t>
            </w:r>
          </w:p>
        </w:tc>
      </w:tr>
      <w:tr w:rsidR="00911C69" w:rsidRPr="00570786" w14:paraId="6C9CE662" w14:textId="77777777" w:rsidTr="00640C2F">
        <w:trPr>
          <w:trHeight w:val="264"/>
          <w:jc w:val="center"/>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520DA2EE" w14:textId="77777777" w:rsidR="00911C69" w:rsidRPr="00570786" w:rsidRDefault="00911C69" w:rsidP="00640C2F">
            <w:pPr>
              <w:contextualSpacing/>
              <w:rPr>
                <w:rFonts w:ascii="Verdana" w:eastAsia="Times New Roman" w:hAnsi="Verdana" w:cs="Arial"/>
                <w:sz w:val="18"/>
                <w:szCs w:val="18"/>
                <w:lang w:val="es-CO" w:eastAsia="en-US"/>
              </w:rPr>
            </w:pPr>
            <w:r w:rsidRPr="00570786">
              <w:rPr>
                <w:rFonts w:ascii="Verdana" w:eastAsia="Times New Roman" w:hAnsi="Verdana" w:cs="Arial"/>
                <w:sz w:val="18"/>
                <w:szCs w:val="18"/>
                <w:lang w:val="es-CO" w:eastAsia="en-US"/>
              </w:rPr>
              <w:t>Aguas de la Sabana de Bogotá S.A. ESP</w:t>
            </w:r>
          </w:p>
        </w:tc>
        <w:tc>
          <w:tcPr>
            <w:tcW w:w="1064" w:type="dxa"/>
            <w:tcBorders>
              <w:top w:val="nil"/>
              <w:left w:val="nil"/>
              <w:bottom w:val="single" w:sz="4" w:space="0" w:color="auto"/>
              <w:right w:val="single" w:sz="4" w:space="0" w:color="auto"/>
            </w:tcBorders>
            <w:shd w:val="clear" w:color="auto" w:fill="auto"/>
            <w:noWrap/>
            <w:vAlign w:val="center"/>
            <w:hideMark/>
          </w:tcPr>
          <w:p w14:paraId="70307440" w14:textId="77777777" w:rsidR="00911C69" w:rsidRPr="00570786" w:rsidRDefault="00911C69" w:rsidP="00640C2F">
            <w:pPr>
              <w:contextualSpacing/>
              <w:jc w:val="center"/>
              <w:rPr>
                <w:rFonts w:ascii="Verdana" w:eastAsia="Times New Roman" w:hAnsi="Verdana" w:cs="Arial"/>
                <w:sz w:val="18"/>
                <w:szCs w:val="18"/>
                <w:lang w:val="es-CO" w:eastAsia="en-US"/>
              </w:rPr>
            </w:pPr>
            <w:r w:rsidRPr="00570786">
              <w:rPr>
                <w:rFonts w:ascii="Verdana" w:eastAsia="Times New Roman" w:hAnsi="Verdana" w:cs="Arial"/>
                <w:sz w:val="18"/>
                <w:szCs w:val="18"/>
                <w:lang w:val="es-CO" w:eastAsia="en-US"/>
              </w:rPr>
              <w:t>421</w:t>
            </w:r>
          </w:p>
        </w:tc>
        <w:tc>
          <w:tcPr>
            <w:tcW w:w="1301" w:type="dxa"/>
            <w:tcBorders>
              <w:top w:val="nil"/>
              <w:left w:val="nil"/>
              <w:bottom w:val="single" w:sz="4" w:space="0" w:color="auto"/>
              <w:right w:val="single" w:sz="4" w:space="0" w:color="auto"/>
            </w:tcBorders>
            <w:shd w:val="clear" w:color="auto" w:fill="auto"/>
            <w:noWrap/>
            <w:vAlign w:val="center"/>
            <w:hideMark/>
          </w:tcPr>
          <w:p w14:paraId="0DE8BBC1" w14:textId="77777777" w:rsidR="00911C69" w:rsidRPr="00570786" w:rsidRDefault="00911C69" w:rsidP="00640C2F">
            <w:pPr>
              <w:contextualSpacing/>
              <w:jc w:val="center"/>
              <w:rPr>
                <w:rFonts w:ascii="Verdana" w:eastAsia="Times New Roman" w:hAnsi="Verdana" w:cs="Arial"/>
                <w:sz w:val="18"/>
                <w:szCs w:val="18"/>
                <w:lang w:val="es-CO" w:eastAsia="en-US"/>
              </w:rPr>
            </w:pPr>
            <w:r w:rsidRPr="00570786">
              <w:rPr>
                <w:rFonts w:ascii="Verdana" w:eastAsia="Times New Roman" w:hAnsi="Verdana" w:cs="Arial"/>
                <w:sz w:val="18"/>
                <w:szCs w:val="18"/>
                <w:lang w:val="es-CO" w:eastAsia="en-US"/>
              </w:rPr>
              <w:t>510</w:t>
            </w:r>
          </w:p>
        </w:tc>
        <w:tc>
          <w:tcPr>
            <w:tcW w:w="617" w:type="dxa"/>
            <w:tcBorders>
              <w:top w:val="nil"/>
              <w:left w:val="nil"/>
              <w:bottom w:val="single" w:sz="4" w:space="0" w:color="auto"/>
              <w:right w:val="single" w:sz="4" w:space="0" w:color="auto"/>
            </w:tcBorders>
            <w:shd w:val="clear" w:color="auto" w:fill="auto"/>
            <w:noWrap/>
            <w:vAlign w:val="center"/>
            <w:hideMark/>
          </w:tcPr>
          <w:p w14:paraId="3477A25F" w14:textId="77777777" w:rsidR="00911C69" w:rsidRPr="00570786" w:rsidRDefault="00911C69" w:rsidP="00640C2F">
            <w:pPr>
              <w:contextualSpacing/>
              <w:jc w:val="center"/>
              <w:rPr>
                <w:rFonts w:ascii="Verdana" w:eastAsia="Times New Roman" w:hAnsi="Verdana" w:cs="Arial"/>
                <w:sz w:val="18"/>
                <w:szCs w:val="18"/>
                <w:lang w:val="es-CO" w:eastAsia="en-US"/>
              </w:rPr>
            </w:pPr>
            <w:r w:rsidRPr="00570786">
              <w:rPr>
                <w:rFonts w:ascii="Verdana" w:eastAsia="Times New Roman" w:hAnsi="Verdana" w:cs="Arial"/>
                <w:sz w:val="18"/>
                <w:szCs w:val="18"/>
                <w:lang w:val="es-CO" w:eastAsia="en-US"/>
              </w:rPr>
              <w:t>176</w:t>
            </w:r>
          </w:p>
        </w:tc>
      </w:tr>
      <w:tr w:rsidR="00911C69" w:rsidRPr="00570786" w14:paraId="48801DF9" w14:textId="77777777" w:rsidTr="00640C2F">
        <w:trPr>
          <w:trHeight w:val="264"/>
          <w:jc w:val="center"/>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5A3F2F91" w14:textId="77777777" w:rsidR="00911C69" w:rsidRPr="00570786" w:rsidRDefault="00911C69" w:rsidP="00640C2F">
            <w:pPr>
              <w:contextualSpacing/>
              <w:rPr>
                <w:rFonts w:ascii="Verdana" w:eastAsia="Times New Roman" w:hAnsi="Verdana" w:cs="Arial"/>
                <w:sz w:val="18"/>
                <w:szCs w:val="18"/>
                <w:lang w:val="es-CO" w:eastAsia="en-US"/>
              </w:rPr>
            </w:pPr>
            <w:proofErr w:type="spellStart"/>
            <w:r w:rsidRPr="00570786">
              <w:rPr>
                <w:rFonts w:ascii="Verdana" w:eastAsia="Times New Roman" w:hAnsi="Verdana" w:cs="Arial"/>
                <w:sz w:val="18"/>
                <w:szCs w:val="18"/>
                <w:lang w:val="es-CO" w:eastAsia="en-US"/>
              </w:rPr>
              <w:t>Interaseo</w:t>
            </w:r>
            <w:proofErr w:type="spellEnd"/>
            <w:r w:rsidRPr="00570786">
              <w:rPr>
                <w:rFonts w:ascii="Verdana" w:eastAsia="Times New Roman" w:hAnsi="Verdana" w:cs="Arial"/>
                <w:sz w:val="18"/>
                <w:szCs w:val="18"/>
                <w:lang w:val="es-CO" w:eastAsia="en-US"/>
              </w:rPr>
              <w:t xml:space="preserve"> S.A.S. ESP </w:t>
            </w:r>
          </w:p>
        </w:tc>
        <w:tc>
          <w:tcPr>
            <w:tcW w:w="1064" w:type="dxa"/>
            <w:tcBorders>
              <w:top w:val="nil"/>
              <w:left w:val="nil"/>
              <w:bottom w:val="single" w:sz="4" w:space="0" w:color="auto"/>
              <w:right w:val="single" w:sz="4" w:space="0" w:color="auto"/>
            </w:tcBorders>
            <w:shd w:val="clear" w:color="auto" w:fill="auto"/>
            <w:noWrap/>
            <w:vAlign w:val="center"/>
            <w:hideMark/>
          </w:tcPr>
          <w:p w14:paraId="4510B228" w14:textId="77777777" w:rsidR="00911C69" w:rsidRPr="00570786" w:rsidRDefault="00911C69" w:rsidP="00640C2F">
            <w:pPr>
              <w:contextualSpacing/>
              <w:jc w:val="center"/>
              <w:rPr>
                <w:rFonts w:ascii="Verdana" w:eastAsia="Times New Roman" w:hAnsi="Verdana" w:cs="Arial"/>
                <w:sz w:val="18"/>
                <w:szCs w:val="18"/>
                <w:lang w:val="es-CO" w:eastAsia="en-US"/>
              </w:rPr>
            </w:pPr>
          </w:p>
        </w:tc>
        <w:tc>
          <w:tcPr>
            <w:tcW w:w="1301" w:type="dxa"/>
            <w:tcBorders>
              <w:top w:val="nil"/>
              <w:left w:val="nil"/>
              <w:bottom w:val="single" w:sz="4" w:space="0" w:color="auto"/>
              <w:right w:val="single" w:sz="4" w:space="0" w:color="auto"/>
            </w:tcBorders>
            <w:shd w:val="clear" w:color="auto" w:fill="auto"/>
            <w:noWrap/>
            <w:vAlign w:val="center"/>
            <w:hideMark/>
          </w:tcPr>
          <w:p w14:paraId="2C8F7243" w14:textId="77777777" w:rsidR="00911C69" w:rsidRPr="00570786" w:rsidRDefault="00911C69" w:rsidP="00640C2F">
            <w:pPr>
              <w:contextualSpacing/>
              <w:jc w:val="center"/>
              <w:rPr>
                <w:rFonts w:ascii="Verdana" w:eastAsia="Times New Roman" w:hAnsi="Verdana" w:cs="Arial"/>
                <w:sz w:val="18"/>
                <w:szCs w:val="18"/>
                <w:lang w:val="es-CO" w:eastAsia="en-US"/>
              </w:rPr>
            </w:pPr>
          </w:p>
        </w:tc>
        <w:tc>
          <w:tcPr>
            <w:tcW w:w="617" w:type="dxa"/>
            <w:tcBorders>
              <w:top w:val="nil"/>
              <w:left w:val="nil"/>
              <w:bottom w:val="single" w:sz="4" w:space="0" w:color="auto"/>
              <w:right w:val="single" w:sz="4" w:space="0" w:color="auto"/>
            </w:tcBorders>
            <w:shd w:val="clear" w:color="auto" w:fill="auto"/>
            <w:noWrap/>
            <w:vAlign w:val="center"/>
            <w:hideMark/>
          </w:tcPr>
          <w:p w14:paraId="161F43FE" w14:textId="77777777" w:rsidR="00911C69" w:rsidRPr="00570786" w:rsidRDefault="00911C69" w:rsidP="00640C2F">
            <w:pPr>
              <w:contextualSpacing/>
              <w:jc w:val="center"/>
              <w:rPr>
                <w:rFonts w:ascii="Verdana" w:eastAsia="Times New Roman" w:hAnsi="Verdana" w:cs="Arial"/>
                <w:sz w:val="18"/>
                <w:szCs w:val="18"/>
                <w:lang w:val="es-CO" w:eastAsia="en-US"/>
              </w:rPr>
            </w:pPr>
            <w:r w:rsidRPr="00570786">
              <w:rPr>
                <w:rFonts w:ascii="Verdana" w:eastAsia="Times New Roman" w:hAnsi="Verdana" w:cs="Arial"/>
                <w:sz w:val="18"/>
                <w:szCs w:val="18"/>
                <w:lang w:val="es-CO" w:eastAsia="en-US"/>
              </w:rPr>
              <w:t>34</w:t>
            </w:r>
          </w:p>
        </w:tc>
      </w:tr>
      <w:tr w:rsidR="00911C69" w:rsidRPr="00570786" w14:paraId="2746F5E2" w14:textId="77777777" w:rsidTr="00640C2F">
        <w:trPr>
          <w:trHeight w:val="264"/>
          <w:jc w:val="center"/>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760AA3DC" w14:textId="77777777" w:rsidR="00911C69" w:rsidRPr="00570786" w:rsidRDefault="00911C69" w:rsidP="00640C2F">
            <w:pPr>
              <w:contextualSpacing/>
              <w:rPr>
                <w:rFonts w:ascii="Verdana" w:eastAsia="Times New Roman" w:hAnsi="Verdana" w:cs="Arial"/>
                <w:sz w:val="18"/>
                <w:szCs w:val="18"/>
                <w:lang w:val="es-CO" w:eastAsia="en-US"/>
              </w:rPr>
            </w:pPr>
            <w:proofErr w:type="spellStart"/>
            <w:r w:rsidRPr="00570786">
              <w:rPr>
                <w:rFonts w:ascii="Verdana" w:eastAsia="Times New Roman" w:hAnsi="Verdana" w:cs="Arial"/>
                <w:sz w:val="18"/>
                <w:szCs w:val="18"/>
                <w:lang w:val="es-CO" w:eastAsia="en-US"/>
              </w:rPr>
              <w:t>Ecoservicios</w:t>
            </w:r>
            <w:proofErr w:type="spellEnd"/>
            <w:r w:rsidRPr="00570786">
              <w:rPr>
                <w:rFonts w:ascii="Verdana" w:eastAsia="Times New Roman" w:hAnsi="Verdana" w:cs="Arial"/>
                <w:sz w:val="18"/>
                <w:szCs w:val="18"/>
                <w:lang w:val="es-CO" w:eastAsia="en-US"/>
              </w:rPr>
              <w:t xml:space="preserve"> de Occidente S.A.S. ESP</w:t>
            </w:r>
          </w:p>
        </w:tc>
        <w:tc>
          <w:tcPr>
            <w:tcW w:w="1064" w:type="dxa"/>
            <w:tcBorders>
              <w:top w:val="nil"/>
              <w:left w:val="nil"/>
              <w:bottom w:val="single" w:sz="4" w:space="0" w:color="auto"/>
              <w:right w:val="single" w:sz="4" w:space="0" w:color="auto"/>
            </w:tcBorders>
            <w:shd w:val="clear" w:color="auto" w:fill="auto"/>
            <w:noWrap/>
            <w:vAlign w:val="center"/>
            <w:hideMark/>
          </w:tcPr>
          <w:p w14:paraId="113D16ED" w14:textId="77777777" w:rsidR="00911C69" w:rsidRPr="00570786" w:rsidRDefault="00911C69" w:rsidP="00640C2F">
            <w:pPr>
              <w:contextualSpacing/>
              <w:jc w:val="center"/>
              <w:rPr>
                <w:rFonts w:ascii="Verdana" w:eastAsia="Times New Roman" w:hAnsi="Verdana" w:cs="Arial"/>
                <w:sz w:val="18"/>
                <w:szCs w:val="18"/>
                <w:lang w:val="es-CO" w:eastAsia="en-US"/>
              </w:rPr>
            </w:pPr>
          </w:p>
        </w:tc>
        <w:tc>
          <w:tcPr>
            <w:tcW w:w="1301" w:type="dxa"/>
            <w:tcBorders>
              <w:top w:val="nil"/>
              <w:left w:val="nil"/>
              <w:bottom w:val="single" w:sz="4" w:space="0" w:color="auto"/>
              <w:right w:val="single" w:sz="4" w:space="0" w:color="auto"/>
            </w:tcBorders>
            <w:shd w:val="clear" w:color="auto" w:fill="auto"/>
            <w:noWrap/>
            <w:vAlign w:val="center"/>
            <w:hideMark/>
          </w:tcPr>
          <w:p w14:paraId="6FA53A11" w14:textId="77777777" w:rsidR="00911C69" w:rsidRPr="00570786" w:rsidRDefault="00911C69" w:rsidP="00640C2F">
            <w:pPr>
              <w:contextualSpacing/>
              <w:jc w:val="center"/>
              <w:rPr>
                <w:rFonts w:ascii="Verdana" w:eastAsia="Times New Roman" w:hAnsi="Verdana" w:cs="Arial"/>
                <w:sz w:val="18"/>
                <w:szCs w:val="18"/>
                <w:lang w:val="es-CO" w:eastAsia="en-US"/>
              </w:rPr>
            </w:pPr>
          </w:p>
        </w:tc>
        <w:tc>
          <w:tcPr>
            <w:tcW w:w="617" w:type="dxa"/>
            <w:tcBorders>
              <w:top w:val="nil"/>
              <w:left w:val="nil"/>
              <w:bottom w:val="single" w:sz="4" w:space="0" w:color="auto"/>
              <w:right w:val="single" w:sz="4" w:space="0" w:color="auto"/>
            </w:tcBorders>
            <w:shd w:val="clear" w:color="auto" w:fill="auto"/>
            <w:noWrap/>
            <w:vAlign w:val="center"/>
            <w:hideMark/>
          </w:tcPr>
          <w:p w14:paraId="30B19251" w14:textId="77777777" w:rsidR="00911C69" w:rsidRPr="00570786" w:rsidRDefault="00911C69" w:rsidP="00640C2F">
            <w:pPr>
              <w:contextualSpacing/>
              <w:jc w:val="center"/>
              <w:rPr>
                <w:rFonts w:ascii="Verdana" w:eastAsia="Times New Roman" w:hAnsi="Verdana" w:cs="Arial"/>
                <w:sz w:val="18"/>
                <w:szCs w:val="18"/>
                <w:lang w:val="es-CO" w:eastAsia="en-US"/>
              </w:rPr>
            </w:pPr>
            <w:r w:rsidRPr="00570786">
              <w:rPr>
                <w:rFonts w:ascii="Verdana" w:eastAsia="Times New Roman" w:hAnsi="Verdana" w:cs="Arial"/>
                <w:sz w:val="18"/>
                <w:szCs w:val="18"/>
                <w:lang w:val="es-CO" w:eastAsia="en-US"/>
              </w:rPr>
              <w:t>42</w:t>
            </w:r>
          </w:p>
        </w:tc>
      </w:tr>
      <w:tr w:rsidR="00911C69" w:rsidRPr="00570786" w14:paraId="7AFEFCA9" w14:textId="77777777" w:rsidTr="00640C2F">
        <w:trPr>
          <w:trHeight w:val="264"/>
          <w:jc w:val="center"/>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6853AB60"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TOTAL</w:t>
            </w:r>
          </w:p>
        </w:tc>
        <w:tc>
          <w:tcPr>
            <w:tcW w:w="1064" w:type="dxa"/>
            <w:tcBorders>
              <w:top w:val="nil"/>
              <w:left w:val="nil"/>
              <w:bottom w:val="single" w:sz="4" w:space="0" w:color="auto"/>
              <w:right w:val="single" w:sz="4" w:space="0" w:color="auto"/>
            </w:tcBorders>
            <w:shd w:val="clear" w:color="auto" w:fill="auto"/>
            <w:noWrap/>
            <w:vAlign w:val="center"/>
            <w:hideMark/>
          </w:tcPr>
          <w:p w14:paraId="6CE27EA1"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421</w:t>
            </w:r>
          </w:p>
        </w:tc>
        <w:tc>
          <w:tcPr>
            <w:tcW w:w="1301" w:type="dxa"/>
            <w:tcBorders>
              <w:top w:val="nil"/>
              <w:left w:val="nil"/>
              <w:bottom w:val="single" w:sz="4" w:space="0" w:color="auto"/>
              <w:right w:val="single" w:sz="4" w:space="0" w:color="auto"/>
            </w:tcBorders>
            <w:shd w:val="clear" w:color="auto" w:fill="auto"/>
            <w:noWrap/>
            <w:vAlign w:val="center"/>
            <w:hideMark/>
          </w:tcPr>
          <w:p w14:paraId="4820D0E3"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510</w:t>
            </w:r>
          </w:p>
        </w:tc>
        <w:tc>
          <w:tcPr>
            <w:tcW w:w="617" w:type="dxa"/>
            <w:tcBorders>
              <w:top w:val="nil"/>
              <w:left w:val="nil"/>
              <w:bottom w:val="single" w:sz="4" w:space="0" w:color="auto"/>
              <w:right w:val="single" w:sz="4" w:space="0" w:color="auto"/>
            </w:tcBorders>
            <w:shd w:val="clear" w:color="auto" w:fill="auto"/>
            <w:noWrap/>
            <w:vAlign w:val="center"/>
            <w:hideMark/>
          </w:tcPr>
          <w:p w14:paraId="2DFA6B9C" w14:textId="77777777" w:rsidR="00911C69" w:rsidRPr="00570786" w:rsidRDefault="00911C69" w:rsidP="00640C2F">
            <w:pPr>
              <w:contextualSpacing/>
              <w:jc w:val="center"/>
              <w:rPr>
                <w:rFonts w:ascii="Verdana" w:eastAsia="Times New Roman" w:hAnsi="Verdana" w:cs="Arial"/>
                <w:b/>
                <w:bCs/>
                <w:sz w:val="18"/>
                <w:szCs w:val="18"/>
                <w:lang w:val="es-CO" w:eastAsia="en-US"/>
              </w:rPr>
            </w:pPr>
            <w:r w:rsidRPr="00570786">
              <w:rPr>
                <w:rFonts w:ascii="Verdana" w:eastAsia="Times New Roman" w:hAnsi="Verdana" w:cs="Arial"/>
                <w:b/>
                <w:bCs/>
                <w:sz w:val="18"/>
                <w:szCs w:val="18"/>
                <w:lang w:val="es-CO" w:eastAsia="en-US"/>
              </w:rPr>
              <w:t>252</w:t>
            </w:r>
          </w:p>
        </w:tc>
      </w:tr>
    </w:tbl>
    <w:p w14:paraId="232FDA0E" w14:textId="77777777" w:rsidR="00911C69" w:rsidRPr="00433E58" w:rsidRDefault="00911C69" w:rsidP="00911C69">
      <w:pPr>
        <w:contextualSpacing/>
        <w:jc w:val="center"/>
        <w:rPr>
          <w:rFonts w:ascii="Verdana" w:eastAsia="Arial" w:hAnsi="Verdana" w:cs="Arial"/>
          <w:sz w:val="20"/>
          <w:szCs w:val="20"/>
        </w:rPr>
      </w:pPr>
      <w:r w:rsidRPr="00433E58">
        <w:rPr>
          <w:rFonts w:ascii="Verdana" w:hAnsi="Verdana" w:cs="Arial"/>
          <w:sz w:val="16"/>
          <w:szCs w:val="16"/>
        </w:rPr>
        <w:t>Fuente: Alcaldía de Cota – Cundinamarca.</w:t>
      </w:r>
    </w:p>
    <w:p w14:paraId="7DCD0BE5" w14:textId="77777777" w:rsidR="00911C69" w:rsidRPr="00433E58" w:rsidRDefault="00911C69" w:rsidP="00911C69">
      <w:pPr>
        <w:contextualSpacing/>
        <w:jc w:val="both"/>
        <w:rPr>
          <w:rFonts w:ascii="Verdana" w:hAnsi="Verdana" w:cs="Arial"/>
          <w:noProof/>
          <w:sz w:val="22"/>
          <w:szCs w:val="22"/>
          <w:highlight w:val="yellow"/>
        </w:rPr>
      </w:pPr>
    </w:p>
    <w:p w14:paraId="3E4E54F7"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 xml:space="preserve">Lo anterior llama la atención porque, en las ejecuciones presupuestales de ingresos, las únicas contribuciones que aparecen son las de la Empresa Aguas de la Sabana de Bogotá S.A. E.S.P. pese a que por medio de la contabilidad del FSRI entregada por el Municipio, se vio que la Empresa COJARDÍN S.A. E.S.P. realiza transferencias por los Servicios de Acueducto, Alcantarillado y Aseo y la Empresa </w:t>
      </w:r>
      <w:proofErr w:type="spellStart"/>
      <w:r w:rsidRPr="00570786">
        <w:rPr>
          <w:rFonts w:ascii="Verdana" w:hAnsi="Verdana" w:cs="Arial"/>
          <w:sz w:val="22"/>
          <w:szCs w:val="22"/>
        </w:rPr>
        <w:t>Ecoservicios</w:t>
      </w:r>
      <w:proofErr w:type="spellEnd"/>
      <w:r w:rsidRPr="00570786">
        <w:rPr>
          <w:rFonts w:ascii="Verdana" w:hAnsi="Verdana" w:cs="Arial"/>
          <w:sz w:val="22"/>
          <w:szCs w:val="22"/>
        </w:rPr>
        <w:t xml:space="preserve"> de Occidente S.A.S. E.S.P. por el Servicio de Aseo.</w:t>
      </w:r>
    </w:p>
    <w:p w14:paraId="5E1E5C79" w14:textId="77777777" w:rsidR="00911C69" w:rsidRPr="00570786" w:rsidRDefault="00911C69" w:rsidP="00911C69">
      <w:pPr>
        <w:contextualSpacing/>
        <w:jc w:val="both"/>
        <w:rPr>
          <w:rFonts w:ascii="Verdana" w:hAnsi="Verdana" w:cs="Arial"/>
          <w:sz w:val="22"/>
          <w:szCs w:val="22"/>
        </w:rPr>
      </w:pPr>
    </w:p>
    <w:p w14:paraId="4DCE7881" w14:textId="77777777" w:rsidR="00911C69" w:rsidRPr="00570786" w:rsidRDefault="00911C69" w:rsidP="00911C69">
      <w:pPr>
        <w:contextualSpacing/>
        <w:jc w:val="both"/>
        <w:rPr>
          <w:rFonts w:ascii="Verdana" w:eastAsia="Calibri" w:hAnsi="Verdana" w:cs="Arial"/>
          <w:sz w:val="22"/>
          <w:szCs w:val="22"/>
        </w:rPr>
      </w:pPr>
      <w:r w:rsidRPr="00570786">
        <w:rPr>
          <w:rFonts w:ascii="Verdana" w:hAnsi="Verdana" w:cs="Arial"/>
          <w:sz w:val="22"/>
          <w:szCs w:val="22"/>
        </w:rPr>
        <w:t xml:space="preserve">Del mismo modo, es importante indicar que en las cuentas del Fondo de Solidaridad y Redistribución del Ingreso que se pueden ver a través de las ejecuciones presupuestales de ingresos, tampoco fue posible ver las contribuciones recaudadas por la prestación de los Servicios de Acueducto, Alcantarillado y Aseo por parte de la Empresa de Servicios Públicos de Cota EMSERCOTA S.A. E.S.P, pese a que la Ley 142 de 1994 </w:t>
      </w:r>
      <w:r w:rsidRPr="00570786">
        <w:rPr>
          <w:rFonts w:ascii="Verdana" w:eastAsia="Calibri" w:hAnsi="Verdana" w:cs="Arial"/>
          <w:sz w:val="22"/>
          <w:szCs w:val="22"/>
          <w:lang w:val="es-CO"/>
        </w:rPr>
        <w:t>establece obligaciones a los prestadores de servicios públicos, convirtiéndolos en agentes recaudadores del tributo municipal denominado “</w:t>
      </w:r>
      <w:r w:rsidRPr="00570786">
        <w:rPr>
          <w:rFonts w:ascii="Verdana" w:eastAsia="Calibri" w:hAnsi="Verdana" w:cs="Arial"/>
          <w:i/>
          <w:iCs/>
          <w:sz w:val="22"/>
          <w:szCs w:val="22"/>
          <w:lang w:val="es-CO"/>
        </w:rPr>
        <w:t>factor</w:t>
      </w:r>
      <w:r w:rsidRPr="00570786">
        <w:rPr>
          <w:rFonts w:ascii="Verdana" w:eastAsia="Calibri" w:hAnsi="Verdana" w:cs="Arial"/>
          <w:sz w:val="22"/>
          <w:szCs w:val="22"/>
          <w:lang w:val="es-CO"/>
        </w:rPr>
        <w:t>” y posteriormente “</w:t>
      </w:r>
      <w:r w:rsidRPr="00570786">
        <w:rPr>
          <w:rFonts w:ascii="Verdana" w:eastAsia="Calibri" w:hAnsi="Verdana" w:cs="Arial"/>
          <w:i/>
          <w:iCs/>
          <w:sz w:val="22"/>
          <w:szCs w:val="22"/>
          <w:lang w:val="es-CO"/>
        </w:rPr>
        <w:t>Contribución</w:t>
      </w:r>
      <w:r w:rsidRPr="00570786">
        <w:rPr>
          <w:rFonts w:ascii="Verdana" w:eastAsia="Calibri" w:hAnsi="Verdana" w:cs="Arial"/>
          <w:sz w:val="22"/>
          <w:szCs w:val="22"/>
          <w:lang w:val="es-CO"/>
        </w:rPr>
        <w:t xml:space="preserve"> </w:t>
      </w:r>
      <w:r w:rsidRPr="00570786">
        <w:rPr>
          <w:rFonts w:ascii="Verdana" w:eastAsia="Calibri" w:hAnsi="Verdana" w:cs="Arial"/>
          <w:i/>
          <w:iCs/>
          <w:sz w:val="22"/>
          <w:szCs w:val="22"/>
          <w:lang w:val="es-CO"/>
        </w:rPr>
        <w:t>Solidaria</w:t>
      </w:r>
      <w:r w:rsidRPr="00570786">
        <w:rPr>
          <w:rFonts w:ascii="Verdana" w:eastAsia="Calibri" w:hAnsi="Verdana" w:cs="Arial"/>
          <w:sz w:val="22"/>
          <w:szCs w:val="22"/>
          <w:lang w:val="es-CO"/>
        </w:rPr>
        <w:t xml:space="preserve">”, la cual debe hacer trámite presupuestal en el Municipio y específicamente en el Fondo de Solidaridad y Redistribución del Ingreso (su ejecución podría ser sin situación de fondos), para que esos recursos apliquen contablemente como fuente de los subsidios otorgados. Así mismo, cabe resaltar que, ni por medio de las ejecuciones presupuestales ni de la contabilidad de los FSRI fue posible ver contribuciones por parte de la Empresa </w:t>
      </w:r>
      <w:proofErr w:type="spellStart"/>
      <w:r w:rsidRPr="00570786">
        <w:rPr>
          <w:rFonts w:ascii="Verdana" w:eastAsia="Calibri" w:hAnsi="Verdana" w:cs="Arial"/>
          <w:sz w:val="22"/>
          <w:szCs w:val="22"/>
        </w:rPr>
        <w:t>Interaseo</w:t>
      </w:r>
      <w:proofErr w:type="spellEnd"/>
      <w:r w:rsidRPr="00570786">
        <w:rPr>
          <w:rFonts w:ascii="Verdana" w:eastAsia="Calibri" w:hAnsi="Verdana" w:cs="Arial"/>
          <w:sz w:val="22"/>
          <w:szCs w:val="22"/>
        </w:rPr>
        <w:t xml:space="preserve"> S.A.S. ESP.</w:t>
      </w:r>
    </w:p>
    <w:p w14:paraId="04F1D1F2" w14:textId="77777777" w:rsidR="00911C69" w:rsidRPr="00570786" w:rsidRDefault="00911C69" w:rsidP="00911C69">
      <w:pPr>
        <w:contextualSpacing/>
        <w:jc w:val="both"/>
        <w:rPr>
          <w:rFonts w:ascii="Verdana" w:hAnsi="Verdana" w:cs="Arial"/>
          <w:sz w:val="22"/>
          <w:szCs w:val="22"/>
        </w:rPr>
      </w:pPr>
    </w:p>
    <w:p w14:paraId="4C0FE5AA"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3.5. Plan de Gestión Integral de Residuos Sólidos -PGIRS.</w:t>
      </w:r>
    </w:p>
    <w:p w14:paraId="18EA7FCE" w14:textId="77777777" w:rsidR="00911C69" w:rsidRPr="00570786" w:rsidRDefault="00911C69" w:rsidP="00911C69">
      <w:pPr>
        <w:contextualSpacing/>
        <w:jc w:val="both"/>
        <w:rPr>
          <w:rFonts w:ascii="Verdana" w:hAnsi="Verdana" w:cs="Arial"/>
          <w:b/>
          <w:sz w:val="22"/>
          <w:szCs w:val="22"/>
        </w:rPr>
      </w:pPr>
    </w:p>
    <w:p w14:paraId="7735BB87"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 xml:space="preserve">El Plan de Gestión Integral de Residuos Sólidos es una herramienta de planificación de la prestación del Servicio de Aseo. Con el fin de evidenciar el estado de avance, el Municipio hizo entrega del documento de actualización y modificación del PGIRS 2020 </w:t>
      </w:r>
      <w:r w:rsidRPr="00570786">
        <w:rPr>
          <w:rFonts w:ascii="Verdana" w:hAnsi="Verdana" w:cs="Arial"/>
          <w:sz w:val="22"/>
          <w:szCs w:val="22"/>
        </w:rPr>
        <w:lastRenderedPageBreak/>
        <w:t>– 2027 realizado en 2019, en el marco del Contrato de Consultoría No. 790 de ese año, suscrito con la empresa P&amp;P Gestión Integral Cía. Ltda., y que tuvo lugar según este, por el no cumplimiento de programas, proyectos y actividades que a la fecha debían estar ejecutadas o en ejecución, lo cual indicó la necesidad de ajustar, adaptar o cambiar cada programa teniendo en cuenta la realidad y necesidad actual del Municipio, coherencia en tiempos de ejecución, recursos disponibles, etc.</w:t>
      </w:r>
    </w:p>
    <w:p w14:paraId="63682500" w14:textId="77777777" w:rsidR="00911C69" w:rsidRPr="00570786" w:rsidRDefault="00911C69" w:rsidP="00911C69">
      <w:pPr>
        <w:contextualSpacing/>
        <w:jc w:val="both"/>
        <w:rPr>
          <w:rFonts w:ascii="Verdana" w:hAnsi="Verdana" w:cs="Arial"/>
          <w:sz w:val="22"/>
          <w:szCs w:val="22"/>
        </w:rPr>
      </w:pPr>
    </w:p>
    <w:p w14:paraId="2D604DB0"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Por medio de la actualización y modificación del PGIRS, debido a la falta de viabilidad técnica y económica de algunas de las actividades, se suprimieron o reestructuraron algunas como: las relacionadas con el programa de educación ambiental, las cuales se eliminaron y se terminaron articulando a cada uno de los aspectos que componen el Servicio de Aseo; la relacionada con la actualización del Plan de Ordenamiento Territorial, la cual fue sustituida por la Actividad “</w:t>
      </w:r>
      <w:r w:rsidRPr="00570786">
        <w:rPr>
          <w:rFonts w:ascii="Verdana" w:hAnsi="Verdana" w:cs="Arial"/>
          <w:i/>
          <w:iCs/>
          <w:sz w:val="22"/>
          <w:szCs w:val="22"/>
        </w:rPr>
        <w:t>Articulación del PGIRS con el POT actualizado</w:t>
      </w:r>
      <w:r w:rsidRPr="00570786">
        <w:rPr>
          <w:rFonts w:ascii="Verdana" w:hAnsi="Verdana" w:cs="Arial"/>
          <w:sz w:val="22"/>
          <w:szCs w:val="22"/>
        </w:rPr>
        <w:t>”; así mismo, se incluyeron actividades como “</w:t>
      </w:r>
      <w:r w:rsidRPr="00570786">
        <w:rPr>
          <w:rFonts w:ascii="Verdana" w:hAnsi="Verdana" w:cs="Arial"/>
          <w:i/>
          <w:iCs/>
          <w:sz w:val="22"/>
          <w:szCs w:val="22"/>
        </w:rPr>
        <w:t>Reducción de la producción de plásticos de un solo uso</w:t>
      </w:r>
      <w:r w:rsidRPr="00570786">
        <w:rPr>
          <w:rFonts w:ascii="Verdana" w:hAnsi="Verdana" w:cs="Arial"/>
          <w:sz w:val="22"/>
          <w:szCs w:val="22"/>
        </w:rPr>
        <w:t>”, a través de la entrega a los usuarios de medios alternativos para el transporte de alimentos y “</w:t>
      </w:r>
      <w:r w:rsidRPr="00570786">
        <w:rPr>
          <w:rFonts w:ascii="Verdana" w:hAnsi="Verdana" w:cs="Arial"/>
          <w:i/>
          <w:iCs/>
          <w:sz w:val="22"/>
          <w:szCs w:val="22"/>
        </w:rPr>
        <w:t>Estructuración e implementación de campañas de capacitación sobre hábitos de consumo amigables con el medio ambiente</w:t>
      </w:r>
      <w:r w:rsidRPr="00570786">
        <w:rPr>
          <w:rFonts w:ascii="Verdana" w:hAnsi="Verdana" w:cs="Arial"/>
          <w:sz w:val="22"/>
          <w:szCs w:val="22"/>
        </w:rPr>
        <w:t>”; entre otras.</w:t>
      </w:r>
    </w:p>
    <w:p w14:paraId="629126DC" w14:textId="77777777" w:rsidR="00911C69" w:rsidRPr="00570786" w:rsidRDefault="00911C69" w:rsidP="00911C69">
      <w:pPr>
        <w:contextualSpacing/>
        <w:jc w:val="both"/>
        <w:rPr>
          <w:rFonts w:ascii="Verdana" w:hAnsi="Verdana" w:cs="Arial"/>
          <w:sz w:val="22"/>
          <w:szCs w:val="22"/>
        </w:rPr>
      </w:pPr>
    </w:p>
    <w:p w14:paraId="758CC286"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Adicionalmente, el Municipio entregó copia del Decreto No. 194 del 26 de diciembre de 2019, por medio del cual se adoptó dicha actualización y modificación del PGIRS en el Municipio de Cota – Cundinamarca y anexó copia del Contrato Interadministrativo No. 011 del 1 de marzo de 2021 cuyo objeto es “</w:t>
      </w:r>
      <w:r w:rsidRPr="00570786">
        <w:rPr>
          <w:rFonts w:ascii="Verdana" w:hAnsi="Verdana" w:cs="Arial"/>
          <w:i/>
          <w:iCs/>
          <w:sz w:val="22"/>
          <w:szCs w:val="22"/>
        </w:rPr>
        <w:t>Aunar esfuerzos técnicos, operativos, administrativos y financieros entre el Municipio de Cota Cundinamarca y la Empresa de Servicios Públicos EMSERCOTA S.A. E.S.P. para realizar actividades de ejecución de programas contenidos en el Plan de Gestión Integral de Residuos Sólidos PGIRS, del Municipio de Cota Cundinamarca</w:t>
      </w:r>
      <w:r w:rsidRPr="00570786">
        <w:rPr>
          <w:rFonts w:ascii="Verdana" w:hAnsi="Verdana" w:cs="Arial"/>
          <w:sz w:val="22"/>
          <w:szCs w:val="22"/>
        </w:rPr>
        <w:t>”, con un plazo de ejecución de 10 meses y por valor de $1.026 millones ($1.016 por parte del Municipio con fuente denominada 110101 “</w:t>
      </w:r>
      <w:r w:rsidRPr="00570786">
        <w:rPr>
          <w:rFonts w:ascii="Verdana" w:hAnsi="Verdana" w:cs="Arial"/>
          <w:i/>
          <w:iCs/>
          <w:sz w:val="22"/>
          <w:szCs w:val="22"/>
        </w:rPr>
        <w:t>Libre de impuestos</w:t>
      </w:r>
      <w:r w:rsidRPr="00570786">
        <w:rPr>
          <w:rFonts w:ascii="Verdana" w:hAnsi="Verdana" w:cs="Arial"/>
          <w:sz w:val="22"/>
          <w:szCs w:val="22"/>
        </w:rPr>
        <w:t>” y $10 millones de EMSERCOTA – Recursos Propios).</w:t>
      </w:r>
    </w:p>
    <w:p w14:paraId="340F9181" w14:textId="77777777" w:rsidR="00911C69" w:rsidRPr="00570786" w:rsidRDefault="00911C69" w:rsidP="00911C69">
      <w:pPr>
        <w:contextualSpacing/>
        <w:jc w:val="both"/>
        <w:rPr>
          <w:rFonts w:ascii="Verdana" w:hAnsi="Verdana" w:cs="Arial"/>
          <w:sz w:val="22"/>
          <w:szCs w:val="22"/>
        </w:rPr>
      </w:pPr>
    </w:p>
    <w:p w14:paraId="544DE165" w14:textId="77777777" w:rsidR="00911C69" w:rsidRPr="00570786" w:rsidRDefault="00911C69" w:rsidP="00911C69">
      <w:pPr>
        <w:contextualSpacing/>
        <w:jc w:val="both"/>
        <w:rPr>
          <w:rFonts w:ascii="Verdana" w:hAnsi="Verdana" w:cs="Arial"/>
          <w:sz w:val="22"/>
          <w:szCs w:val="22"/>
        </w:rPr>
      </w:pPr>
      <w:r w:rsidRPr="00570786">
        <w:rPr>
          <w:rFonts w:ascii="Verdana" w:hAnsi="Verdana" w:cs="Arial"/>
          <w:sz w:val="22"/>
          <w:szCs w:val="22"/>
        </w:rPr>
        <w:t>Igualmente, la Entidad Territorial entregó copia del quinto informe bimestral del Contrato Interadministrativo No. 011, cuya fecha de corte es el 31 de diciembre de 2021 y por medio del cual, se pudo evidenciar la ejecución técnica y financiera de los programas y proyectos que hacen parte de este, como: recolección y transporte, barrido y limpieza de vías y áreas públicas, Inclusión de recuperadores, disposición final, residuos especiales y educación ambiental, los cuales a esa fecha presentaban un alto porcentaje de ejecución, mientras que programas como residuos de construcción y demolición, corte de césped y poda de árboles y gestión de residuos en el área rural, presentaban porcentajes de ejecución más bajos.</w:t>
      </w:r>
    </w:p>
    <w:p w14:paraId="4ACCD03C" w14:textId="77777777" w:rsidR="00911C69" w:rsidRDefault="00911C69" w:rsidP="00911C69">
      <w:pPr>
        <w:contextualSpacing/>
        <w:jc w:val="both"/>
        <w:rPr>
          <w:rFonts w:ascii="Verdana" w:hAnsi="Verdana" w:cs="Arial"/>
          <w:b/>
          <w:sz w:val="22"/>
          <w:szCs w:val="22"/>
        </w:rPr>
      </w:pPr>
    </w:p>
    <w:p w14:paraId="2E5D60E5" w14:textId="77777777" w:rsidR="00AB0D36" w:rsidRDefault="00AB0D36" w:rsidP="00911C69">
      <w:pPr>
        <w:contextualSpacing/>
        <w:jc w:val="both"/>
        <w:rPr>
          <w:rFonts w:ascii="Verdana" w:hAnsi="Verdana" w:cs="Arial"/>
          <w:b/>
          <w:sz w:val="22"/>
          <w:szCs w:val="22"/>
        </w:rPr>
      </w:pPr>
    </w:p>
    <w:p w14:paraId="4F5AF587" w14:textId="77777777" w:rsidR="00AB0D36" w:rsidRDefault="00AB0D36" w:rsidP="00911C69">
      <w:pPr>
        <w:contextualSpacing/>
        <w:jc w:val="both"/>
        <w:rPr>
          <w:rFonts w:ascii="Verdana" w:hAnsi="Verdana" w:cs="Arial"/>
          <w:b/>
          <w:sz w:val="22"/>
          <w:szCs w:val="22"/>
        </w:rPr>
      </w:pPr>
    </w:p>
    <w:p w14:paraId="6F8A08B1" w14:textId="77777777" w:rsidR="00AB0D36" w:rsidRDefault="00AB0D36" w:rsidP="00911C69">
      <w:pPr>
        <w:contextualSpacing/>
        <w:jc w:val="both"/>
        <w:rPr>
          <w:rFonts w:ascii="Verdana" w:hAnsi="Verdana" w:cs="Arial"/>
          <w:b/>
          <w:sz w:val="22"/>
          <w:szCs w:val="22"/>
        </w:rPr>
      </w:pPr>
    </w:p>
    <w:p w14:paraId="1D7C678A" w14:textId="77777777" w:rsidR="00AB0D36" w:rsidRPr="00570786" w:rsidRDefault="00AB0D36" w:rsidP="00911C69">
      <w:pPr>
        <w:contextualSpacing/>
        <w:jc w:val="both"/>
        <w:rPr>
          <w:rFonts w:ascii="Verdana" w:hAnsi="Verdana" w:cs="Arial"/>
          <w:b/>
          <w:sz w:val="22"/>
          <w:szCs w:val="22"/>
        </w:rPr>
      </w:pPr>
    </w:p>
    <w:p w14:paraId="489CC8B6" w14:textId="77777777" w:rsidR="00911C69" w:rsidRPr="00570786" w:rsidRDefault="00911C69" w:rsidP="00911C69">
      <w:pPr>
        <w:contextualSpacing/>
        <w:jc w:val="both"/>
        <w:rPr>
          <w:rFonts w:ascii="Verdana" w:hAnsi="Verdana" w:cs="Arial"/>
          <w:b/>
          <w:sz w:val="22"/>
          <w:szCs w:val="22"/>
        </w:rPr>
      </w:pPr>
      <w:r w:rsidRPr="00570786">
        <w:rPr>
          <w:rFonts w:ascii="Verdana" w:hAnsi="Verdana" w:cs="Arial"/>
          <w:b/>
          <w:sz w:val="22"/>
          <w:szCs w:val="22"/>
        </w:rPr>
        <w:t>3.6. Plan de Inversión tarifaria.</w:t>
      </w:r>
    </w:p>
    <w:p w14:paraId="41CCD512" w14:textId="77777777" w:rsidR="00911C69" w:rsidRPr="00570786" w:rsidRDefault="00911C69" w:rsidP="00911C69">
      <w:pPr>
        <w:contextualSpacing/>
        <w:jc w:val="both"/>
        <w:rPr>
          <w:rFonts w:ascii="Verdana" w:hAnsi="Verdana" w:cs="Arial"/>
          <w:b/>
          <w:sz w:val="22"/>
          <w:szCs w:val="22"/>
        </w:rPr>
      </w:pPr>
    </w:p>
    <w:p w14:paraId="6A16DD0B" w14:textId="77777777" w:rsidR="00911C69" w:rsidRPr="00570786" w:rsidRDefault="00911C69" w:rsidP="00911C69">
      <w:pPr>
        <w:contextualSpacing/>
        <w:jc w:val="both"/>
        <w:rPr>
          <w:rFonts w:ascii="Verdana" w:hAnsi="Verdana" w:cs="Arial"/>
          <w:bCs/>
          <w:sz w:val="22"/>
          <w:szCs w:val="22"/>
        </w:rPr>
      </w:pPr>
      <w:r w:rsidRPr="00570786">
        <w:rPr>
          <w:rFonts w:ascii="Verdana" w:hAnsi="Verdana" w:cs="Arial"/>
          <w:bCs/>
          <w:sz w:val="22"/>
          <w:szCs w:val="22"/>
        </w:rPr>
        <w:t>La Entidad Territorial hizo entrega del Plan de Inversión Tarifaria de la Empresa EMSERCOTA S.A. E.S.P. (julio 2016 – junio 2026) para los Servicios de Acueducto y Alcantarillado, el cual se resume en los siguientes cuadros:</w:t>
      </w:r>
    </w:p>
    <w:p w14:paraId="0A2AD01B" w14:textId="77777777" w:rsidR="006764D4" w:rsidRPr="00570786" w:rsidRDefault="006764D4" w:rsidP="00911C69">
      <w:pPr>
        <w:contextualSpacing/>
        <w:jc w:val="both"/>
        <w:rPr>
          <w:rFonts w:ascii="Verdana" w:hAnsi="Verdana" w:cs="Arial"/>
          <w:bCs/>
          <w:sz w:val="22"/>
          <w:szCs w:val="22"/>
        </w:rPr>
      </w:pPr>
    </w:p>
    <w:p w14:paraId="277E5EDF" w14:textId="77777777" w:rsidR="00911C69" w:rsidRPr="00570786" w:rsidRDefault="00911C69" w:rsidP="00911C69">
      <w:pPr>
        <w:contextualSpacing/>
        <w:jc w:val="center"/>
        <w:rPr>
          <w:rFonts w:ascii="Verdana" w:hAnsi="Verdana" w:cs="Arial"/>
          <w:bCs/>
          <w:sz w:val="22"/>
          <w:szCs w:val="22"/>
        </w:rPr>
      </w:pPr>
      <w:r w:rsidRPr="00570786">
        <w:rPr>
          <w:rFonts w:ascii="Verdana" w:hAnsi="Verdana" w:cs="Arial"/>
          <w:b/>
          <w:sz w:val="22"/>
          <w:szCs w:val="22"/>
        </w:rPr>
        <w:t>Cuadro No. 8</w:t>
      </w:r>
      <w:r w:rsidRPr="00570786">
        <w:rPr>
          <w:rFonts w:ascii="Verdana" w:hAnsi="Verdana" w:cs="Arial"/>
          <w:sz w:val="22"/>
          <w:szCs w:val="22"/>
        </w:rPr>
        <w:t xml:space="preserve"> Plan de Inversiones en Acueducto 2016-2026 (cifras en millones de pesos)</w:t>
      </w:r>
    </w:p>
    <w:p w14:paraId="360A5A4B" w14:textId="77777777" w:rsidR="00911C69" w:rsidRPr="00433E58" w:rsidRDefault="00AD7C3E" w:rsidP="00911C69">
      <w:pPr>
        <w:contextualSpacing/>
        <w:jc w:val="center"/>
        <w:rPr>
          <w:rFonts w:ascii="Verdana" w:hAnsi="Verdana" w:cs="Arial"/>
          <w:b/>
          <w:sz w:val="22"/>
          <w:szCs w:val="22"/>
        </w:rPr>
      </w:pPr>
      <w:r w:rsidRPr="00AD7C3E">
        <w:rPr>
          <w:noProof/>
          <w:lang w:val="es-CO" w:eastAsia="es-CO"/>
        </w:rPr>
        <w:drawing>
          <wp:inline distT="0" distB="0" distL="0" distR="0" wp14:anchorId="2A537C3B" wp14:editId="5FD1BA46">
            <wp:extent cx="5972175" cy="2642235"/>
            <wp:effectExtent l="0" t="0" r="9525" b="5715"/>
            <wp:docPr id="565357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2642235"/>
                    </a:xfrm>
                    <a:prstGeom prst="rect">
                      <a:avLst/>
                    </a:prstGeom>
                    <a:noFill/>
                    <a:ln>
                      <a:noFill/>
                    </a:ln>
                  </pic:spPr>
                </pic:pic>
              </a:graphicData>
            </a:graphic>
          </wp:inline>
        </w:drawing>
      </w:r>
      <w:r w:rsidR="00911C69" w:rsidRPr="00433E58">
        <w:rPr>
          <w:rFonts w:ascii="Verdana" w:hAnsi="Verdana" w:cs="Arial"/>
          <w:sz w:val="16"/>
          <w:szCs w:val="16"/>
        </w:rPr>
        <w:t>Fuente: Plan de Inversión tarifaria resumen.</w:t>
      </w:r>
    </w:p>
    <w:p w14:paraId="4636BB73" w14:textId="77777777" w:rsidR="00911C69" w:rsidRPr="00433E58" w:rsidRDefault="00911C69" w:rsidP="00911C69">
      <w:pPr>
        <w:contextualSpacing/>
        <w:jc w:val="both"/>
        <w:rPr>
          <w:rFonts w:ascii="Verdana" w:hAnsi="Verdana" w:cs="Arial"/>
          <w:b/>
          <w:sz w:val="22"/>
          <w:szCs w:val="22"/>
        </w:rPr>
      </w:pPr>
    </w:p>
    <w:p w14:paraId="3CC1FA34" w14:textId="77777777" w:rsidR="00911C69" w:rsidRPr="00264E65" w:rsidRDefault="00911C69" w:rsidP="00911C69">
      <w:pPr>
        <w:contextualSpacing/>
        <w:jc w:val="both"/>
        <w:rPr>
          <w:rFonts w:ascii="Verdana" w:hAnsi="Verdana" w:cs="Arial"/>
          <w:bCs/>
          <w:sz w:val="22"/>
          <w:szCs w:val="22"/>
        </w:rPr>
      </w:pPr>
      <w:r w:rsidRPr="00264E65">
        <w:rPr>
          <w:rFonts w:ascii="Verdana" w:hAnsi="Verdana" w:cs="Arial"/>
          <w:bCs/>
          <w:sz w:val="22"/>
          <w:szCs w:val="22"/>
        </w:rPr>
        <w:t>Como se puede ver en el Cuadro anterior, el Plan de Inversión Tarifaria para el Servicio de Acueducto incluye actividades enmarcadas en los subsistemas de Producción, Transporte y Distribución de agua potable.</w:t>
      </w:r>
    </w:p>
    <w:p w14:paraId="78A8650B" w14:textId="77777777" w:rsidR="00911C69" w:rsidRPr="00264E65" w:rsidRDefault="00911C69" w:rsidP="00911C69">
      <w:pPr>
        <w:contextualSpacing/>
        <w:jc w:val="both"/>
        <w:rPr>
          <w:rFonts w:ascii="Verdana" w:hAnsi="Verdana" w:cs="Arial"/>
          <w:bCs/>
          <w:sz w:val="22"/>
          <w:szCs w:val="22"/>
        </w:rPr>
      </w:pPr>
    </w:p>
    <w:p w14:paraId="6F395420" w14:textId="77777777" w:rsidR="00911C69" w:rsidRPr="00264E65" w:rsidRDefault="00911C69" w:rsidP="00911C69">
      <w:pPr>
        <w:contextualSpacing/>
        <w:jc w:val="center"/>
        <w:rPr>
          <w:rFonts w:ascii="Verdana" w:hAnsi="Verdana" w:cs="Arial"/>
          <w:sz w:val="22"/>
          <w:szCs w:val="22"/>
        </w:rPr>
      </w:pPr>
      <w:r w:rsidRPr="00264E65">
        <w:rPr>
          <w:rFonts w:ascii="Verdana" w:hAnsi="Verdana" w:cs="Arial"/>
          <w:b/>
          <w:sz w:val="22"/>
          <w:szCs w:val="22"/>
        </w:rPr>
        <w:t>Cuadro No. 9</w:t>
      </w:r>
      <w:r w:rsidRPr="00264E65">
        <w:rPr>
          <w:rFonts w:ascii="Verdana" w:hAnsi="Verdana" w:cs="Arial"/>
          <w:sz w:val="22"/>
          <w:szCs w:val="22"/>
        </w:rPr>
        <w:t xml:space="preserve"> Plan de Inversiones en Alcantarillado 2016-2026 (cifras en millones de pesos).</w:t>
      </w:r>
    </w:p>
    <w:p w14:paraId="055D36A8" w14:textId="77777777" w:rsidR="00911C69" w:rsidRPr="00433E58" w:rsidRDefault="00AD7C3E" w:rsidP="00911C69">
      <w:pPr>
        <w:contextualSpacing/>
        <w:jc w:val="center"/>
        <w:rPr>
          <w:rFonts w:ascii="Verdana" w:hAnsi="Verdana" w:cs="Arial"/>
          <w:sz w:val="22"/>
          <w:szCs w:val="22"/>
        </w:rPr>
      </w:pPr>
      <w:r w:rsidRPr="00AD7C3E">
        <w:rPr>
          <w:noProof/>
          <w:lang w:val="es-CO" w:eastAsia="es-CO"/>
        </w:rPr>
        <w:lastRenderedPageBreak/>
        <w:drawing>
          <wp:inline distT="0" distB="0" distL="0" distR="0" wp14:anchorId="0BE3FD47" wp14:editId="44784B35">
            <wp:extent cx="4190141" cy="1687195"/>
            <wp:effectExtent l="0" t="0" r="1270" b="8255"/>
            <wp:docPr id="20240146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7837" cy="1710427"/>
                    </a:xfrm>
                    <a:prstGeom prst="rect">
                      <a:avLst/>
                    </a:prstGeom>
                    <a:noFill/>
                    <a:ln>
                      <a:noFill/>
                    </a:ln>
                  </pic:spPr>
                </pic:pic>
              </a:graphicData>
            </a:graphic>
          </wp:inline>
        </w:drawing>
      </w:r>
    </w:p>
    <w:p w14:paraId="64067537" w14:textId="77777777" w:rsidR="00911C69" w:rsidRPr="00433E58" w:rsidRDefault="00911C69" w:rsidP="00911C69">
      <w:pPr>
        <w:contextualSpacing/>
        <w:jc w:val="center"/>
        <w:rPr>
          <w:rFonts w:ascii="Verdana" w:hAnsi="Verdana" w:cs="Arial"/>
          <w:b/>
          <w:sz w:val="22"/>
          <w:szCs w:val="22"/>
        </w:rPr>
      </w:pPr>
      <w:r w:rsidRPr="00433E58">
        <w:rPr>
          <w:rFonts w:ascii="Verdana" w:hAnsi="Verdana" w:cs="Arial"/>
          <w:sz w:val="16"/>
          <w:szCs w:val="16"/>
        </w:rPr>
        <w:t>Fuente: Plan de Inversión tarifaria resumen. Cifras en millones de pesos.</w:t>
      </w:r>
    </w:p>
    <w:p w14:paraId="66CBA2EF" w14:textId="77777777" w:rsidR="00911C69" w:rsidRPr="00433E58" w:rsidRDefault="00911C69" w:rsidP="00911C69">
      <w:pPr>
        <w:contextualSpacing/>
        <w:jc w:val="both"/>
        <w:rPr>
          <w:rFonts w:ascii="Verdana" w:hAnsi="Verdana" w:cs="Arial"/>
          <w:b/>
          <w:sz w:val="22"/>
          <w:szCs w:val="22"/>
        </w:rPr>
      </w:pPr>
    </w:p>
    <w:p w14:paraId="2D369081" w14:textId="77777777" w:rsidR="00911C69" w:rsidRPr="00264E65" w:rsidRDefault="00911C69" w:rsidP="00911C69">
      <w:pPr>
        <w:contextualSpacing/>
        <w:jc w:val="both"/>
        <w:rPr>
          <w:rFonts w:ascii="Verdana" w:hAnsi="Verdana" w:cs="Arial"/>
          <w:bCs/>
          <w:sz w:val="22"/>
          <w:szCs w:val="22"/>
        </w:rPr>
      </w:pPr>
      <w:r w:rsidRPr="00264E65">
        <w:rPr>
          <w:rFonts w:ascii="Verdana" w:hAnsi="Verdana" w:cs="Arial"/>
          <w:bCs/>
          <w:sz w:val="22"/>
          <w:szCs w:val="22"/>
        </w:rPr>
        <w:t>Y como muestra el Cuadro No. 9, el Plan de Inversión Tarifaria para el Servicio de Alcantarillado incluye actividades enmarcadas en los subsistemas de Recolección y transporte de aguas residuales y Tratamiento y/o disposición de aguas residuales</w:t>
      </w:r>
    </w:p>
    <w:p w14:paraId="21526B00" w14:textId="77777777" w:rsidR="00911C69" w:rsidRPr="00264E65" w:rsidRDefault="00911C69" w:rsidP="00911C69">
      <w:pPr>
        <w:contextualSpacing/>
        <w:jc w:val="both"/>
        <w:rPr>
          <w:rFonts w:ascii="Verdana" w:hAnsi="Verdana" w:cs="Arial"/>
          <w:b/>
          <w:sz w:val="22"/>
          <w:szCs w:val="22"/>
        </w:rPr>
      </w:pPr>
    </w:p>
    <w:p w14:paraId="71DF9313"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3.7. Comité de Desarrollo y Control Social.</w:t>
      </w:r>
    </w:p>
    <w:p w14:paraId="291A22F6" w14:textId="77777777" w:rsidR="00911C69" w:rsidRPr="00264E65" w:rsidRDefault="00911C69" w:rsidP="00911C69">
      <w:pPr>
        <w:contextualSpacing/>
        <w:jc w:val="both"/>
        <w:rPr>
          <w:rFonts w:ascii="Verdana" w:hAnsi="Verdana" w:cs="Arial"/>
          <w:bCs/>
          <w:sz w:val="22"/>
          <w:szCs w:val="22"/>
        </w:rPr>
      </w:pPr>
    </w:p>
    <w:p w14:paraId="6ABBEFF0" w14:textId="77777777" w:rsidR="00911C69" w:rsidRPr="00264E65" w:rsidRDefault="00911C69" w:rsidP="00911C69">
      <w:pPr>
        <w:pStyle w:val="Default"/>
        <w:contextualSpacing/>
        <w:jc w:val="both"/>
        <w:rPr>
          <w:rFonts w:ascii="Verdana" w:eastAsia="MS Mincho" w:hAnsi="Verdana"/>
          <w:bCs/>
          <w:color w:val="auto"/>
          <w:sz w:val="22"/>
          <w:szCs w:val="22"/>
          <w:lang w:val="es-ES"/>
        </w:rPr>
      </w:pPr>
      <w:r w:rsidRPr="00264E65">
        <w:rPr>
          <w:rFonts w:ascii="Verdana" w:eastAsia="MS Mincho" w:hAnsi="Verdana"/>
          <w:bCs/>
          <w:color w:val="auto"/>
          <w:sz w:val="22"/>
          <w:szCs w:val="22"/>
          <w:lang w:val="es-ES"/>
        </w:rPr>
        <w:t>La Entidad Territorial allegó la lista de asistencia y el Acta de Reunión No. 01 del 17 de febrero de 2022 la cual tenía como objeto la “</w:t>
      </w:r>
      <w:r w:rsidRPr="00264E65">
        <w:rPr>
          <w:rFonts w:ascii="Verdana" w:eastAsia="MS Mincho" w:hAnsi="Verdana"/>
          <w:bCs/>
          <w:i/>
          <w:iCs/>
          <w:color w:val="auto"/>
          <w:sz w:val="22"/>
          <w:szCs w:val="22"/>
          <w:lang w:val="es-ES"/>
        </w:rPr>
        <w:t>Conformación del Comité de usuarios de servicios públicos para la vigilancia de las empresas prestadoras de los servicios públicos, según Sentencia del Rio Bogotá</w:t>
      </w:r>
      <w:r w:rsidRPr="00264E65">
        <w:rPr>
          <w:rFonts w:ascii="Verdana" w:eastAsia="MS Mincho" w:hAnsi="Verdana"/>
          <w:bCs/>
          <w:color w:val="auto"/>
          <w:sz w:val="22"/>
          <w:szCs w:val="22"/>
          <w:lang w:val="es-ES"/>
        </w:rPr>
        <w:t>”. A través de dicha reunión, que convocó a personal de la Alcaldía y de la comunidad, se nombraron tres representantes de esta última por medio de votación.</w:t>
      </w:r>
    </w:p>
    <w:p w14:paraId="46F0A959" w14:textId="77777777" w:rsidR="00911C69" w:rsidRPr="00264E65" w:rsidRDefault="00911C69" w:rsidP="00911C69">
      <w:pPr>
        <w:contextualSpacing/>
        <w:jc w:val="both"/>
        <w:rPr>
          <w:rFonts w:ascii="Verdana" w:hAnsi="Verdana" w:cs="Arial"/>
          <w:bCs/>
          <w:sz w:val="22"/>
          <w:szCs w:val="22"/>
        </w:rPr>
      </w:pPr>
    </w:p>
    <w:p w14:paraId="199D8909" w14:textId="77777777" w:rsidR="00911C69" w:rsidRPr="00264E65" w:rsidRDefault="00911C69" w:rsidP="00911C69">
      <w:pPr>
        <w:contextualSpacing/>
        <w:jc w:val="both"/>
        <w:rPr>
          <w:rFonts w:ascii="Verdana" w:hAnsi="Verdana" w:cs="Arial"/>
          <w:bCs/>
          <w:sz w:val="22"/>
          <w:szCs w:val="22"/>
        </w:rPr>
      </w:pPr>
      <w:r w:rsidRPr="00264E65">
        <w:rPr>
          <w:rFonts w:ascii="Verdana" w:hAnsi="Verdana" w:cs="Arial"/>
          <w:bCs/>
          <w:sz w:val="22"/>
          <w:szCs w:val="22"/>
        </w:rPr>
        <w:t>Sin embargo, si bien el Comité al que hace referencia el Acta de Reunión es un mecanismo de participación ciudadana en la vigilancia de las empresas prestadoras de los servicios públicos, cabe indicar que el Comité de Desarrollo y Control Social al que alude este apartado es el que fue reglamentado a través del Decreto 1429 del 25 de agosto de 1995, el cual dispuso que estos se deben conformar con el fin de organizar la participación comunitaria en la vigilancia de la gestión y en la fiscalización de las entidades de carácter privado, oficial o mixto, que presten los Servicios Públicos Domiciliarios de Acueducto, Alcantarillado, Aseo, Energía Eléctrica, Distribución de Gas Combustible por Red, Telefonía Fija Pública Básica Conmutada y Telefonía Local Móvil en el sector rural y de acuerdo con lo establecido por el artículo 62 de la Ley 142 de 1994, se conformarán a iniciativa de un número plural de usuarios, suscriptores o suscriptores potenciales de uno o varios de los citados servicios públicos domiciliarios, en todos los municipios.</w:t>
      </w:r>
    </w:p>
    <w:p w14:paraId="4B9EDF9B" w14:textId="77777777" w:rsidR="00911C69" w:rsidRPr="00264E65" w:rsidRDefault="00911C69" w:rsidP="00911C69">
      <w:pPr>
        <w:contextualSpacing/>
        <w:jc w:val="both"/>
        <w:rPr>
          <w:rFonts w:ascii="Verdana" w:hAnsi="Verdana" w:cs="Arial"/>
          <w:bCs/>
          <w:sz w:val="22"/>
          <w:szCs w:val="22"/>
        </w:rPr>
      </w:pPr>
    </w:p>
    <w:p w14:paraId="28F52623"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3.8. Plan Departamental de Aguas (PAP – PDA).</w:t>
      </w:r>
    </w:p>
    <w:p w14:paraId="5FC4C49C" w14:textId="77777777" w:rsidR="00911C69" w:rsidRPr="00264E65" w:rsidRDefault="00911C69" w:rsidP="00911C69">
      <w:pPr>
        <w:contextualSpacing/>
        <w:jc w:val="both"/>
        <w:rPr>
          <w:rFonts w:ascii="Verdana" w:hAnsi="Verdana" w:cs="Arial"/>
          <w:sz w:val="22"/>
          <w:szCs w:val="22"/>
        </w:rPr>
      </w:pPr>
    </w:p>
    <w:p w14:paraId="1AB781D8"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lastRenderedPageBreak/>
        <w:t xml:space="preserve">El Municipio hizo entrega de un documento a través del cual, el </w:t>
      </w:r>
      <w:proofErr w:type="gramStart"/>
      <w:r w:rsidRPr="00264E65">
        <w:rPr>
          <w:rFonts w:ascii="Verdana" w:hAnsi="Verdana" w:cs="Arial"/>
          <w:sz w:val="22"/>
          <w:szCs w:val="22"/>
        </w:rPr>
        <w:t>Alcalde</w:t>
      </w:r>
      <w:proofErr w:type="gramEnd"/>
      <w:r w:rsidRPr="00264E65">
        <w:rPr>
          <w:rFonts w:ascii="Verdana" w:hAnsi="Verdana" w:cs="Arial"/>
          <w:sz w:val="22"/>
          <w:szCs w:val="22"/>
        </w:rPr>
        <w:t xml:space="preserve"> del Municipio de Cota y la respectiva Secretaria de Hacienda, certifican que “</w:t>
      </w:r>
      <w:r w:rsidRPr="00264E65">
        <w:rPr>
          <w:rFonts w:ascii="Verdana" w:hAnsi="Verdana" w:cs="Arial"/>
          <w:i/>
          <w:iCs/>
          <w:sz w:val="22"/>
          <w:szCs w:val="22"/>
        </w:rPr>
        <w:t xml:space="preserve">El Municipio de Cota, Cundinamarca identificado con </w:t>
      </w:r>
      <w:proofErr w:type="spellStart"/>
      <w:r w:rsidRPr="00264E65">
        <w:rPr>
          <w:rFonts w:ascii="Verdana" w:hAnsi="Verdana" w:cs="Arial"/>
          <w:i/>
          <w:iCs/>
          <w:sz w:val="22"/>
          <w:szCs w:val="22"/>
        </w:rPr>
        <w:t>Nit</w:t>
      </w:r>
      <w:proofErr w:type="spellEnd"/>
      <w:r w:rsidRPr="00264E65">
        <w:rPr>
          <w:rFonts w:ascii="Verdana" w:hAnsi="Verdana" w:cs="Arial"/>
          <w:i/>
          <w:iCs/>
          <w:sz w:val="22"/>
          <w:szCs w:val="22"/>
        </w:rPr>
        <w:t xml:space="preserve"> 899999705-3, no se encuentra afiliado al Plan Departamental de Aguas (PDA), razón por la cual el municipio recibe el 100% de los recursos de la transferencia del Sistema General de Participaciones de destinación específica del Sector de Agua Potable y Saneamiento Básico</w:t>
      </w:r>
      <w:r w:rsidRPr="00264E65">
        <w:rPr>
          <w:rFonts w:ascii="Verdana" w:hAnsi="Verdana" w:cs="Arial"/>
          <w:sz w:val="22"/>
          <w:szCs w:val="22"/>
        </w:rPr>
        <w:t>”.</w:t>
      </w:r>
    </w:p>
    <w:p w14:paraId="0CFD07E6" w14:textId="77777777" w:rsidR="00911C69" w:rsidRPr="00264E65" w:rsidRDefault="00911C69" w:rsidP="00911C69">
      <w:pPr>
        <w:contextualSpacing/>
        <w:jc w:val="both"/>
        <w:rPr>
          <w:rFonts w:ascii="Verdana" w:hAnsi="Verdana" w:cs="Arial"/>
          <w:b/>
          <w:sz w:val="22"/>
          <w:szCs w:val="22"/>
        </w:rPr>
      </w:pPr>
    </w:p>
    <w:p w14:paraId="6224C085" w14:textId="77777777" w:rsidR="00911C69" w:rsidRPr="00264E65" w:rsidRDefault="00911C69" w:rsidP="00911C69">
      <w:pPr>
        <w:pStyle w:val="Prrafodelista"/>
        <w:numPr>
          <w:ilvl w:val="0"/>
          <w:numId w:val="17"/>
        </w:numPr>
        <w:tabs>
          <w:tab w:val="num" w:pos="851"/>
        </w:tabs>
        <w:jc w:val="both"/>
        <w:rPr>
          <w:rFonts w:ascii="Verdana" w:hAnsi="Verdana" w:cs="Arial"/>
          <w:b/>
          <w:sz w:val="22"/>
          <w:szCs w:val="22"/>
        </w:rPr>
      </w:pPr>
      <w:r w:rsidRPr="00264E65">
        <w:rPr>
          <w:rFonts w:ascii="Verdana" w:hAnsi="Verdana" w:cs="Arial"/>
          <w:b/>
          <w:sz w:val="22"/>
          <w:szCs w:val="22"/>
        </w:rPr>
        <w:t xml:space="preserve"> Plan de Desarrollo (Líneas Base del Sector).</w:t>
      </w:r>
    </w:p>
    <w:p w14:paraId="36FA9079" w14:textId="77777777" w:rsidR="00911C69" w:rsidRPr="00264E65" w:rsidRDefault="00911C69" w:rsidP="00911C69">
      <w:pPr>
        <w:contextualSpacing/>
        <w:jc w:val="both"/>
        <w:rPr>
          <w:rFonts w:ascii="Verdana" w:hAnsi="Verdana" w:cs="Arial"/>
          <w:bCs/>
          <w:sz w:val="22"/>
          <w:szCs w:val="22"/>
        </w:rPr>
      </w:pPr>
    </w:p>
    <w:p w14:paraId="458549D9" w14:textId="77777777" w:rsidR="00911C69" w:rsidRPr="00264E65" w:rsidRDefault="00911C69" w:rsidP="00911C69">
      <w:pPr>
        <w:contextualSpacing/>
        <w:jc w:val="both"/>
        <w:rPr>
          <w:rFonts w:ascii="Verdana" w:hAnsi="Verdana" w:cs="Arial"/>
          <w:sz w:val="22"/>
          <w:szCs w:val="22"/>
        </w:rPr>
      </w:pPr>
      <w:r w:rsidRPr="00264E65">
        <w:rPr>
          <w:rFonts w:ascii="Verdana" w:eastAsia="Calibri" w:hAnsi="Verdana" w:cs="Arial"/>
          <w:sz w:val="22"/>
          <w:szCs w:val="22"/>
          <w:lang w:val="es-CO" w:eastAsia="en-US"/>
        </w:rPr>
        <w:t>E</w:t>
      </w:r>
      <w:r w:rsidRPr="00264E65">
        <w:rPr>
          <w:rFonts w:ascii="Verdana" w:hAnsi="Verdana" w:cs="Arial"/>
          <w:sz w:val="22"/>
          <w:szCs w:val="22"/>
        </w:rPr>
        <w:t>l Municipio entregó copia del Acuerdo No. 07 del 30 de mayo de 2020, a través del cual de adoptó el Plan de Desarrollo Municipal “</w:t>
      </w:r>
      <w:r w:rsidRPr="00264E65">
        <w:rPr>
          <w:rFonts w:ascii="Verdana" w:hAnsi="Verdana" w:cs="Arial"/>
          <w:i/>
          <w:iCs/>
          <w:sz w:val="22"/>
          <w:szCs w:val="22"/>
        </w:rPr>
        <w:t>Por amor a Cota, Sí podemos 2020-2023</w:t>
      </w:r>
      <w:r w:rsidRPr="00264E65">
        <w:rPr>
          <w:rFonts w:ascii="Verdana" w:hAnsi="Verdana" w:cs="Arial"/>
          <w:sz w:val="22"/>
          <w:szCs w:val="22"/>
        </w:rPr>
        <w:t>”. Dicho Plan menciona que en el Municipio existen tres acueductos (los que operan Aguas de La Sabana, EMSERCOTA y Junta de Acción Comunal de La Moya), que la cobertura del Servicio de Acueducto en el sector urbano es de 99,43 %, en centro poblado 99,65 % y 75,16 % en el sector rural. Así mismo, indica que existen intermitencias en el suministro del Servicio y que por esto no hay continuidad las 24 horas. En cuanto a la calidad del agua, señala que, en general para la vigencia 2019, el agua distribuida presentó un Riesgo Bajo, pero que la suministrada por el acueducto de La Moya, presentó Riesgo Medio, debido a problemas en el proceso de potabilización.</w:t>
      </w:r>
    </w:p>
    <w:p w14:paraId="256EE625" w14:textId="77777777" w:rsidR="00911C69" w:rsidRPr="00264E65" w:rsidRDefault="00911C69" w:rsidP="00911C69">
      <w:pPr>
        <w:contextualSpacing/>
        <w:jc w:val="both"/>
        <w:rPr>
          <w:rFonts w:ascii="Verdana" w:hAnsi="Verdana" w:cs="Arial"/>
          <w:sz w:val="22"/>
          <w:szCs w:val="22"/>
        </w:rPr>
      </w:pPr>
      <w:bookmarkStart w:id="3" w:name="_Hlk117071007"/>
    </w:p>
    <w:p w14:paraId="2A7FEAE4" w14:textId="77777777" w:rsidR="00911C69" w:rsidRPr="00264E65" w:rsidRDefault="00911C69" w:rsidP="00911C69">
      <w:pPr>
        <w:contextualSpacing/>
        <w:jc w:val="both"/>
        <w:rPr>
          <w:rFonts w:ascii="Verdana" w:hAnsi="Verdana" w:cs="Arial"/>
          <w:sz w:val="22"/>
          <w:szCs w:val="22"/>
          <w:lang w:val="es-419"/>
        </w:rPr>
      </w:pPr>
      <w:r w:rsidRPr="00264E65">
        <w:rPr>
          <w:rFonts w:ascii="Verdana" w:hAnsi="Verdana" w:cs="Arial"/>
          <w:sz w:val="22"/>
          <w:szCs w:val="22"/>
        </w:rPr>
        <w:t xml:space="preserve">Con respecto al Servicio de Alcantarillado, el Plan de Desarrollo menciona que existe deficiencia en las Veredas de Parcelas, </w:t>
      </w:r>
      <w:proofErr w:type="spellStart"/>
      <w:r w:rsidRPr="00264E65">
        <w:rPr>
          <w:rFonts w:ascii="Verdana" w:hAnsi="Verdana" w:cs="Arial"/>
          <w:sz w:val="22"/>
          <w:szCs w:val="22"/>
        </w:rPr>
        <w:t>Cetime</w:t>
      </w:r>
      <w:proofErr w:type="spellEnd"/>
      <w:r w:rsidRPr="00264E65">
        <w:rPr>
          <w:rFonts w:ascii="Verdana" w:hAnsi="Verdana" w:cs="Arial"/>
          <w:sz w:val="22"/>
          <w:szCs w:val="22"/>
        </w:rPr>
        <w:t xml:space="preserve">, Pueblo Viejo y La Moya, que son sitios de mayor densidad poblacional, donde además de presentar rebosamiento de aguas, colapsan periódicamente los pozos sépticos. Así mismo, el documento indica que la cobertura de alcantarillado en la cabecera es de 98,11 %, en el centro poblado es de 75,68 % y en el área rural disperso de 25,47 %. De la misma manera, señala que la Planta de Tratamiento de Aguas Residuales - PTAR </w:t>
      </w:r>
      <w:r w:rsidRPr="00264E65">
        <w:rPr>
          <w:rFonts w:ascii="Verdana" w:hAnsi="Verdana" w:cs="Arial"/>
          <w:sz w:val="22"/>
          <w:szCs w:val="22"/>
          <w:lang w:val="es-419"/>
        </w:rPr>
        <w:t xml:space="preserve">existente en el Sector Pueblo Viejo, consolidadora del mayor volumen de aguas residuales del Centro, La Moya, </w:t>
      </w:r>
      <w:proofErr w:type="spellStart"/>
      <w:r w:rsidRPr="00264E65">
        <w:rPr>
          <w:rFonts w:ascii="Verdana" w:hAnsi="Verdana" w:cs="Arial"/>
          <w:sz w:val="22"/>
          <w:szCs w:val="22"/>
          <w:lang w:val="es-419"/>
        </w:rPr>
        <w:t>Cetime</w:t>
      </w:r>
      <w:proofErr w:type="spellEnd"/>
      <w:r w:rsidRPr="00264E65">
        <w:rPr>
          <w:rFonts w:ascii="Verdana" w:hAnsi="Verdana" w:cs="Arial"/>
          <w:sz w:val="22"/>
          <w:szCs w:val="22"/>
          <w:lang w:val="es-419"/>
        </w:rPr>
        <w:t>, El Abra y Pueblo Viejo, actualmente no está en funcionamiento porque está en construcción y está originando que el total de disposición de aguas no tratadas caigan al Río Bogotá, con el consecuente impacto ambiental.</w:t>
      </w:r>
    </w:p>
    <w:bookmarkEnd w:id="3"/>
    <w:p w14:paraId="0862F151" w14:textId="77777777" w:rsidR="00911C69" w:rsidRPr="00264E65" w:rsidRDefault="00911C69" w:rsidP="00911C69">
      <w:pPr>
        <w:contextualSpacing/>
        <w:jc w:val="both"/>
        <w:rPr>
          <w:rFonts w:ascii="Verdana" w:hAnsi="Verdana" w:cs="Arial"/>
          <w:sz w:val="22"/>
          <w:szCs w:val="22"/>
          <w:lang w:val="es-419"/>
        </w:rPr>
      </w:pPr>
    </w:p>
    <w:p w14:paraId="56D064A6" w14:textId="77777777" w:rsidR="00911C69" w:rsidRPr="00264E65" w:rsidRDefault="00911C69" w:rsidP="00911C69">
      <w:pPr>
        <w:contextualSpacing/>
        <w:jc w:val="both"/>
        <w:rPr>
          <w:rFonts w:ascii="Verdana" w:hAnsi="Verdana" w:cs="Arial"/>
          <w:sz w:val="22"/>
          <w:szCs w:val="22"/>
          <w:lang w:val="es-419"/>
        </w:rPr>
      </w:pPr>
      <w:r w:rsidRPr="00264E65">
        <w:rPr>
          <w:rFonts w:ascii="Verdana" w:hAnsi="Verdana" w:cs="Arial"/>
          <w:sz w:val="22"/>
          <w:szCs w:val="22"/>
          <w:lang w:val="es-419"/>
        </w:rPr>
        <w:t xml:space="preserve">Cabe indicar además que el Plan de Desarrollo 2020 – 2023 menciona que la terminación de la construcción de la PTAR de Pueblo Viejo está a cargo de la actual administración y que la PTAR de Rozo cubre dicho sector con suficiencia en su cobertura, pero que no ha podido articular o aumentar un volumen de rescate que contrarreste las debilidades de la planta de Pueblo Viejo. Igualmente, a través de información consultada sobre el tema se pudo conocer que la Corporación Autónoma Regional de Cundinamarca – CAR, el Municipio de Cota y EMSERCOTA S.A. E.S.P. suscribieron el Convenio No. 1050 de 2013 para cofinanciar y realizar el proyecto de Construcción e interventoría de la planta de tratamiento de aguas residuales PTAR </w:t>
      </w:r>
      <w:r w:rsidRPr="00264E65">
        <w:rPr>
          <w:rFonts w:ascii="Verdana" w:hAnsi="Verdana" w:cs="Arial"/>
          <w:sz w:val="22"/>
          <w:szCs w:val="22"/>
          <w:lang w:val="es-419"/>
        </w:rPr>
        <w:lastRenderedPageBreak/>
        <w:t>Pueblo Viejo en el Municipio de Cota, según información de la CAR, en febrero de 2022 se le otorgó permiso de vertimiento, en abril de 2022 el convenio se encontraba suspendido y las obras tenían un avance de 80.78%.</w:t>
      </w:r>
    </w:p>
    <w:p w14:paraId="13B2254D" w14:textId="77777777" w:rsidR="00911C69" w:rsidRPr="00264E65" w:rsidRDefault="00911C69" w:rsidP="00911C69">
      <w:pPr>
        <w:contextualSpacing/>
        <w:jc w:val="both"/>
        <w:rPr>
          <w:rFonts w:ascii="Verdana" w:hAnsi="Verdana" w:cs="Arial"/>
          <w:sz w:val="22"/>
          <w:szCs w:val="22"/>
          <w:lang w:val="es-419"/>
        </w:rPr>
      </w:pPr>
    </w:p>
    <w:p w14:paraId="344DAB27" w14:textId="77777777" w:rsidR="00911C69" w:rsidRPr="00264E65" w:rsidRDefault="00911C69" w:rsidP="00911C69">
      <w:pPr>
        <w:contextualSpacing/>
        <w:jc w:val="both"/>
        <w:rPr>
          <w:rFonts w:ascii="Verdana" w:eastAsia="Calibri" w:hAnsi="Verdana" w:cs="Arial"/>
          <w:sz w:val="22"/>
          <w:szCs w:val="22"/>
          <w:lang w:val="es-419"/>
        </w:rPr>
      </w:pPr>
      <w:r w:rsidRPr="00264E65">
        <w:rPr>
          <w:rFonts w:ascii="Verdana" w:hAnsi="Verdana" w:cs="Arial"/>
          <w:sz w:val="22"/>
          <w:szCs w:val="22"/>
          <w:lang w:val="es-419"/>
        </w:rPr>
        <w:t xml:space="preserve">En cuanto a la prestación del Servicio de Aseo, el documento no incluye un diagnóstico, ni indicadores; no obstante, incluye como acciones a adoptar: construir </w:t>
      </w:r>
      <w:r w:rsidRPr="00264E65">
        <w:rPr>
          <w:rFonts w:ascii="Verdana" w:eastAsia="Calibri" w:hAnsi="Verdana" w:cs="Arial"/>
          <w:sz w:val="22"/>
          <w:szCs w:val="22"/>
          <w:lang w:val="es-419"/>
        </w:rPr>
        <w:t>y poner en funcionamiento la planta de tratamiento y aprovechamiento de</w:t>
      </w:r>
      <w:r w:rsidRPr="00264E65">
        <w:rPr>
          <w:rFonts w:ascii="Verdana" w:hAnsi="Verdana" w:cs="Arial"/>
          <w:sz w:val="22"/>
          <w:szCs w:val="22"/>
          <w:lang w:val="es-419"/>
        </w:rPr>
        <w:t xml:space="preserve"> </w:t>
      </w:r>
      <w:r w:rsidRPr="00264E65">
        <w:rPr>
          <w:rFonts w:ascii="Verdana" w:eastAsia="Calibri" w:hAnsi="Verdana" w:cs="Arial"/>
          <w:sz w:val="22"/>
          <w:szCs w:val="22"/>
          <w:lang w:val="es-419"/>
        </w:rPr>
        <w:t>residuos sólidos</w:t>
      </w:r>
      <w:r w:rsidRPr="00264E65">
        <w:rPr>
          <w:rFonts w:ascii="Verdana" w:hAnsi="Verdana" w:cs="Arial"/>
          <w:sz w:val="22"/>
          <w:szCs w:val="22"/>
          <w:lang w:val="es-419"/>
        </w:rPr>
        <w:t>,</w:t>
      </w:r>
      <w:r w:rsidRPr="00264E65">
        <w:rPr>
          <w:rFonts w:ascii="Verdana" w:eastAsia="Calibri" w:hAnsi="Verdana" w:cs="Arial"/>
          <w:sz w:val="22"/>
          <w:szCs w:val="22"/>
          <w:lang w:val="es-419"/>
        </w:rPr>
        <w:t xml:space="preserve"> adquirir dos equipos para la recolección y compactación de residuos sólidos</w:t>
      </w:r>
      <w:r w:rsidRPr="00264E65">
        <w:rPr>
          <w:rFonts w:ascii="Verdana" w:hAnsi="Verdana" w:cs="Arial"/>
          <w:sz w:val="22"/>
          <w:szCs w:val="22"/>
          <w:lang w:val="es-419"/>
        </w:rPr>
        <w:t xml:space="preserve"> y a</w:t>
      </w:r>
      <w:r w:rsidRPr="00264E65">
        <w:rPr>
          <w:rFonts w:ascii="Verdana" w:eastAsia="Calibri" w:hAnsi="Verdana" w:cs="Arial"/>
          <w:sz w:val="22"/>
          <w:szCs w:val="22"/>
          <w:lang w:val="es-419"/>
        </w:rPr>
        <w:t>umentar el número de usuarios beneficiados con el plan masivo de conexiones</w:t>
      </w:r>
      <w:r w:rsidRPr="00264E65">
        <w:rPr>
          <w:rFonts w:ascii="Verdana" w:hAnsi="Verdana" w:cs="Arial"/>
          <w:sz w:val="22"/>
          <w:szCs w:val="22"/>
          <w:lang w:val="es-419"/>
        </w:rPr>
        <w:t xml:space="preserve"> </w:t>
      </w:r>
      <w:r w:rsidRPr="00264E65">
        <w:rPr>
          <w:rFonts w:ascii="Verdana" w:eastAsia="Calibri" w:hAnsi="Verdana" w:cs="Arial"/>
          <w:sz w:val="22"/>
          <w:szCs w:val="22"/>
          <w:lang w:val="es-419"/>
        </w:rPr>
        <w:t>domiciliarias en aseo- separación en la fuente en el Municipio de Cota.</w:t>
      </w:r>
    </w:p>
    <w:p w14:paraId="22ABC924" w14:textId="77777777" w:rsidR="00911C69" w:rsidRPr="00264E65" w:rsidRDefault="00911C69" w:rsidP="00911C69">
      <w:pPr>
        <w:tabs>
          <w:tab w:val="num" w:pos="851"/>
        </w:tabs>
        <w:contextualSpacing/>
        <w:jc w:val="both"/>
        <w:rPr>
          <w:rFonts w:ascii="Verdana" w:eastAsia="Calibri" w:hAnsi="Verdana" w:cs="Arial"/>
          <w:sz w:val="22"/>
          <w:szCs w:val="22"/>
          <w:lang w:val="es-419"/>
        </w:rPr>
      </w:pPr>
    </w:p>
    <w:p w14:paraId="335038FB" w14:textId="77777777" w:rsidR="00911C69" w:rsidRPr="00264E65" w:rsidRDefault="00911C69" w:rsidP="00911C69">
      <w:pPr>
        <w:tabs>
          <w:tab w:val="num" w:pos="851"/>
        </w:tabs>
        <w:contextualSpacing/>
        <w:jc w:val="both"/>
        <w:rPr>
          <w:rFonts w:ascii="Verdana" w:hAnsi="Verdana" w:cs="Arial"/>
          <w:sz w:val="22"/>
          <w:szCs w:val="22"/>
          <w:lang w:val="es-419"/>
        </w:rPr>
      </w:pPr>
      <w:r w:rsidRPr="00264E65">
        <w:rPr>
          <w:rFonts w:ascii="Verdana" w:hAnsi="Verdana" w:cs="Arial"/>
          <w:sz w:val="22"/>
          <w:szCs w:val="22"/>
          <w:lang w:val="es-CO"/>
        </w:rPr>
        <w:t>Adicionalmente</w:t>
      </w:r>
      <w:r w:rsidRPr="00264E65">
        <w:rPr>
          <w:rFonts w:ascii="Verdana" w:hAnsi="Verdana" w:cs="Arial"/>
          <w:sz w:val="22"/>
          <w:szCs w:val="22"/>
          <w:lang w:val="es-419"/>
        </w:rPr>
        <w:t xml:space="preserve">, según el Sistema de Información de la Vigilancia de la Calidad del Agua para Consumo Humano - SIVICAP, para la vigencia 2020 el Municipio mostró un Índice de Riesgo de Calidad de Agua </w:t>
      </w:r>
      <w:r w:rsidRPr="00264E65">
        <w:rPr>
          <w:rFonts w:ascii="Verdana" w:hAnsi="Verdana" w:cs="Arial"/>
          <w:sz w:val="22"/>
          <w:szCs w:val="22"/>
          <w:lang w:val="es-CO"/>
        </w:rPr>
        <w:t xml:space="preserve">- </w:t>
      </w:r>
      <w:r w:rsidRPr="00264E65">
        <w:rPr>
          <w:rFonts w:ascii="Verdana" w:hAnsi="Verdana" w:cs="Arial"/>
          <w:sz w:val="22"/>
          <w:szCs w:val="22"/>
          <w:lang w:val="es-419"/>
        </w:rPr>
        <w:t>IRCA para prestadores registrados de 9.54 (Riesgo Bajo), mientras que para la vigencia 2021 presentó uno de 6.21 (Riesgo Bajo), no obstante, la Entidad Territorial entregó un documento con fecha del 18 de abril de 2022, a través del cual, el Representante Legal de la Empresa EMSERCOTA certifica que “</w:t>
      </w:r>
      <w:r w:rsidRPr="00264E65">
        <w:rPr>
          <w:rFonts w:ascii="Verdana" w:hAnsi="Verdana" w:cs="Arial"/>
          <w:i/>
          <w:iCs/>
          <w:sz w:val="22"/>
          <w:szCs w:val="22"/>
          <w:lang w:val="es-419"/>
        </w:rPr>
        <w:t>Según Consolidado IRCA mensual por Persona Prestadora (Decreto 1575/2007) de los Reportes SIVICAP, EMSERCOTA S.A. ESP, presentó un nivel de riesgo de calidad de agua IRCA durante la vigencia 2021 Sin Riesgo (2.13), continuidad de 24 horas al día durante los 365 días del año y una cobertura del 100% en la prestación del servicio a los usuarios con que cuenta la empresa</w:t>
      </w:r>
      <w:r w:rsidRPr="00264E65">
        <w:rPr>
          <w:rFonts w:ascii="Verdana" w:hAnsi="Verdana" w:cs="Arial"/>
          <w:sz w:val="22"/>
          <w:szCs w:val="22"/>
          <w:lang w:val="es-419"/>
        </w:rPr>
        <w:t>”.</w:t>
      </w:r>
    </w:p>
    <w:p w14:paraId="27A6B2ED" w14:textId="77777777" w:rsidR="00911C69" w:rsidRPr="00264E65" w:rsidRDefault="00911C69" w:rsidP="00911C69">
      <w:pPr>
        <w:tabs>
          <w:tab w:val="num" w:pos="851"/>
        </w:tabs>
        <w:contextualSpacing/>
        <w:jc w:val="both"/>
        <w:rPr>
          <w:rFonts w:ascii="Verdana" w:eastAsia="Calibri" w:hAnsi="Verdana" w:cs="Arial"/>
          <w:sz w:val="22"/>
          <w:szCs w:val="22"/>
          <w:lang w:val="es-419"/>
        </w:rPr>
      </w:pPr>
    </w:p>
    <w:p w14:paraId="412AFB59" w14:textId="77777777" w:rsidR="00911C69" w:rsidRPr="00264E65" w:rsidRDefault="00911C69" w:rsidP="00911C69">
      <w:pPr>
        <w:pStyle w:val="Prrafodelista"/>
        <w:numPr>
          <w:ilvl w:val="0"/>
          <w:numId w:val="17"/>
        </w:numPr>
        <w:rPr>
          <w:rFonts w:ascii="Verdana" w:hAnsi="Verdana" w:cs="Arial"/>
          <w:b/>
          <w:sz w:val="22"/>
          <w:szCs w:val="22"/>
        </w:rPr>
      </w:pPr>
      <w:r w:rsidRPr="00264E65">
        <w:rPr>
          <w:rFonts w:ascii="Verdana" w:hAnsi="Verdana" w:cs="Arial"/>
          <w:b/>
          <w:sz w:val="22"/>
          <w:szCs w:val="22"/>
        </w:rPr>
        <w:t>Sistema General de Participaciones en el financiamiento del Sector.</w:t>
      </w:r>
    </w:p>
    <w:p w14:paraId="28F96996" w14:textId="77777777" w:rsidR="00911C69" w:rsidRPr="00264E65" w:rsidRDefault="00911C69" w:rsidP="00911C69">
      <w:pPr>
        <w:contextualSpacing/>
        <w:jc w:val="both"/>
        <w:rPr>
          <w:rFonts w:ascii="Verdana" w:eastAsia="ヒラギノ角ゴ Pro W3" w:hAnsi="Verdana" w:cs="Arial"/>
          <w:sz w:val="22"/>
          <w:szCs w:val="22"/>
          <w:lang w:eastAsia="en-US"/>
        </w:rPr>
      </w:pPr>
    </w:p>
    <w:p w14:paraId="03547AAF"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El Municipio hizo entrega de los certificados de disponibilidad y los registros presupuestales de los contratos financiados con los recursos para la Participación de Agua Potable y Saneamiento Básico del Sistema General de Participaciones de las vigencias 2019 - 2021, los cuales se resumen a continuación:</w:t>
      </w:r>
    </w:p>
    <w:p w14:paraId="5AF34139" w14:textId="77777777" w:rsidR="00911C69" w:rsidRPr="00264E65" w:rsidRDefault="00911C69" w:rsidP="00911C69">
      <w:pPr>
        <w:contextualSpacing/>
        <w:jc w:val="both"/>
        <w:rPr>
          <w:rFonts w:ascii="Verdana" w:hAnsi="Verdana" w:cs="Arial"/>
          <w:sz w:val="22"/>
          <w:szCs w:val="22"/>
        </w:rPr>
      </w:pPr>
    </w:p>
    <w:p w14:paraId="411A03A6" w14:textId="77777777" w:rsidR="00911C69" w:rsidRPr="00264E65" w:rsidRDefault="00911C69" w:rsidP="00911C69">
      <w:pPr>
        <w:contextualSpacing/>
        <w:jc w:val="center"/>
        <w:rPr>
          <w:rFonts w:ascii="Verdana" w:hAnsi="Verdana" w:cs="Arial"/>
          <w:sz w:val="22"/>
          <w:szCs w:val="22"/>
        </w:rPr>
      </w:pPr>
      <w:r w:rsidRPr="00264E65">
        <w:rPr>
          <w:rFonts w:ascii="Verdana" w:hAnsi="Verdana" w:cs="Arial"/>
          <w:b/>
          <w:sz w:val="22"/>
          <w:szCs w:val="22"/>
        </w:rPr>
        <w:t>Cuadro No. 10</w:t>
      </w:r>
      <w:r w:rsidRPr="00264E65">
        <w:rPr>
          <w:rFonts w:ascii="Verdana" w:hAnsi="Verdana" w:cs="Arial"/>
          <w:sz w:val="22"/>
          <w:szCs w:val="22"/>
        </w:rPr>
        <w:t xml:space="preserve"> Listado de CDP y RP del SGP 2019-2021 (cifras en millones de pesos).</w:t>
      </w:r>
    </w:p>
    <w:tbl>
      <w:tblPr>
        <w:tblW w:w="9493" w:type="dxa"/>
        <w:tblLayout w:type="fixed"/>
        <w:tblLook w:val="04A0" w:firstRow="1" w:lastRow="0" w:firstColumn="1" w:lastColumn="0" w:noHBand="0" w:noVBand="1"/>
      </w:tblPr>
      <w:tblGrid>
        <w:gridCol w:w="1271"/>
        <w:gridCol w:w="2977"/>
        <w:gridCol w:w="1276"/>
        <w:gridCol w:w="1417"/>
        <w:gridCol w:w="1276"/>
        <w:gridCol w:w="1276"/>
      </w:tblGrid>
      <w:tr w:rsidR="00911C69" w:rsidRPr="006764D4" w14:paraId="1CFE2D09" w14:textId="77777777" w:rsidTr="00B15A34">
        <w:trPr>
          <w:trHeight w:val="175"/>
          <w:tblHeader/>
        </w:trPr>
        <w:tc>
          <w:tcPr>
            <w:tcW w:w="949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E0ABCEA"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ALCALDIA MUNICIPAL DE COTA</w:t>
            </w:r>
          </w:p>
        </w:tc>
      </w:tr>
      <w:tr w:rsidR="00911C69" w:rsidRPr="006764D4" w14:paraId="32CBCB47" w14:textId="77777777" w:rsidTr="00AD7C3E">
        <w:trPr>
          <w:trHeight w:val="309"/>
          <w:tblHeader/>
        </w:trPr>
        <w:tc>
          <w:tcPr>
            <w:tcW w:w="694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E126572"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CERTIFICADOS DE DISPONIBILIDAD PRESUPUESTAL</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14:paraId="02CAA294"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REGISTROS PRESUPUESTALES</w:t>
            </w:r>
          </w:p>
        </w:tc>
      </w:tr>
      <w:tr w:rsidR="00911C69" w:rsidRPr="006764D4" w14:paraId="022B7578" w14:textId="77777777" w:rsidTr="00AD7C3E">
        <w:trPr>
          <w:trHeight w:val="166"/>
          <w:tblHead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4F422F85"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 xml:space="preserve">NUMERO </w:t>
            </w:r>
          </w:p>
        </w:tc>
        <w:tc>
          <w:tcPr>
            <w:tcW w:w="2977" w:type="dxa"/>
            <w:tcBorders>
              <w:top w:val="nil"/>
              <w:left w:val="nil"/>
              <w:bottom w:val="single" w:sz="4" w:space="0" w:color="auto"/>
              <w:right w:val="single" w:sz="4" w:space="0" w:color="auto"/>
            </w:tcBorders>
            <w:shd w:val="clear" w:color="000000" w:fill="FFFFFF"/>
            <w:vAlign w:val="center"/>
            <w:hideMark/>
          </w:tcPr>
          <w:p w14:paraId="3925F229"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OBJETO CONTRACTUAL</w:t>
            </w:r>
          </w:p>
        </w:tc>
        <w:tc>
          <w:tcPr>
            <w:tcW w:w="1276" w:type="dxa"/>
            <w:tcBorders>
              <w:top w:val="nil"/>
              <w:left w:val="nil"/>
              <w:bottom w:val="single" w:sz="4" w:space="0" w:color="auto"/>
              <w:right w:val="single" w:sz="4" w:space="0" w:color="auto"/>
            </w:tcBorders>
            <w:shd w:val="clear" w:color="000000" w:fill="FFFFFF"/>
            <w:vAlign w:val="center"/>
            <w:hideMark/>
          </w:tcPr>
          <w:p w14:paraId="7FC7D77F"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FECHA</w:t>
            </w:r>
          </w:p>
        </w:tc>
        <w:tc>
          <w:tcPr>
            <w:tcW w:w="1417" w:type="dxa"/>
            <w:tcBorders>
              <w:top w:val="nil"/>
              <w:left w:val="nil"/>
              <w:bottom w:val="single" w:sz="4" w:space="0" w:color="auto"/>
              <w:right w:val="single" w:sz="4" w:space="0" w:color="auto"/>
            </w:tcBorders>
            <w:shd w:val="clear" w:color="000000" w:fill="FFFFFF"/>
            <w:vAlign w:val="center"/>
            <w:hideMark/>
          </w:tcPr>
          <w:p w14:paraId="30A323B7"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VALOR</w:t>
            </w:r>
          </w:p>
        </w:tc>
        <w:tc>
          <w:tcPr>
            <w:tcW w:w="1276" w:type="dxa"/>
            <w:tcBorders>
              <w:top w:val="nil"/>
              <w:left w:val="nil"/>
              <w:bottom w:val="single" w:sz="4" w:space="0" w:color="auto"/>
              <w:right w:val="single" w:sz="4" w:space="0" w:color="auto"/>
            </w:tcBorders>
            <w:shd w:val="clear" w:color="000000" w:fill="FFFFFF"/>
            <w:vAlign w:val="center"/>
            <w:hideMark/>
          </w:tcPr>
          <w:p w14:paraId="7D9DF1A1"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 xml:space="preserve">NUMERO </w:t>
            </w:r>
          </w:p>
        </w:tc>
        <w:tc>
          <w:tcPr>
            <w:tcW w:w="1276" w:type="dxa"/>
            <w:tcBorders>
              <w:top w:val="nil"/>
              <w:left w:val="nil"/>
              <w:bottom w:val="single" w:sz="4" w:space="0" w:color="auto"/>
              <w:right w:val="single" w:sz="4" w:space="0" w:color="auto"/>
            </w:tcBorders>
            <w:shd w:val="clear" w:color="000000" w:fill="FFFFFF"/>
            <w:vAlign w:val="center"/>
            <w:hideMark/>
          </w:tcPr>
          <w:p w14:paraId="2F4B98A3" w14:textId="77777777" w:rsidR="00911C69" w:rsidRPr="00B15A34" w:rsidRDefault="00911C69" w:rsidP="00640C2F">
            <w:pPr>
              <w:contextualSpacing/>
              <w:jc w:val="center"/>
              <w:rPr>
                <w:rFonts w:ascii="Verdana" w:eastAsia="Times New Roman" w:hAnsi="Verdana" w:cs="Arial"/>
                <w:b/>
                <w:bCs/>
                <w:sz w:val="16"/>
                <w:szCs w:val="16"/>
                <w:lang w:val="es-CO" w:eastAsia="en-US"/>
              </w:rPr>
            </w:pPr>
            <w:r w:rsidRPr="00B15A34">
              <w:rPr>
                <w:rFonts w:ascii="Verdana" w:eastAsia="Times New Roman" w:hAnsi="Verdana" w:cs="Arial"/>
                <w:b/>
                <w:bCs/>
                <w:sz w:val="16"/>
                <w:szCs w:val="16"/>
                <w:lang w:val="es-CO" w:eastAsia="en-US"/>
              </w:rPr>
              <w:t>FECHA</w:t>
            </w:r>
          </w:p>
        </w:tc>
      </w:tr>
      <w:tr w:rsidR="00911C69" w:rsidRPr="006764D4" w14:paraId="23C2BBAE" w14:textId="77777777" w:rsidTr="00AD7C3E">
        <w:trPr>
          <w:trHeight w:val="1707"/>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58461E4F"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2019000493</w:t>
            </w:r>
          </w:p>
        </w:tc>
        <w:tc>
          <w:tcPr>
            <w:tcW w:w="2977" w:type="dxa"/>
            <w:tcBorders>
              <w:top w:val="nil"/>
              <w:left w:val="nil"/>
              <w:bottom w:val="single" w:sz="4" w:space="0" w:color="auto"/>
              <w:right w:val="single" w:sz="4" w:space="0" w:color="auto"/>
            </w:tcBorders>
            <w:shd w:val="clear" w:color="auto" w:fill="auto"/>
            <w:vAlign w:val="center"/>
            <w:hideMark/>
          </w:tcPr>
          <w:p w14:paraId="1505B2DE"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 xml:space="preserve">Convenio 722/2019. Convenio para asegurar las transferencias de los recursos del Municipio de Cota - Cundinamarca a la Empresa de Servicios Públicos de Cota EMSERCOTA S.A. E.S.P. con desembolso de recursos que se apropien, destinados a subsidiar la </w:t>
            </w:r>
            <w:r w:rsidRPr="00B15A34">
              <w:rPr>
                <w:rFonts w:ascii="Verdana" w:eastAsia="Times New Roman" w:hAnsi="Verdana" w:cs="Arial"/>
                <w:sz w:val="16"/>
                <w:szCs w:val="16"/>
                <w:lang w:val="es-CO" w:eastAsia="en-US"/>
              </w:rPr>
              <w:lastRenderedPageBreak/>
              <w:t>demanda del Servicio de Acueducto, Alcantarillado y Aseo.</w:t>
            </w:r>
          </w:p>
        </w:tc>
        <w:tc>
          <w:tcPr>
            <w:tcW w:w="1276" w:type="dxa"/>
            <w:tcBorders>
              <w:top w:val="nil"/>
              <w:left w:val="nil"/>
              <w:bottom w:val="single" w:sz="4" w:space="0" w:color="auto"/>
              <w:right w:val="single" w:sz="4" w:space="0" w:color="auto"/>
            </w:tcBorders>
            <w:shd w:val="clear" w:color="000000" w:fill="FFFFFF"/>
            <w:vAlign w:val="center"/>
            <w:hideMark/>
          </w:tcPr>
          <w:p w14:paraId="16ABA3ED"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lastRenderedPageBreak/>
              <w:t>13/3/2019</w:t>
            </w:r>
          </w:p>
        </w:tc>
        <w:tc>
          <w:tcPr>
            <w:tcW w:w="1417" w:type="dxa"/>
            <w:tcBorders>
              <w:top w:val="nil"/>
              <w:left w:val="nil"/>
              <w:bottom w:val="single" w:sz="4" w:space="0" w:color="auto"/>
              <w:right w:val="single" w:sz="4" w:space="0" w:color="auto"/>
            </w:tcBorders>
            <w:shd w:val="clear" w:color="000000" w:fill="FFFFFF"/>
            <w:vAlign w:val="center"/>
            <w:hideMark/>
          </w:tcPr>
          <w:p w14:paraId="51BC7431"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$306 millones de los cuales, $125 millones corresponden a SGP -APSB</w:t>
            </w:r>
          </w:p>
        </w:tc>
        <w:tc>
          <w:tcPr>
            <w:tcW w:w="1276" w:type="dxa"/>
            <w:tcBorders>
              <w:top w:val="nil"/>
              <w:left w:val="nil"/>
              <w:bottom w:val="single" w:sz="4" w:space="0" w:color="auto"/>
              <w:right w:val="single" w:sz="4" w:space="0" w:color="auto"/>
            </w:tcBorders>
            <w:shd w:val="clear" w:color="000000" w:fill="FFFFFF"/>
            <w:vAlign w:val="center"/>
            <w:hideMark/>
          </w:tcPr>
          <w:p w14:paraId="45C26560"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2019000885</w:t>
            </w:r>
          </w:p>
        </w:tc>
        <w:tc>
          <w:tcPr>
            <w:tcW w:w="1276" w:type="dxa"/>
            <w:tcBorders>
              <w:top w:val="nil"/>
              <w:left w:val="nil"/>
              <w:bottom w:val="single" w:sz="4" w:space="0" w:color="auto"/>
              <w:right w:val="single" w:sz="4" w:space="0" w:color="auto"/>
            </w:tcBorders>
            <w:shd w:val="clear" w:color="000000" w:fill="FFFFFF"/>
            <w:vAlign w:val="center"/>
            <w:hideMark/>
          </w:tcPr>
          <w:p w14:paraId="4DB7EB17"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29/3/2019</w:t>
            </w:r>
          </w:p>
        </w:tc>
      </w:tr>
      <w:tr w:rsidR="00911C69" w:rsidRPr="006764D4" w14:paraId="699A8DA8" w14:textId="77777777" w:rsidTr="00AD7C3E">
        <w:trPr>
          <w:trHeight w:val="1137"/>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00A6D263"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2019000490</w:t>
            </w:r>
          </w:p>
        </w:tc>
        <w:tc>
          <w:tcPr>
            <w:tcW w:w="2977" w:type="dxa"/>
            <w:tcBorders>
              <w:top w:val="nil"/>
              <w:left w:val="nil"/>
              <w:bottom w:val="single" w:sz="4" w:space="0" w:color="auto"/>
              <w:right w:val="single" w:sz="4" w:space="0" w:color="auto"/>
            </w:tcBorders>
            <w:shd w:val="clear" w:color="auto" w:fill="auto"/>
            <w:vAlign w:val="center"/>
            <w:hideMark/>
          </w:tcPr>
          <w:p w14:paraId="1AE1E115"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Adición No. 1 y Prórroga No. 1 al Contrato de Obra Pública No. 009 de 2016 cuyo objeto es la construcción de alcantarillado pluvial colector sur del Municipio de Cota Departamento de Cundinamarca.</w:t>
            </w:r>
          </w:p>
        </w:tc>
        <w:tc>
          <w:tcPr>
            <w:tcW w:w="1276" w:type="dxa"/>
            <w:tcBorders>
              <w:top w:val="nil"/>
              <w:left w:val="nil"/>
              <w:bottom w:val="single" w:sz="4" w:space="0" w:color="auto"/>
              <w:right w:val="single" w:sz="4" w:space="0" w:color="auto"/>
            </w:tcBorders>
            <w:shd w:val="clear" w:color="000000" w:fill="FFFFFF"/>
            <w:vAlign w:val="center"/>
            <w:hideMark/>
          </w:tcPr>
          <w:p w14:paraId="6684902F"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11/3/2019</w:t>
            </w:r>
          </w:p>
        </w:tc>
        <w:tc>
          <w:tcPr>
            <w:tcW w:w="1417" w:type="dxa"/>
            <w:tcBorders>
              <w:top w:val="nil"/>
              <w:left w:val="nil"/>
              <w:bottom w:val="single" w:sz="4" w:space="0" w:color="auto"/>
              <w:right w:val="single" w:sz="4" w:space="0" w:color="auto"/>
            </w:tcBorders>
            <w:shd w:val="clear" w:color="000000" w:fill="FFFFFF"/>
            <w:vAlign w:val="center"/>
            <w:hideMark/>
          </w:tcPr>
          <w:p w14:paraId="069C5134"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$7.200 millones, de los cuales, $139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35E3E5E6"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2019000826</w:t>
            </w:r>
          </w:p>
        </w:tc>
        <w:tc>
          <w:tcPr>
            <w:tcW w:w="1276" w:type="dxa"/>
            <w:tcBorders>
              <w:top w:val="nil"/>
              <w:left w:val="nil"/>
              <w:bottom w:val="single" w:sz="4" w:space="0" w:color="auto"/>
              <w:right w:val="single" w:sz="4" w:space="0" w:color="auto"/>
            </w:tcBorders>
            <w:shd w:val="clear" w:color="000000" w:fill="FFFFFF"/>
            <w:vAlign w:val="center"/>
            <w:hideMark/>
          </w:tcPr>
          <w:p w14:paraId="02F77044"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19/3/2019</w:t>
            </w:r>
          </w:p>
        </w:tc>
      </w:tr>
      <w:tr w:rsidR="00911C69" w:rsidRPr="006764D4" w14:paraId="7CACBEE2" w14:textId="77777777" w:rsidTr="00AD7C3E">
        <w:trPr>
          <w:trHeight w:val="566"/>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693965A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2019000536</w:t>
            </w:r>
          </w:p>
        </w:tc>
        <w:tc>
          <w:tcPr>
            <w:tcW w:w="2977" w:type="dxa"/>
            <w:tcBorders>
              <w:top w:val="nil"/>
              <w:left w:val="nil"/>
              <w:bottom w:val="single" w:sz="4" w:space="0" w:color="auto"/>
              <w:right w:val="single" w:sz="4" w:space="0" w:color="auto"/>
            </w:tcBorders>
            <w:shd w:val="clear" w:color="auto" w:fill="auto"/>
            <w:vAlign w:val="center"/>
            <w:hideMark/>
          </w:tcPr>
          <w:p w14:paraId="59FCF581"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Convenio 747/2019. Transferencia de los recursos del Municipio de Cota – Cundinamarca a la Empresa de Servicios Públicos de Cota EMSERCOTA S.A. E.S.P., con desembolso de los recursos que se apropien, destinados a subsidiar las conexiones domiciliarias del Servicio de Aseo, Acueducto y Alcantarillado en la cabecera municipal – Fase II</w:t>
            </w:r>
          </w:p>
        </w:tc>
        <w:tc>
          <w:tcPr>
            <w:tcW w:w="1276" w:type="dxa"/>
            <w:tcBorders>
              <w:top w:val="nil"/>
              <w:left w:val="nil"/>
              <w:bottom w:val="single" w:sz="4" w:space="0" w:color="auto"/>
              <w:right w:val="single" w:sz="4" w:space="0" w:color="auto"/>
            </w:tcBorders>
            <w:shd w:val="clear" w:color="000000" w:fill="FFFFFF"/>
            <w:vAlign w:val="center"/>
            <w:hideMark/>
          </w:tcPr>
          <w:p w14:paraId="58634727"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3/4/2019</w:t>
            </w:r>
          </w:p>
        </w:tc>
        <w:tc>
          <w:tcPr>
            <w:tcW w:w="1417" w:type="dxa"/>
            <w:tcBorders>
              <w:top w:val="nil"/>
              <w:left w:val="nil"/>
              <w:bottom w:val="single" w:sz="4" w:space="0" w:color="auto"/>
              <w:right w:val="single" w:sz="4" w:space="0" w:color="auto"/>
            </w:tcBorders>
            <w:shd w:val="clear" w:color="000000" w:fill="FFFFFF"/>
            <w:vAlign w:val="center"/>
            <w:hideMark/>
          </w:tcPr>
          <w:p w14:paraId="73AD9595"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$9.953 millones, de los cuales, $25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65505CFA"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2019000932</w:t>
            </w:r>
          </w:p>
        </w:tc>
        <w:tc>
          <w:tcPr>
            <w:tcW w:w="1276" w:type="dxa"/>
            <w:tcBorders>
              <w:top w:val="nil"/>
              <w:left w:val="nil"/>
              <w:bottom w:val="single" w:sz="4" w:space="0" w:color="auto"/>
              <w:right w:val="single" w:sz="4" w:space="0" w:color="auto"/>
            </w:tcBorders>
            <w:shd w:val="clear" w:color="000000" w:fill="FFFFFF"/>
            <w:vAlign w:val="center"/>
            <w:hideMark/>
          </w:tcPr>
          <w:p w14:paraId="570BD9BB"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10/4/2019</w:t>
            </w:r>
          </w:p>
        </w:tc>
      </w:tr>
      <w:tr w:rsidR="00911C69" w:rsidRPr="006764D4" w14:paraId="568E8F3F" w14:textId="77777777" w:rsidTr="00AD7C3E">
        <w:trPr>
          <w:trHeight w:val="853"/>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0A23F025"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2019000636</w:t>
            </w:r>
          </w:p>
        </w:tc>
        <w:tc>
          <w:tcPr>
            <w:tcW w:w="2977" w:type="dxa"/>
            <w:tcBorders>
              <w:top w:val="nil"/>
              <w:left w:val="nil"/>
              <w:bottom w:val="single" w:sz="4" w:space="0" w:color="auto"/>
              <w:right w:val="single" w:sz="4" w:space="0" w:color="auto"/>
            </w:tcBorders>
            <w:shd w:val="clear" w:color="auto" w:fill="auto"/>
            <w:vAlign w:val="center"/>
            <w:hideMark/>
          </w:tcPr>
          <w:p w14:paraId="1FC081A7"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Capitalización de acciones en la Empresa de Servicios Públicos de Cota con Acta de Asamblea General Extraordinaria de Accionistas 003 de 2019.</w:t>
            </w:r>
          </w:p>
        </w:tc>
        <w:tc>
          <w:tcPr>
            <w:tcW w:w="1276" w:type="dxa"/>
            <w:tcBorders>
              <w:top w:val="nil"/>
              <w:left w:val="nil"/>
              <w:bottom w:val="single" w:sz="4" w:space="0" w:color="auto"/>
              <w:right w:val="single" w:sz="4" w:space="0" w:color="auto"/>
            </w:tcBorders>
            <w:shd w:val="clear" w:color="000000" w:fill="FFFFFF"/>
            <w:vAlign w:val="center"/>
            <w:hideMark/>
          </w:tcPr>
          <w:p w14:paraId="373A9EB6"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10/6/2019</w:t>
            </w:r>
          </w:p>
        </w:tc>
        <w:tc>
          <w:tcPr>
            <w:tcW w:w="1417" w:type="dxa"/>
            <w:tcBorders>
              <w:top w:val="nil"/>
              <w:left w:val="nil"/>
              <w:bottom w:val="single" w:sz="4" w:space="0" w:color="auto"/>
              <w:right w:val="single" w:sz="4" w:space="0" w:color="auto"/>
            </w:tcBorders>
            <w:shd w:val="clear" w:color="000000" w:fill="FFFFFF"/>
            <w:vAlign w:val="center"/>
            <w:hideMark/>
          </w:tcPr>
          <w:p w14:paraId="5EE78B0D"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$3.513 millones, de los cuales, $530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73CE50E1"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2019001305</w:t>
            </w:r>
          </w:p>
        </w:tc>
        <w:tc>
          <w:tcPr>
            <w:tcW w:w="1276" w:type="dxa"/>
            <w:tcBorders>
              <w:top w:val="nil"/>
              <w:left w:val="nil"/>
              <w:bottom w:val="single" w:sz="4" w:space="0" w:color="auto"/>
              <w:right w:val="single" w:sz="4" w:space="0" w:color="auto"/>
            </w:tcBorders>
            <w:shd w:val="clear" w:color="000000" w:fill="FFFFFF"/>
            <w:vAlign w:val="center"/>
            <w:hideMark/>
          </w:tcPr>
          <w:p w14:paraId="4D01BBCD"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14/6/2019</w:t>
            </w:r>
          </w:p>
        </w:tc>
      </w:tr>
      <w:tr w:rsidR="00911C69" w:rsidRPr="006764D4" w14:paraId="6EEC1CBD" w14:textId="77777777" w:rsidTr="00AD7C3E">
        <w:trPr>
          <w:trHeight w:val="1422"/>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361A53AE"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2020001446</w:t>
            </w:r>
          </w:p>
        </w:tc>
        <w:tc>
          <w:tcPr>
            <w:tcW w:w="2977" w:type="dxa"/>
            <w:tcBorders>
              <w:top w:val="nil"/>
              <w:left w:val="nil"/>
              <w:bottom w:val="single" w:sz="4" w:space="0" w:color="auto"/>
              <w:right w:val="single" w:sz="4" w:space="0" w:color="auto"/>
            </w:tcBorders>
            <w:shd w:val="clear" w:color="auto" w:fill="auto"/>
            <w:vAlign w:val="center"/>
            <w:hideMark/>
          </w:tcPr>
          <w:p w14:paraId="2B09145A"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Pago de subsidios de Servicios Públicos de Acueducto, Alcantarillado y Aseo en el Municipio de Cota para dar cumplimiento a la Ley 142 de 1994 "</w:t>
            </w:r>
            <w:r w:rsidRPr="00B15A34">
              <w:rPr>
                <w:rFonts w:ascii="Verdana" w:eastAsia="Times New Roman" w:hAnsi="Verdana" w:cs="Arial"/>
                <w:i/>
                <w:iCs/>
                <w:sz w:val="16"/>
                <w:szCs w:val="16"/>
                <w:lang w:val="es-CO" w:eastAsia="en-US"/>
              </w:rPr>
              <w:t>por la cual se establece el régimen de los servicios públicos domiciliarios y se dictan otras disposiciones</w:t>
            </w:r>
            <w:r w:rsidRPr="00B15A34">
              <w:rPr>
                <w:rFonts w:ascii="Verdana" w:eastAsia="Times New Roman" w:hAnsi="Verdana" w:cs="Arial"/>
                <w:sz w:val="16"/>
                <w:szCs w:val="16"/>
                <w:lang w:val="es-CO" w:eastAsia="en-US"/>
              </w:rPr>
              <w:t>”.</w:t>
            </w:r>
          </w:p>
        </w:tc>
        <w:tc>
          <w:tcPr>
            <w:tcW w:w="1276" w:type="dxa"/>
            <w:tcBorders>
              <w:top w:val="nil"/>
              <w:left w:val="nil"/>
              <w:bottom w:val="single" w:sz="4" w:space="0" w:color="auto"/>
              <w:right w:val="single" w:sz="4" w:space="0" w:color="auto"/>
            </w:tcBorders>
            <w:shd w:val="clear" w:color="000000" w:fill="FFFFFF"/>
            <w:vAlign w:val="center"/>
            <w:hideMark/>
          </w:tcPr>
          <w:p w14:paraId="165E87E1"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27/10/2020</w:t>
            </w:r>
          </w:p>
        </w:tc>
        <w:tc>
          <w:tcPr>
            <w:tcW w:w="1417" w:type="dxa"/>
            <w:tcBorders>
              <w:top w:val="nil"/>
              <w:left w:val="nil"/>
              <w:bottom w:val="single" w:sz="4" w:space="0" w:color="auto"/>
              <w:right w:val="single" w:sz="4" w:space="0" w:color="auto"/>
            </w:tcBorders>
            <w:shd w:val="clear" w:color="000000" w:fill="FFFFFF"/>
            <w:vAlign w:val="center"/>
            <w:hideMark/>
          </w:tcPr>
          <w:p w14:paraId="438F8BA5"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$540 millones, de los cuales, $105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74ED08AA"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2020001911</w:t>
            </w:r>
          </w:p>
        </w:tc>
        <w:tc>
          <w:tcPr>
            <w:tcW w:w="1276" w:type="dxa"/>
            <w:tcBorders>
              <w:top w:val="nil"/>
              <w:left w:val="nil"/>
              <w:bottom w:val="single" w:sz="4" w:space="0" w:color="auto"/>
              <w:right w:val="single" w:sz="4" w:space="0" w:color="auto"/>
            </w:tcBorders>
            <w:shd w:val="clear" w:color="000000" w:fill="FFFFFF"/>
            <w:vAlign w:val="center"/>
            <w:hideMark/>
          </w:tcPr>
          <w:p w14:paraId="447245CA"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27/10/2020</w:t>
            </w:r>
          </w:p>
        </w:tc>
      </w:tr>
      <w:tr w:rsidR="00911C69" w:rsidRPr="006764D4" w14:paraId="6F337641" w14:textId="77777777" w:rsidTr="00AD7C3E">
        <w:trPr>
          <w:trHeight w:val="673"/>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73176E00"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2020001564</w:t>
            </w:r>
          </w:p>
        </w:tc>
        <w:tc>
          <w:tcPr>
            <w:tcW w:w="2977" w:type="dxa"/>
            <w:tcBorders>
              <w:top w:val="nil"/>
              <w:left w:val="nil"/>
              <w:bottom w:val="single" w:sz="4" w:space="0" w:color="auto"/>
              <w:right w:val="single" w:sz="4" w:space="0" w:color="auto"/>
            </w:tcBorders>
            <w:shd w:val="clear" w:color="auto" w:fill="auto"/>
            <w:vAlign w:val="center"/>
            <w:hideMark/>
          </w:tcPr>
          <w:p w14:paraId="64E3F334"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Convenio 022/2020. Aunar esfuerzos técnicos, administrativos y financieros para realizar la optimización del sistema de captación, aducción, tratamiento y potabilización con la interventoría requerida para el sistema operado por la Empresa de Servicio Públicos de Cota EMSERCOTA S.A. E.S.P. en el Municipio de Cota.</w:t>
            </w:r>
          </w:p>
        </w:tc>
        <w:tc>
          <w:tcPr>
            <w:tcW w:w="1276" w:type="dxa"/>
            <w:tcBorders>
              <w:top w:val="nil"/>
              <w:left w:val="nil"/>
              <w:bottom w:val="single" w:sz="4" w:space="0" w:color="auto"/>
              <w:right w:val="single" w:sz="4" w:space="0" w:color="auto"/>
            </w:tcBorders>
            <w:shd w:val="clear" w:color="000000" w:fill="FFFFFF"/>
            <w:vAlign w:val="center"/>
            <w:hideMark/>
          </w:tcPr>
          <w:p w14:paraId="17F5FFD0"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7/12/2020</w:t>
            </w:r>
          </w:p>
        </w:tc>
        <w:tc>
          <w:tcPr>
            <w:tcW w:w="1417" w:type="dxa"/>
            <w:tcBorders>
              <w:top w:val="nil"/>
              <w:left w:val="nil"/>
              <w:bottom w:val="single" w:sz="4" w:space="0" w:color="auto"/>
              <w:right w:val="single" w:sz="4" w:space="0" w:color="auto"/>
            </w:tcBorders>
            <w:shd w:val="clear" w:color="000000" w:fill="FFFFFF"/>
            <w:vAlign w:val="center"/>
            <w:hideMark/>
          </w:tcPr>
          <w:p w14:paraId="536393F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$1.800 millones, de los cuales, $388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2E2F8C66"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2020002202</w:t>
            </w:r>
          </w:p>
        </w:tc>
        <w:tc>
          <w:tcPr>
            <w:tcW w:w="1276" w:type="dxa"/>
            <w:tcBorders>
              <w:top w:val="nil"/>
              <w:left w:val="nil"/>
              <w:bottom w:val="single" w:sz="4" w:space="0" w:color="auto"/>
              <w:right w:val="single" w:sz="4" w:space="0" w:color="auto"/>
            </w:tcBorders>
            <w:shd w:val="clear" w:color="000000" w:fill="FFFFFF"/>
            <w:vAlign w:val="center"/>
            <w:hideMark/>
          </w:tcPr>
          <w:p w14:paraId="7129E497"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29/12/2020</w:t>
            </w:r>
          </w:p>
        </w:tc>
      </w:tr>
      <w:tr w:rsidR="00911C69" w:rsidRPr="006764D4" w14:paraId="3D3E3A78" w14:textId="77777777" w:rsidTr="00AD7C3E">
        <w:trPr>
          <w:trHeight w:val="568"/>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244C9021"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lastRenderedPageBreak/>
              <w:t>2020001610</w:t>
            </w:r>
          </w:p>
        </w:tc>
        <w:tc>
          <w:tcPr>
            <w:tcW w:w="2977" w:type="dxa"/>
            <w:tcBorders>
              <w:top w:val="nil"/>
              <w:left w:val="nil"/>
              <w:bottom w:val="single" w:sz="4" w:space="0" w:color="auto"/>
              <w:right w:val="single" w:sz="4" w:space="0" w:color="auto"/>
            </w:tcBorders>
            <w:shd w:val="clear" w:color="auto" w:fill="auto"/>
            <w:vAlign w:val="center"/>
            <w:hideMark/>
          </w:tcPr>
          <w:p w14:paraId="284206D9"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Subsidios Servicios Públicos Acueducto y Alcantarillado de la vigencia 2020</w:t>
            </w:r>
          </w:p>
        </w:tc>
        <w:tc>
          <w:tcPr>
            <w:tcW w:w="1276" w:type="dxa"/>
            <w:tcBorders>
              <w:top w:val="nil"/>
              <w:left w:val="nil"/>
              <w:bottom w:val="single" w:sz="4" w:space="0" w:color="auto"/>
              <w:right w:val="single" w:sz="4" w:space="0" w:color="auto"/>
            </w:tcBorders>
            <w:shd w:val="clear" w:color="000000" w:fill="FFFFFF"/>
            <w:vAlign w:val="center"/>
            <w:hideMark/>
          </w:tcPr>
          <w:p w14:paraId="080D89E7"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29/12/2020</w:t>
            </w:r>
          </w:p>
        </w:tc>
        <w:tc>
          <w:tcPr>
            <w:tcW w:w="1417" w:type="dxa"/>
            <w:tcBorders>
              <w:top w:val="nil"/>
              <w:left w:val="nil"/>
              <w:bottom w:val="single" w:sz="4" w:space="0" w:color="auto"/>
              <w:right w:val="single" w:sz="4" w:space="0" w:color="auto"/>
            </w:tcBorders>
            <w:shd w:val="clear" w:color="000000" w:fill="FFFFFF"/>
            <w:vAlign w:val="center"/>
            <w:hideMark/>
          </w:tcPr>
          <w:p w14:paraId="0A7018F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$111 millones</w:t>
            </w:r>
          </w:p>
        </w:tc>
        <w:tc>
          <w:tcPr>
            <w:tcW w:w="1276" w:type="dxa"/>
            <w:tcBorders>
              <w:top w:val="nil"/>
              <w:left w:val="nil"/>
              <w:bottom w:val="single" w:sz="4" w:space="0" w:color="auto"/>
              <w:right w:val="single" w:sz="4" w:space="0" w:color="auto"/>
            </w:tcBorders>
            <w:shd w:val="clear" w:color="000000" w:fill="FFFFFF"/>
            <w:vAlign w:val="center"/>
            <w:hideMark/>
          </w:tcPr>
          <w:p w14:paraId="0979ADF8"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2020002228</w:t>
            </w:r>
          </w:p>
        </w:tc>
        <w:tc>
          <w:tcPr>
            <w:tcW w:w="1276" w:type="dxa"/>
            <w:tcBorders>
              <w:top w:val="nil"/>
              <w:left w:val="nil"/>
              <w:bottom w:val="single" w:sz="4" w:space="0" w:color="auto"/>
              <w:right w:val="single" w:sz="4" w:space="0" w:color="auto"/>
            </w:tcBorders>
            <w:shd w:val="clear" w:color="000000" w:fill="FFFFFF"/>
            <w:vAlign w:val="center"/>
            <w:hideMark/>
          </w:tcPr>
          <w:p w14:paraId="1C13C376"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31/12/2020</w:t>
            </w:r>
          </w:p>
        </w:tc>
      </w:tr>
      <w:tr w:rsidR="00911C69" w:rsidRPr="006764D4" w14:paraId="3DA82B79" w14:textId="77777777" w:rsidTr="00AD7C3E">
        <w:trPr>
          <w:trHeight w:val="1137"/>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1755D4B4"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2021001184</w:t>
            </w:r>
          </w:p>
        </w:tc>
        <w:tc>
          <w:tcPr>
            <w:tcW w:w="2977" w:type="dxa"/>
            <w:tcBorders>
              <w:top w:val="nil"/>
              <w:left w:val="nil"/>
              <w:bottom w:val="single" w:sz="4" w:space="0" w:color="auto"/>
              <w:right w:val="single" w:sz="4" w:space="0" w:color="auto"/>
            </w:tcBorders>
            <w:shd w:val="clear" w:color="auto" w:fill="auto"/>
            <w:vAlign w:val="center"/>
            <w:hideMark/>
          </w:tcPr>
          <w:p w14:paraId="52CDBF54"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 xml:space="preserve">Contrato 974/2021. Conexión del sistema elevador de presión y obras complementarias a la red municipal de agua potable Sector Balsámico del Municipio de Cota, Cundinamarca. </w:t>
            </w:r>
          </w:p>
        </w:tc>
        <w:tc>
          <w:tcPr>
            <w:tcW w:w="1276" w:type="dxa"/>
            <w:tcBorders>
              <w:top w:val="nil"/>
              <w:left w:val="nil"/>
              <w:bottom w:val="single" w:sz="4" w:space="0" w:color="auto"/>
              <w:right w:val="single" w:sz="4" w:space="0" w:color="auto"/>
            </w:tcBorders>
            <w:shd w:val="clear" w:color="000000" w:fill="FFFFFF"/>
            <w:vAlign w:val="center"/>
            <w:hideMark/>
          </w:tcPr>
          <w:p w14:paraId="3A31CD5C"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6/10/2021</w:t>
            </w:r>
          </w:p>
        </w:tc>
        <w:tc>
          <w:tcPr>
            <w:tcW w:w="1417" w:type="dxa"/>
            <w:tcBorders>
              <w:top w:val="nil"/>
              <w:left w:val="nil"/>
              <w:bottom w:val="single" w:sz="4" w:space="0" w:color="auto"/>
              <w:right w:val="single" w:sz="4" w:space="0" w:color="auto"/>
            </w:tcBorders>
            <w:shd w:val="clear" w:color="000000" w:fill="FFFFFF"/>
            <w:vAlign w:val="center"/>
            <w:hideMark/>
          </w:tcPr>
          <w:p w14:paraId="23A02614"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$40 millones</w:t>
            </w:r>
          </w:p>
        </w:tc>
        <w:tc>
          <w:tcPr>
            <w:tcW w:w="1276" w:type="dxa"/>
            <w:tcBorders>
              <w:top w:val="nil"/>
              <w:left w:val="nil"/>
              <w:bottom w:val="single" w:sz="4" w:space="0" w:color="auto"/>
              <w:right w:val="single" w:sz="4" w:space="0" w:color="auto"/>
            </w:tcBorders>
            <w:shd w:val="clear" w:color="000000" w:fill="FFFFFF"/>
            <w:vAlign w:val="center"/>
            <w:hideMark/>
          </w:tcPr>
          <w:p w14:paraId="51E1971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2021001652</w:t>
            </w:r>
          </w:p>
        </w:tc>
        <w:tc>
          <w:tcPr>
            <w:tcW w:w="1276" w:type="dxa"/>
            <w:tcBorders>
              <w:top w:val="nil"/>
              <w:left w:val="nil"/>
              <w:bottom w:val="single" w:sz="4" w:space="0" w:color="auto"/>
              <w:right w:val="single" w:sz="4" w:space="0" w:color="auto"/>
            </w:tcBorders>
            <w:shd w:val="clear" w:color="000000" w:fill="FFFFFF"/>
            <w:vAlign w:val="center"/>
            <w:hideMark/>
          </w:tcPr>
          <w:p w14:paraId="566D6428"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4/11/2021</w:t>
            </w:r>
          </w:p>
        </w:tc>
      </w:tr>
      <w:tr w:rsidR="00911C69" w:rsidRPr="006764D4" w14:paraId="36D4BE5D" w14:textId="77777777" w:rsidTr="00AD7C3E">
        <w:trPr>
          <w:trHeight w:val="1137"/>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77988BBB"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2021001346</w:t>
            </w:r>
          </w:p>
        </w:tc>
        <w:tc>
          <w:tcPr>
            <w:tcW w:w="2977" w:type="dxa"/>
            <w:tcBorders>
              <w:top w:val="nil"/>
              <w:left w:val="nil"/>
              <w:bottom w:val="single" w:sz="4" w:space="0" w:color="auto"/>
              <w:right w:val="single" w:sz="4" w:space="0" w:color="auto"/>
            </w:tcBorders>
            <w:shd w:val="clear" w:color="auto" w:fill="auto"/>
            <w:vAlign w:val="center"/>
            <w:hideMark/>
          </w:tcPr>
          <w:p w14:paraId="32358FC7"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Convenio 030 de 2021. Aunar esfuerzos técnicos, administrativos y financieros para la interconexión del sistema de acueducto municipal y el sistema de acueducto de Bogotá a través de la Empresa Aguas de la Sabana - Fase III, Municipio de Cota.</w:t>
            </w:r>
          </w:p>
        </w:tc>
        <w:tc>
          <w:tcPr>
            <w:tcW w:w="1276" w:type="dxa"/>
            <w:tcBorders>
              <w:top w:val="nil"/>
              <w:left w:val="nil"/>
              <w:bottom w:val="single" w:sz="4" w:space="0" w:color="auto"/>
              <w:right w:val="single" w:sz="4" w:space="0" w:color="auto"/>
            </w:tcBorders>
            <w:shd w:val="clear" w:color="000000" w:fill="FFFFFF"/>
            <w:vAlign w:val="center"/>
            <w:hideMark/>
          </w:tcPr>
          <w:p w14:paraId="4BD98F19"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28/10/2021</w:t>
            </w:r>
          </w:p>
        </w:tc>
        <w:tc>
          <w:tcPr>
            <w:tcW w:w="1417" w:type="dxa"/>
            <w:tcBorders>
              <w:top w:val="nil"/>
              <w:left w:val="nil"/>
              <w:bottom w:val="single" w:sz="4" w:space="0" w:color="auto"/>
              <w:right w:val="single" w:sz="4" w:space="0" w:color="auto"/>
            </w:tcBorders>
            <w:shd w:val="clear" w:color="000000" w:fill="FFFFFF"/>
            <w:vAlign w:val="center"/>
            <w:hideMark/>
          </w:tcPr>
          <w:p w14:paraId="745388B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$3.759 millones, de los cuales, $267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43B013F8"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2021001677</w:t>
            </w:r>
          </w:p>
        </w:tc>
        <w:tc>
          <w:tcPr>
            <w:tcW w:w="1276" w:type="dxa"/>
            <w:tcBorders>
              <w:top w:val="nil"/>
              <w:left w:val="nil"/>
              <w:bottom w:val="single" w:sz="4" w:space="0" w:color="auto"/>
              <w:right w:val="single" w:sz="4" w:space="0" w:color="auto"/>
            </w:tcBorders>
            <w:shd w:val="clear" w:color="000000" w:fill="FFFFFF"/>
            <w:vAlign w:val="center"/>
            <w:hideMark/>
          </w:tcPr>
          <w:p w14:paraId="54FADBF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11/11/2021</w:t>
            </w:r>
          </w:p>
        </w:tc>
      </w:tr>
      <w:tr w:rsidR="00911C69" w:rsidRPr="006764D4" w14:paraId="2B95A52B" w14:textId="77777777" w:rsidTr="00AD7C3E">
        <w:trPr>
          <w:trHeight w:val="1849"/>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1A97BB65"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2021000898</w:t>
            </w:r>
          </w:p>
        </w:tc>
        <w:tc>
          <w:tcPr>
            <w:tcW w:w="2977" w:type="dxa"/>
            <w:tcBorders>
              <w:top w:val="nil"/>
              <w:left w:val="nil"/>
              <w:bottom w:val="single" w:sz="4" w:space="0" w:color="auto"/>
              <w:right w:val="single" w:sz="4" w:space="0" w:color="auto"/>
            </w:tcBorders>
            <w:shd w:val="clear" w:color="auto" w:fill="auto"/>
            <w:vAlign w:val="center"/>
            <w:hideMark/>
          </w:tcPr>
          <w:p w14:paraId="49FCE1B7"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Adición No. 01 y Prórroga No. 03 al Contrato de Obra Pública No. 849 de 2018, cuyo objeto es: "</w:t>
            </w:r>
            <w:r w:rsidRPr="00B15A34">
              <w:rPr>
                <w:rFonts w:ascii="Verdana" w:eastAsia="Times New Roman" w:hAnsi="Verdana" w:cs="Arial"/>
                <w:i/>
                <w:iCs/>
                <w:sz w:val="16"/>
                <w:szCs w:val="16"/>
                <w:lang w:val="es-CO" w:eastAsia="en-US"/>
              </w:rPr>
              <w:t>Mejoramiento de la infraestructura vial de la calle 11 entre la vía Pie de Monte y Puente de la Virgen, incluye obras de construcción colector central; mejoramiento de la infraestructura vial de la carrera 1 entre calle 13 y calle 11 del Municipio de Cota Cundinamarca</w:t>
            </w:r>
            <w:r w:rsidRPr="00B15A34">
              <w:rPr>
                <w:rFonts w:ascii="Verdana" w:eastAsia="Times New Roman" w:hAnsi="Verdana" w:cs="Arial"/>
                <w:sz w:val="16"/>
                <w:szCs w:val="16"/>
                <w:lang w:val="es-CO" w:eastAsia="en-US"/>
              </w:rPr>
              <w:t>".</w:t>
            </w:r>
          </w:p>
        </w:tc>
        <w:tc>
          <w:tcPr>
            <w:tcW w:w="1276" w:type="dxa"/>
            <w:tcBorders>
              <w:top w:val="nil"/>
              <w:left w:val="nil"/>
              <w:bottom w:val="single" w:sz="4" w:space="0" w:color="auto"/>
              <w:right w:val="single" w:sz="4" w:space="0" w:color="auto"/>
            </w:tcBorders>
            <w:shd w:val="clear" w:color="000000" w:fill="FFFFFF"/>
            <w:vAlign w:val="center"/>
            <w:hideMark/>
          </w:tcPr>
          <w:p w14:paraId="056C0306"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21/7/2021</w:t>
            </w:r>
          </w:p>
        </w:tc>
        <w:tc>
          <w:tcPr>
            <w:tcW w:w="1417" w:type="dxa"/>
            <w:tcBorders>
              <w:top w:val="nil"/>
              <w:left w:val="nil"/>
              <w:bottom w:val="single" w:sz="4" w:space="0" w:color="auto"/>
              <w:right w:val="single" w:sz="4" w:space="0" w:color="auto"/>
            </w:tcBorders>
            <w:shd w:val="clear" w:color="000000" w:fill="FFFFFF"/>
            <w:vAlign w:val="center"/>
            <w:hideMark/>
          </w:tcPr>
          <w:p w14:paraId="1BBCB2FB"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$10.841 millones, de los cuales, $671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312B0AB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2021001231</w:t>
            </w:r>
          </w:p>
        </w:tc>
        <w:tc>
          <w:tcPr>
            <w:tcW w:w="1276" w:type="dxa"/>
            <w:tcBorders>
              <w:top w:val="nil"/>
              <w:left w:val="nil"/>
              <w:bottom w:val="single" w:sz="4" w:space="0" w:color="auto"/>
              <w:right w:val="single" w:sz="4" w:space="0" w:color="auto"/>
            </w:tcBorders>
            <w:shd w:val="clear" w:color="000000" w:fill="FFFFFF"/>
            <w:vAlign w:val="center"/>
            <w:hideMark/>
          </w:tcPr>
          <w:p w14:paraId="5B461B64"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20/8/2021</w:t>
            </w:r>
          </w:p>
        </w:tc>
      </w:tr>
      <w:tr w:rsidR="00911C69" w:rsidRPr="006764D4" w14:paraId="13AEFEF0" w14:textId="77777777" w:rsidTr="00AD7C3E">
        <w:trPr>
          <w:trHeight w:val="710"/>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26EE344B"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2021001362</w:t>
            </w:r>
          </w:p>
        </w:tc>
        <w:tc>
          <w:tcPr>
            <w:tcW w:w="2977" w:type="dxa"/>
            <w:tcBorders>
              <w:top w:val="nil"/>
              <w:left w:val="nil"/>
              <w:bottom w:val="single" w:sz="4" w:space="0" w:color="auto"/>
              <w:right w:val="single" w:sz="4" w:space="0" w:color="auto"/>
            </w:tcBorders>
            <w:shd w:val="clear" w:color="auto" w:fill="auto"/>
            <w:vAlign w:val="center"/>
            <w:hideMark/>
          </w:tcPr>
          <w:p w14:paraId="1B58FAA3"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Subsidios de Acueducto, Alcantarillado y Aseo de la vigencia fiscal 2021 – 2022.</w:t>
            </w:r>
          </w:p>
        </w:tc>
        <w:tc>
          <w:tcPr>
            <w:tcW w:w="1276" w:type="dxa"/>
            <w:tcBorders>
              <w:top w:val="nil"/>
              <w:left w:val="nil"/>
              <w:bottom w:val="single" w:sz="4" w:space="0" w:color="auto"/>
              <w:right w:val="single" w:sz="4" w:space="0" w:color="auto"/>
            </w:tcBorders>
            <w:shd w:val="clear" w:color="000000" w:fill="FFFFFF"/>
            <w:vAlign w:val="center"/>
            <w:hideMark/>
          </w:tcPr>
          <w:p w14:paraId="3F940D71"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4/11/2021</w:t>
            </w:r>
          </w:p>
        </w:tc>
        <w:tc>
          <w:tcPr>
            <w:tcW w:w="1417" w:type="dxa"/>
            <w:tcBorders>
              <w:top w:val="nil"/>
              <w:left w:val="nil"/>
              <w:bottom w:val="single" w:sz="4" w:space="0" w:color="auto"/>
              <w:right w:val="single" w:sz="4" w:space="0" w:color="auto"/>
            </w:tcBorders>
            <w:shd w:val="clear" w:color="000000" w:fill="FFFFFF"/>
            <w:vAlign w:val="center"/>
            <w:hideMark/>
          </w:tcPr>
          <w:p w14:paraId="2DD473CE"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$379 millones, de los cuales, $96 millones corresponden a SGP - APSB.</w:t>
            </w:r>
          </w:p>
        </w:tc>
        <w:tc>
          <w:tcPr>
            <w:tcW w:w="1276" w:type="dxa"/>
            <w:tcBorders>
              <w:top w:val="nil"/>
              <w:left w:val="nil"/>
              <w:bottom w:val="single" w:sz="4" w:space="0" w:color="auto"/>
              <w:right w:val="single" w:sz="4" w:space="0" w:color="auto"/>
            </w:tcBorders>
            <w:shd w:val="clear" w:color="000000" w:fill="FFFFFF"/>
            <w:vAlign w:val="center"/>
            <w:hideMark/>
          </w:tcPr>
          <w:p w14:paraId="4A6B71D0"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2021001644</w:t>
            </w:r>
          </w:p>
        </w:tc>
        <w:tc>
          <w:tcPr>
            <w:tcW w:w="1276" w:type="dxa"/>
            <w:tcBorders>
              <w:top w:val="nil"/>
              <w:left w:val="nil"/>
              <w:bottom w:val="single" w:sz="4" w:space="0" w:color="auto"/>
              <w:right w:val="single" w:sz="4" w:space="0" w:color="auto"/>
            </w:tcBorders>
            <w:shd w:val="clear" w:color="000000" w:fill="FFFFFF"/>
            <w:vAlign w:val="center"/>
            <w:hideMark/>
          </w:tcPr>
          <w:p w14:paraId="16FA1973"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4/11/2021</w:t>
            </w:r>
          </w:p>
        </w:tc>
      </w:tr>
      <w:tr w:rsidR="00911C69" w:rsidRPr="006764D4" w14:paraId="31C2A059" w14:textId="77777777" w:rsidTr="00AD7C3E">
        <w:trPr>
          <w:trHeight w:val="1991"/>
        </w:trPr>
        <w:tc>
          <w:tcPr>
            <w:tcW w:w="1271" w:type="dxa"/>
            <w:tcBorders>
              <w:top w:val="nil"/>
              <w:left w:val="single" w:sz="4" w:space="0" w:color="auto"/>
              <w:bottom w:val="single" w:sz="4" w:space="0" w:color="auto"/>
              <w:right w:val="single" w:sz="4" w:space="0" w:color="auto"/>
            </w:tcBorders>
            <w:shd w:val="clear" w:color="000000" w:fill="FFFFFF"/>
            <w:vAlign w:val="center"/>
            <w:hideMark/>
          </w:tcPr>
          <w:p w14:paraId="3B76EC78"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2021001045</w:t>
            </w:r>
          </w:p>
        </w:tc>
        <w:tc>
          <w:tcPr>
            <w:tcW w:w="2977" w:type="dxa"/>
            <w:tcBorders>
              <w:top w:val="nil"/>
              <w:left w:val="nil"/>
              <w:bottom w:val="single" w:sz="4" w:space="0" w:color="auto"/>
              <w:right w:val="single" w:sz="4" w:space="0" w:color="auto"/>
            </w:tcBorders>
            <w:shd w:val="clear" w:color="auto" w:fill="auto"/>
            <w:vAlign w:val="center"/>
            <w:hideMark/>
          </w:tcPr>
          <w:p w14:paraId="5C5A82AC" w14:textId="77777777" w:rsidR="00911C69" w:rsidRPr="00B15A34" w:rsidRDefault="00911C69" w:rsidP="00640C2F">
            <w:pPr>
              <w:contextualSpacing/>
              <w:jc w:val="both"/>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Adición 1 y Prórroga 1 al Convenio 747 de 2019 cuyo objeto es: “</w:t>
            </w:r>
            <w:r w:rsidRPr="00B15A34">
              <w:rPr>
                <w:rFonts w:ascii="Verdana" w:eastAsia="Times New Roman" w:hAnsi="Verdana" w:cs="Arial"/>
                <w:i/>
                <w:iCs/>
                <w:sz w:val="16"/>
                <w:szCs w:val="16"/>
                <w:lang w:val="es-CO" w:eastAsia="en-US"/>
              </w:rPr>
              <w:t xml:space="preserve">Transferencia de los recursos del Municipio de Cota – Cundinamarca a la Empresa de Servicios Públicos de Cota </w:t>
            </w:r>
            <w:proofErr w:type="spellStart"/>
            <w:r w:rsidRPr="00B15A34">
              <w:rPr>
                <w:rFonts w:ascii="Verdana" w:eastAsia="Times New Roman" w:hAnsi="Verdana" w:cs="Arial"/>
                <w:i/>
                <w:iCs/>
                <w:sz w:val="16"/>
                <w:szCs w:val="16"/>
                <w:lang w:val="es-CO" w:eastAsia="en-US"/>
              </w:rPr>
              <w:t>Emsercota</w:t>
            </w:r>
            <w:proofErr w:type="spellEnd"/>
            <w:r w:rsidRPr="00B15A34">
              <w:rPr>
                <w:rFonts w:ascii="Verdana" w:eastAsia="Times New Roman" w:hAnsi="Verdana" w:cs="Arial"/>
                <w:i/>
                <w:iCs/>
                <w:sz w:val="16"/>
                <w:szCs w:val="16"/>
                <w:lang w:val="es-CO" w:eastAsia="en-US"/>
              </w:rPr>
              <w:t xml:space="preserve"> S.A. E.S.P., con desembolso de los recursos que se apropien, destinados a subsidiar las conexiones domiciliarias del servicio de aseo, acueducto y alcantarillado en la cabecera Municipal – Fase II (2019)</w:t>
            </w:r>
            <w:r w:rsidRPr="00B15A34">
              <w:rPr>
                <w:rFonts w:ascii="Verdana" w:eastAsia="Times New Roman" w:hAnsi="Verdana" w:cs="Arial"/>
                <w:sz w:val="16"/>
                <w:szCs w:val="16"/>
                <w:lang w:val="es-CO" w:eastAsia="en-US"/>
              </w:rPr>
              <w:t>”</w:t>
            </w:r>
          </w:p>
        </w:tc>
        <w:tc>
          <w:tcPr>
            <w:tcW w:w="1276" w:type="dxa"/>
            <w:tcBorders>
              <w:top w:val="nil"/>
              <w:left w:val="nil"/>
              <w:bottom w:val="single" w:sz="4" w:space="0" w:color="auto"/>
              <w:right w:val="single" w:sz="4" w:space="0" w:color="auto"/>
            </w:tcBorders>
            <w:shd w:val="clear" w:color="000000" w:fill="FFFFFF"/>
            <w:vAlign w:val="center"/>
            <w:hideMark/>
          </w:tcPr>
          <w:p w14:paraId="1753DA7A"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14/9/2021</w:t>
            </w:r>
          </w:p>
        </w:tc>
        <w:tc>
          <w:tcPr>
            <w:tcW w:w="1417" w:type="dxa"/>
            <w:tcBorders>
              <w:top w:val="nil"/>
              <w:left w:val="nil"/>
              <w:bottom w:val="single" w:sz="4" w:space="0" w:color="auto"/>
              <w:right w:val="single" w:sz="4" w:space="0" w:color="auto"/>
            </w:tcBorders>
            <w:shd w:val="clear" w:color="000000" w:fill="FFFFFF"/>
            <w:vAlign w:val="center"/>
            <w:hideMark/>
          </w:tcPr>
          <w:p w14:paraId="06F1339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$4.975 millones, de los cuales, $37 millones corresponden a SGP - APSB según el formulario de RP de FUT</w:t>
            </w:r>
          </w:p>
        </w:tc>
        <w:tc>
          <w:tcPr>
            <w:tcW w:w="1276" w:type="dxa"/>
            <w:tcBorders>
              <w:top w:val="nil"/>
              <w:left w:val="nil"/>
              <w:bottom w:val="single" w:sz="4" w:space="0" w:color="auto"/>
              <w:right w:val="single" w:sz="4" w:space="0" w:color="auto"/>
            </w:tcBorders>
            <w:shd w:val="clear" w:color="000000" w:fill="FFFFFF"/>
            <w:vAlign w:val="center"/>
            <w:hideMark/>
          </w:tcPr>
          <w:p w14:paraId="6E5412D2"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2021001363</w:t>
            </w:r>
          </w:p>
        </w:tc>
        <w:tc>
          <w:tcPr>
            <w:tcW w:w="1276" w:type="dxa"/>
            <w:tcBorders>
              <w:top w:val="nil"/>
              <w:left w:val="nil"/>
              <w:bottom w:val="single" w:sz="4" w:space="0" w:color="auto"/>
              <w:right w:val="single" w:sz="4" w:space="0" w:color="auto"/>
            </w:tcBorders>
            <w:shd w:val="clear" w:color="000000" w:fill="FFFFFF"/>
            <w:vAlign w:val="center"/>
            <w:hideMark/>
          </w:tcPr>
          <w:p w14:paraId="2A62F7A1" w14:textId="77777777" w:rsidR="00911C69" w:rsidRPr="00B15A34" w:rsidRDefault="00911C69" w:rsidP="00640C2F">
            <w:pPr>
              <w:contextualSpacing/>
              <w:jc w:val="center"/>
              <w:rPr>
                <w:rFonts w:ascii="Verdana" w:eastAsia="Times New Roman" w:hAnsi="Verdana" w:cs="Arial"/>
                <w:sz w:val="16"/>
                <w:szCs w:val="16"/>
                <w:lang w:val="es-CO" w:eastAsia="en-US"/>
              </w:rPr>
            </w:pPr>
            <w:r w:rsidRPr="00B15A34">
              <w:rPr>
                <w:rFonts w:ascii="Verdana" w:eastAsia="Times New Roman" w:hAnsi="Verdana" w:cs="Arial"/>
                <w:sz w:val="16"/>
                <w:szCs w:val="16"/>
                <w:lang w:val="es-CO" w:eastAsia="en-US"/>
              </w:rPr>
              <w:t>20/9/2021</w:t>
            </w:r>
          </w:p>
        </w:tc>
      </w:tr>
    </w:tbl>
    <w:p w14:paraId="128E4D67" w14:textId="77777777" w:rsidR="00911C69" w:rsidRPr="00433E58" w:rsidRDefault="00911C69" w:rsidP="00911C69">
      <w:pPr>
        <w:contextualSpacing/>
        <w:jc w:val="center"/>
        <w:rPr>
          <w:rFonts w:ascii="Verdana" w:hAnsi="Verdana" w:cs="Arial"/>
          <w:sz w:val="16"/>
          <w:szCs w:val="16"/>
        </w:rPr>
      </w:pPr>
      <w:r w:rsidRPr="00433E58">
        <w:rPr>
          <w:rFonts w:ascii="Verdana" w:hAnsi="Verdana" w:cs="Arial"/>
          <w:sz w:val="16"/>
          <w:szCs w:val="16"/>
        </w:rPr>
        <w:t>Fuente: Alcaldía de Cota – Cundinamarca.</w:t>
      </w:r>
    </w:p>
    <w:p w14:paraId="783C1E70" w14:textId="77777777" w:rsidR="00911C69" w:rsidRPr="00433E58" w:rsidRDefault="00911C69" w:rsidP="00911C69">
      <w:pPr>
        <w:autoSpaceDE w:val="0"/>
        <w:autoSpaceDN w:val="0"/>
        <w:adjustRightInd w:val="0"/>
        <w:contextualSpacing/>
        <w:jc w:val="both"/>
        <w:rPr>
          <w:rFonts w:ascii="Verdana" w:hAnsi="Verdana" w:cs="Arial"/>
          <w:sz w:val="22"/>
          <w:szCs w:val="22"/>
        </w:rPr>
      </w:pPr>
    </w:p>
    <w:p w14:paraId="3568AD78" w14:textId="77777777" w:rsidR="00911C69" w:rsidRPr="00264E65" w:rsidRDefault="00911C69" w:rsidP="00911C69">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 xml:space="preserve">Como se puede ver en el Cuadro anterior, durante la vigencia 2019 se financió con los recursos SGP – APSB una capitalización de acciones en la Empresa de Servicios </w:t>
      </w:r>
      <w:r w:rsidRPr="00264E65">
        <w:rPr>
          <w:rFonts w:ascii="Verdana" w:hAnsi="Verdana" w:cs="Arial"/>
          <w:sz w:val="22"/>
          <w:szCs w:val="22"/>
        </w:rPr>
        <w:lastRenderedPageBreak/>
        <w:t>Públicos de Cota. Para la realización del diagnóstico, el Municipio hizo entrega del “</w:t>
      </w:r>
      <w:r w:rsidRPr="00264E65">
        <w:rPr>
          <w:rFonts w:ascii="Verdana" w:hAnsi="Verdana" w:cs="Arial"/>
          <w:i/>
          <w:iCs/>
          <w:sz w:val="22"/>
          <w:szCs w:val="22"/>
        </w:rPr>
        <w:t>Acta de Asamblea General Extraordinaria de Accionistas No. 003 de 2019</w:t>
      </w:r>
      <w:r w:rsidRPr="00264E65">
        <w:rPr>
          <w:rFonts w:ascii="Verdana" w:hAnsi="Verdana" w:cs="Arial"/>
          <w:sz w:val="22"/>
          <w:szCs w:val="22"/>
        </w:rPr>
        <w:t>” de EMSERCOTA S.A. E.S.P., la cual menciona que la Junta Directiva de la Empresa aprobó la propuesta de emisión de acciones e incremento del capital suscrito y pagado a $5.597 millones, para ser sometido a consideración y aprobación de la Junta General de Accionistas, pero que esta última modificó dicho valor a $3.857 millones, de los cuales, $3.512 millones fueron aportados por el Municipio y $345 millones por la Empresa.</w:t>
      </w:r>
    </w:p>
    <w:p w14:paraId="0BD394F6" w14:textId="77777777" w:rsidR="00911C69" w:rsidRPr="00264E65" w:rsidRDefault="00911C69" w:rsidP="00911C69">
      <w:pPr>
        <w:autoSpaceDE w:val="0"/>
        <w:autoSpaceDN w:val="0"/>
        <w:adjustRightInd w:val="0"/>
        <w:contextualSpacing/>
        <w:jc w:val="both"/>
        <w:rPr>
          <w:rFonts w:ascii="Verdana" w:hAnsi="Verdana" w:cs="Arial"/>
          <w:sz w:val="22"/>
          <w:szCs w:val="22"/>
        </w:rPr>
      </w:pPr>
    </w:p>
    <w:p w14:paraId="4F0655F7" w14:textId="77777777" w:rsidR="00911C69" w:rsidRPr="00264E65" w:rsidRDefault="00911C69" w:rsidP="006764D4">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De igual manera, la Entidad Territorial envió copia del correspondiente certificado de disponibilidad presupuestal y registro presupuestal de la mencionada capitalización, por medio de los cuales, se puede ver que el Municipio realizó un pago por valor de $530 millones con recursos de la Participación para Agua Potable y Saneamiento Básico del Sistema General de Participaciones, pese a que este tipo de pagos no está incluido entre las destinaciones contenidas en el artículo 11 de la Ley 1176 de 2007.</w:t>
      </w:r>
    </w:p>
    <w:p w14:paraId="411CD233" w14:textId="77777777" w:rsidR="006764D4" w:rsidRPr="00264E65" w:rsidRDefault="006764D4" w:rsidP="006764D4">
      <w:pPr>
        <w:autoSpaceDE w:val="0"/>
        <w:autoSpaceDN w:val="0"/>
        <w:adjustRightInd w:val="0"/>
        <w:contextualSpacing/>
        <w:jc w:val="both"/>
        <w:rPr>
          <w:rFonts w:ascii="Verdana" w:hAnsi="Verdana" w:cs="Arial"/>
          <w:sz w:val="22"/>
          <w:szCs w:val="22"/>
        </w:rPr>
      </w:pPr>
    </w:p>
    <w:p w14:paraId="09B8D6D5" w14:textId="77777777" w:rsidR="00911C69" w:rsidRPr="00264E65" w:rsidRDefault="00911C69" w:rsidP="00911C69">
      <w:pPr>
        <w:autoSpaceDE w:val="0"/>
        <w:autoSpaceDN w:val="0"/>
        <w:adjustRightInd w:val="0"/>
        <w:contextualSpacing/>
        <w:jc w:val="both"/>
        <w:rPr>
          <w:rFonts w:ascii="Verdana" w:hAnsi="Verdana" w:cs="Arial"/>
          <w:sz w:val="22"/>
          <w:szCs w:val="22"/>
          <w:lang w:val="es-419"/>
        </w:rPr>
      </w:pPr>
      <w:r w:rsidRPr="00264E65">
        <w:rPr>
          <w:rFonts w:ascii="Verdana" w:hAnsi="Verdana" w:cs="Arial"/>
          <w:sz w:val="22"/>
          <w:szCs w:val="22"/>
          <w:lang w:val="es-CO"/>
        </w:rPr>
        <w:t xml:space="preserve">Con respecto al Convenio Interadministrativo No. 747 de 2019, tal como se mencionó en la parte de Otorgamiento de subsidios de este informe, es importante indicar que se evidenció que en el marco de este se financió el cambio de medidores </w:t>
      </w:r>
      <w:r w:rsidRPr="00264E65">
        <w:rPr>
          <w:rFonts w:ascii="Verdana" w:hAnsi="Verdana" w:cs="Arial"/>
          <w:color w:val="000000" w:themeColor="text1"/>
          <w:sz w:val="22"/>
          <w:szCs w:val="22"/>
          <w:lang w:val="es-419"/>
        </w:rPr>
        <w:t xml:space="preserve">y la entrega de </w:t>
      </w:r>
      <w:r w:rsidRPr="00264E65">
        <w:rPr>
          <w:rFonts w:ascii="Verdana" w:hAnsi="Verdana" w:cs="Arial"/>
          <w:color w:val="000000" w:themeColor="text1"/>
          <w:sz w:val="22"/>
          <w:szCs w:val="22"/>
          <w:lang w:val="es-CO" w:eastAsia="en-US"/>
        </w:rPr>
        <w:t xml:space="preserve">contenedores de 35 litros para la realización de separación en la fuente </w:t>
      </w:r>
      <w:r w:rsidRPr="00264E65">
        <w:rPr>
          <w:rFonts w:ascii="Verdana" w:hAnsi="Verdana" w:cs="Arial"/>
          <w:sz w:val="22"/>
          <w:szCs w:val="22"/>
          <w:lang w:val="es-CO" w:eastAsia="en-US"/>
        </w:rPr>
        <w:t xml:space="preserve">de los residuos sólidos que se producen en cada hogar, pese a que estas no son  actividades </w:t>
      </w:r>
      <w:r w:rsidRPr="00264E65">
        <w:rPr>
          <w:rFonts w:ascii="Verdana" w:hAnsi="Verdana" w:cs="Arial"/>
          <w:sz w:val="22"/>
          <w:szCs w:val="22"/>
        </w:rPr>
        <w:t>elegibles como objeto de gasto con recursos de la Participación de Agua Potable y Saneamiento Básico del Sistema General de Participaciones de acuerdo con el artículo 11 de la Ley 1176 de 2007.</w:t>
      </w:r>
    </w:p>
    <w:p w14:paraId="131656DD" w14:textId="77777777" w:rsidR="00911C69" w:rsidRPr="00264E65" w:rsidRDefault="00911C69" w:rsidP="00911C69">
      <w:pPr>
        <w:autoSpaceDE w:val="0"/>
        <w:autoSpaceDN w:val="0"/>
        <w:adjustRightInd w:val="0"/>
        <w:contextualSpacing/>
        <w:jc w:val="both"/>
        <w:rPr>
          <w:rFonts w:ascii="Verdana" w:hAnsi="Verdana" w:cs="Arial"/>
          <w:sz w:val="22"/>
          <w:szCs w:val="22"/>
          <w:lang w:val="es-419"/>
        </w:rPr>
      </w:pPr>
    </w:p>
    <w:p w14:paraId="5B0F1993" w14:textId="77777777" w:rsidR="00911C69" w:rsidRPr="00264E65" w:rsidRDefault="00911C69" w:rsidP="00911C69">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Con respecto al Contrato 009 de 2016, cabe indicar que si bien el Municipio entregó copia del Informe de Interventoría No. 38 que da cuenta de lo ejecutado entre el 1 y el 18 de diciembre de 2020, se revisó la información contractual en SECOP y se encontró que la ejecución de dicho Contrato, según la Prórroga No. 5 suscrita el 24 de mayo de 2022, va hasta el 25 de junio de 2022. Igualmente, a través del documento mencionado se pudo ver que dicha prórroga fue solicitada debido a la ola invernal por problemas con las escombreras que proveen y reciben los materiales de excavación o limpieza en las estructuras y por un inconveniente en la ejecución del espacio público, donde había redes que interferían con los trabajos que se estaban ejecutando, las cuales demandaban más cuidado y hacían más lento el desarrollo de las actividades.</w:t>
      </w:r>
    </w:p>
    <w:p w14:paraId="6D550C91" w14:textId="77777777" w:rsidR="00911C69" w:rsidRPr="00264E65" w:rsidRDefault="00911C69" w:rsidP="00911C69">
      <w:pPr>
        <w:autoSpaceDE w:val="0"/>
        <w:autoSpaceDN w:val="0"/>
        <w:adjustRightInd w:val="0"/>
        <w:contextualSpacing/>
        <w:jc w:val="both"/>
        <w:rPr>
          <w:rFonts w:ascii="Verdana" w:hAnsi="Verdana" w:cs="Arial"/>
          <w:sz w:val="22"/>
          <w:szCs w:val="22"/>
        </w:rPr>
      </w:pPr>
    </w:p>
    <w:p w14:paraId="72D013A7" w14:textId="77777777" w:rsidR="00911C69" w:rsidRPr="00264E65" w:rsidRDefault="00911C69" w:rsidP="00911C69">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 xml:space="preserve">Finalmente, cabe indicar que a través de la revisión de la información contractual, se pudo evidenciar que el Municipio de Cota – Cundinamarca no ha cumplido con la normatividad relacionada con la publicación en el SECOP de los documentos del proceso y los actos administrativos de los procesos de contratación dentro de los tres días siguientes a su expedición, puesto que se encontró que para el Convenio No. 722 </w:t>
      </w:r>
      <w:r w:rsidRPr="00264E65">
        <w:rPr>
          <w:rFonts w:ascii="Verdana" w:hAnsi="Verdana" w:cs="Arial"/>
          <w:sz w:val="22"/>
          <w:szCs w:val="22"/>
        </w:rPr>
        <w:lastRenderedPageBreak/>
        <w:t>de 2019, por ejemplo, el único documento cargado es el Convenio y su fecha de cargue fue el 27 de marzo de 2019, así mismo, se pudo ver que al 4 de julio de 2022, el Convenio 030 de 2021 no tenía reportada información en SECOP I ni en SECOP II, entre otros casos.</w:t>
      </w:r>
    </w:p>
    <w:p w14:paraId="338EECF9" w14:textId="77777777" w:rsidR="00911C69" w:rsidRPr="00264E65" w:rsidRDefault="00911C69" w:rsidP="00911C69">
      <w:pPr>
        <w:contextualSpacing/>
        <w:rPr>
          <w:rFonts w:ascii="Verdana" w:eastAsiaTheme="minorHAnsi" w:hAnsi="Verdana" w:cs="Arial"/>
          <w:sz w:val="22"/>
          <w:szCs w:val="22"/>
        </w:rPr>
      </w:pPr>
    </w:p>
    <w:p w14:paraId="0D25D750" w14:textId="77777777" w:rsidR="00911C69" w:rsidRPr="00264E65" w:rsidRDefault="00911C69" w:rsidP="00911C69">
      <w:pPr>
        <w:pStyle w:val="Prrafodelista"/>
        <w:numPr>
          <w:ilvl w:val="0"/>
          <w:numId w:val="18"/>
        </w:numPr>
        <w:rPr>
          <w:rFonts w:ascii="Verdana" w:hAnsi="Verdana" w:cs="Arial"/>
          <w:b/>
          <w:sz w:val="22"/>
          <w:szCs w:val="22"/>
        </w:rPr>
      </w:pPr>
      <w:r w:rsidRPr="00264E65">
        <w:rPr>
          <w:rFonts w:ascii="Verdana" w:hAnsi="Verdana" w:cs="Arial"/>
          <w:b/>
          <w:sz w:val="22"/>
          <w:szCs w:val="22"/>
        </w:rPr>
        <w:t>Informes de Supervisión y/o Interventoría.</w:t>
      </w:r>
    </w:p>
    <w:p w14:paraId="7FC1DD25" w14:textId="77777777" w:rsidR="00911C69" w:rsidRPr="00264E65" w:rsidRDefault="00911C69" w:rsidP="00911C69">
      <w:pPr>
        <w:contextualSpacing/>
        <w:rPr>
          <w:rFonts w:ascii="Verdana" w:hAnsi="Verdana" w:cs="Arial"/>
          <w:b/>
          <w:sz w:val="22"/>
          <w:szCs w:val="22"/>
        </w:rPr>
      </w:pPr>
    </w:p>
    <w:p w14:paraId="4B4DC06A"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bCs/>
          <w:sz w:val="22"/>
          <w:szCs w:val="22"/>
        </w:rPr>
        <w:t>La Entidad Territorial entregó copia de varios informes de supervisión y/o interventoría; sin embargo, los que dan cuenta de contratos financiados con recursos de la Participación para Agua Potable y Saneamiento Básico del Sistema General de Participaciones son los que se relacionan a continuación:</w:t>
      </w:r>
    </w:p>
    <w:p w14:paraId="00DB729C" w14:textId="77777777" w:rsidR="00911C69" w:rsidRPr="00264E65" w:rsidRDefault="00911C69" w:rsidP="00911C69">
      <w:pPr>
        <w:contextualSpacing/>
        <w:jc w:val="both"/>
        <w:rPr>
          <w:rFonts w:ascii="Verdana" w:hAnsi="Verdana" w:cs="Arial"/>
          <w:sz w:val="22"/>
          <w:szCs w:val="22"/>
        </w:rPr>
      </w:pPr>
    </w:p>
    <w:p w14:paraId="7DC884D0" w14:textId="77777777" w:rsidR="00911C69" w:rsidRPr="00264E65" w:rsidRDefault="00911C69" w:rsidP="00911C69">
      <w:pPr>
        <w:contextualSpacing/>
        <w:jc w:val="center"/>
        <w:rPr>
          <w:rFonts w:ascii="Verdana" w:hAnsi="Verdana" w:cs="Arial"/>
          <w:sz w:val="22"/>
          <w:szCs w:val="22"/>
        </w:rPr>
      </w:pPr>
      <w:r w:rsidRPr="00264E65">
        <w:rPr>
          <w:rFonts w:ascii="Verdana" w:hAnsi="Verdana" w:cs="Arial"/>
          <w:b/>
          <w:sz w:val="22"/>
          <w:szCs w:val="22"/>
        </w:rPr>
        <w:t>Cuadro No. 11</w:t>
      </w:r>
      <w:r w:rsidRPr="00264E65">
        <w:rPr>
          <w:rFonts w:ascii="Verdana" w:hAnsi="Verdana" w:cs="Arial"/>
          <w:sz w:val="22"/>
          <w:szCs w:val="22"/>
        </w:rPr>
        <w:t xml:space="preserve"> Listado informes de supervisión y/o interventoría entregados.</w:t>
      </w:r>
    </w:p>
    <w:tbl>
      <w:tblPr>
        <w:tblW w:w="8649" w:type="dxa"/>
        <w:jc w:val="center"/>
        <w:tblLook w:val="04A0" w:firstRow="1" w:lastRow="0" w:firstColumn="1" w:lastColumn="0" w:noHBand="0" w:noVBand="1"/>
      </w:tblPr>
      <w:tblGrid>
        <w:gridCol w:w="1387"/>
        <w:gridCol w:w="1674"/>
        <w:gridCol w:w="1343"/>
        <w:gridCol w:w="2665"/>
        <w:gridCol w:w="1580"/>
      </w:tblGrid>
      <w:tr w:rsidR="00911C69" w:rsidRPr="00264E65" w14:paraId="7A3D6E0B" w14:textId="77777777" w:rsidTr="006764D4">
        <w:trPr>
          <w:trHeight w:val="506"/>
          <w:jc w:val="center"/>
        </w:trPr>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C1DF9" w14:textId="77777777" w:rsidR="00911C69" w:rsidRPr="00264E65" w:rsidRDefault="00911C69" w:rsidP="00640C2F">
            <w:pPr>
              <w:contextualSpacing/>
              <w:jc w:val="center"/>
              <w:rPr>
                <w:rFonts w:ascii="Verdana" w:eastAsia="Times New Roman" w:hAnsi="Verdana" w:cs="Arial"/>
                <w:b/>
                <w:bCs/>
                <w:sz w:val="18"/>
                <w:szCs w:val="18"/>
                <w:lang w:val="es-CO" w:eastAsia="en-US"/>
              </w:rPr>
            </w:pPr>
            <w:r w:rsidRPr="00264E65">
              <w:rPr>
                <w:rFonts w:ascii="Verdana" w:eastAsia="Times New Roman" w:hAnsi="Verdana" w:cs="Arial"/>
                <w:b/>
                <w:bCs/>
                <w:sz w:val="18"/>
                <w:szCs w:val="18"/>
                <w:lang w:val="es-CO" w:eastAsia="en-US"/>
              </w:rPr>
              <w:t>Número de Contrato</w:t>
            </w:r>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50368298" w14:textId="77777777" w:rsidR="00911C69" w:rsidRPr="00264E65" w:rsidRDefault="00911C69" w:rsidP="00640C2F">
            <w:pPr>
              <w:contextualSpacing/>
              <w:jc w:val="center"/>
              <w:rPr>
                <w:rFonts w:ascii="Verdana" w:eastAsia="Times New Roman" w:hAnsi="Verdana" w:cs="Arial"/>
                <w:b/>
                <w:bCs/>
                <w:sz w:val="18"/>
                <w:szCs w:val="18"/>
                <w:lang w:val="es-CO" w:eastAsia="en-US"/>
              </w:rPr>
            </w:pPr>
            <w:r w:rsidRPr="00264E65">
              <w:rPr>
                <w:rFonts w:ascii="Verdana" w:eastAsia="Times New Roman" w:hAnsi="Verdana" w:cs="Arial"/>
                <w:b/>
                <w:bCs/>
                <w:sz w:val="18"/>
                <w:szCs w:val="18"/>
                <w:lang w:val="es-CO" w:eastAsia="en-US"/>
              </w:rPr>
              <w:t>Valor</w:t>
            </w:r>
          </w:p>
        </w:tc>
        <w:tc>
          <w:tcPr>
            <w:tcW w:w="1330" w:type="dxa"/>
            <w:tcBorders>
              <w:top w:val="single" w:sz="4" w:space="0" w:color="auto"/>
              <w:left w:val="nil"/>
              <w:bottom w:val="single" w:sz="4" w:space="0" w:color="auto"/>
              <w:right w:val="single" w:sz="4" w:space="0" w:color="auto"/>
            </w:tcBorders>
            <w:shd w:val="clear" w:color="000000" w:fill="FFFFFF"/>
            <w:vAlign w:val="center"/>
            <w:hideMark/>
          </w:tcPr>
          <w:p w14:paraId="563CD058" w14:textId="77777777" w:rsidR="00911C69" w:rsidRPr="00264E65" w:rsidRDefault="00911C69" w:rsidP="00640C2F">
            <w:pPr>
              <w:contextualSpacing/>
              <w:jc w:val="center"/>
              <w:rPr>
                <w:rFonts w:ascii="Verdana" w:eastAsia="Times New Roman" w:hAnsi="Verdana" w:cs="Arial"/>
                <w:b/>
                <w:bCs/>
                <w:sz w:val="18"/>
                <w:szCs w:val="18"/>
                <w:lang w:val="es-CO" w:eastAsia="en-US"/>
              </w:rPr>
            </w:pPr>
            <w:r w:rsidRPr="00264E65">
              <w:rPr>
                <w:rFonts w:ascii="Verdana" w:eastAsia="Times New Roman" w:hAnsi="Verdana" w:cs="Arial"/>
                <w:b/>
                <w:bCs/>
                <w:sz w:val="18"/>
                <w:szCs w:val="18"/>
                <w:lang w:val="es-CO" w:eastAsia="en-US"/>
              </w:rPr>
              <w:t>Contratista</w:t>
            </w:r>
          </w:p>
        </w:tc>
        <w:tc>
          <w:tcPr>
            <w:tcW w:w="2673" w:type="dxa"/>
            <w:tcBorders>
              <w:top w:val="single" w:sz="4" w:space="0" w:color="auto"/>
              <w:left w:val="nil"/>
              <w:bottom w:val="single" w:sz="4" w:space="0" w:color="auto"/>
              <w:right w:val="single" w:sz="4" w:space="0" w:color="auto"/>
            </w:tcBorders>
            <w:shd w:val="clear" w:color="000000" w:fill="FFFFFF"/>
            <w:vAlign w:val="center"/>
            <w:hideMark/>
          </w:tcPr>
          <w:p w14:paraId="7611929D" w14:textId="77777777" w:rsidR="00911C69" w:rsidRPr="00264E65" w:rsidRDefault="00911C69" w:rsidP="00640C2F">
            <w:pPr>
              <w:contextualSpacing/>
              <w:jc w:val="center"/>
              <w:rPr>
                <w:rFonts w:ascii="Verdana" w:eastAsia="Times New Roman" w:hAnsi="Verdana" w:cs="Arial"/>
                <w:b/>
                <w:bCs/>
                <w:sz w:val="18"/>
                <w:szCs w:val="18"/>
                <w:lang w:val="es-CO" w:eastAsia="en-US"/>
              </w:rPr>
            </w:pPr>
            <w:r w:rsidRPr="00264E65">
              <w:rPr>
                <w:rFonts w:ascii="Verdana" w:eastAsia="Times New Roman" w:hAnsi="Verdana" w:cs="Arial"/>
                <w:b/>
                <w:bCs/>
                <w:sz w:val="18"/>
                <w:szCs w:val="18"/>
                <w:lang w:val="es-CO" w:eastAsia="en-US"/>
              </w:rPr>
              <w:t>Objeto</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14:paraId="1B32784A" w14:textId="77777777" w:rsidR="00911C69" w:rsidRPr="00264E65" w:rsidRDefault="00911C69" w:rsidP="00640C2F">
            <w:pPr>
              <w:contextualSpacing/>
              <w:jc w:val="center"/>
              <w:rPr>
                <w:rFonts w:ascii="Verdana" w:eastAsia="Times New Roman" w:hAnsi="Verdana" w:cs="Arial"/>
                <w:b/>
                <w:bCs/>
                <w:sz w:val="18"/>
                <w:szCs w:val="18"/>
                <w:lang w:val="es-CO" w:eastAsia="en-US"/>
              </w:rPr>
            </w:pPr>
            <w:r w:rsidRPr="00264E65">
              <w:rPr>
                <w:rFonts w:ascii="Verdana" w:eastAsia="Times New Roman" w:hAnsi="Verdana" w:cs="Arial"/>
                <w:b/>
                <w:bCs/>
                <w:sz w:val="18"/>
                <w:szCs w:val="18"/>
                <w:lang w:val="es-CO" w:eastAsia="en-US"/>
              </w:rPr>
              <w:t>Clase de Informe</w:t>
            </w:r>
          </w:p>
        </w:tc>
      </w:tr>
      <w:tr w:rsidR="00911C69" w:rsidRPr="00264E65" w14:paraId="491E855A" w14:textId="77777777" w:rsidTr="006764D4">
        <w:trPr>
          <w:trHeight w:val="1182"/>
          <w:jc w:val="center"/>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1B3A0EC"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009 de 2016</w:t>
            </w:r>
          </w:p>
        </w:tc>
        <w:tc>
          <w:tcPr>
            <w:tcW w:w="1676" w:type="dxa"/>
            <w:tcBorders>
              <w:top w:val="nil"/>
              <w:left w:val="nil"/>
              <w:bottom w:val="single" w:sz="4" w:space="0" w:color="auto"/>
              <w:right w:val="single" w:sz="4" w:space="0" w:color="auto"/>
            </w:tcBorders>
            <w:shd w:val="clear" w:color="000000" w:fill="FFFFFF"/>
            <w:vAlign w:val="center"/>
            <w:hideMark/>
          </w:tcPr>
          <w:p w14:paraId="03313A35"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$47.424 millones, de los cuales, $151 millones corresponden a SGP - APSB</w:t>
            </w:r>
          </w:p>
        </w:tc>
        <w:tc>
          <w:tcPr>
            <w:tcW w:w="1330" w:type="dxa"/>
            <w:tcBorders>
              <w:top w:val="nil"/>
              <w:left w:val="nil"/>
              <w:bottom w:val="single" w:sz="4" w:space="0" w:color="auto"/>
              <w:right w:val="single" w:sz="4" w:space="0" w:color="auto"/>
            </w:tcBorders>
            <w:shd w:val="clear" w:color="auto" w:fill="auto"/>
            <w:vAlign w:val="center"/>
            <w:hideMark/>
          </w:tcPr>
          <w:p w14:paraId="1292A6C6"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Consorcio Colector Sur</w:t>
            </w:r>
          </w:p>
        </w:tc>
        <w:tc>
          <w:tcPr>
            <w:tcW w:w="2673" w:type="dxa"/>
            <w:tcBorders>
              <w:top w:val="nil"/>
              <w:left w:val="nil"/>
              <w:bottom w:val="single" w:sz="4" w:space="0" w:color="auto"/>
              <w:right w:val="single" w:sz="4" w:space="0" w:color="auto"/>
            </w:tcBorders>
            <w:shd w:val="clear" w:color="000000" w:fill="FFFFFF"/>
            <w:vAlign w:val="center"/>
            <w:hideMark/>
          </w:tcPr>
          <w:p w14:paraId="1F14B128"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Construcción de alcantarillado pluvial colector sur del Municipio de Cota Departamento de Cundinamarca.</w:t>
            </w:r>
          </w:p>
        </w:tc>
        <w:tc>
          <w:tcPr>
            <w:tcW w:w="1581" w:type="dxa"/>
            <w:tcBorders>
              <w:top w:val="nil"/>
              <w:left w:val="nil"/>
              <w:bottom w:val="single" w:sz="4" w:space="0" w:color="auto"/>
              <w:right w:val="single" w:sz="4" w:space="0" w:color="auto"/>
            </w:tcBorders>
            <w:shd w:val="clear" w:color="auto" w:fill="auto"/>
            <w:vAlign w:val="center"/>
            <w:hideMark/>
          </w:tcPr>
          <w:p w14:paraId="77DD10FD"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Interventoría</w:t>
            </w:r>
          </w:p>
          <w:p w14:paraId="76E1A25B"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(Informe No. 38 del 1-18 de diciembre de 2020)</w:t>
            </w:r>
          </w:p>
        </w:tc>
      </w:tr>
      <w:tr w:rsidR="00911C69" w:rsidRPr="00264E65" w14:paraId="428A0774" w14:textId="77777777" w:rsidTr="006764D4">
        <w:trPr>
          <w:trHeight w:val="2182"/>
          <w:jc w:val="center"/>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2EEB71F"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849 de 2018</w:t>
            </w:r>
          </w:p>
        </w:tc>
        <w:tc>
          <w:tcPr>
            <w:tcW w:w="1676" w:type="dxa"/>
            <w:tcBorders>
              <w:top w:val="nil"/>
              <w:left w:val="nil"/>
              <w:bottom w:val="single" w:sz="4" w:space="0" w:color="auto"/>
              <w:right w:val="single" w:sz="4" w:space="0" w:color="auto"/>
            </w:tcBorders>
            <w:shd w:val="clear" w:color="000000" w:fill="FFFFFF"/>
            <w:vAlign w:val="center"/>
            <w:hideMark/>
          </w:tcPr>
          <w:p w14:paraId="0AF3E98C"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$29.524 millones, de los cuales, $671 millones corresponden a SGP - APSB</w:t>
            </w:r>
          </w:p>
        </w:tc>
        <w:tc>
          <w:tcPr>
            <w:tcW w:w="1330" w:type="dxa"/>
            <w:tcBorders>
              <w:top w:val="nil"/>
              <w:left w:val="nil"/>
              <w:bottom w:val="single" w:sz="4" w:space="0" w:color="auto"/>
              <w:right w:val="single" w:sz="4" w:space="0" w:color="auto"/>
            </w:tcBorders>
            <w:shd w:val="clear" w:color="auto" w:fill="auto"/>
            <w:vAlign w:val="center"/>
            <w:hideMark/>
          </w:tcPr>
          <w:p w14:paraId="4A5345B3"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Unión Temporal Colector Central 2018</w:t>
            </w:r>
          </w:p>
        </w:tc>
        <w:tc>
          <w:tcPr>
            <w:tcW w:w="2673" w:type="dxa"/>
            <w:tcBorders>
              <w:top w:val="nil"/>
              <w:left w:val="nil"/>
              <w:bottom w:val="single" w:sz="4" w:space="0" w:color="auto"/>
              <w:right w:val="single" w:sz="4" w:space="0" w:color="auto"/>
            </w:tcBorders>
            <w:shd w:val="clear" w:color="000000" w:fill="FFFFFF"/>
            <w:vAlign w:val="center"/>
            <w:hideMark/>
          </w:tcPr>
          <w:p w14:paraId="77A5B373"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Mejoramiento de la infraestructura vial de la calle 11 entre la vía Pie de Monte y Puente de la Virgen, incluye obras de construcción colector central; mejoramiento de la infraestructura vial de la carrera 1 entre calle 13 y calle 11 del Municipio de Cota Cundinamarca.</w:t>
            </w:r>
          </w:p>
        </w:tc>
        <w:tc>
          <w:tcPr>
            <w:tcW w:w="1581" w:type="dxa"/>
            <w:tcBorders>
              <w:top w:val="nil"/>
              <w:left w:val="nil"/>
              <w:bottom w:val="single" w:sz="4" w:space="0" w:color="auto"/>
              <w:right w:val="single" w:sz="4" w:space="0" w:color="auto"/>
            </w:tcBorders>
            <w:shd w:val="clear" w:color="auto" w:fill="auto"/>
            <w:vAlign w:val="center"/>
            <w:hideMark/>
          </w:tcPr>
          <w:p w14:paraId="2AE2314C" w14:textId="77777777" w:rsidR="00911C69" w:rsidRPr="00264E65" w:rsidRDefault="00911C69" w:rsidP="00640C2F">
            <w:pPr>
              <w:contextualSpacing/>
              <w:jc w:val="center"/>
              <w:rPr>
                <w:rFonts w:ascii="Verdana" w:eastAsia="Times New Roman" w:hAnsi="Verdana" w:cs="Arial"/>
                <w:sz w:val="18"/>
                <w:szCs w:val="18"/>
                <w:lang w:val="es-CO" w:eastAsia="en-US"/>
              </w:rPr>
            </w:pPr>
            <w:r w:rsidRPr="00264E65">
              <w:rPr>
                <w:rFonts w:ascii="Verdana" w:eastAsia="Times New Roman" w:hAnsi="Verdana" w:cs="Arial"/>
                <w:sz w:val="18"/>
                <w:szCs w:val="18"/>
                <w:lang w:val="es-CO" w:eastAsia="en-US"/>
              </w:rPr>
              <w:t>Interventoría (Informe No. 4 del 10 de noviembre de 2020 - 19 de julio de 2021)</w:t>
            </w:r>
          </w:p>
        </w:tc>
      </w:tr>
    </w:tbl>
    <w:p w14:paraId="444CB49F" w14:textId="77777777" w:rsidR="00911C69" w:rsidRPr="00433E58" w:rsidRDefault="00911C69" w:rsidP="00911C69">
      <w:pPr>
        <w:contextualSpacing/>
        <w:jc w:val="center"/>
        <w:rPr>
          <w:rFonts w:ascii="Verdana" w:hAnsi="Verdana" w:cs="Arial"/>
          <w:sz w:val="16"/>
          <w:szCs w:val="16"/>
        </w:rPr>
      </w:pPr>
      <w:r w:rsidRPr="00433E58">
        <w:rPr>
          <w:rFonts w:ascii="Verdana" w:hAnsi="Verdana" w:cs="Arial"/>
          <w:sz w:val="16"/>
          <w:szCs w:val="16"/>
        </w:rPr>
        <w:t>Fuente: Alcaldía de Cota – Cundinamarca.</w:t>
      </w:r>
    </w:p>
    <w:p w14:paraId="4DBA1C8A" w14:textId="77777777" w:rsidR="00911C69" w:rsidRPr="00433E58" w:rsidRDefault="00911C69" w:rsidP="00911C69">
      <w:pPr>
        <w:contextualSpacing/>
        <w:jc w:val="both"/>
        <w:rPr>
          <w:rFonts w:ascii="Verdana" w:hAnsi="Verdana" w:cs="Arial"/>
          <w:b/>
          <w:sz w:val="22"/>
          <w:szCs w:val="22"/>
        </w:rPr>
      </w:pPr>
    </w:p>
    <w:p w14:paraId="77E5BFBC" w14:textId="77777777" w:rsidR="00911C69" w:rsidRPr="00264E65" w:rsidRDefault="00911C69" w:rsidP="00911C69">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 xml:space="preserve">Según el Informe de Interventoría No. 38 del Contrato 009 de 2016, a la fecha de corte, el porcentaje de ejecución de la obra era de 90,22 %, había transcurrido el 93 % del plazo contractual y había un avance del 87,96 % en cuanto a lo financiero. Por medio del Informe también se pudo ver que a esa fecha existían retrasos por cuenta de la no disposición de materiales en la obra para ejecutar actividades pendientes y al incumplimiento de la programación de obra, igualmente, la interventoría indicó que mediante oficio C022-2016 -900 del 01 de septiembre de 2020 presentó un informe de incumplimiento a la supervisión del Contrato, recomendando el inicio de la actuación administrativa relacionada con el proceso de incumplimiento de obligaciones del contratista relacionadas con atrasos en pagos de seguridad social y de nómina y que a esa fecha el contratante debía adelantar los trámites </w:t>
      </w:r>
      <w:r w:rsidRPr="00264E65">
        <w:rPr>
          <w:rFonts w:ascii="Verdana" w:hAnsi="Verdana" w:cs="Arial"/>
          <w:sz w:val="22"/>
          <w:szCs w:val="22"/>
        </w:rPr>
        <w:lastRenderedPageBreak/>
        <w:t>administrativos para definir la viabilidad de la imposición de multas o sanciones teniendo en cuenta los hechos relacionados en el informe de incumplimiento mencionado. Finalmente, el Informe mencionó que, a esa fecha, el contratista de obra había solicitado suspensión por 30 días debido a la dificultad que se tenía para el suministro de materiales e insumos por temporada de fin de año.</w:t>
      </w:r>
    </w:p>
    <w:p w14:paraId="43F974D3" w14:textId="77777777" w:rsidR="00911C69" w:rsidRPr="00264E65" w:rsidRDefault="00911C69" w:rsidP="00911C69">
      <w:pPr>
        <w:contextualSpacing/>
        <w:jc w:val="both"/>
        <w:rPr>
          <w:rFonts w:ascii="Verdana" w:hAnsi="Verdana" w:cs="Arial"/>
          <w:sz w:val="22"/>
          <w:szCs w:val="22"/>
        </w:rPr>
      </w:pPr>
    </w:p>
    <w:p w14:paraId="5403A149"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Por otro lado, según el Informe de Interventoría No. 4 del Contrato 849 de 2018, a la fecha de corte se presentaba un porcentaje de ejecución de 83,65 %, 1,7 % más que lo programado para ese período (81,95 %), igualmente, había transcurrido el 95,5 % del plazo contractual y había un avance financiero de 76,25 %. Del mismo modo, a través del Informe se pudieron conocer cada una de las actividades realizadas con el contratista, la interventoría, la comisión topográfica, etc.</w:t>
      </w:r>
    </w:p>
    <w:p w14:paraId="2A4F572C" w14:textId="77777777" w:rsidR="00911C69" w:rsidRPr="00264E65" w:rsidRDefault="00911C69" w:rsidP="00911C69">
      <w:pPr>
        <w:contextualSpacing/>
        <w:jc w:val="both"/>
        <w:rPr>
          <w:rFonts w:ascii="Verdana" w:hAnsi="Verdana" w:cs="Arial"/>
          <w:sz w:val="22"/>
          <w:szCs w:val="22"/>
        </w:rPr>
      </w:pPr>
    </w:p>
    <w:p w14:paraId="40CFEACE" w14:textId="77777777" w:rsidR="00911C69" w:rsidRPr="00264E65" w:rsidRDefault="00911C69" w:rsidP="00911C69">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Cabe indicar que el Municipio de Cota – Cundinamarca entregó copia de la Resolución No 1409 del 21 de noviembre de 2019 “</w:t>
      </w:r>
      <w:r w:rsidRPr="00264E65">
        <w:rPr>
          <w:rFonts w:ascii="Verdana" w:hAnsi="Verdana" w:cs="Arial"/>
          <w:i/>
          <w:iCs/>
          <w:sz w:val="22"/>
          <w:szCs w:val="22"/>
        </w:rPr>
        <w:t>Por medio de la cual se adopta el Manual de Supervisión e Interventoría para la contratación de la Alcaldía Municipal de Cota – Cundinamarca y se toman otras determinaciones</w:t>
      </w:r>
      <w:r w:rsidRPr="00264E65">
        <w:rPr>
          <w:rFonts w:ascii="Verdana" w:hAnsi="Verdana" w:cs="Arial"/>
          <w:sz w:val="22"/>
          <w:szCs w:val="22"/>
        </w:rPr>
        <w:t>”.</w:t>
      </w:r>
    </w:p>
    <w:p w14:paraId="036FC70B" w14:textId="77777777" w:rsidR="00911C69" w:rsidRPr="00264E65" w:rsidRDefault="00911C69" w:rsidP="00911C69">
      <w:pPr>
        <w:autoSpaceDE w:val="0"/>
        <w:autoSpaceDN w:val="0"/>
        <w:adjustRightInd w:val="0"/>
        <w:contextualSpacing/>
        <w:jc w:val="both"/>
        <w:rPr>
          <w:rFonts w:ascii="Verdana" w:hAnsi="Verdana" w:cs="Arial"/>
          <w:sz w:val="22"/>
          <w:szCs w:val="22"/>
        </w:rPr>
      </w:pPr>
    </w:p>
    <w:p w14:paraId="72339B2E" w14:textId="77777777" w:rsidR="00911C69" w:rsidRPr="00264E65" w:rsidRDefault="00911C69" w:rsidP="00911C69">
      <w:pPr>
        <w:autoSpaceDE w:val="0"/>
        <w:autoSpaceDN w:val="0"/>
        <w:adjustRightInd w:val="0"/>
        <w:contextualSpacing/>
        <w:jc w:val="both"/>
        <w:rPr>
          <w:rFonts w:ascii="Verdana" w:eastAsia="Calibri" w:hAnsi="Verdana" w:cs="Arial"/>
          <w:sz w:val="22"/>
          <w:szCs w:val="22"/>
          <w:lang w:val="es-CO"/>
        </w:rPr>
      </w:pPr>
      <w:r w:rsidRPr="00264E65">
        <w:rPr>
          <w:rFonts w:ascii="Verdana" w:hAnsi="Verdana" w:cs="Arial"/>
          <w:sz w:val="22"/>
          <w:szCs w:val="22"/>
        </w:rPr>
        <w:t>Según dicha Resolución, el manual “</w:t>
      </w:r>
      <w:r w:rsidRPr="00264E65">
        <w:rPr>
          <w:rFonts w:ascii="Verdana" w:eastAsia="Calibri" w:hAnsi="Verdana" w:cs="Arial"/>
          <w:i/>
          <w:iCs/>
          <w:sz w:val="22"/>
          <w:szCs w:val="22"/>
          <w:lang w:val="es-CO"/>
        </w:rPr>
        <w:t>es una herramienta que define en mayor detalle las responsabilidades de los Interventores, contratistas y supervisores, pues se convierte en la carta de navegación para realizar Interventorías de las obras y consultorías en sus diferentes aspectos, así como se define la responsabilidad del Supervisor frente a las diferentes modalidades de contratación del Municipio; propiciando con esto el cumplimiento de los fines esenciales del estado de una forma eficiente y eficaz; situación que redunda en beneficio de la comunidad y del Municipio, lográndose con ello dar aplicabilidad a los principios de economía, igualdad y moralidad entre otros</w:t>
      </w:r>
      <w:r w:rsidRPr="00264E65">
        <w:rPr>
          <w:rFonts w:ascii="Verdana" w:eastAsia="Calibri" w:hAnsi="Verdana" w:cs="Arial"/>
          <w:sz w:val="22"/>
          <w:szCs w:val="22"/>
          <w:lang w:val="es-CO"/>
        </w:rPr>
        <w:t>”.</w:t>
      </w:r>
    </w:p>
    <w:p w14:paraId="40D517AA" w14:textId="77777777" w:rsidR="00911C69" w:rsidRPr="00264E65" w:rsidRDefault="00911C69" w:rsidP="00911C69">
      <w:pPr>
        <w:contextualSpacing/>
        <w:rPr>
          <w:rFonts w:ascii="Verdana" w:hAnsi="Verdana" w:cs="Arial"/>
          <w:b/>
          <w:sz w:val="22"/>
          <w:szCs w:val="22"/>
          <w:lang w:val="es-CO"/>
        </w:rPr>
      </w:pPr>
    </w:p>
    <w:p w14:paraId="49F9BA96" w14:textId="77777777" w:rsidR="00911C69" w:rsidRPr="00264E65" w:rsidRDefault="00911C69" w:rsidP="00911C69">
      <w:pPr>
        <w:pStyle w:val="Prrafodelista"/>
        <w:numPr>
          <w:ilvl w:val="0"/>
          <w:numId w:val="17"/>
        </w:numPr>
        <w:rPr>
          <w:rFonts w:ascii="Verdana" w:hAnsi="Verdana" w:cs="Arial"/>
          <w:b/>
          <w:sz w:val="22"/>
          <w:szCs w:val="22"/>
        </w:rPr>
      </w:pPr>
      <w:r w:rsidRPr="00264E65">
        <w:rPr>
          <w:rFonts w:ascii="Verdana" w:hAnsi="Verdana" w:cs="Arial"/>
          <w:b/>
          <w:sz w:val="22"/>
          <w:szCs w:val="22"/>
        </w:rPr>
        <w:t>Cuenca Hidrográfica del Río Bogotá.</w:t>
      </w:r>
    </w:p>
    <w:p w14:paraId="0C77E091" w14:textId="77777777" w:rsidR="00911C69" w:rsidRPr="00264E65" w:rsidRDefault="00911C69" w:rsidP="00911C69">
      <w:pPr>
        <w:pStyle w:val="Sinespaciado"/>
        <w:contextualSpacing/>
        <w:jc w:val="both"/>
        <w:rPr>
          <w:rFonts w:ascii="Verdana" w:hAnsi="Verdana" w:cs="Arial"/>
          <w:b/>
        </w:rPr>
      </w:pPr>
    </w:p>
    <w:p w14:paraId="6DEEC682" w14:textId="77777777" w:rsidR="00911C69" w:rsidRPr="00264E65" w:rsidRDefault="00911C69" w:rsidP="00911C69">
      <w:pPr>
        <w:pStyle w:val="Sinespaciado"/>
        <w:contextualSpacing/>
        <w:jc w:val="both"/>
        <w:rPr>
          <w:rFonts w:ascii="Verdana" w:hAnsi="Verdana" w:cs="Arial"/>
        </w:rPr>
      </w:pPr>
      <w:r w:rsidRPr="00264E65">
        <w:rPr>
          <w:rFonts w:ascii="Verdana" w:hAnsi="Verdana" w:cs="Arial"/>
        </w:rPr>
        <w:t>La Entidad Territorial entregó un informe de cumplimiento de las obligaciones establecidas en la Sentencia No. 2001-00479-00 proferida por el Consejo de Estado el 28 de marzo de 2014 en el marco de una acción popular.</w:t>
      </w:r>
    </w:p>
    <w:p w14:paraId="7C424D07" w14:textId="77777777" w:rsidR="00911C69" w:rsidRPr="00264E65" w:rsidRDefault="00911C69" w:rsidP="00911C69">
      <w:pPr>
        <w:pStyle w:val="Sinespaciado"/>
        <w:contextualSpacing/>
        <w:jc w:val="both"/>
        <w:rPr>
          <w:rFonts w:ascii="Verdana" w:hAnsi="Verdana" w:cs="Arial"/>
        </w:rPr>
      </w:pPr>
    </w:p>
    <w:p w14:paraId="169203A6" w14:textId="77777777" w:rsidR="00911C69" w:rsidRPr="00264E65" w:rsidRDefault="00911C69" w:rsidP="00911C69">
      <w:pPr>
        <w:pStyle w:val="Default"/>
        <w:contextualSpacing/>
        <w:jc w:val="both"/>
        <w:rPr>
          <w:rFonts w:ascii="Verdana" w:hAnsi="Verdana"/>
          <w:color w:val="auto"/>
          <w:sz w:val="22"/>
          <w:szCs w:val="22"/>
        </w:rPr>
      </w:pPr>
      <w:r w:rsidRPr="00264E65">
        <w:rPr>
          <w:rFonts w:ascii="Verdana" w:hAnsi="Verdana"/>
          <w:color w:val="auto"/>
          <w:sz w:val="22"/>
          <w:szCs w:val="22"/>
        </w:rPr>
        <w:t xml:space="preserve">Dicho informe menciona las acciones llevadas a cabo por el Municipio de Cota, entre las cuales, se encuentran: realizar modificaciones al </w:t>
      </w:r>
      <w:r w:rsidRPr="00264E65">
        <w:rPr>
          <w:rFonts w:ascii="Verdana" w:hAnsi="Verdana"/>
          <w:color w:val="auto"/>
          <w:sz w:val="22"/>
          <w:szCs w:val="22"/>
          <w:shd w:val="clear" w:color="auto" w:fill="FFFFFF"/>
        </w:rPr>
        <w:t xml:space="preserve">Plan Básico de Ordenamiento Territorial - </w:t>
      </w:r>
      <w:r w:rsidRPr="00264E65">
        <w:rPr>
          <w:rFonts w:ascii="Verdana" w:hAnsi="Verdana"/>
          <w:color w:val="auto"/>
          <w:sz w:val="22"/>
          <w:szCs w:val="22"/>
        </w:rPr>
        <w:t xml:space="preserve">PBOT de acuerdo con los términos que el orden jurídico ha establecido; vincular al Plan de Desarrollo metas que garantizarán el cumplimiento de las órdenes de la Sentencia; modificar el </w:t>
      </w:r>
      <w:r w:rsidRPr="00264E65">
        <w:rPr>
          <w:rFonts w:ascii="Verdana" w:hAnsi="Verdana"/>
          <w:color w:val="auto"/>
          <w:sz w:val="22"/>
          <w:szCs w:val="22"/>
          <w:shd w:val="clear" w:color="auto" w:fill="FFFFFF"/>
        </w:rPr>
        <w:t xml:space="preserve">Plan de Saneamiento y Manejo de Vertimientos - </w:t>
      </w:r>
      <w:r w:rsidRPr="00264E65">
        <w:rPr>
          <w:rFonts w:ascii="Verdana" w:hAnsi="Verdana"/>
          <w:color w:val="auto"/>
          <w:sz w:val="22"/>
          <w:szCs w:val="22"/>
        </w:rPr>
        <w:t xml:space="preserve">PSMV a través de Resolución 2656 de 2019; realizar la actualización del PGIRS y el proceso de implementación de este en el Municipio; llevar a cabo actividades de </w:t>
      </w:r>
      <w:proofErr w:type="spellStart"/>
      <w:r w:rsidRPr="00264E65">
        <w:rPr>
          <w:rFonts w:ascii="Verdana" w:hAnsi="Verdana"/>
          <w:color w:val="auto"/>
          <w:sz w:val="22"/>
          <w:szCs w:val="22"/>
        </w:rPr>
        <w:t>revegetalización</w:t>
      </w:r>
      <w:proofErr w:type="spellEnd"/>
      <w:r w:rsidRPr="00264E65">
        <w:rPr>
          <w:rFonts w:ascii="Verdana" w:hAnsi="Verdana"/>
          <w:color w:val="auto"/>
          <w:sz w:val="22"/>
          <w:szCs w:val="22"/>
        </w:rPr>
        <w:t xml:space="preserve"> y restauración ecológica en El Tanque en la Vereda Parcelas, el </w:t>
      </w:r>
      <w:r w:rsidRPr="00264E65">
        <w:rPr>
          <w:rFonts w:ascii="Verdana" w:hAnsi="Verdana"/>
          <w:color w:val="auto"/>
          <w:sz w:val="22"/>
          <w:szCs w:val="22"/>
        </w:rPr>
        <w:lastRenderedPageBreak/>
        <w:t>Diamante ubicado en la Vereda Pueblo Viejo, en la ronda del Río Bogotá y en el predio denominado Lajas – Tapia ubicado en la Vereda La Moya; invitar a propietarios, poseedores u ocupantes de predios a estructurar proyectos de pagos por servicios ambientales contemplado en artículo 9 del Decreto 953 de 2013, cuyo propósito es el de promover la conservación y recuperación de áreas de importancia estratégica para los recursos hídricos del Municipio; construir colectores en el marco del Plan Maestro de Acueducto y Alcantarillado presentado hace diez años y desarrollar estudios y diseños de dicho documento, que incluyan lineamientos, políticas y proyectos necesarios para el uso adecuado del recurso hídrico de la Entidad Territorial, desde su captación hasta su vertimiento, garantizando la sostenibilidad de la prestación de los servicios en el Municipio los próximos 20 años y entendiendo esto como un criterio ordenador del territorio y la economía la Entidad.</w:t>
      </w:r>
    </w:p>
    <w:p w14:paraId="7AA2C5C0" w14:textId="77777777" w:rsidR="00911C69" w:rsidRPr="00264E65" w:rsidRDefault="00911C69" w:rsidP="00911C69">
      <w:pPr>
        <w:pStyle w:val="Default"/>
        <w:contextualSpacing/>
        <w:jc w:val="both"/>
        <w:rPr>
          <w:rFonts w:ascii="Verdana" w:hAnsi="Verdana"/>
          <w:color w:val="auto"/>
          <w:sz w:val="22"/>
          <w:szCs w:val="22"/>
        </w:rPr>
      </w:pPr>
    </w:p>
    <w:p w14:paraId="51895DC5" w14:textId="77777777" w:rsidR="00911C69" w:rsidRPr="00264E65" w:rsidRDefault="00911C69" w:rsidP="00911C69">
      <w:pPr>
        <w:pStyle w:val="Default"/>
        <w:contextualSpacing/>
        <w:jc w:val="both"/>
        <w:rPr>
          <w:rFonts w:ascii="Verdana" w:hAnsi="Verdana"/>
          <w:color w:val="auto"/>
          <w:sz w:val="22"/>
          <w:szCs w:val="22"/>
        </w:rPr>
      </w:pPr>
      <w:r w:rsidRPr="00264E65">
        <w:rPr>
          <w:rFonts w:ascii="Verdana" w:hAnsi="Verdana"/>
          <w:color w:val="auto"/>
          <w:sz w:val="22"/>
          <w:szCs w:val="22"/>
        </w:rPr>
        <w:t>Así mismo, hacer seguimiento, control y mantenimiento a los predios adquiridos en administraciones pasadas y que cumplen con los requisitos establecidos en el artículo 111 de la Ley 99 de 1993 y sus decretos reglamentarios; celebrar contratos que propendan por la recuperación, restauración y manejo de los ríos y quebradas que hacen parte de la cuenca del Río Bogotá; legalizar las concesiones de los pozos; adelantar la reducción de pérdidas desde la implementación del plan masivo de instalación y cambio de micro medición así como la implementación de manómetros purgas ventosas en las redes de acueducto en aras de optimizar y reducir las pérdidas técnicas y comerciales; realizar acciones que busquen garantizar la disponibilidad del recurso hídrico en el Municipio; realizar seguimiento a plantas de tratamiento y puntos de vertimiento para verificación de sus condiciones sanitarias; desarrollar reuniones de articulación entre las instituciones educativas públicas y privadas con la Secretaría de Educación municipal para conocer los avances en materia de ejecución de las actividades en marcadas dentro de cada uno de los proyectos ambientales escolares PRAES propuestos; adelantar trabajo de seguimiento y actualización respecto de los indicadores que deben tener en el tema de manejo de residuos sólidos disminución en la generación de los mismos y el uso eficiente y ahorro del agua; entre otras.</w:t>
      </w:r>
    </w:p>
    <w:p w14:paraId="1DDF34B2" w14:textId="77777777" w:rsidR="00911C69" w:rsidRPr="00264E65" w:rsidRDefault="00911C69" w:rsidP="00911C69">
      <w:pPr>
        <w:pStyle w:val="Default"/>
        <w:contextualSpacing/>
        <w:jc w:val="both"/>
        <w:rPr>
          <w:rFonts w:ascii="Verdana" w:hAnsi="Verdana"/>
          <w:color w:val="auto"/>
          <w:sz w:val="22"/>
          <w:szCs w:val="22"/>
        </w:rPr>
      </w:pPr>
    </w:p>
    <w:p w14:paraId="16F55A3F" w14:textId="77777777" w:rsidR="00911C69" w:rsidRPr="00264E65" w:rsidRDefault="00911C69" w:rsidP="00911C69">
      <w:pPr>
        <w:pStyle w:val="Default"/>
        <w:contextualSpacing/>
        <w:jc w:val="both"/>
        <w:rPr>
          <w:rFonts w:ascii="Verdana" w:hAnsi="Verdana"/>
          <w:color w:val="auto"/>
          <w:sz w:val="22"/>
          <w:szCs w:val="22"/>
        </w:rPr>
      </w:pPr>
      <w:bookmarkStart w:id="4" w:name="_Hlk117071057"/>
      <w:r w:rsidRPr="00264E65">
        <w:rPr>
          <w:rFonts w:ascii="Verdana" w:hAnsi="Verdana"/>
          <w:color w:val="auto"/>
          <w:sz w:val="22"/>
          <w:szCs w:val="22"/>
        </w:rPr>
        <w:t xml:space="preserve">Adicionalmente, el Municipio entregó un informe de operación de la Planta de Tratamiento de Agua Residual PTAR Rozo, que menciona que EMSERCOTA S.A. E.S.P. suscribió contrato con la Empresa H2O ES VIDA S.A.S. con el objeto de se le realiza la toma de muestras compuesta de agua residual durante veinticuatro horas a la salida de la PTAR de Rozo, labor que es ejecutada por el laboratorio certificado en agua residual, el cual reporta los parámetros de la Demanda Bioquímica de Oxígeno (DBO5), la Demanda Química de Oxigeno (DQO), nitrógeno total, grasas y aceites y Solidos Suspendidos Totales (SST). Así mismo, envió los resultados obtenidos de los análisis de campo y laboratorio de las muestras tomadas en el vertimiento de la PTAR Rozo, los cuales se comparan con los límites contenidos en el artículo 8 de la Resolución 0631 de 2015 del Ministerio de Ambiente y Desarrollo Sostenible, que </w:t>
      </w:r>
      <w:r w:rsidRPr="00264E65">
        <w:rPr>
          <w:rFonts w:ascii="Verdana" w:hAnsi="Verdana"/>
          <w:color w:val="auto"/>
          <w:sz w:val="22"/>
          <w:szCs w:val="22"/>
        </w:rPr>
        <w:lastRenderedPageBreak/>
        <w:t>establece los parámetros fisicoquímicos y los valores límites máximos permisibles en los vertimientos puntuales de Aguas Residuales Domésticas, (ARD) y de las Aguas Residuales no Domésticas (</w:t>
      </w:r>
      <w:proofErr w:type="spellStart"/>
      <w:r w:rsidRPr="00264E65">
        <w:rPr>
          <w:rFonts w:ascii="Verdana" w:hAnsi="Verdana"/>
          <w:color w:val="auto"/>
          <w:sz w:val="22"/>
          <w:szCs w:val="22"/>
        </w:rPr>
        <w:t>ARnD</w:t>
      </w:r>
      <w:proofErr w:type="spellEnd"/>
      <w:r w:rsidRPr="00264E65">
        <w:rPr>
          <w:rFonts w:ascii="Verdana" w:hAnsi="Verdana"/>
          <w:color w:val="auto"/>
          <w:sz w:val="22"/>
          <w:szCs w:val="22"/>
        </w:rPr>
        <w:t>) a cumplir por parte de los prestadores del Servicio Público de Alcantarillado.</w:t>
      </w:r>
    </w:p>
    <w:bookmarkEnd w:id="4"/>
    <w:p w14:paraId="5D93E499" w14:textId="77777777" w:rsidR="00911C69" w:rsidRPr="00264E65" w:rsidRDefault="00911C69" w:rsidP="00911C69">
      <w:pPr>
        <w:pStyle w:val="Sinespaciado"/>
        <w:contextualSpacing/>
        <w:jc w:val="both"/>
        <w:rPr>
          <w:rFonts w:ascii="Verdana" w:hAnsi="Verdana" w:cs="Arial"/>
        </w:rPr>
      </w:pPr>
    </w:p>
    <w:p w14:paraId="0DB5A6E3" w14:textId="77777777" w:rsidR="00911C69" w:rsidRPr="00264E65" w:rsidRDefault="00911C69" w:rsidP="00911C69">
      <w:pPr>
        <w:pStyle w:val="Sinespaciado"/>
        <w:ind w:left="425"/>
        <w:contextualSpacing/>
        <w:jc w:val="both"/>
        <w:rPr>
          <w:rFonts w:ascii="Verdana" w:hAnsi="Verdana" w:cs="Arial"/>
          <w:b/>
        </w:rPr>
      </w:pPr>
      <w:r w:rsidRPr="00264E65">
        <w:rPr>
          <w:rFonts w:ascii="Verdana" w:hAnsi="Verdana" w:cs="Arial"/>
          <w:b/>
        </w:rPr>
        <w:t>III. ANÁLISIS FINANCIERO.</w:t>
      </w:r>
    </w:p>
    <w:p w14:paraId="0CD01C1F" w14:textId="77777777" w:rsidR="00911C69" w:rsidRPr="00264E65" w:rsidRDefault="00911C69" w:rsidP="00911C69">
      <w:pPr>
        <w:pStyle w:val="Sinespaciado"/>
        <w:contextualSpacing/>
        <w:jc w:val="both"/>
        <w:rPr>
          <w:rFonts w:ascii="Verdana" w:hAnsi="Verdana" w:cs="Arial"/>
        </w:rPr>
      </w:pPr>
    </w:p>
    <w:p w14:paraId="26D399F2" w14:textId="77777777" w:rsidR="00911C69" w:rsidRPr="00264E65" w:rsidRDefault="00911C69" w:rsidP="00911C69">
      <w:pPr>
        <w:pStyle w:val="Prrafodelista"/>
        <w:numPr>
          <w:ilvl w:val="0"/>
          <w:numId w:val="6"/>
        </w:numPr>
        <w:spacing w:after="200"/>
        <w:jc w:val="both"/>
        <w:rPr>
          <w:rFonts w:ascii="Verdana" w:eastAsia="Calibri" w:hAnsi="Verdana" w:cs="Arial"/>
          <w:b/>
          <w:sz w:val="22"/>
          <w:szCs w:val="22"/>
          <w:lang w:val="es-CO" w:eastAsia="en-US"/>
        </w:rPr>
      </w:pPr>
      <w:r w:rsidRPr="00264E65">
        <w:rPr>
          <w:rFonts w:ascii="Verdana" w:eastAsia="Calibri" w:hAnsi="Verdana" w:cs="Arial"/>
          <w:b/>
          <w:sz w:val="22"/>
          <w:szCs w:val="22"/>
          <w:lang w:val="es-CO" w:eastAsia="en-US"/>
        </w:rPr>
        <w:t>Distribución de los recursos.</w:t>
      </w:r>
    </w:p>
    <w:p w14:paraId="1EC593BC" w14:textId="77777777" w:rsidR="00911C69" w:rsidRPr="00264E65" w:rsidRDefault="00911C69" w:rsidP="00911C69">
      <w:pPr>
        <w:spacing w:after="200"/>
        <w:contextualSpacing/>
        <w:jc w:val="both"/>
        <w:rPr>
          <w:rFonts w:ascii="Verdana" w:eastAsia="Calibri" w:hAnsi="Verdana" w:cs="Arial"/>
          <w:sz w:val="22"/>
          <w:szCs w:val="22"/>
          <w:lang w:val="es-CO" w:eastAsia="en-US"/>
        </w:rPr>
      </w:pPr>
    </w:p>
    <w:p w14:paraId="1CC15D54" w14:textId="77777777" w:rsidR="00911C69" w:rsidRPr="00264E65" w:rsidRDefault="00911C69" w:rsidP="00911C69">
      <w:pPr>
        <w:spacing w:after="200"/>
        <w:contextualSpacing/>
        <w:jc w:val="both"/>
        <w:rPr>
          <w:rFonts w:ascii="Verdana" w:eastAsia="Calibri" w:hAnsi="Verdana" w:cs="Arial"/>
          <w:sz w:val="22"/>
          <w:szCs w:val="22"/>
          <w:lang w:val="es-CO" w:eastAsia="en-US"/>
        </w:rPr>
      </w:pPr>
      <w:r w:rsidRPr="00264E65">
        <w:rPr>
          <w:rFonts w:ascii="Verdana" w:eastAsia="Calibri" w:hAnsi="Verdana" w:cs="Arial"/>
          <w:sz w:val="22"/>
          <w:szCs w:val="22"/>
          <w:lang w:val="es-CO" w:eastAsia="en-US"/>
        </w:rPr>
        <w:t xml:space="preserve">El artículo 7 de la Ley 1176 de 2007, menciona los criterios de distribución de los recursos correspondientes a municipios del Sector de Agua Potable y Saneamiento Básico. De acuerdo con los Documentos de Distribución SGP-33-2018, SGP-36-2019, SGP-39-2019, SGP-48-2020, SGP-52-2020, SGP-57-2021, </w:t>
      </w:r>
      <w:r w:rsidRPr="00264E65">
        <w:rPr>
          <w:rFonts w:ascii="Verdana" w:hAnsi="Verdana" w:cs="Arial"/>
          <w:sz w:val="22"/>
          <w:szCs w:val="22"/>
          <w:lang w:val="es-CO"/>
        </w:rPr>
        <w:t>SGP-62-2022</w:t>
      </w:r>
      <w:r w:rsidR="00CD0F5C" w:rsidRPr="00264E65">
        <w:rPr>
          <w:rFonts w:ascii="Verdana" w:hAnsi="Verdana" w:cs="Arial"/>
          <w:sz w:val="22"/>
          <w:szCs w:val="22"/>
          <w:lang w:val="es-CO"/>
        </w:rPr>
        <w:t>,</w:t>
      </w:r>
      <w:r w:rsidRPr="00264E65">
        <w:rPr>
          <w:rFonts w:ascii="Verdana" w:hAnsi="Verdana" w:cs="Arial"/>
          <w:sz w:val="22"/>
          <w:szCs w:val="22"/>
          <w:lang w:val="es-CO"/>
        </w:rPr>
        <w:t xml:space="preserve"> SGP-68-2022,</w:t>
      </w:r>
      <w:r w:rsidR="00CD0F5C" w:rsidRPr="00264E65">
        <w:rPr>
          <w:rFonts w:ascii="Verdana" w:hAnsi="Verdana" w:cs="Arial"/>
          <w:sz w:val="22"/>
          <w:szCs w:val="22"/>
          <w:lang w:val="es-CO"/>
        </w:rPr>
        <w:t xml:space="preserve"> SGP-72-2023 y SGP-76-2023</w:t>
      </w:r>
      <w:r w:rsidRPr="00264E65">
        <w:rPr>
          <w:rFonts w:ascii="Verdana" w:hAnsi="Verdana" w:cs="Arial"/>
          <w:sz w:val="22"/>
          <w:szCs w:val="22"/>
          <w:lang w:val="es-CO"/>
        </w:rPr>
        <w:t xml:space="preserve"> </w:t>
      </w:r>
      <w:r w:rsidRPr="00264E65">
        <w:rPr>
          <w:rFonts w:ascii="Verdana" w:eastAsia="Calibri" w:hAnsi="Verdana" w:cs="Arial"/>
          <w:sz w:val="22"/>
          <w:szCs w:val="22"/>
          <w:lang w:val="es-CO" w:eastAsia="en-US"/>
        </w:rPr>
        <w:t>los recursos asignados al Municipio de Cota – Cundinamarca fueron:</w:t>
      </w:r>
    </w:p>
    <w:p w14:paraId="412624AD" w14:textId="77777777" w:rsidR="00911C69" w:rsidRPr="00264E65" w:rsidRDefault="00911C69" w:rsidP="00911C69">
      <w:pPr>
        <w:spacing w:after="200"/>
        <w:contextualSpacing/>
        <w:jc w:val="both"/>
        <w:rPr>
          <w:rFonts w:ascii="Verdana" w:eastAsia="Calibri" w:hAnsi="Verdana" w:cs="Arial"/>
          <w:i/>
          <w:iCs/>
          <w:sz w:val="22"/>
          <w:szCs w:val="22"/>
          <w:lang w:val="es-CO" w:eastAsia="en-US"/>
        </w:rPr>
      </w:pPr>
    </w:p>
    <w:p w14:paraId="6F59CD6C" w14:textId="77777777" w:rsidR="00911C69" w:rsidRPr="00264E65" w:rsidRDefault="00911C69" w:rsidP="00911C69">
      <w:pPr>
        <w:contextualSpacing/>
        <w:jc w:val="center"/>
        <w:rPr>
          <w:rFonts w:ascii="Verdana" w:hAnsi="Verdana" w:cs="Arial"/>
          <w:b/>
          <w:bCs/>
          <w:sz w:val="22"/>
          <w:szCs w:val="22"/>
        </w:rPr>
      </w:pPr>
      <w:r w:rsidRPr="00264E65">
        <w:rPr>
          <w:rFonts w:ascii="Verdana" w:hAnsi="Verdana" w:cs="Arial"/>
          <w:b/>
          <w:sz w:val="22"/>
          <w:szCs w:val="22"/>
        </w:rPr>
        <w:t>Cuadro No. 12.</w:t>
      </w:r>
      <w:r w:rsidRPr="00264E65">
        <w:rPr>
          <w:rFonts w:ascii="Verdana" w:hAnsi="Verdana" w:cs="Arial"/>
          <w:sz w:val="22"/>
          <w:szCs w:val="22"/>
        </w:rPr>
        <w:t xml:space="preserve"> Distribución APSB del SGP</w:t>
      </w:r>
    </w:p>
    <w:tbl>
      <w:tblPr>
        <w:tblW w:w="9240" w:type="dxa"/>
        <w:tblCellMar>
          <w:left w:w="70" w:type="dxa"/>
          <w:right w:w="70" w:type="dxa"/>
        </w:tblCellMar>
        <w:tblLook w:val="04A0" w:firstRow="1" w:lastRow="0" w:firstColumn="1" w:lastColumn="0" w:noHBand="0" w:noVBand="1"/>
      </w:tblPr>
      <w:tblGrid>
        <w:gridCol w:w="853"/>
        <w:gridCol w:w="947"/>
        <w:gridCol w:w="1369"/>
        <w:gridCol w:w="1048"/>
        <w:gridCol w:w="1302"/>
        <w:gridCol w:w="948"/>
        <w:gridCol w:w="1025"/>
        <w:gridCol w:w="1050"/>
        <w:gridCol w:w="698"/>
      </w:tblGrid>
      <w:tr w:rsidR="00CD090D" w:rsidRPr="00CD090D" w14:paraId="7475FA7C" w14:textId="77777777" w:rsidTr="00CD090D">
        <w:trPr>
          <w:trHeight w:val="300"/>
        </w:trPr>
        <w:tc>
          <w:tcPr>
            <w:tcW w:w="92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9A80"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 xml:space="preserve">ASIGNACIONES CONPES              </w:t>
            </w:r>
            <w:proofErr w:type="gramStart"/>
            <w:r w:rsidRPr="00CD090D">
              <w:rPr>
                <w:rFonts w:ascii="Arial Narrow" w:eastAsia="Times New Roman" w:hAnsi="Arial Narrow" w:cs="Calibri"/>
                <w:b/>
                <w:bCs/>
                <w:color w:val="000000"/>
                <w:sz w:val="20"/>
                <w:szCs w:val="20"/>
                <w:lang w:val="es-CO" w:eastAsia="es-CO"/>
              </w:rPr>
              <w:t xml:space="preserve">   (</w:t>
            </w:r>
            <w:proofErr w:type="gramEnd"/>
            <w:r w:rsidRPr="00CD090D">
              <w:rPr>
                <w:rFonts w:ascii="Arial Narrow" w:eastAsia="Times New Roman" w:hAnsi="Arial Narrow" w:cs="Calibri"/>
                <w:b/>
                <w:bCs/>
                <w:color w:val="000000"/>
                <w:sz w:val="20"/>
                <w:szCs w:val="20"/>
                <w:lang w:val="es-CO" w:eastAsia="es-CO"/>
              </w:rPr>
              <w:t>En Millones de pesos)</w:t>
            </w:r>
          </w:p>
        </w:tc>
      </w:tr>
      <w:tr w:rsidR="00CD090D" w:rsidRPr="00CD090D" w14:paraId="0FA18B41" w14:textId="77777777" w:rsidTr="00CD090D">
        <w:trPr>
          <w:trHeight w:val="315"/>
        </w:trPr>
        <w:tc>
          <w:tcPr>
            <w:tcW w:w="8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76D04"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Vigencia</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36BE29F7"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Última doceava anterior</w:t>
            </w:r>
          </w:p>
        </w:tc>
        <w:tc>
          <w:tcPr>
            <w:tcW w:w="674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85CB7C8"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Once Doceavas</w:t>
            </w:r>
          </w:p>
        </w:tc>
        <w:tc>
          <w:tcPr>
            <w:tcW w:w="6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33F55"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TOTAL</w:t>
            </w:r>
          </w:p>
        </w:tc>
      </w:tr>
      <w:tr w:rsidR="00CD090D" w:rsidRPr="00CD090D" w14:paraId="2E973ABE" w14:textId="77777777" w:rsidTr="00CD090D">
        <w:trPr>
          <w:trHeight w:val="510"/>
        </w:trPr>
        <w:tc>
          <w:tcPr>
            <w:tcW w:w="853" w:type="dxa"/>
            <w:vMerge/>
            <w:tcBorders>
              <w:top w:val="nil"/>
              <w:left w:val="single" w:sz="4" w:space="0" w:color="auto"/>
              <w:bottom w:val="single" w:sz="4" w:space="0" w:color="auto"/>
              <w:right w:val="single" w:sz="4" w:space="0" w:color="auto"/>
            </w:tcBorders>
            <w:vAlign w:val="center"/>
            <w:hideMark/>
          </w:tcPr>
          <w:p w14:paraId="4367FB41" w14:textId="77777777" w:rsidR="00CD090D" w:rsidRPr="00CD090D" w:rsidRDefault="00CD090D" w:rsidP="00CD090D">
            <w:pPr>
              <w:rPr>
                <w:rFonts w:ascii="Arial Narrow" w:eastAsia="Times New Roman" w:hAnsi="Arial Narrow" w:cs="Calibri"/>
                <w:b/>
                <w:bCs/>
                <w:color w:val="000000"/>
                <w:sz w:val="20"/>
                <w:szCs w:val="20"/>
                <w:lang w:val="es-CO" w:eastAsia="es-CO"/>
              </w:rPr>
            </w:pPr>
          </w:p>
        </w:tc>
        <w:tc>
          <w:tcPr>
            <w:tcW w:w="947" w:type="dxa"/>
            <w:vMerge/>
            <w:tcBorders>
              <w:top w:val="nil"/>
              <w:left w:val="single" w:sz="4" w:space="0" w:color="auto"/>
              <w:bottom w:val="single" w:sz="4" w:space="0" w:color="auto"/>
              <w:right w:val="single" w:sz="4" w:space="0" w:color="auto"/>
            </w:tcBorders>
            <w:vAlign w:val="center"/>
            <w:hideMark/>
          </w:tcPr>
          <w:p w14:paraId="071EC0C3" w14:textId="77777777" w:rsidR="00CD090D" w:rsidRPr="00CD090D" w:rsidRDefault="00CD090D" w:rsidP="00CD090D">
            <w:pPr>
              <w:rPr>
                <w:rFonts w:ascii="Arial Narrow" w:eastAsia="Times New Roman" w:hAnsi="Arial Narrow" w:cs="Calibri"/>
                <w:b/>
                <w:bCs/>
                <w:color w:val="000000"/>
                <w:sz w:val="20"/>
                <w:szCs w:val="20"/>
                <w:lang w:val="es-CO" w:eastAsia="es-CO"/>
              </w:rPr>
            </w:pPr>
          </w:p>
        </w:tc>
        <w:tc>
          <w:tcPr>
            <w:tcW w:w="1369" w:type="dxa"/>
            <w:tcBorders>
              <w:top w:val="nil"/>
              <w:left w:val="nil"/>
              <w:bottom w:val="single" w:sz="4" w:space="0" w:color="auto"/>
              <w:right w:val="single" w:sz="4" w:space="0" w:color="auto"/>
            </w:tcBorders>
            <w:shd w:val="clear" w:color="auto" w:fill="auto"/>
            <w:vAlign w:val="center"/>
            <w:hideMark/>
          </w:tcPr>
          <w:p w14:paraId="41D5ABA4"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Déficit de Coberturas</w:t>
            </w:r>
          </w:p>
        </w:tc>
        <w:tc>
          <w:tcPr>
            <w:tcW w:w="1048" w:type="dxa"/>
            <w:tcBorders>
              <w:top w:val="nil"/>
              <w:left w:val="nil"/>
              <w:bottom w:val="single" w:sz="4" w:space="0" w:color="auto"/>
              <w:right w:val="single" w:sz="4" w:space="0" w:color="auto"/>
            </w:tcBorders>
            <w:shd w:val="clear" w:color="auto" w:fill="auto"/>
            <w:vAlign w:val="center"/>
            <w:hideMark/>
          </w:tcPr>
          <w:p w14:paraId="3D269243"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Población Atendida</w:t>
            </w:r>
          </w:p>
        </w:tc>
        <w:tc>
          <w:tcPr>
            <w:tcW w:w="1302" w:type="dxa"/>
            <w:tcBorders>
              <w:top w:val="nil"/>
              <w:left w:val="nil"/>
              <w:bottom w:val="single" w:sz="4" w:space="0" w:color="auto"/>
              <w:right w:val="single" w:sz="4" w:space="0" w:color="auto"/>
            </w:tcBorders>
            <w:shd w:val="clear" w:color="auto" w:fill="auto"/>
            <w:vAlign w:val="center"/>
            <w:hideMark/>
          </w:tcPr>
          <w:p w14:paraId="0BC5EC76"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Ampliación de Cobertura</w:t>
            </w:r>
          </w:p>
        </w:tc>
        <w:tc>
          <w:tcPr>
            <w:tcW w:w="948" w:type="dxa"/>
            <w:tcBorders>
              <w:top w:val="nil"/>
              <w:left w:val="nil"/>
              <w:bottom w:val="single" w:sz="4" w:space="0" w:color="auto"/>
              <w:right w:val="single" w:sz="4" w:space="0" w:color="auto"/>
            </w:tcBorders>
            <w:shd w:val="clear" w:color="auto" w:fill="auto"/>
            <w:vAlign w:val="center"/>
            <w:hideMark/>
          </w:tcPr>
          <w:p w14:paraId="430D0F5B"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Pobreza</w:t>
            </w:r>
          </w:p>
        </w:tc>
        <w:tc>
          <w:tcPr>
            <w:tcW w:w="1025" w:type="dxa"/>
            <w:tcBorders>
              <w:top w:val="nil"/>
              <w:left w:val="nil"/>
              <w:bottom w:val="single" w:sz="4" w:space="0" w:color="auto"/>
              <w:right w:val="single" w:sz="4" w:space="0" w:color="auto"/>
            </w:tcBorders>
            <w:shd w:val="clear" w:color="auto" w:fill="auto"/>
            <w:vAlign w:val="center"/>
            <w:hideMark/>
          </w:tcPr>
          <w:p w14:paraId="67130181"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Eficiencia</w:t>
            </w:r>
          </w:p>
        </w:tc>
        <w:tc>
          <w:tcPr>
            <w:tcW w:w="1050" w:type="dxa"/>
            <w:tcBorders>
              <w:top w:val="nil"/>
              <w:left w:val="nil"/>
              <w:bottom w:val="single" w:sz="4" w:space="0" w:color="auto"/>
              <w:right w:val="single" w:sz="4" w:space="0" w:color="auto"/>
            </w:tcBorders>
            <w:shd w:val="clear" w:color="auto" w:fill="auto"/>
            <w:vAlign w:val="center"/>
            <w:hideMark/>
          </w:tcPr>
          <w:p w14:paraId="5F2D9DD5"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Once Doceavas</w:t>
            </w:r>
          </w:p>
        </w:tc>
        <w:tc>
          <w:tcPr>
            <w:tcW w:w="698" w:type="dxa"/>
            <w:vMerge/>
            <w:tcBorders>
              <w:top w:val="nil"/>
              <w:left w:val="single" w:sz="4" w:space="0" w:color="auto"/>
              <w:bottom w:val="single" w:sz="4" w:space="0" w:color="auto"/>
              <w:right w:val="single" w:sz="4" w:space="0" w:color="auto"/>
            </w:tcBorders>
            <w:vAlign w:val="center"/>
            <w:hideMark/>
          </w:tcPr>
          <w:p w14:paraId="740CEAC3" w14:textId="77777777" w:rsidR="00CD090D" w:rsidRPr="00CD090D" w:rsidRDefault="00CD090D" w:rsidP="00CD090D">
            <w:pPr>
              <w:rPr>
                <w:rFonts w:ascii="Arial Narrow" w:eastAsia="Times New Roman" w:hAnsi="Arial Narrow" w:cs="Calibri"/>
                <w:b/>
                <w:bCs/>
                <w:color w:val="000000"/>
                <w:sz w:val="20"/>
                <w:szCs w:val="20"/>
                <w:lang w:val="es-CO" w:eastAsia="es-CO"/>
              </w:rPr>
            </w:pPr>
          </w:p>
        </w:tc>
      </w:tr>
      <w:tr w:rsidR="00CD090D" w:rsidRPr="00CD090D" w14:paraId="0D7EA55A" w14:textId="77777777" w:rsidTr="00CD090D">
        <w:trPr>
          <w:trHeight w:val="300"/>
        </w:trPr>
        <w:tc>
          <w:tcPr>
            <w:tcW w:w="853" w:type="dxa"/>
            <w:tcBorders>
              <w:top w:val="nil"/>
              <w:left w:val="single" w:sz="4" w:space="0" w:color="auto"/>
              <w:bottom w:val="single" w:sz="4" w:space="0" w:color="auto"/>
              <w:right w:val="single" w:sz="4" w:space="0" w:color="auto"/>
            </w:tcBorders>
            <w:shd w:val="clear" w:color="auto" w:fill="auto"/>
            <w:noWrap/>
            <w:vAlign w:val="center"/>
            <w:hideMark/>
          </w:tcPr>
          <w:p w14:paraId="7AB56742"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2019</w:t>
            </w:r>
          </w:p>
        </w:tc>
        <w:tc>
          <w:tcPr>
            <w:tcW w:w="947" w:type="dxa"/>
            <w:tcBorders>
              <w:top w:val="nil"/>
              <w:left w:val="nil"/>
              <w:bottom w:val="single" w:sz="4" w:space="0" w:color="auto"/>
              <w:right w:val="single" w:sz="4" w:space="0" w:color="auto"/>
            </w:tcBorders>
            <w:shd w:val="clear" w:color="auto" w:fill="auto"/>
            <w:noWrap/>
            <w:vAlign w:val="bottom"/>
            <w:hideMark/>
          </w:tcPr>
          <w:p w14:paraId="1C473FD2"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59</w:t>
            </w:r>
          </w:p>
        </w:tc>
        <w:tc>
          <w:tcPr>
            <w:tcW w:w="1369" w:type="dxa"/>
            <w:tcBorders>
              <w:top w:val="nil"/>
              <w:left w:val="nil"/>
              <w:bottom w:val="single" w:sz="4" w:space="0" w:color="auto"/>
              <w:right w:val="single" w:sz="4" w:space="0" w:color="auto"/>
            </w:tcBorders>
            <w:shd w:val="clear" w:color="auto" w:fill="auto"/>
            <w:noWrap/>
            <w:vAlign w:val="bottom"/>
            <w:hideMark/>
          </w:tcPr>
          <w:p w14:paraId="7468240B"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171</w:t>
            </w:r>
          </w:p>
        </w:tc>
        <w:tc>
          <w:tcPr>
            <w:tcW w:w="1048" w:type="dxa"/>
            <w:tcBorders>
              <w:top w:val="nil"/>
              <w:left w:val="nil"/>
              <w:bottom w:val="single" w:sz="4" w:space="0" w:color="auto"/>
              <w:right w:val="single" w:sz="4" w:space="0" w:color="auto"/>
            </w:tcBorders>
            <w:shd w:val="clear" w:color="auto" w:fill="auto"/>
            <w:noWrap/>
            <w:vAlign w:val="bottom"/>
            <w:hideMark/>
          </w:tcPr>
          <w:p w14:paraId="5A3BA225"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272</w:t>
            </w:r>
          </w:p>
        </w:tc>
        <w:tc>
          <w:tcPr>
            <w:tcW w:w="1302" w:type="dxa"/>
            <w:tcBorders>
              <w:top w:val="nil"/>
              <w:left w:val="nil"/>
              <w:bottom w:val="single" w:sz="4" w:space="0" w:color="auto"/>
              <w:right w:val="single" w:sz="4" w:space="0" w:color="auto"/>
            </w:tcBorders>
            <w:shd w:val="clear" w:color="auto" w:fill="auto"/>
            <w:noWrap/>
            <w:vAlign w:val="bottom"/>
            <w:hideMark/>
          </w:tcPr>
          <w:p w14:paraId="3CC851DD"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102</w:t>
            </w:r>
          </w:p>
        </w:tc>
        <w:tc>
          <w:tcPr>
            <w:tcW w:w="948" w:type="dxa"/>
            <w:tcBorders>
              <w:top w:val="nil"/>
              <w:left w:val="nil"/>
              <w:bottom w:val="single" w:sz="4" w:space="0" w:color="auto"/>
              <w:right w:val="single" w:sz="4" w:space="0" w:color="auto"/>
            </w:tcBorders>
            <w:shd w:val="clear" w:color="auto" w:fill="auto"/>
            <w:noWrap/>
            <w:vAlign w:val="bottom"/>
            <w:hideMark/>
          </w:tcPr>
          <w:p w14:paraId="6BF95EC1"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91</w:t>
            </w:r>
          </w:p>
        </w:tc>
        <w:tc>
          <w:tcPr>
            <w:tcW w:w="1025" w:type="dxa"/>
            <w:tcBorders>
              <w:top w:val="nil"/>
              <w:left w:val="nil"/>
              <w:bottom w:val="single" w:sz="4" w:space="0" w:color="auto"/>
              <w:right w:val="single" w:sz="4" w:space="0" w:color="auto"/>
            </w:tcBorders>
            <w:shd w:val="clear" w:color="auto" w:fill="auto"/>
            <w:noWrap/>
            <w:vAlign w:val="bottom"/>
            <w:hideMark/>
          </w:tcPr>
          <w:p w14:paraId="58B4F94A"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113</w:t>
            </w:r>
          </w:p>
        </w:tc>
        <w:tc>
          <w:tcPr>
            <w:tcW w:w="1050" w:type="dxa"/>
            <w:tcBorders>
              <w:top w:val="nil"/>
              <w:left w:val="nil"/>
              <w:bottom w:val="single" w:sz="4" w:space="0" w:color="auto"/>
              <w:right w:val="single" w:sz="4" w:space="0" w:color="auto"/>
            </w:tcBorders>
            <w:shd w:val="clear" w:color="auto" w:fill="auto"/>
            <w:noWrap/>
            <w:vAlign w:val="bottom"/>
            <w:hideMark/>
          </w:tcPr>
          <w:p w14:paraId="31CC6A5E"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750</w:t>
            </w:r>
          </w:p>
        </w:tc>
        <w:tc>
          <w:tcPr>
            <w:tcW w:w="698" w:type="dxa"/>
            <w:tcBorders>
              <w:top w:val="nil"/>
              <w:left w:val="nil"/>
              <w:bottom w:val="single" w:sz="4" w:space="0" w:color="auto"/>
              <w:right w:val="single" w:sz="4" w:space="0" w:color="auto"/>
            </w:tcBorders>
            <w:shd w:val="clear" w:color="auto" w:fill="auto"/>
            <w:noWrap/>
            <w:vAlign w:val="bottom"/>
            <w:hideMark/>
          </w:tcPr>
          <w:p w14:paraId="0A1973DD"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809</w:t>
            </w:r>
          </w:p>
        </w:tc>
      </w:tr>
      <w:tr w:rsidR="00CD090D" w:rsidRPr="00CD090D" w14:paraId="630B74FF" w14:textId="77777777" w:rsidTr="00CD090D">
        <w:trPr>
          <w:trHeight w:val="300"/>
        </w:trPr>
        <w:tc>
          <w:tcPr>
            <w:tcW w:w="853" w:type="dxa"/>
            <w:tcBorders>
              <w:top w:val="nil"/>
              <w:left w:val="single" w:sz="4" w:space="0" w:color="auto"/>
              <w:bottom w:val="single" w:sz="4" w:space="0" w:color="auto"/>
              <w:right w:val="single" w:sz="4" w:space="0" w:color="auto"/>
            </w:tcBorders>
            <w:shd w:val="clear" w:color="auto" w:fill="auto"/>
            <w:noWrap/>
            <w:vAlign w:val="center"/>
            <w:hideMark/>
          </w:tcPr>
          <w:p w14:paraId="4E9A2CC9"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2020</w:t>
            </w:r>
          </w:p>
        </w:tc>
        <w:tc>
          <w:tcPr>
            <w:tcW w:w="947" w:type="dxa"/>
            <w:tcBorders>
              <w:top w:val="nil"/>
              <w:left w:val="nil"/>
              <w:bottom w:val="single" w:sz="4" w:space="0" w:color="auto"/>
              <w:right w:val="single" w:sz="4" w:space="0" w:color="auto"/>
            </w:tcBorders>
            <w:shd w:val="clear" w:color="auto" w:fill="auto"/>
            <w:noWrap/>
            <w:vAlign w:val="bottom"/>
            <w:hideMark/>
          </w:tcPr>
          <w:p w14:paraId="0BB4F29D"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57</w:t>
            </w:r>
          </w:p>
        </w:tc>
        <w:tc>
          <w:tcPr>
            <w:tcW w:w="1369" w:type="dxa"/>
            <w:tcBorders>
              <w:top w:val="nil"/>
              <w:left w:val="nil"/>
              <w:bottom w:val="single" w:sz="4" w:space="0" w:color="auto"/>
              <w:right w:val="single" w:sz="4" w:space="0" w:color="auto"/>
            </w:tcBorders>
            <w:shd w:val="clear" w:color="auto" w:fill="auto"/>
            <w:noWrap/>
            <w:vAlign w:val="bottom"/>
            <w:hideMark/>
          </w:tcPr>
          <w:p w14:paraId="37CC3179"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192</w:t>
            </w:r>
          </w:p>
        </w:tc>
        <w:tc>
          <w:tcPr>
            <w:tcW w:w="1048" w:type="dxa"/>
            <w:tcBorders>
              <w:top w:val="nil"/>
              <w:left w:val="nil"/>
              <w:bottom w:val="single" w:sz="4" w:space="0" w:color="auto"/>
              <w:right w:val="single" w:sz="4" w:space="0" w:color="auto"/>
            </w:tcBorders>
            <w:shd w:val="clear" w:color="auto" w:fill="auto"/>
            <w:noWrap/>
            <w:vAlign w:val="bottom"/>
            <w:hideMark/>
          </w:tcPr>
          <w:p w14:paraId="2F92D0E4"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272</w:t>
            </w:r>
          </w:p>
        </w:tc>
        <w:tc>
          <w:tcPr>
            <w:tcW w:w="1302" w:type="dxa"/>
            <w:tcBorders>
              <w:top w:val="nil"/>
              <w:left w:val="nil"/>
              <w:bottom w:val="single" w:sz="4" w:space="0" w:color="auto"/>
              <w:right w:val="single" w:sz="4" w:space="0" w:color="auto"/>
            </w:tcBorders>
            <w:shd w:val="clear" w:color="auto" w:fill="auto"/>
            <w:noWrap/>
            <w:vAlign w:val="bottom"/>
            <w:hideMark/>
          </w:tcPr>
          <w:p w14:paraId="2E647DD1"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110</w:t>
            </w:r>
          </w:p>
        </w:tc>
        <w:tc>
          <w:tcPr>
            <w:tcW w:w="948" w:type="dxa"/>
            <w:tcBorders>
              <w:top w:val="nil"/>
              <w:left w:val="nil"/>
              <w:bottom w:val="single" w:sz="4" w:space="0" w:color="auto"/>
              <w:right w:val="single" w:sz="4" w:space="0" w:color="auto"/>
            </w:tcBorders>
            <w:shd w:val="clear" w:color="auto" w:fill="auto"/>
            <w:noWrap/>
            <w:vAlign w:val="bottom"/>
            <w:hideMark/>
          </w:tcPr>
          <w:p w14:paraId="603B7D3C"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91</w:t>
            </w:r>
          </w:p>
        </w:tc>
        <w:tc>
          <w:tcPr>
            <w:tcW w:w="1025" w:type="dxa"/>
            <w:tcBorders>
              <w:top w:val="nil"/>
              <w:left w:val="nil"/>
              <w:bottom w:val="single" w:sz="4" w:space="0" w:color="auto"/>
              <w:right w:val="single" w:sz="4" w:space="0" w:color="auto"/>
            </w:tcBorders>
            <w:shd w:val="clear" w:color="auto" w:fill="auto"/>
            <w:noWrap/>
            <w:vAlign w:val="bottom"/>
            <w:hideMark/>
          </w:tcPr>
          <w:p w14:paraId="65405D7B"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60</w:t>
            </w:r>
          </w:p>
        </w:tc>
        <w:tc>
          <w:tcPr>
            <w:tcW w:w="1050" w:type="dxa"/>
            <w:tcBorders>
              <w:top w:val="nil"/>
              <w:left w:val="nil"/>
              <w:bottom w:val="single" w:sz="4" w:space="0" w:color="auto"/>
              <w:right w:val="single" w:sz="4" w:space="0" w:color="auto"/>
            </w:tcBorders>
            <w:shd w:val="clear" w:color="auto" w:fill="auto"/>
            <w:noWrap/>
            <w:vAlign w:val="bottom"/>
            <w:hideMark/>
          </w:tcPr>
          <w:p w14:paraId="714F2D18"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725</w:t>
            </w:r>
          </w:p>
        </w:tc>
        <w:tc>
          <w:tcPr>
            <w:tcW w:w="698" w:type="dxa"/>
            <w:tcBorders>
              <w:top w:val="nil"/>
              <w:left w:val="nil"/>
              <w:bottom w:val="single" w:sz="4" w:space="0" w:color="auto"/>
              <w:right w:val="single" w:sz="4" w:space="0" w:color="auto"/>
            </w:tcBorders>
            <w:shd w:val="clear" w:color="auto" w:fill="auto"/>
            <w:noWrap/>
            <w:vAlign w:val="bottom"/>
            <w:hideMark/>
          </w:tcPr>
          <w:p w14:paraId="0581E3C3"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782</w:t>
            </w:r>
          </w:p>
        </w:tc>
      </w:tr>
      <w:tr w:rsidR="00CD090D" w:rsidRPr="00CD090D" w14:paraId="4E02F782" w14:textId="77777777" w:rsidTr="00CD090D">
        <w:trPr>
          <w:trHeight w:val="300"/>
        </w:trPr>
        <w:tc>
          <w:tcPr>
            <w:tcW w:w="853" w:type="dxa"/>
            <w:tcBorders>
              <w:top w:val="nil"/>
              <w:left w:val="single" w:sz="4" w:space="0" w:color="auto"/>
              <w:bottom w:val="single" w:sz="4" w:space="0" w:color="auto"/>
              <w:right w:val="single" w:sz="4" w:space="0" w:color="auto"/>
            </w:tcBorders>
            <w:shd w:val="clear" w:color="auto" w:fill="auto"/>
            <w:noWrap/>
            <w:vAlign w:val="center"/>
            <w:hideMark/>
          </w:tcPr>
          <w:p w14:paraId="49944D94"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2021</w:t>
            </w:r>
          </w:p>
        </w:tc>
        <w:tc>
          <w:tcPr>
            <w:tcW w:w="947" w:type="dxa"/>
            <w:tcBorders>
              <w:top w:val="nil"/>
              <w:left w:val="nil"/>
              <w:bottom w:val="single" w:sz="4" w:space="0" w:color="auto"/>
              <w:right w:val="single" w:sz="4" w:space="0" w:color="auto"/>
            </w:tcBorders>
            <w:shd w:val="clear" w:color="auto" w:fill="auto"/>
            <w:noWrap/>
            <w:vAlign w:val="bottom"/>
            <w:hideMark/>
          </w:tcPr>
          <w:p w14:paraId="5970F2AB"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65</w:t>
            </w:r>
          </w:p>
        </w:tc>
        <w:tc>
          <w:tcPr>
            <w:tcW w:w="1369" w:type="dxa"/>
            <w:tcBorders>
              <w:top w:val="nil"/>
              <w:left w:val="nil"/>
              <w:bottom w:val="single" w:sz="4" w:space="0" w:color="auto"/>
              <w:right w:val="single" w:sz="4" w:space="0" w:color="auto"/>
            </w:tcBorders>
            <w:shd w:val="clear" w:color="auto" w:fill="auto"/>
            <w:noWrap/>
            <w:vAlign w:val="bottom"/>
            <w:hideMark/>
          </w:tcPr>
          <w:p w14:paraId="5D1A6409"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218</w:t>
            </w:r>
          </w:p>
        </w:tc>
        <w:tc>
          <w:tcPr>
            <w:tcW w:w="1048" w:type="dxa"/>
            <w:tcBorders>
              <w:top w:val="nil"/>
              <w:left w:val="nil"/>
              <w:bottom w:val="single" w:sz="4" w:space="0" w:color="auto"/>
              <w:right w:val="single" w:sz="4" w:space="0" w:color="auto"/>
            </w:tcBorders>
            <w:shd w:val="clear" w:color="auto" w:fill="auto"/>
            <w:noWrap/>
            <w:vAlign w:val="bottom"/>
            <w:hideMark/>
          </w:tcPr>
          <w:p w14:paraId="587C85E9"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245</w:t>
            </w:r>
          </w:p>
        </w:tc>
        <w:tc>
          <w:tcPr>
            <w:tcW w:w="1302" w:type="dxa"/>
            <w:tcBorders>
              <w:top w:val="nil"/>
              <w:left w:val="nil"/>
              <w:bottom w:val="single" w:sz="4" w:space="0" w:color="auto"/>
              <w:right w:val="single" w:sz="4" w:space="0" w:color="auto"/>
            </w:tcBorders>
            <w:shd w:val="clear" w:color="auto" w:fill="auto"/>
            <w:noWrap/>
            <w:vAlign w:val="bottom"/>
            <w:hideMark/>
          </w:tcPr>
          <w:p w14:paraId="3C2A10EA"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118</w:t>
            </w:r>
          </w:p>
        </w:tc>
        <w:tc>
          <w:tcPr>
            <w:tcW w:w="948" w:type="dxa"/>
            <w:tcBorders>
              <w:top w:val="nil"/>
              <w:left w:val="nil"/>
              <w:bottom w:val="single" w:sz="4" w:space="0" w:color="auto"/>
              <w:right w:val="single" w:sz="4" w:space="0" w:color="auto"/>
            </w:tcBorders>
            <w:shd w:val="clear" w:color="auto" w:fill="auto"/>
            <w:noWrap/>
            <w:vAlign w:val="bottom"/>
            <w:hideMark/>
          </w:tcPr>
          <w:p w14:paraId="34D7AF9C"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82</w:t>
            </w:r>
          </w:p>
        </w:tc>
        <w:tc>
          <w:tcPr>
            <w:tcW w:w="1025" w:type="dxa"/>
            <w:tcBorders>
              <w:top w:val="nil"/>
              <w:left w:val="nil"/>
              <w:bottom w:val="single" w:sz="4" w:space="0" w:color="auto"/>
              <w:right w:val="single" w:sz="4" w:space="0" w:color="auto"/>
            </w:tcBorders>
            <w:shd w:val="clear" w:color="auto" w:fill="auto"/>
            <w:noWrap/>
            <w:vAlign w:val="bottom"/>
            <w:hideMark/>
          </w:tcPr>
          <w:p w14:paraId="5178BBE7"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319</w:t>
            </w:r>
          </w:p>
        </w:tc>
        <w:tc>
          <w:tcPr>
            <w:tcW w:w="1050" w:type="dxa"/>
            <w:tcBorders>
              <w:top w:val="nil"/>
              <w:left w:val="nil"/>
              <w:bottom w:val="single" w:sz="4" w:space="0" w:color="auto"/>
              <w:right w:val="single" w:sz="4" w:space="0" w:color="auto"/>
            </w:tcBorders>
            <w:shd w:val="clear" w:color="auto" w:fill="auto"/>
            <w:noWrap/>
            <w:vAlign w:val="bottom"/>
            <w:hideMark/>
          </w:tcPr>
          <w:p w14:paraId="1FCD6AA8"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982</w:t>
            </w:r>
          </w:p>
        </w:tc>
        <w:tc>
          <w:tcPr>
            <w:tcW w:w="698" w:type="dxa"/>
            <w:tcBorders>
              <w:top w:val="nil"/>
              <w:left w:val="nil"/>
              <w:bottom w:val="single" w:sz="4" w:space="0" w:color="auto"/>
              <w:right w:val="single" w:sz="4" w:space="0" w:color="auto"/>
            </w:tcBorders>
            <w:shd w:val="clear" w:color="auto" w:fill="auto"/>
            <w:noWrap/>
            <w:vAlign w:val="bottom"/>
            <w:hideMark/>
          </w:tcPr>
          <w:p w14:paraId="26816B6D"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1.046</w:t>
            </w:r>
          </w:p>
        </w:tc>
      </w:tr>
      <w:tr w:rsidR="00CD090D" w:rsidRPr="00CD090D" w14:paraId="4847E61C" w14:textId="77777777" w:rsidTr="00CD090D">
        <w:trPr>
          <w:trHeight w:val="300"/>
        </w:trPr>
        <w:tc>
          <w:tcPr>
            <w:tcW w:w="853" w:type="dxa"/>
            <w:tcBorders>
              <w:top w:val="nil"/>
              <w:left w:val="single" w:sz="4" w:space="0" w:color="auto"/>
              <w:bottom w:val="single" w:sz="4" w:space="0" w:color="auto"/>
              <w:right w:val="single" w:sz="4" w:space="0" w:color="auto"/>
            </w:tcBorders>
            <w:shd w:val="clear" w:color="auto" w:fill="auto"/>
            <w:noWrap/>
            <w:vAlign w:val="center"/>
            <w:hideMark/>
          </w:tcPr>
          <w:p w14:paraId="62DE17EE"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2022</w:t>
            </w:r>
          </w:p>
        </w:tc>
        <w:tc>
          <w:tcPr>
            <w:tcW w:w="947" w:type="dxa"/>
            <w:tcBorders>
              <w:top w:val="nil"/>
              <w:left w:val="nil"/>
              <w:bottom w:val="single" w:sz="4" w:space="0" w:color="auto"/>
              <w:right w:val="single" w:sz="4" w:space="0" w:color="auto"/>
            </w:tcBorders>
            <w:shd w:val="clear" w:color="auto" w:fill="auto"/>
            <w:noWrap/>
            <w:vAlign w:val="bottom"/>
            <w:hideMark/>
          </w:tcPr>
          <w:p w14:paraId="7D490044"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77</w:t>
            </w:r>
          </w:p>
        </w:tc>
        <w:tc>
          <w:tcPr>
            <w:tcW w:w="1369" w:type="dxa"/>
            <w:tcBorders>
              <w:top w:val="nil"/>
              <w:left w:val="nil"/>
              <w:bottom w:val="single" w:sz="4" w:space="0" w:color="auto"/>
              <w:right w:val="single" w:sz="4" w:space="0" w:color="auto"/>
            </w:tcBorders>
            <w:shd w:val="clear" w:color="auto" w:fill="auto"/>
            <w:noWrap/>
            <w:vAlign w:val="bottom"/>
            <w:hideMark/>
          </w:tcPr>
          <w:p w14:paraId="749C25BD"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196</w:t>
            </w:r>
          </w:p>
        </w:tc>
        <w:tc>
          <w:tcPr>
            <w:tcW w:w="1048" w:type="dxa"/>
            <w:tcBorders>
              <w:top w:val="nil"/>
              <w:left w:val="nil"/>
              <w:bottom w:val="single" w:sz="4" w:space="0" w:color="auto"/>
              <w:right w:val="single" w:sz="4" w:space="0" w:color="auto"/>
            </w:tcBorders>
            <w:shd w:val="clear" w:color="auto" w:fill="auto"/>
            <w:noWrap/>
            <w:vAlign w:val="bottom"/>
            <w:hideMark/>
          </w:tcPr>
          <w:p w14:paraId="2560B960"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221</w:t>
            </w:r>
          </w:p>
        </w:tc>
        <w:tc>
          <w:tcPr>
            <w:tcW w:w="1302" w:type="dxa"/>
            <w:tcBorders>
              <w:top w:val="nil"/>
              <w:left w:val="nil"/>
              <w:bottom w:val="single" w:sz="4" w:space="0" w:color="auto"/>
              <w:right w:val="single" w:sz="4" w:space="0" w:color="auto"/>
            </w:tcBorders>
            <w:shd w:val="clear" w:color="auto" w:fill="auto"/>
            <w:noWrap/>
            <w:vAlign w:val="bottom"/>
            <w:hideMark/>
          </w:tcPr>
          <w:p w14:paraId="0AB45924"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124</w:t>
            </w:r>
          </w:p>
        </w:tc>
        <w:tc>
          <w:tcPr>
            <w:tcW w:w="948" w:type="dxa"/>
            <w:tcBorders>
              <w:top w:val="nil"/>
              <w:left w:val="nil"/>
              <w:bottom w:val="single" w:sz="4" w:space="0" w:color="auto"/>
              <w:right w:val="single" w:sz="4" w:space="0" w:color="auto"/>
            </w:tcBorders>
            <w:shd w:val="clear" w:color="auto" w:fill="auto"/>
            <w:noWrap/>
            <w:vAlign w:val="bottom"/>
            <w:hideMark/>
          </w:tcPr>
          <w:p w14:paraId="43CC7592"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74</w:t>
            </w:r>
          </w:p>
        </w:tc>
        <w:tc>
          <w:tcPr>
            <w:tcW w:w="1025" w:type="dxa"/>
            <w:tcBorders>
              <w:top w:val="nil"/>
              <w:left w:val="nil"/>
              <w:bottom w:val="single" w:sz="4" w:space="0" w:color="auto"/>
              <w:right w:val="single" w:sz="4" w:space="0" w:color="auto"/>
            </w:tcBorders>
            <w:shd w:val="clear" w:color="auto" w:fill="auto"/>
            <w:noWrap/>
            <w:vAlign w:val="bottom"/>
            <w:hideMark/>
          </w:tcPr>
          <w:p w14:paraId="15C7446C"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185</w:t>
            </w:r>
          </w:p>
        </w:tc>
        <w:tc>
          <w:tcPr>
            <w:tcW w:w="1050" w:type="dxa"/>
            <w:tcBorders>
              <w:top w:val="nil"/>
              <w:left w:val="nil"/>
              <w:bottom w:val="single" w:sz="4" w:space="0" w:color="auto"/>
              <w:right w:val="single" w:sz="4" w:space="0" w:color="auto"/>
            </w:tcBorders>
            <w:shd w:val="clear" w:color="auto" w:fill="auto"/>
            <w:noWrap/>
            <w:vAlign w:val="bottom"/>
            <w:hideMark/>
          </w:tcPr>
          <w:p w14:paraId="1898A9AB"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799</w:t>
            </w:r>
          </w:p>
        </w:tc>
        <w:tc>
          <w:tcPr>
            <w:tcW w:w="698" w:type="dxa"/>
            <w:tcBorders>
              <w:top w:val="nil"/>
              <w:left w:val="nil"/>
              <w:bottom w:val="single" w:sz="4" w:space="0" w:color="auto"/>
              <w:right w:val="single" w:sz="4" w:space="0" w:color="auto"/>
            </w:tcBorders>
            <w:shd w:val="clear" w:color="auto" w:fill="auto"/>
            <w:noWrap/>
            <w:vAlign w:val="bottom"/>
            <w:hideMark/>
          </w:tcPr>
          <w:p w14:paraId="33B1D512"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877</w:t>
            </w:r>
          </w:p>
        </w:tc>
      </w:tr>
      <w:tr w:rsidR="00CD090D" w:rsidRPr="00CD090D" w14:paraId="369A0107" w14:textId="77777777" w:rsidTr="00CD090D">
        <w:trPr>
          <w:trHeight w:val="300"/>
        </w:trPr>
        <w:tc>
          <w:tcPr>
            <w:tcW w:w="853" w:type="dxa"/>
            <w:tcBorders>
              <w:top w:val="nil"/>
              <w:left w:val="single" w:sz="4" w:space="0" w:color="auto"/>
              <w:bottom w:val="single" w:sz="4" w:space="0" w:color="auto"/>
              <w:right w:val="single" w:sz="4" w:space="0" w:color="auto"/>
            </w:tcBorders>
            <w:shd w:val="clear" w:color="auto" w:fill="auto"/>
            <w:noWrap/>
            <w:vAlign w:val="center"/>
            <w:hideMark/>
          </w:tcPr>
          <w:p w14:paraId="0953A075" w14:textId="77777777" w:rsidR="00CD090D" w:rsidRPr="00CD090D" w:rsidRDefault="00CD090D" w:rsidP="00CD090D">
            <w:pPr>
              <w:jc w:val="center"/>
              <w:rPr>
                <w:rFonts w:ascii="Arial Narrow" w:eastAsia="Times New Roman" w:hAnsi="Arial Narrow" w:cs="Calibri"/>
                <w:b/>
                <w:bCs/>
                <w:color w:val="000000"/>
                <w:sz w:val="20"/>
                <w:szCs w:val="20"/>
                <w:lang w:val="es-CO" w:eastAsia="es-CO"/>
              </w:rPr>
            </w:pPr>
            <w:r w:rsidRPr="00CD090D">
              <w:rPr>
                <w:rFonts w:ascii="Arial Narrow" w:eastAsia="Times New Roman" w:hAnsi="Arial Narrow" w:cs="Calibri"/>
                <w:b/>
                <w:bCs/>
                <w:color w:val="000000"/>
                <w:sz w:val="20"/>
                <w:szCs w:val="20"/>
                <w:lang w:val="es-CO" w:eastAsia="es-CO"/>
              </w:rPr>
              <w:t>2023</w:t>
            </w:r>
          </w:p>
        </w:tc>
        <w:tc>
          <w:tcPr>
            <w:tcW w:w="947" w:type="dxa"/>
            <w:tcBorders>
              <w:top w:val="nil"/>
              <w:left w:val="nil"/>
              <w:bottom w:val="single" w:sz="4" w:space="0" w:color="auto"/>
              <w:right w:val="single" w:sz="4" w:space="0" w:color="auto"/>
            </w:tcBorders>
            <w:shd w:val="clear" w:color="auto" w:fill="auto"/>
            <w:noWrap/>
            <w:vAlign w:val="bottom"/>
            <w:hideMark/>
          </w:tcPr>
          <w:p w14:paraId="683F6BA3"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87</w:t>
            </w:r>
          </w:p>
        </w:tc>
        <w:tc>
          <w:tcPr>
            <w:tcW w:w="1369" w:type="dxa"/>
            <w:tcBorders>
              <w:top w:val="nil"/>
              <w:left w:val="nil"/>
              <w:bottom w:val="single" w:sz="4" w:space="0" w:color="auto"/>
              <w:right w:val="single" w:sz="4" w:space="0" w:color="auto"/>
            </w:tcBorders>
            <w:shd w:val="clear" w:color="auto" w:fill="auto"/>
            <w:noWrap/>
            <w:vAlign w:val="bottom"/>
            <w:hideMark/>
          </w:tcPr>
          <w:p w14:paraId="641142D3"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237</w:t>
            </w:r>
          </w:p>
        </w:tc>
        <w:tc>
          <w:tcPr>
            <w:tcW w:w="1048" w:type="dxa"/>
            <w:tcBorders>
              <w:top w:val="nil"/>
              <w:left w:val="nil"/>
              <w:bottom w:val="single" w:sz="4" w:space="0" w:color="auto"/>
              <w:right w:val="single" w:sz="4" w:space="0" w:color="auto"/>
            </w:tcBorders>
            <w:shd w:val="clear" w:color="auto" w:fill="auto"/>
            <w:noWrap/>
            <w:vAlign w:val="bottom"/>
            <w:hideMark/>
          </w:tcPr>
          <w:p w14:paraId="053D871A"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237</w:t>
            </w:r>
          </w:p>
        </w:tc>
        <w:tc>
          <w:tcPr>
            <w:tcW w:w="1302" w:type="dxa"/>
            <w:tcBorders>
              <w:top w:val="nil"/>
              <w:left w:val="nil"/>
              <w:bottom w:val="single" w:sz="4" w:space="0" w:color="auto"/>
              <w:right w:val="single" w:sz="4" w:space="0" w:color="auto"/>
            </w:tcBorders>
            <w:shd w:val="clear" w:color="auto" w:fill="auto"/>
            <w:noWrap/>
            <w:vAlign w:val="bottom"/>
            <w:hideMark/>
          </w:tcPr>
          <w:p w14:paraId="247499E2"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160</w:t>
            </w:r>
          </w:p>
        </w:tc>
        <w:tc>
          <w:tcPr>
            <w:tcW w:w="948" w:type="dxa"/>
            <w:tcBorders>
              <w:top w:val="nil"/>
              <w:left w:val="nil"/>
              <w:bottom w:val="single" w:sz="4" w:space="0" w:color="auto"/>
              <w:right w:val="single" w:sz="4" w:space="0" w:color="auto"/>
            </w:tcBorders>
            <w:shd w:val="clear" w:color="auto" w:fill="auto"/>
            <w:noWrap/>
            <w:vAlign w:val="bottom"/>
            <w:hideMark/>
          </w:tcPr>
          <w:p w14:paraId="284037BD"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70</w:t>
            </w:r>
          </w:p>
        </w:tc>
        <w:tc>
          <w:tcPr>
            <w:tcW w:w="1025" w:type="dxa"/>
            <w:tcBorders>
              <w:top w:val="nil"/>
              <w:left w:val="nil"/>
              <w:bottom w:val="single" w:sz="4" w:space="0" w:color="auto"/>
              <w:right w:val="single" w:sz="4" w:space="0" w:color="auto"/>
            </w:tcBorders>
            <w:shd w:val="clear" w:color="auto" w:fill="auto"/>
            <w:noWrap/>
            <w:vAlign w:val="bottom"/>
            <w:hideMark/>
          </w:tcPr>
          <w:p w14:paraId="42A70FD2"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201</w:t>
            </w:r>
          </w:p>
        </w:tc>
        <w:tc>
          <w:tcPr>
            <w:tcW w:w="1050" w:type="dxa"/>
            <w:tcBorders>
              <w:top w:val="nil"/>
              <w:left w:val="nil"/>
              <w:bottom w:val="single" w:sz="4" w:space="0" w:color="auto"/>
              <w:right w:val="single" w:sz="4" w:space="0" w:color="auto"/>
            </w:tcBorders>
            <w:shd w:val="clear" w:color="auto" w:fill="auto"/>
            <w:noWrap/>
            <w:vAlign w:val="bottom"/>
            <w:hideMark/>
          </w:tcPr>
          <w:p w14:paraId="1E16D40B"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904</w:t>
            </w:r>
          </w:p>
        </w:tc>
        <w:tc>
          <w:tcPr>
            <w:tcW w:w="698" w:type="dxa"/>
            <w:tcBorders>
              <w:top w:val="nil"/>
              <w:left w:val="nil"/>
              <w:bottom w:val="single" w:sz="4" w:space="0" w:color="auto"/>
              <w:right w:val="single" w:sz="4" w:space="0" w:color="auto"/>
            </w:tcBorders>
            <w:shd w:val="clear" w:color="auto" w:fill="auto"/>
            <w:noWrap/>
            <w:vAlign w:val="bottom"/>
            <w:hideMark/>
          </w:tcPr>
          <w:p w14:paraId="6CD15AEC" w14:textId="77777777" w:rsidR="00CD090D" w:rsidRPr="00CD090D" w:rsidRDefault="00CD090D" w:rsidP="00CD090D">
            <w:pPr>
              <w:jc w:val="center"/>
              <w:rPr>
                <w:rFonts w:ascii="Arial Narrow" w:eastAsia="Times New Roman" w:hAnsi="Arial Narrow" w:cs="Calibri"/>
                <w:color w:val="000000"/>
                <w:sz w:val="20"/>
                <w:szCs w:val="20"/>
                <w:lang w:val="es-CO" w:eastAsia="es-CO"/>
              </w:rPr>
            </w:pPr>
            <w:r w:rsidRPr="00CD090D">
              <w:rPr>
                <w:rFonts w:ascii="Arial Narrow" w:eastAsia="Times New Roman" w:hAnsi="Arial Narrow" w:cs="Calibri"/>
                <w:color w:val="000000"/>
                <w:sz w:val="20"/>
                <w:szCs w:val="20"/>
                <w:lang w:val="es-CO" w:eastAsia="es-CO"/>
              </w:rPr>
              <w:t>991</w:t>
            </w:r>
          </w:p>
        </w:tc>
      </w:tr>
    </w:tbl>
    <w:p w14:paraId="4D263598" w14:textId="77777777" w:rsidR="00911C69" w:rsidRPr="00433E58" w:rsidRDefault="00911C69" w:rsidP="00911C69">
      <w:pPr>
        <w:spacing w:after="200"/>
        <w:contextualSpacing/>
        <w:jc w:val="center"/>
        <w:rPr>
          <w:rFonts w:ascii="Verdana" w:eastAsia="Calibri" w:hAnsi="Verdana" w:cs="Arial"/>
          <w:sz w:val="22"/>
          <w:szCs w:val="22"/>
          <w:lang w:val="es-CO" w:eastAsia="en-US"/>
        </w:rPr>
      </w:pPr>
      <w:r w:rsidRPr="00433E58">
        <w:rPr>
          <w:rFonts w:ascii="Verdana" w:hAnsi="Verdana" w:cs="Arial"/>
          <w:sz w:val="16"/>
          <w:szCs w:val="16"/>
        </w:rPr>
        <w:t>Fuente: Documentos de distribución de los recursos para APSB del SGP.</w:t>
      </w:r>
    </w:p>
    <w:p w14:paraId="4DE2F012" w14:textId="77777777" w:rsidR="00911C69" w:rsidRPr="00433E58" w:rsidRDefault="00911C69" w:rsidP="00911C69">
      <w:pPr>
        <w:spacing w:after="200"/>
        <w:contextualSpacing/>
        <w:jc w:val="both"/>
        <w:rPr>
          <w:rFonts w:ascii="Verdana" w:eastAsia="Calibri" w:hAnsi="Verdana" w:cs="Arial"/>
          <w:b/>
          <w:sz w:val="22"/>
          <w:szCs w:val="22"/>
          <w:lang w:val="es-CO" w:eastAsia="en-US"/>
        </w:rPr>
      </w:pPr>
    </w:p>
    <w:p w14:paraId="1620B2F1" w14:textId="77777777" w:rsidR="00911C69" w:rsidRPr="00264E65" w:rsidRDefault="00911C69" w:rsidP="00911C69">
      <w:pPr>
        <w:spacing w:after="200"/>
        <w:contextualSpacing/>
        <w:jc w:val="both"/>
        <w:rPr>
          <w:rFonts w:ascii="Verdana" w:eastAsia="Calibri" w:hAnsi="Verdana" w:cs="Arial"/>
          <w:b/>
          <w:sz w:val="22"/>
          <w:szCs w:val="22"/>
          <w:lang w:val="es-CO" w:eastAsia="en-US"/>
        </w:rPr>
      </w:pPr>
      <w:r w:rsidRPr="00264E65">
        <w:rPr>
          <w:rFonts w:ascii="Verdana" w:eastAsia="Calibri" w:hAnsi="Verdana" w:cs="Arial"/>
          <w:b/>
          <w:sz w:val="22"/>
          <w:szCs w:val="22"/>
          <w:lang w:val="es-CO" w:eastAsia="en-US"/>
        </w:rPr>
        <w:t>Vigencias</w:t>
      </w:r>
      <w:r w:rsidR="0003611D" w:rsidRPr="00264E65">
        <w:rPr>
          <w:rFonts w:ascii="Verdana" w:eastAsia="Calibri" w:hAnsi="Verdana" w:cs="Arial"/>
          <w:b/>
          <w:sz w:val="22"/>
          <w:szCs w:val="22"/>
          <w:lang w:val="es-CO" w:eastAsia="en-US"/>
        </w:rPr>
        <w:t xml:space="preserve"> </w:t>
      </w:r>
      <w:r w:rsidRPr="00264E65">
        <w:rPr>
          <w:rFonts w:ascii="Verdana" w:eastAsia="Calibri" w:hAnsi="Verdana" w:cs="Arial"/>
          <w:b/>
          <w:sz w:val="22"/>
          <w:szCs w:val="22"/>
          <w:lang w:val="es-CO" w:eastAsia="en-US"/>
        </w:rPr>
        <w:t>2021</w:t>
      </w:r>
      <w:r w:rsidR="00CD0F5C" w:rsidRPr="00264E65">
        <w:rPr>
          <w:rFonts w:ascii="Verdana" w:eastAsia="Calibri" w:hAnsi="Verdana" w:cs="Arial"/>
          <w:b/>
          <w:sz w:val="22"/>
          <w:szCs w:val="22"/>
          <w:lang w:val="es-CO" w:eastAsia="en-US"/>
        </w:rPr>
        <w:t xml:space="preserve"> y 2022</w:t>
      </w:r>
      <w:r w:rsidRPr="00264E65">
        <w:rPr>
          <w:rFonts w:ascii="Verdana" w:eastAsia="Calibri" w:hAnsi="Verdana" w:cs="Arial"/>
          <w:b/>
          <w:sz w:val="22"/>
          <w:szCs w:val="22"/>
          <w:lang w:val="es-CO" w:eastAsia="en-US"/>
        </w:rPr>
        <w:t>.</w:t>
      </w:r>
    </w:p>
    <w:p w14:paraId="7F7D7734" w14:textId="77777777" w:rsidR="00911C69" w:rsidRPr="00264E65" w:rsidRDefault="00911C69" w:rsidP="00911C69">
      <w:pPr>
        <w:spacing w:after="200"/>
        <w:ind w:left="360"/>
        <w:contextualSpacing/>
        <w:jc w:val="both"/>
        <w:rPr>
          <w:rFonts w:ascii="Verdana" w:eastAsia="Calibri" w:hAnsi="Verdana" w:cs="Arial"/>
          <w:b/>
          <w:sz w:val="22"/>
          <w:szCs w:val="22"/>
          <w:lang w:val="es-CO" w:eastAsia="en-US"/>
        </w:rPr>
      </w:pPr>
    </w:p>
    <w:p w14:paraId="0B52F3D0" w14:textId="77777777" w:rsidR="00911C69" w:rsidRPr="00264E65" w:rsidRDefault="00911C69" w:rsidP="00911C69">
      <w:pPr>
        <w:spacing w:after="200"/>
        <w:ind w:left="360"/>
        <w:contextualSpacing/>
        <w:jc w:val="both"/>
        <w:rPr>
          <w:rFonts w:ascii="Verdana" w:eastAsia="Calibri" w:hAnsi="Verdana" w:cs="Arial"/>
          <w:b/>
          <w:sz w:val="22"/>
          <w:szCs w:val="22"/>
          <w:lang w:val="es-CO" w:eastAsia="en-US"/>
        </w:rPr>
      </w:pPr>
      <w:r w:rsidRPr="00264E65">
        <w:rPr>
          <w:rFonts w:ascii="Verdana" w:eastAsia="Calibri" w:hAnsi="Verdana" w:cs="Arial"/>
          <w:b/>
          <w:sz w:val="22"/>
          <w:szCs w:val="22"/>
          <w:lang w:val="es-CO" w:eastAsia="en-US"/>
        </w:rPr>
        <w:t>1. Ingresos.</w:t>
      </w:r>
    </w:p>
    <w:p w14:paraId="08603806" w14:textId="77777777" w:rsidR="00911C69" w:rsidRPr="00264E65" w:rsidRDefault="00911C69" w:rsidP="00911C69">
      <w:pPr>
        <w:contextualSpacing/>
        <w:jc w:val="both"/>
        <w:rPr>
          <w:rFonts w:ascii="Verdana" w:hAnsi="Verdana" w:cs="Arial"/>
          <w:sz w:val="22"/>
          <w:szCs w:val="22"/>
        </w:rPr>
      </w:pPr>
    </w:p>
    <w:p w14:paraId="6E520044" w14:textId="77777777" w:rsidR="00E74A35" w:rsidRPr="00264E65" w:rsidRDefault="00911C69" w:rsidP="00E74A35">
      <w:pPr>
        <w:contextualSpacing/>
        <w:jc w:val="both"/>
        <w:rPr>
          <w:rFonts w:ascii="Verdana" w:eastAsia="Calibri" w:hAnsi="Verdana" w:cs="Arial"/>
          <w:sz w:val="22"/>
          <w:szCs w:val="22"/>
          <w:lang w:val="es-CO" w:eastAsia="en-US"/>
        </w:rPr>
      </w:pPr>
      <w:r w:rsidRPr="00264E65">
        <w:rPr>
          <w:rFonts w:ascii="Verdana" w:hAnsi="Verdana" w:cs="Arial"/>
          <w:sz w:val="22"/>
          <w:szCs w:val="22"/>
        </w:rPr>
        <w:t xml:space="preserve">Según la información de la ejecución presupuestal de ingresos entregada, </w:t>
      </w:r>
      <w:r w:rsidR="00E74A35" w:rsidRPr="00264E65">
        <w:rPr>
          <w:rFonts w:ascii="Verdana" w:hAnsi="Verdana" w:cs="Arial"/>
          <w:sz w:val="22"/>
          <w:szCs w:val="22"/>
        </w:rPr>
        <w:t xml:space="preserve">el valor recaudado por concepto de SGP – APSB fue de $1.245 millones, de los cuales, </w:t>
      </w:r>
      <w:r w:rsidR="00E74A35" w:rsidRPr="00264E65">
        <w:rPr>
          <w:rFonts w:ascii="Verdana" w:eastAsia="Calibri" w:hAnsi="Verdana" w:cs="Arial"/>
          <w:sz w:val="22"/>
          <w:szCs w:val="22"/>
          <w:lang w:val="es-CO" w:eastAsia="en-US"/>
        </w:rPr>
        <w:t>el 84 % ($1.046 millones) correspondió a Ingresos corrientes y el 16 % ($199 millones) a recursos de capital, no obstante, es importante indicar que este último valor difiere del reportado a CUIPO, ya que para este periodo sólo se reportó Superávit fiscal por valor de $9 millones.</w:t>
      </w:r>
    </w:p>
    <w:p w14:paraId="5AE1127C" w14:textId="77777777" w:rsidR="00911C69" w:rsidRPr="00264E65" w:rsidRDefault="00911C69" w:rsidP="00911C69">
      <w:pPr>
        <w:contextualSpacing/>
        <w:jc w:val="both"/>
        <w:rPr>
          <w:rFonts w:ascii="Verdana" w:eastAsia="Calibri" w:hAnsi="Verdana" w:cs="Arial"/>
          <w:sz w:val="22"/>
          <w:szCs w:val="22"/>
          <w:lang w:val="es-CO" w:eastAsia="en-US"/>
        </w:rPr>
      </w:pPr>
    </w:p>
    <w:p w14:paraId="078EFA8A"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Cuadro 13.</w:t>
      </w:r>
      <w:r w:rsidRPr="00264E65">
        <w:rPr>
          <w:rFonts w:ascii="Verdana" w:hAnsi="Verdana" w:cs="Arial"/>
          <w:sz w:val="22"/>
          <w:szCs w:val="22"/>
        </w:rPr>
        <w:t xml:space="preserve"> Ingresos vigencias 20</w:t>
      </w:r>
      <w:r w:rsidR="00E74A35" w:rsidRPr="00264E65">
        <w:rPr>
          <w:rFonts w:ascii="Verdana" w:hAnsi="Verdana" w:cs="Arial"/>
          <w:sz w:val="22"/>
          <w:szCs w:val="22"/>
        </w:rPr>
        <w:t>21</w:t>
      </w:r>
      <w:r w:rsidRPr="00264E65">
        <w:rPr>
          <w:rFonts w:ascii="Verdana" w:hAnsi="Verdana" w:cs="Arial"/>
          <w:sz w:val="22"/>
          <w:szCs w:val="22"/>
        </w:rPr>
        <w:t xml:space="preserve"> - 202</w:t>
      </w:r>
      <w:r w:rsidR="00E74A35" w:rsidRPr="00264E65">
        <w:rPr>
          <w:rFonts w:ascii="Verdana" w:hAnsi="Verdana" w:cs="Arial"/>
          <w:sz w:val="22"/>
          <w:szCs w:val="22"/>
        </w:rPr>
        <w:t>2</w:t>
      </w:r>
    </w:p>
    <w:tbl>
      <w:tblPr>
        <w:tblW w:w="7194" w:type="dxa"/>
        <w:jc w:val="center"/>
        <w:tblCellMar>
          <w:left w:w="70" w:type="dxa"/>
          <w:right w:w="70" w:type="dxa"/>
        </w:tblCellMar>
        <w:tblLook w:val="04A0" w:firstRow="1" w:lastRow="0" w:firstColumn="1" w:lastColumn="0" w:noHBand="0" w:noVBand="1"/>
      </w:tblPr>
      <w:tblGrid>
        <w:gridCol w:w="3292"/>
        <w:gridCol w:w="1402"/>
        <w:gridCol w:w="1005"/>
        <w:gridCol w:w="1402"/>
        <w:gridCol w:w="1005"/>
      </w:tblGrid>
      <w:tr w:rsidR="00CD090D" w:rsidRPr="00CD090D" w14:paraId="6D3FA7B2" w14:textId="77777777" w:rsidTr="00AB0D36">
        <w:trPr>
          <w:trHeight w:val="300"/>
          <w:tblHeader/>
          <w:jc w:val="center"/>
        </w:trPr>
        <w:tc>
          <w:tcPr>
            <w:tcW w:w="7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E2B4B"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lastRenderedPageBreak/>
              <w:t xml:space="preserve">INGRESOS TOTALES                          </w:t>
            </w:r>
            <w:proofErr w:type="gramStart"/>
            <w:r w:rsidRPr="00CD090D">
              <w:rPr>
                <w:rFonts w:ascii="Verdana" w:eastAsia="Times New Roman" w:hAnsi="Verdana" w:cs="Calibri"/>
                <w:b/>
                <w:bCs/>
                <w:color w:val="000000"/>
                <w:sz w:val="18"/>
                <w:szCs w:val="18"/>
                <w:lang w:val="es-CO" w:eastAsia="es-CO"/>
              </w:rPr>
              <w:t xml:space="preserve">   (</w:t>
            </w:r>
            <w:proofErr w:type="gramEnd"/>
            <w:r w:rsidRPr="00CD090D">
              <w:rPr>
                <w:rFonts w:ascii="Verdana" w:eastAsia="Times New Roman" w:hAnsi="Verdana" w:cs="Calibri"/>
                <w:b/>
                <w:bCs/>
                <w:color w:val="000000"/>
                <w:sz w:val="18"/>
                <w:szCs w:val="18"/>
                <w:lang w:val="es-CO" w:eastAsia="es-CO"/>
              </w:rPr>
              <w:t>En millones de pesos)</w:t>
            </w:r>
          </w:p>
        </w:tc>
      </w:tr>
      <w:tr w:rsidR="00CD090D" w:rsidRPr="00CD090D" w14:paraId="35461D98" w14:textId="77777777" w:rsidTr="00CD090D">
        <w:trPr>
          <w:trHeight w:val="300"/>
          <w:jc w:val="center"/>
        </w:trPr>
        <w:tc>
          <w:tcPr>
            <w:tcW w:w="32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11547F"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Concepto</w:t>
            </w:r>
          </w:p>
        </w:tc>
        <w:tc>
          <w:tcPr>
            <w:tcW w:w="19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E3574A"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2021</w:t>
            </w:r>
          </w:p>
        </w:tc>
        <w:tc>
          <w:tcPr>
            <w:tcW w:w="19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9892D7"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2022</w:t>
            </w:r>
          </w:p>
        </w:tc>
      </w:tr>
      <w:tr w:rsidR="00CD090D" w:rsidRPr="00CD090D" w14:paraId="236FBA0F" w14:textId="77777777" w:rsidTr="00CD090D">
        <w:trPr>
          <w:trHeight w:val="630"/>
          <w:jc w:val="center"/>
        </w:trPr>
        <w:tc>
          <w:tcPr>
            <w:tcW w:w="3292" w:type="dxa"/>
            <w:vMerge/>
            <w:tcBorders>
              <w:top w:val="nil"/>
              <w:left w:val="single" w:sz="4" w:space="0" w:color="auto"/>
              <w:bottom w:val="single" w:sz="4" w:space="0" w:color="auto"/>
              <w:right w:val="single" w:sz="4" w:space="0" w:color="auto"/>
            </w:tcBorders>
            <w:vAlign w:val="center"/>
            <w:hideMark/>
          </w:tcPr>
          <w:p w14:paraId="5DEA21BD" w14:textId="77777777" w:rsidR="00CD090D" w:rsidRPr="00CD090D" w:rsidRDefault="00CD090D" w:rsidP="00CD090D">
            <w:pPr>
              <w:rPr>
                <w:rFonts w:ascii="Verdana" w:eastAsia="Times New Roman" w:hAnsi="Verdana" w:cs="Calibri"/>
                <w:b/>
                <w:bCs/>
                <w:color w:val="000000"/>
                <w:sz w:val="18"/>
                <w:szCs w:val="18"/>
                <w:lang w:val="es-CO" w:eastAsia="es-CO"/>
              </w:rPr>
            </w:pPr>
          </w:p>
        </w:tc>
        <w:tc>
          <w:tcPr>
            <w:tcW w:w="1152" w:type="dxa"/>
            <w:tcBorders>
              <w:top w:val="nil"/>
              <w:left w:val="nil"/>
              <w:bottom w:val="single" w:sz="4" w:space="0" w:color="auto"/>
              <w:right w:val="single" w:sz="4" w:space="0" w:color="auto"/>
            </w:tcBorders>
            <w:shd w:val="clear" w:color="auto" w:fill="auto"/>
            <w:vAlign w:val="center"/>
            <w:hideMark/>
          </w:tcPr>
          <w:p w14:paraId="7A1D4179"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Presupuesto definitivo</w:t>
            </w:r>
          </w:p>
        </w:tc>
        <w:tc>
          <w:tcPr>
            <w:tcW w:w="799" w:type="dxa"/>
            <w:tcBorders>
              <w:top w:val="nil"/>
              <w:left w:val="nil"/>
              <w:bottom w:val="single" w:sz="4" w:space="0" w:color="auto"/>
              <w:right w:val="single" w:sz="4" w:space="0" w:color="auto"/>
            </w:tcBorders>
            <w:shd w:val="clear" w:color="auto" w:fill="auto"/>
            <w:noWrap/>
            <w:vAlign w:val="center"/>
            <w:hideMark/>
          </w:tcPr>
          <w:p w14:paraId="4F65BBC9"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Recaudo</w:t>
            </w:r>
          </w:p>
        </w:tc>
        <w:tc>
          <w:tcPr>
            <w:tcW w:w="1152" w:type="dxa"/>
            <w:tcBorders>
              <w:top w:val="nil"/>
              <w:left w:val="nil"/>
              <w:bottom w:val="single" w:sz="4" w:space="0" w:color="auto"/>
              <w:right w:val="single" w:sz="4" w:space="0" w:color="auto"/>
            </w:tcBorders>
            <w:shd w:val="clear" w:color="auto" w:fill="auto"/>
            <w:vAlign w:val="center"/>
            <w:hideMark/>
          </w:tcPr>
          <w:p w14:paraId="0CE1FF8A"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Presupuesto definitivo</w:t>
            </w:r>
          </w:p>
        </w:tc>
        <w:tc>
          <w:tcPr>
            <w:tcW w:w="799" w:type="dxa"/>
            <w:tcBorders>
              <w:top w:val="nil"/>
              <w:left w:val="nil"/>
              <w:bottom w:val="single" w:sz="4" w:space="0" w:color="auto"/>
              <w:right w:val="single" w:sz="4" w:space="0" w:color="auto"/>
            </w:tcBorders>
            <w:shd w:val="clear" w:color="auto" w:fill="auto"/>
            <w:noWrap/>
            <w:vAlign w:val="center"/>
            <w:hideMark/>
          </w:tcPr>
          <w:p w14:paraId="55150BBA"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Recaudo</w:t>
            </w:r>
          </w:p>
        </w:tc>
      </w:tr>
      <w:tr w:rsidR="00CD090D" w:rsidRPr="00CD090D" w14:paraId="75E6F4E6" w14:textId="77777777" w:rsidTr="00CD090D">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1041A2F9"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Ingresos Corrientes APSB</w:t>
            </w:r>
          </w:p>
        </w:tc>
        <w:tc>
          <w:tcPr>
            <w:tcW w:w="1152" w:type="dxa"/>
            <w:tcBorders>
              <w:top w:val="nil"/>
              <w:left w:val="nil"/>
              <w:bottom w:val="single" w:sz="4" w:space="0" w:color="auto"/>
              <w:right w:val="single" w:sz="4" w:space="0" w:color="auto"/>
            </w:tcBorders>
            <w:shd w:val="clear" w:color="auto" w:fill="auto"/>
            <w:noWrap/>
            <w:vAlign w:val="center"/>
            <w:hideMark/>
          </w:tcPr>
          <w:p w14:paraId="4115F5E9"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1.046</w:t>
            </w:r>
          </w:p>
        </w:tc>
        <w:tc>
          <w:tcPr>
            <w:tcW w:w="799" w:type="dxa"/>
            <w:tcBorders>
              <w:top w:val="nil"/>
              <w:left w:val="nil"/>
              <w:bottom w:val="single" w:sz="4" w:space="0" w:color="auto"/>
              <w:right w:val="single" w:sz="4" w:space="0" w:color="auto"/>
            </w:tcBorders>
            <w:shd w:val="clear" w:color="auto" w:fill="auto"/>
            <w:noWrap/>
            <w:vAlign w:val="center"/>
            <w:hideMark/>
          </w:tcPr>
          <w:p w14:paraId="0287C21E"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1.046</w:t>
            </w:r>
          </w:p>
        </w:tc>
        <w:tc>
          <w:tcPr>
            <w:tcW w:w="1152" w:type="dxa"/>
            <w:tcBorders>
              <w:top w:val="nil"/>
              <w:left w:val="nil"/>
              <w:bottom w:val="single" w:sz="4" w:space="0" w:color="auto"/>
              <w:right w:val="single" w:sz="4" w:space="0" w:color="auto"/>
            </w:tcBorders>
            <w:shd w:val="clear" w:color="auto" w:fill="auto"/>
            <w:noWrap/>
            <w:vAlign w:val="center"/>
            <w:hideMark/>
          </w:tcPr>
          <w:p w14:paraId="2D2E9D8A"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877</w:t>
            </w:r>
          </w:p>
        </w:tc>
        <w:tc>
          <w:tcPr>
            <w:tcW w:w="799" w:type="dxa"/>
            <w:tcBorders>
              <w:top w:val="nil"/>
              <w:left w:val="nil"/>
              <w:bottom w:val="single" w:sz="4" w:space="0" w:color="auto"/>
              <w:right w:val="single" w:sz="4" w:space="0" w:color="auto"/>
            </w:tcBorders>
            <w:shd w:val="clear" w:color="auto" w:fill="auto"/>
            <w:noWrap/>
            <w:vAlign w:val="center"/>
            <w:hideMark/>
          </w:tcPr>
          <w:p w14:paraId="705E8A27"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877</w:t>
            </w:r>
          </w:p>
        </w:tc>
      </w:tr>
      <w:tr w:rsidR="00CD090D" w:rsidRPr="00CD090D" w14:paraId="20AC3D6F" w14:textId="77777777" w:rsidTr="00CD090D">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384E09C6"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Participación APSB</w:t>
            </w:r>
          </w:p>
        </w:tc>
        <w:tc>
          <w:tcPr>
            <w:tcW w:w="1152" w:type="dxa"/>
            <w:tcBorders>
              <w:top w:val="nil"/>
              <w:left w:val="nil"/>
              <w:bottom w:val="single" w:sz="4" w:space="0" w:color="auto"/>
              <w:right w:val="single" w:sz="4" w:space="0" w:color="auto"/>
            </w:tcBorders>
            <w:shd w:val="clear" w:color="auto" w:fill="auto"/>
            <w:noWrap/>
            <w:vAlign w:val="center"/>
            <w:hideMark/>
          </w:tcPr>
          <w:p w14:paraId="24D9D243"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1.046</w:t>
            </w:r>
          </w:p>
        </w:tc>
        <w:tc>
          <w:tcPr>
            <w:tcW w:w="799" w:type="dxa"/>
            <w:tcBorders>
              <w:top w:val="nil"/>
              <w:left w:val="nil"/>
              <w:bottom w:val="single" w:sz="4" w:space="0" w:color="auto"/>
              <w:right w:val="single" w:sz="4" w:space="0" w:color="auto"/>
            </w:tcBorders>
            <w:shd w:val="clear" w:color="auto" w:fill="auto"/>
            <w:noWrap/>
            <w:vAlign w:val="center"/>
            <w:hideMark/>
          </w:tcPr>
          <w:p w14:paraId="53642C4E"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1.046</w:t>
            </w:r>
          </w:p>
        </w:tc>
        <w:tc>
          <w:tcPr>
            <w:tcW w:w="1152" w:type="dxa"/>
            <w:tcBorders>
              <w:top w:val="nil"/>
              <w:left w:val="nil"/>
              <w:bottom w:val="single" w:sz="4" w:space="0" w:color="auto"/>
              <w:right w:val="single" w:sz="4" w:space="0" w:color="auto"/>
            </w:tcBorders>
            <w:shd w:val="clear" w:color="auto" w:fill="auto"/>
            <w:noWrap/>
            <w:vAlign w:val="center"/>
            <w:hideMark/>
          </w:tcPr>
          <w:p w14:paraId="45048F9E"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745</w:t>
            </w:r>
          </w:p>
        </w:tc>
        <w:tc>
          <w:tcPr>
            <w:tcW w:w="799" w:type="dxa"/>
            <w:tcBorders>
              <w:top w:val="nil"/>
              <w:left w:val="nil"/>
              <w:bottom w:val="single" w:sz="4" w:space="0" w:color="auto"/>
              <w:right w:val="single" w:sz="4" w:space="0" w:color="auto"/>
            </w:tcBorders>
            <w:shd w:val="clear" w:color="auto" w:fill="auto"/>
            <w:noWrap/>
            <w:vAlign w:val="center"/>
            <w:hideMark/>
          </w:tcPr>
          <w:p w14:paraId="5B066DB9"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745</w:t>
            </w:r>
          </w:p>
        </w:tc>
      </w:tr>
      <w:tr w:rsidR="00CD090D" w:rsidRPr="00CD090D" w14:paraId="3D773941" w14:textId="77777777" w:rsidTr="00CD090D">
        <w:trPr>
          <w:trHeight w:val="63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0ABD7C08"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Fondo de Redistribución del Ingreso</w:t>
            </w:r>
          </w:p>
        </w:tc>
        <w:tc>
          <w:tcPr>
            <w:tcW w:w="1152" w:type="dxa"/>
            <w:tcBorders>
              <w:top w:val="nil"/>
              <w:left w:val="nil"/>
              <w:bottom w:val="single" w:sz="4" w:space="0" w:color="auto"/>
              <w:right w:val="single" w:sz="4" w:space="0" w:color="auto"/>
            </w:tcBorders>
            <w:shd w:val="clear" w:color="auto" w:fill="auto"/>
            <w:noWrap/>
            <w:vAlign w:val="center"/>
            <w:hideMark/>
          </w:tcPr>
          <w:p w14:paraId="224BF4EF"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0</w:t>
            </w:r>
          </w:p>
        </w:tc>
        <w:tc>
          <w:tcPr>
            <w:tcW w:w="799" w:type="dxa"/>
            <w:tcBorders>
              <w:top w:val="nil"/>
              <w:left w:val="nil"/>
              <w:bottom w:val="single" w:sz="4" w:space="0" w:color="auto"/>
              <w:right w:val="single" w:sz="4" w:space="0" w:color="auto"/>
            </w:tcBorders>
            <w:shd w:val="clear" w:color="auto" w:fill="auto"/>
            <w:noWrap/>
            <w:vAlign w:val="center"/>
            <w:hideMark/>
          </w:tcPr>
          <w:p w14:paraId="570026E0"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0</w:t>
            </w:r>
          </w:p>
        </w:tc>
        <w:tc>
          <w:tcPr>
            <w:tcW w:w="1152" w:type="dxa"/>
            <w:tcBorders>
              <w:top w:val="nil"/>
              <w:left w:val="nil"/>
              <w:bottom w:val="single" w:sz="4" w:space="0" w:color="auto"/>
              <w:right w:val="single" w:sz="4" w:space="0" w:color="auto"/>
            </w:tcBorders>
            <w:shd w:val="clear" w:color="auto" w:fill="auto"/>
            <w:noWrap/>
            <w:vAlign w:val="center"/>
            <w:hideMark/>
          </w:tcPr>
          <w:p w14:paraId="3BE0461A"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132</w:t>
            </w:r>
          </w:p>
        </w:tc>
        <w:tc>
          <w:tcPr>
            <w:tcW w:w="799" w:type="dxa"/>
            <w:tcBorders>
              <w:top w:val="nil"/>
              <w:left w:val="nil"/>
              <w:bottom w:val="single" w:sz="4" w:space="0" w:color="auto"/>
              <w:right w:val="single" w:sz="4" w:space="0" w:color="auto"/>
            </w:tcBorders>
            <w:shd w:val="clear" w:color="auto" w:fill="auto"/>
            <w:noWrap/>
            <w:vAlign w:val="center"/>
            <w:hideMark/>
          </w:tcPr>
          <w:p w14:paraId="25EE2E69"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132</w:t>
            </w:r>
          </w:p>
        </w:tc>
      </w:tr>
      <w:tr w:rsidR="00CD090D" w:rsidRPr="00CD090D" w14:paraId="31E16D30" w14:textId="77777777" w:rsidTr="00CD090D">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21DC348D" w14:textId="77777777" w:rsidR="00CD090D" w:rsidRPr="00CD090D" w:rsidRDefault="00CD090D" w:rsidP="00CD090D">
            <w:pPr>
              <w:jc w:val="both"/>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Agua Potable y Saneamiento Básico</w:t>
            </w:r>
          </w:p>
        </w:tc>
        <w:tc>
          <w:tcPr>
            <w:tcW w:w="1152" w:type="dxa"/>
            <w:tcBorders>
              <w:top w:val="nil"/>
              <w:left w:val="nil"/>
              <w:bottom w:val="single" w:sz="4" w:space="0" w:color="auto"/>
              <w:right w:val="single" w:sz="4" w:space="0" w:color="auto"/>
            </w:tcBorders>
            <w:shd w:val="clear" w:color="auto" w:fill="auto"/>
            <w:noWrap/>
            <w:vAlign w:val="center"/>
            <w:hideMark/>
          </w:tcPr>
          <w:p w14:paraId="17D8D912"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0</w:t>
            </w:r>
          </w:p>
        </w:tc>
        <w:tc>
          <w:tcPr>
            <w:tcW w:w="799" w:type="dxa"/>
            <w:tcBorders>
              <w:top w:val="nil"/>
              <w:left w:val="nil"/>
              <w:bottom w:val="single" w:sz="4" w:space="0" w:color="auto"/>
              <w:right w:val="single" w:sz="4" w:space="0" w:color="auto"/>
            </w:tcBorders>
            <w:shd w:val="clear" w:color="auto" w:fill="auto"/>
            <w:noWrap/>
            <w:vAlign w:val="center"/>
            <w:hideMark/>
          </w:tcPr>
          <w:p w14:paraId="750C44D4"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0</w:t>
            </w:r>
          </w:p>
        </w:tc>
        <w:tc>
          <w:tcPr>
            <w:tcW w:w="1152" w:type="dxa"/>
            <w:tcBorders>
              <w:top w:val="nil"/>
              <w:left w:val="nil"/>
              <w:bottom w:val="single" w:sz="4" w:space="0" w:color="auto"/>
              <w:right w:val="single" w:sz="4" w:space="0" w:color="auto"/>
            </w:tcBorders>
            <w:shd w:val="clear" w:color="auto" w:fill="auto"/>
            <w:noWrap/>
            <w:vAlign w:val="center"/>
            <w:hideMark/>
          </w:tcPr>
          <w:p w14:paraId="72B9692E"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132</w:t>
            </w:r>
          </w:p>
        </w:tc>
        <w:tc>
          <w:tcPr>
            <w:tcW w:w="799" w:type="dxa"/>
            <w:tcBorders>
              <w:top w:val="nil"/>
              <w:left w:val="nil"/>
              <w:bottom w:val="single" w:sz="4" w:space="0" w:color="auto"/>
              <w:right w:val="single" w:sz="4" w:space="0" w:color="auto"/>
            </w:tcBorders>
            <w:shd w:val="clear" w:color="auto" w:fill="auto"/>
            <w:noWrap/>
            <w:vAlign w:val="center"/>
            <w:hideMark/>
          </w:tcPr>
          <w:p w14:paraId="4E0506C4"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132</w:t>
            </w:r>
          </w:p>
        </w:tc>
      </w:tr>
      <w:tr w:rsidR="00CD090D" w:rsidRPr="00CD090D" w14:paraId="67EB94FC" w14:textId="77777777" w:rsidTr="00CD090D">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30269811"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Recursos de Capital APSB</w:t>
            </w:r>
          </w:p>
        </w:tc>
        <w:tc>
          <w:tcPr>
            <w:tcW w:w="1152" w:type="dxa"/>
            <w:tcBorders>
              <w:top w:val="nil"/>
              <w:left w:val="nil"/>
              <w:bottom w:val="single" w:sz="4" w:space="0" w:color="auto"/>
              <w:right w:val="single" w:sz="4" w:space="0" w:color="auto"/>
            </w:tcBorders>
            <w:shd w:val="clear" w:color="auto" w:fill="auto"/>
            <w:noWrap/>
            <w:vAlign w:val="center"/>
            <w:hideMark/>
          </w:tcPr>
          <w:p w14:paraId="53A47E8B"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193</w:t>
            </w:r>
          </w:p>
        </w:tc>
        <w:tc>
          <w:tcPr>
            <w:tcW w:w="799" w:type="dxa"/>
            <w:tcBorders>
              <w:top w:val="nil"/>
              <w:left w:val="nil"/>
              <w:bottom w:val="single" w:sz="4" w:space="0" w:color="auto"/>
              <w:right w:val="single" w:sz="4" w:space="0" w:color="auto"/>
            </w:tcBorders>
            <w:shd w:val="clear" w:color="auto" w:fill="auto"/>
            <w:noWrap/>
            <w:vAlign w:val="center"/>
            <w:hideMark/>
          </w:tcPr>
          <w:p w14:paraId="68978771"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199</w:t>
            </w:r>
          </w:p>
        </w:tc>
        <w:tc>
          <w:tcPr>
            <w:tcW w:w="1152" w:type="dxa"/>
            <w:tcBorders>
              <w:top w:val="nil"/>
              <w:left w:val="nil"/>
              <w:bottom w:val="single" w:sz="4" w:space="0" w:color="auto"/>
              <w:right w:val="single" w:sz="4" w:space="0" w:color="auto"/>
            </w:tcBorders>
            <w:shd w:val="clear" w:color="auto" w:fill="auto"/>
            <w:noWrap/>
            <w:vAlign w:val="center"/>
            <w:hideMark/>
          </w:tcPr>
          <w:p w14:paraId="1833D7F0"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55</w:t>
            </w:r>
          </w:p>
        </w:tc>
        <w:tc>
          <w:tcPr>
            <w:tcW w:w="799" w:type="dxa"/>
            <w:tcBorders>
              <w:top w:val="nil"/>
              <w:left w:val="nil"/>
              <w:bottom w:val="single" w:sz="4" w:space="0" w:color="auto"/>
              <w:right w:val="single" w:sz="4" w:space="0" w:color="auto"/>
            </w:tcBorders>
            <w:shd w:val="clear" w:color="auto" w:fill="auto"/>
            <w:noWrap/>
            <w:vAlign w:val="center"/>
            <w:hideMark/>
          </w:tcPr>
          <w:p w14:paraId="17EFDC85"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101</w:t>
            </w:r>
          </w:p>
        </w:tc>
      </w:tr>
      <w:tr w:rsidR="00CD090D" w:rsidRPr="00CD090D" w14:paraId="4B47DFE6" w14:textId="77777777" w:rsidTr="00CD090D">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53BF6A00"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Rendimientos Financieros</w:t>
            </w:r>
          </w:p>
        </w:tc>
        <w:tc>
          <w:tcPr>
            <w:tcW w:w="1152" w:type="dxa"/>
            <w:tcBorders>
              <w:top w:val="nil"/>
              <w:left w:val="nil"/>
              <w:bottom w:val="single" w:sz="4" w:space="0" w:color="auto"/>
              <w:right w:val="single" w:sz="4" w:space="0" w:color="auto"/>
            </w:tcBorders>
            <w:shd w:val="clear" w:color="auto" w:fill="auto"/>
            <w:noWrap/>
            <w:vAlign w:val="center"/>
            <w:hideMark/>
          </w:tcPr>
          <w:p w14:paraId="715275C3"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5</w:t>
            </w:r>
          </w:p>
        </w:tc>
        <w:tc>
          <w:tcPr>
            <w:tcW w:w="799" w:type="dxa"/>
            <w:tcBorders>
              <w:top w:val="nil"/>
              <w:left w:val="nil"/>
              <w:bottom w:val="single" w:sz="4" w:space="0" w:color="auto"/>
              <w:right w:val="single" w:sz="4" w:space="0" w:color="auto"/>
            </w:tcBorders>
            <w:shd w:val="clear" w:color="auto" w:fill="auto"/>
            <w:noWrap/>
            <w:vAlign w:val="center"/>
            <w:hideMark/>
          </w:tcPr>
          <w:p w14:paraId="037CAC09"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11</w:t>
            </w:r>
          </w:p>
        </w:tc>
        <w:tc>
          <w:tcPr>
            <w:tcW w:w="1152" w:type="dxa"/>
            <w:tcBorders>
              <w:top w:val="nil"/>
              <w:left w:val="nil"/>
              <w:bottom w:val="single" w:sz="4" w:space="0" w:color="auto"/>
              <w:right w:val="single" w:sz="4" w:space="0" w:color="auto"/>
            </w:tcBorders>
            <w:shd w:val="clear" w:color="auto" w:fill="auto"/>
            <w:noWrap/>
            <w:vAlign w:val="center"/>
            <w:hideMark/>
          </w:tcPr>
          <w:p w14:paraId="60E081DA"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0</w:t>
            </w:r>
          </w:p>
        </w:tc>
        <w:tc>
          <w:tcPr>
            <w:tcW w:w="799" w:type="dxa"/>
            <w:tcBorders>
              <w:top w:val="nil"/>
              <w:left w:val="nil"/>
              <w:bottom w:val="single" w:sz="4" w:space="0" w:color="auto"/>
              <w:right w:val="single" w:sz="4" w:space="0" w:color="auto"/>
            </w:tcBorders>
            <w:shd w:val="clear" w:color="auto" w:fill="auto"/>
            <w:noWrap/>
            <w:vAlign w:val="center"/>
            <w:hideMark/>
          </w:tcPr>
          <w:p w14:paraId="1FE264F5"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45</w:t>
            </w:r>
          </w:p>
        </w:tc>
      </w:tr>
      <w:tr w:rsidR="00CD090D" w:rsidRPr="00CD090D" w14:paraId="38A65725" w14:textId="77777777" w:rsidTr="00CD090D">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1F654CAE"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 xml:space="preserve">Recursos del Balance </w:t>
            </w:r>
          </w:p>
        </w:tc>
        <w:tc>
          <w:tcPr>
            <w:tcW w:w="1152" w:type="dxa"/>
            <w:tcBorders>
              <w:top w:val="nil"/>
              <w:left w:val="nil"/>
              <w:bottom w:val="single" w:sz="4" w:space="0" w:color="auto"/>
              <w:right w:val="single" w:sz="4" w:space="0" w:color="auto"/>
            </w:tcBorders>
            <w:shd w:val="clear" w:color="auto" w:fill="auto"/>
            <w:vAlign w:val="center"/>
            <w:hideMark/>
          </w:tcPr>
          <w:p w14:paraId="0C3B65B0"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188</w:t>
            </w:r>
          </w:p>
        </w:tc>
        <w:tc>
          <w:tcPr>
            <w:tcW w:w="799" w:type="dxa"/>
            <w:tcBorders>
              <w:top w:val="nil"/>
              <w:left w:val="nil"/>
              <w:bottom w:val="single" w:sz="4" w:space="0" w:color="auto"/>
              <w:right w:val="single" w:sz="4" w:space="0" w:color="auto"/>
            </w:tcBorders>
            <w:shd w:val="clear" w:color="auto" w:fill="auto"/>
            <w:vAlign w:val="center"/>
            <w:hideMark/>
          </w:tcPr>
          <w:p w14:paraId="5DB8C66F"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188</w:t>
            </w:r>
          </w:p>
        </w:tc>
        <w:tc>
          <w:tcPr>
            <w:tcW w:w="1152" w:type="dxa"/>
            <w:tcBorders>
              <w:top w:val="nil"/>
              <w:left w:val="nil"/>
              <w:bottom w:val="single" w:sz="4" w:space="0" w:color="auto"/>
              <w:right w:val="single" w:sz="4" w:space="0" w:color="auto"/>
            </w:tcBorders>
            <w:shd w:val="clear" w:color="auto" w:fill="auto"/>
            <w:noWrap/>
            <w:vAlign w:val="center"/>
            <w:hideMark/>
          </w:tcPr>
          <w:p w14:paraId="14A184B1"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55</w:t>
            </w:r>
          </w:p>
        </w:tc>
        <w:tc>
          <w:tcPr>
            <w:tcW w:w="799" w:type="dxa"/>
            <w:tcBorders>
              <w:top w:val="nil"/>
              <w:left w:val="nil"/>
              <w:bottom w:val="single" w:sz="4" w:space="0" w:color="auto"/>
              <w:right w:val="single" w:sz="4" w:space="0" w:color="auto"/>
            </w:tcBorders>
            <w:shd w:val="clear" w:color="auto" w:fill="auto"/>
            <w:noWrap/>
            <w:vAlign w:val="center"/>
            <w:hideMark/>
          </w:tcPr>
          <w:p w14:paraId="136C3127"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55</w:t>
            </w:r>
          </w:p>
        </w:tc>
      </w:tr>
      <w:tr w:rsidR="00CD090D" w:rsidRPr="00CD090D" w14:paraId="48349D24" w14:textId="77777777" w:rsidTr="00CD090D">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606A0633" w14:textId="77777777" w:rsidR="00CD090D" w:rsidRPr="00CD090D" w:rsidRDefault="00CD090D" w:rsidP="00CD090D">
            <w:pPr>
              <w:jc w:val="both"/>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Superávit Fiscal</w:t>
            </w:r>
          </w:p>
        </w:tc>
        <w:tc>
          <w:tcPr>
            <w:tcW w:w="1152" w:type="dxa"/>
            <w:tcBorders>
              <w:top w:val="nil"/>
              <w:left w:val="nil"/>
              <w:bottom w:val="single" w:sz="4" w:space="0" w:color="auto"/>
              <w:right w:val="single" w:sz="4" w:space="0" w:color="auto"/>
            </w:tcBorders>
            <w:shd w:val="clear" w:color="auto" w:fill="auto"/>
            <w:vAlign w:val="center"/>
            <w:hideMark/>
          </w:tcPr>
          <w:p w14:paraId="5E7CB19C"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188</w:t>
            </w:r>
          </w:p>
        </w:tc>
        <w:tc>
          <w:tcPr>
            <w:tcW w:w="799" w:type="dxa"/>
            <w:tcBorders>
              <w:top w:val="nil"/>
              <w:left w:val="nil"/>
              <w:bottom w:val="single" w:sz="4" w:space="0" w:color="auto"/>
              <w:right w:val="single" w:sz="4" w:space="0" w:color="auto"/>
            </w:tcBorders>
            <w:shd w:val="clear" w:color="auto" w:fill="auto"/>
            <w:vAlign w:val="center"/>
            <w:hideMark/>
          </w:tcPr>
          <w:p w14:paraId="70B69AC4"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188</w:t>
            </w:r>
          </w:p>
        </w:tc>
        <w:tc>
          <w:tcPr>
            <w:tcW w:w="1152" w:type="dxa"/>
            <w:tcBorders>
              <w:top w:val="nil"/>
              <w:left w:val="nil"/>
              <w:bottom w:val="single" w:sz="4" w:space="0" w:color="auto"/>
              <w:right w:val="single" w:sz="4" w:space="0" w:color="auto"/>
            </w:tcBorders>
            <w:shd w:val="clear" w:color="auto" w:fill="auto"/>
            <w:noWrap/>
            <w:vAlign w:val="center"/>
            <w:hideMark/>
          </w:tcPr>
          <w:p w14:paraId="285C3D07"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55</w:t>
            </w:r>
          </w:p>
        </w:tc>
        <w:tc>
          <w:tcPr>
            <w:tcW w:w="799" w:type="dxa"/>
            <w:tcBorders>
              <w:top w:val="nil"/>
              <w:left w:val="nil"/>
              <w:bottom w:val="single" w:sz="4" w:space="0" w:color="auto"/>
              <w:right w:val="single" w:sz="4" w:space="0" w:color="auto"/>
            </w:tcBorders>
            <w:shd w:val="clear" w:color="auto" w:fill="auto"/>
            <w:noWrap/>
            <w:vAlign w:val="center"/>
            <w:hideMark/>
          </w:tcPr>
          <w:p w14:paraId="759DF7B4" w14:textId="77777777" w:rsidR="00CD090D" w:rsidRPr="00CD090D" w:rsidRDefault="00CD090D" w:rsidP="00CD090D">
            <w:pPr>
              <w:jc w:val="center"/>
              <w:rPr>
                <w:rFonts w:ascii="Verdana" w:eastAsia="Times New Roman" w:hAnsi="Verdana" w:cs="Calibri"/>
                <w:color w:val="000000"/>
                <w:sz w:val="18"/>
                <w:szCs w:val="18"/>
                <w:lang w:val="es-CO" w:eastAsia="es-CO"/>
              </w:rPr>
            </w:pPr>
            <w:r w:rsidRPr="00CD090D">
              <w:rPr>
                <w:rFonts w:ascii="Verdana" w:eastAsia="Times New Roman" w:hAnsi="Verdana" w:cs="Calibri"/>
                <w:color w:val="000000"/>
                <w:sz w:val="18"/>
                <w:szCs w:val="18"/>
                <w:lang w:val="es-CO" w:eastAsia="es-CO"/>
              </w:rPr>
              <w:t>55</w:t>
            </w:r>
          </w:p>
        </w:tc>
      </w:tr>
      <w:tr w:rsidR="00CD090D" w:rsidRPr="00CD090D" w14:paraId="1319C08F" w14:textId="77777777" w:rsidTr="00CD090D">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257D4585" w14:textId="77777777" w:rsidR="00CD090D" w:rsidRPr="00CD090D" w:rsidRDefault="00CD090D" w:rsidP="00CD090D">
            <w:pPr>
              <w:jc w:val="both"/>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INGRESOS TOTALES APSB</w:t>
            </w:r>
          </w:p>
        </w:tc>
        <w:tc>
          <w:tcPr>
            <w:tcW w:w="1152" w:type="dxa"/>
            <w:tcBorders>
              <w:top w:val="nil"/>
              <w:left w:val="nil"/>
              <w:bottom w:val="single" w:sz="4" w:space="0" w:color="auto"/>
              <w:right w:val="single" w:sz="4" w:space="0" w:color="auto"/>
            </w:tcBorders>
            <w:shd w:val="clear" w:color="auto" w:fill="auto"/>
            <w:noWrap/>
            <w:vAlign w:val="center"/>
            <w:hideMark/>
          </w:tcPr>
          <w:p w14:paraId="51E0D82E"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1.240</w:t>
            </w:r>
          </w:p>
        </w:tc>
        <w:tc>
          <w:tcPr>
            <w:tcW w:w="799" w:type="dxa"/>
            <w:tcBorders>
              <w:top w:val="nil"/>
              <w:left w:val="nil"/>
              <w:bottom w:val="single" w:sz="4" w:space="0" w:color="auto"/>
              <w:right w:val="single" w:sz="4" w:space="0" w:color="auto"/>
            </w:tcBorders>
            <w:shd w:val="clear" w:color="auto" w:fill="auto"/>
            <w:noWrap/>
            <w:vAlign w:val="center"/>
            <w:hideMark/>
          </w:tcPr>
          <w:p w14:paraId="39D246E3"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1.245</w:t>
            </w:r>
          </w:p>
        </w:tc>
        <w:tc>
          <w:tcPr>
            <w:tcW w:w="1152" w:type="dxa"/>
            <w:tcBorders>
              <w:top w:val="nil"/>
              <w:left w:val="nil"/>
              <w:bottom w:val="single" w:sz="4" w:space="0" w:color="auto"/>
              <w:right w:val="single" w:sz="4" w:space="0" w:color="auto"/>
            </w:tcBorders>
            <w:shd w:val="clear" w:color="auto" w:fill="auto"/>
            <w:noWrap/>
            <w:vAlign w:val="center"/>
            <w:hideMark/>
          </w:tcPr>
          <w:p w14:paraId="52F634B3"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932</w:t>
            </w:r>
          </w:p>
        </w:tc>
        <w:tc>
          <w:tcPr>
            <w:tcW w:w="799" w:type="dxa"/>
            <w:tcBorders>
              <w:top w:val="nil"/>
              <w:left w:val="nil"/>
              <w:bottom w:val="single" w:sz="4" w:space="0" w:color="auto"/>
              <w:right w:val="single" w:sz="4" w:space="0" w:color="auto"/>
            </w:tcBorders>
            <w:shd w:val="clear" w:color="auto" w:fill="auto"/>
            <w:noWrap/>
            <w:vAlign w:val="center"/>
            <w:hideMark/>
          </w:tcPr>
          <w:p w14:paraId="4A50A6BF" w14:textId="77777777" w:rsidR="00CD090D" w:rsidRPr="00CD090D" w:rsidRDefault="00CD090D" w:rsidP="00CD090D">
            <w:pPr>
              <w:jc w:val="center"/>
              <w:rPr>
                <w:rFonts w:ascii="Verdana" w:eastAsia="Times New Roman" w:hAnsi="Verdana" w:cs="Calibri"/>
                <w:b/>
                <w:bCs/>
                <w:color w:val="000000"/>
                <w:sz w:val="18"/>
                <w:szCs w:val="18"/>
                <w:lang w:val="es-CO" w:eastAsia="es-CO"/>
              </w:rPr>
            </w:pPr>
            <w:r w:rsidRPr="00CD090D">
              <w:rPr>
                <w:rFonts w:ascii="Verdana" w:eastAsia="Times New Roman" w:hAnsi="Verdana" w:cs="Calibri"/>
                <w:b/>
                <w:bCs/>
                <w:color w:val="000000"/>
                <w:sz w:val="18"/>
                <w:szCs w:val="18"/>
                <w:lang w:val="es-CO" w:eastAsia="es-CO"/>
              </w:rPr>
              <w:t>978</w:t>
            </w:r>
          </w:p>
        </w:tc>
      </w:tr>
    </w:tbl>
    <w:p w14:paraId="5DFCF940" w14:textId="77777777" w:rsidR="00911C69" w:rsidRPr="00433E58" w:rsidRDefault="00911C69" w:rsidP="00911C69">
      <w:pPr>
        <w:contextualSpacing/>
        <w:jc w:val="center"/>
        <w:rPr>
          <w:rFonts w:ascii="Verdana" w:eastAsia="Calibri" w:hAnsi="Verdana" w:cs="Arial"/>
          <w:bCs/>
          <w:sz w:val="16"/>
          <w:szCs w:val="16"/>
          <w:lang w:val="es-CO" w:eastAsia="en-US"/>
        </w:rPr>
      </w:pPr>
      <w:r w:rsidRPr="00433E58">
        <w:rPr>
          <w:rFonts w:ascii="Verdana" w:eastAsia="Calibri" w:hAnsi="Verdana" w:cs="Arial"/>
          <w:bCs/>
          <w:sz w:val="16"/>
          <w:szCs w:val="16"/>
          <w:lang w:val="es-CO" w:eastAsia="en-US"/>
        </w:rPr>
        <w:t>Fuente: Cálculos propios DAF según información presupuestal suministrada por la Entidad.</w:t>
      </w:r>
    </w:p>
    <w:p w14:paraId="4CF2FB25" w14:textId="77777777" w:rsidR="00911C69" w:rsidRPr="00433E58" w:rsidRDefault="00911C69" w:rsidP="00911C69">
      <w:pPr>
        <w:contextualSpacing/>
        <w:rPr>
          <w:rFonts w:ascii="Verdana" w:hAnsi="Verdana" w:cs="Arial"/>
          <w:sz w:val="22"/>
          <w:szCs w:val="22"/>
        </w:rPr>
      </w:pPr>
    </w:p>
    <w:p w14:paraId="20998DB0" w14:textId="77777777" w:rsidR="00911C69" w:rsidRPr="00264E65" w:rsidRDefault="00911C69" w:rsidP="00911C69">
      <w:pPr>
        <w:contextualSpacing/>
        <w:jc w:val="both"/>
        <w:rPr>
          <w:rFonts w:ascii="Verdana" w:eastAsia="Calibri" w:hAnsi="Verdana" w:cs="Arial"/>
          <w:sz w:val="22"/>
          <w:szCs w:val="22"/>
          <w:lang w:val="es-CO" w:eastAsia="en-US"/>
        </w:rPr>
      </w:pPr>
      <w:r w:rsidRPr="00264E65">
        <w:rPr>
          <w:rFonts w:ascii="Verdana" w:hAnsi="Verdana" w:cs="Arial"/>
          <w:sz w:val="22"/>
          <w:szCs w:val="22"/>
        </w:rPr>
        <w:t>Del mismo modo, para la vigencia 202</w:t>
      </w:r>
      <w:r w:rsidR="00E74A35" w:rsidRPr="00264E65">
        <w:rPr>
          <w:rFonts w:ascii="Verdana" w:hAnsi="Verdana" w:cs="Arial"/>
          <w:sz w:val="22"/>
          <w:szCs w:val="22"/>
        </w:rPr>
        <w:t>2</w:t>
      </w:r>
      <w:r w:rsidRPr="00264E65">
        <w:rPr>
          <w:rFonts w:ascii="Verdana" w:hAnsi="Verdana" w:cs="Arial"/>
          <w:sz w:val="22"/>
          <w:szCs w:val="22"/>
        </w:rPr>
        <w:t xml:space="preserve">, según la ejecución presupuestal de ingresos entregada por la Entidad, el valor recaudado fue de $792 millones, de los cuales, </w:t>
      </w:r>
      <w:r w:rsidRPr="00264E65">
        <w:rPr>
          <w:rFonts w:ascii="Verdana" w:eastAsia="Calibri" w:hAnsi="Verdana" w:cs="Arial"/>
          <w:sz w:val="22"/>
          <w:szCs w:val="22"/>
          <w:lang w:val="es-CO" w:eastAsia="en-US"/>
        </w:rPr>
        <w:t>el 98,8 % ($782 millones) correspondió a ingresos corrientes, el 1,2 % ($9 millones) a recursos de capital (rendimientos financieros). Es importante mencionar que la información de la ejecución presupuestal de ingresos 2020 coincide con lo reportado en el FUT.</w:t>
      </w:r>
    </w:p>
    <w:p w14:paraId="3DDD6B36" w14:textId="77777777" w:rsidR="00911C69" w:rsidRPr="00264E65" w:rsidRDefault="00911C69" w:rsidP="00911C69">
      <w:pPr>
        <w:contextualSpacing/>
        <w:jc w:val="both"/>
        <w:rPr>
          <w:rFonts w:ascii="Verdana" w:eastAsia="Calibri" w:hAnsi="Verdana" w:cs="Arial"/>
          <w:sz w:val="22"/>
          <w:szCs w:val="22"/>
          <w:lang w:val="es-CO" w:eastAsia="en-US"/>
        </w:rPr>
      </w:pPr>
    </w:p>
    <w:p w14:paraId="7266BB06" w14:textId="77777777" w:rsidR="00911C69" w:rsidRPr="00264E65" w:rsidRDefault="00911C69" w:rsidP="00911C69">
      <w:pPr>
        <w:contextualSpacing/>
        <w:jc w:val="both"/>
        <w:rPr>
          <w:rFonts w:ascii="Verdana" w:eastAsia="Calibri" w:hAnsi="Verdana" w:cs="Arial"/>
          <w:sz w:val="22"/>
          <w:szCs w:val="22"/>
          <w:lang w:val="es-CO" w:eastAsia="en-US"/>
        </w:rPr>
      </w:pPr>
      <w:r w:rsidRPr="00264E65">
        <w:rPr>
          <w:rFonts w:ascii="Verdana" w:eastAsia="Calibri" w:hAnsi="Verdana" w:cs="Arial"/>
          <w:sz w:val="22"/>
          <w:szCs w:val="22"/>
          <w:lang w:val="es-CO" w:eastAsia="en-US"/>
        </w:rPr>
        <w:t xml:space="preserve">Mientras que para 2021, </w:t>
      </w:r>
      <w:r w:rsidRPr="00264E65">
        <w:rPr>
          <w:rFonts w:ascii="Verdana" w:hAnsi="Verdana" w:cs="Arial"/>
          <w:sz w:val="22"/>
          <w:szCs w:val="22"/>
        </w:rPr>
        <w:t xml:space="preserve">según la información de la ejecución presupuestal de ingresos entregada, el valor recaudado por concepto de SGP – APSB fue de $1.245 millones, de los cuales, </w:t>
      </w:r>
      <w:r w:rsidRPr="00264E65">
        <w:rPr>
          <w:rFonts w:ascii="Verdana" w:eastAsia="Calibri" w:hAnsi="Verdana" w:cs="Arial"/>
          <w:sz w:val="22"/>
          <w:szCs w:val="22"/>
          <w:lang w:val="es-CO" w:eastAsia="en-US"/>
        </w:rPr>
        <w:t>el 84 % ($1.046 millones) correspondió a Ingresos corrientes y el 16 % ($199 millones) a recursos de capital, no obstante, es importante indicar que este último valor difiere del reportado a CUIPO, ya que para este periodo sólo se reportó Superávit fiscal por valor de $9 millones.</w:t>
      </w:r>
    </w:p>
    <w:p w14:paraId="6A21CF29" w14:textId="77777777" w:rsidR="00911C69" w:rsidRPr="00264E65" w:rsidRDefault="00911C69" w:rsidP="00911C69">
      <w:pPr>
        <w:contextualSpacing/>
        <w:jc w:val="both"/>
        <w:rPr>
          <w:rFonts w:ascii="Verdana" w:eastAsia="Calibri" w:hAnsi="Verdana" w:cs="Arial"/>
          <w:sz w:val="22"/>
          <w:szCs w:val="22"/>
          <w:lang w:val="es-CO" w:eastAsia="en-US"/>
        </w:rPr>
      </w:pPr>
    </w:p>
    <w:p w14:paraId="2E154D02" w14:textId="77777777" w:rsidR="00911C69" w:rsidRPr="00264E65" w:rsidRDefault="00911C69" w:rsidP="00911C69">
      <w:pPr>
        <w:contextualSpacing/>
        <w:jc w:val="both"/>
        <w:rPr>
          <w:rFonts w:ascii="Verdana" w:hAnsi="Verdana" w:cs="Arial"/>
          <w:sz w:val="22"/>
          <w:szCs w:val="22"/>
          <w:lang w:val="es-CO"/>
        </w:rPr>
      </w:pPr>
      <w:r w:rsidRPr="00264E65">
        <w:rPr>
          <w:rFonts w:ascii="Verdana" w:hAnsi="Verdana" w:cs="Arial"/>
          <w:sz w:val="22"/>
          <w:szCs w:val="22"/>
          <w:lang w:val="es-CO"/>
        </w:rPr>
        <w:t>Por otro lado, hay que señalar que los valores recaudados reportados por concepto de Participación APSB coinciden con los valores que aparecen en los archivos de transferencias del Ministerio de Vivienda Ciudad y Territorio - MVCT para las vigencias 2019 - 2021.</w:t>
      </w:r>
    </w:p>
    <w:p w14:paraId="02381BE6" w14:textId="77777777" w:rsidR="00911C69" w:rsidRPr="00264E65" w:rsidRDefault="00911C69" w:rsidP="00911C69">
      <w:pPr>
        <w:contextualSpacing/>
        <w:jc w:val="both"/>
        <w:rPr>
          <w:rFonts w:ascii="Verdana" w:hAnsi="Verdana" w:cs="Arial"/>
          <w:sz w:val="22"/>
          <w:szCs w:val="22"/>
          <w:highlight w:val="cyan"/>
        </w:rPr>
      </w:pPr>
    </w:p>
    <w:p w14:paraId="3D92F5AF" w14:textId="77777777" w:rsidR="00911C69" w:rsidRPr="00264E65" w:rsidRDefault="00911C69" w:rsidP="00911C69">
      <w:pPr>
        <w:spacing w:after="200"/>
        <w:ind w:left="360"/>
        <w:contextualSpacing/>
        <w:jc w:val="both"/>
        <w:rPr>
          <w:rFonts w:ascii="Verdana" w:eastAsia="Calibri" w:hAnsi="Verdana" w:cs="Arial"/>
          <w:b/>
          <w:sz w:val="22"/>
          <w:szCs w:val="22"/>
          <w:lang w:val="es-CO" w:eastAsia="en-US"/>
        </w:rPr>
      </w:pPr>
      <w:r w:rsidRPr="00264E65">
        <w:rPr>
          <w:rFonts w:ascii="Verdana" w:eastAsia="Calibri" w:hAnsi="Verdana" w:cs="Arial"/>
          <w:b/>
          <w:sz w:val="22"/>
          <w:szCs w:val="22"/>
          <w:lang w:val="es-CO" w:eastAsia="en-US"/>
        </w:rPr>
        <w:t>2. Gastos.</w:t>
      </w:r>
    </w:p>
    <w:p w14:paraId="49E81E15" w14:textId="77777777" w:rsidR="00911C69" w:rsidRPr="00264E65" w:rsidRDefault="00911C69" w:rsidP="00911C69">
      <w:pPr>
        <w:contextualSpacing/>
        <w:jc w:val="both"/>
        <w:rPr>
          <w:rFonts w:ascii="Verdana" w:hAnsi="Verdana" w:cs="Arial"/>
          <w:sz w:val="22"/>
          <w:szCs w:val="22"/>
        </w:rPr>
      </w:pPr>
    </w:p>
    <w:p w14:paraId="68D6DE7F"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lastRenderedPageBreak/>
        <w:t>Según la ejecución presupuestal de gastos, en la vigencia 2021 se comprometieron $1.185 millones, se obligaron $ 372 millones y se pagaron $354 millones en el Sector con la fuente SGP – APSB.</w:t>
      </w:r>
    </w:p>
    <w:p w14:paraId="1622AA4C" w14:textId="77777777" w:rsidR="00911C69" w:rsidRPr="00264E65" w:rsidRDefault="00911C69" w:rsidP="00911C69">
      <w:pPr>
        <w:contextualSpacing/>
        <w:jc w:val="both"/>
        <w:rPr>
          <w:rFonts w:ascii="Verdana" w:hAnsi="Verdana" w:cs="Arial"/>
          <w:sz w:val="22"/>
          <w:szCs w:val="22"/>
        </w:rPr>
      </w:pPr>
    </w:p>
    <w:p w14:paraId="4AEBD843"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 xml:space="preserve">Del total comprometido, el 46,4 % ($550 millones) correspondió a </w:t>
      </w:r>
      <w:r w:rsidRPr="00264E65">
        <w:rPr>
          <w:rFonts w:ascii="Verdana" w:hAnsi="Verdana" w:cs="Arial"/>
          <w:sz w:val="22"/>
          <w:szCs w:val="22"/>
          <w:lang w:val="es-419"/>
        </w:rPr>
        <w:t>formulación, implantación y acciones de fortalecimiento; el 42,3 % ($501 millones)</w:t>
      </w:r>
      <w:r w:rsidRPr="00264E65">
        <w:rPr>
          <w:rFonts w:ascii="Verdana" w:hAnsi="Verdana" w:cs="Arial"/>
          <w:sz w:val="22"/>
          <w:szCs w:val="22"/>
        </w:rPr>
        <w:t xml:space="preserve"> a construcción, ampliación y mejoramiento; y el 11,3 % ($134 millones) a la financiación de subsidios para los Servicios de Acueducto, Alcantarillado y Aseo.</w:t>
      </w:r>
    </w:p>
    <w:p w14:paraId="54D45416" w14:textId="77777777" w:rsidR="00911C69" w:rsidRPr="00264E65" w:rsidRDefault="00911C69" w:rsidP="00911C69">
      <w:pPr>
        <w:contextualSpacing/>
        <w:jc w:val="both"/>
        <w:rPr>
          <w:rFonts w:ascii="Verdana" w:hAnsi="Verdana" w:cs="Arial"/>
          <w:sz w:val="22"/>
          <w:szCs w:val="22"/>
        </w:rPr>
      </w:pPr>
    </w:p>
    <w:p w14:paraId="70AAB059" w14:textId="77777777" w:rsidR="00911C69" w:rsidRPr="00264E65" w:rsidRDefault="00911C69" w:rsidP="00911C69">
      <w:pPr>
        <w:jc w:val="both"/>
        <w:rPr>
          <w:rFonts w:ascii="Verdana" w:hAnsi="Verdana" w:cs="Arial"/>
          <w:sz w:val="22"/>
          <w:szCs w:val="22"/>
        </w:rPr>
      </w:pPr>
      <w:r w:rsidRPr="00264E65">
        <w:rPr>
          <w:rFonts w:ascii="Verdana" w:hAnsi="Verdana" w:cs="Arial"/>
          <w:sz w:val="22"/>
          <w:szCs w:val="22"/>
        </w:rPr>
        <w:t>Aquí es importante indicar que al ser el Municipio de Cota – Cundinamarca de Categoría 2ª, debe cumplir con lo establecido en el parágrafo 2° del artículo 11 de la Ley 1176 de 2007 con respecto a que debe destinar mínimo el 15% de dichos recursos a la financiación de subsidios para los servicios de acueducto, alcantarillado y aseo, no obstante, para la vigencia 2021, teniendo en cuenta que la participación para Agua Potable y Saneamiento Básico fue de $1.046 millones, el municipio debió destinar mínimo $157 millones al pago de subsidios, sin embargo, tan sólo destinó $134 millones, es decir, el 12.81% de la participación, incumpliendo así con lo establecido en la norma mencionada.</w:t>
      </w:r>
    </w:p>
    <w:p w14:paraId="5F3C36CC" w14:textId="77777777" w:rsidR="00911C69" w:rsidRPr="00264E65" w:rsidRDefault="00911C69" w:rsidP="00911C69">
      <w:pPr>
        <w:contextualSpacing/>
        <w:jc w:val="both"/>
        <w:rPr>
          <w:rFonts w:ascii="Verdana" w:hAnsi="Verdana" w:cs="Arial"/>
          <w:sz w:val="22"/>
          <w:szCs w:val="22"/>
        </w:rPr>
      </w:pPr>
    </w:p>
    <w:p w14:paraId="240F22AD" w14:textId="77777777" w:rsidR="00D054C1" w:rsidRPr="00264E65" w:rsidRDefault="00D054C1" w:rsidP="00D054C1">
      <w:pPr>
        <w:contextualSpacing/>
        <w:jc w:val="both"/>
        <w:rPr>
          <w:rFonts w:ascii="Verdana" w:hAnsi="Verdana" w:cs="Arial"/>
          <w:sz w:val="22"/>
          <w:szCs w:val="22"/>
        </w:rPr>
      </w:pPr>
      <w:r w:rsidRPr="00264E65">
        <w:rPr>
          <w:rFonts w:ascii="Verdana" w:hAnsi="Verdana" w:cs="Arial"/>
          <w:sz w:val="22"/>
          <w:szCs w:val="22"/>
        </w:rPr>
        <w:t>Igualmente, según la ejecución presupuestal de gastos, en la vigencia 2022 se comprometieron $877 millones y se obligaron y se pagaron $826 millones en el Sector con la fuente SGP – APSB.</w:t>
      </w:r>
    </w:p>
    <w:p w14:paraId="73B21645" w14:textId="77777777" w:rsidR="00D054C1" w:rsidRPr="00264E65" w:rsidRDefault="00D054C1" w:rsidP="00D054C1">
      <w:pPr>
        <w:contextualSpacing/>
        <w:jc w:val="both"/>
        <w:rPr>
          <w:rFonts w:ascii="Verdana" w:hAnsi="Verdana" w:cs="Arial"/>
          <w:sz w:val="22"/>
          <w:szCs w:val="22"/>
        </w:rPr>
      </w:pPr>
    </w:p>
    <w:p w14:paraId="120D4397" w14:textId="77777777" w:rsidR="00D054C1" w:rsidRPr="00264E65" w:rsidRDefault="00D054C1" w:rsidP="00911C69">
      <w:pPr>
        <w:contextualSpacing/>
        <w:jc w:val="both"/>
        <w:rPr>
          <w:rFonts w:ascii="Verdana" w:hAnsi="Verdana" w:cs="Arial"/>
          <w:sz w:val="22"/>
          <w:szCs w:val="22"/>
        </w:rPr>
      </w:pPr>
      <w:r w:rsidRPr="00264E65">
        <w:rPr>
          <w:rFonts w:ascii="Verdana" w:hAnsi="Verdana" w:cs="Arial"/>
          <w:sz w:val="22"/>
          <w:szCs w:val="22"/>
        </w:rPr>
        <w:t>Del total comprometido, el 85% ($745 millones) correspondió a construcción, ampliación y mejoramiento y el 15% ($132 millones) a la financiación de subsidios para los Servicios de Acueducto, Alcantarillado y Aseo.</w:t>
      </w:r>
    </w:p>
    <w:p w14:paraId="21E6A856" w14:textId="77777777" w:rsidR="00D054C1" w:rsidRPr="00264E65" w:rsidRDefault="00D054C1" w:rsidP="00911C69">
      <w:pPr>
        <w:contextualSpacing/>
        <w:jc w:val="both"/>
        <w:rPr>
          <w:rFonts w:ascii="Verdana" w:hAnsi="Verdana" w:cs="Arial"/>
          <w:sz w:val="22"/>
          <w:szCs w:val="22"/>
        </w:rPr>
      </w:pPr>
    </w:p>
    <w:p w14:paraId="28D4B2BA"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El siguiente cuadro resume los gastos para las vigencias 20</w:t>
      </w:r>
      <w:r w:rsidR="00A523F5" w:rsidRPr="00264E65">
        <w:rPr>
          <w:rFonts w:ascii="Verdana" w:hAnsi="Verdana" w:cs="Arial"/>
          <w:sz w:val="22"/>
          <w:szCs w:val="22"/>
        </w:rPr>
        <w:t>2</w:t>
      </w:r>
      <w:r w:rsidRPr="00264E65">
        <w:rPr>
          <w:rFonts w:ascii="Verdana" w:hAnsi="Verdana" w:cs="Arial"/>
          <w:sz w:val="22"/>
          <w:szCs w:val="22"/>
        </w:rPr>
        <w:t>1 - 202</w:t>
      </w:r>
      <w:r w:rsidR="00A523F5" w:rsidRPr="00264E65">
        <w:rPr>
          <w:rFonts w:ascii="Verdana" w:hAnsi="Verdana" w:cs="Arial"/>
          <w:sz w:val="22"/>
          <w:szCs w:val="22"/>
        </w:rPr>
        <w:t>2</w:t>
      </w:r>
      <w:r w:rsidRPr="00264E65">
        <w:rPr>
          <w:rFonts w:ascii="Verdana" w:hAnsi="Verdana" w:cs="Arial"/>
          <w:sz w:val="22"/>
          <w:szCs w:val="22"/>
        </w:rPr>
        <w:t xml:space="preserve"> en el Sector de Agua Potable y Saneamiento Básico:</w:t>
      </w:r>
    </w:p>
    <w:p w14:paraId="02D947FD" w14:textId="77777777" w:rsidR="00911C69" w:rsidRPr="00264E65" w:rsidRDefault="00911C69" w:rsidP="00911C69">
      <w:pPr>
        <w:autoSpaceDE w:val="0"/>
        <w:autoSpaceDN w:val="0"/>
        <w:adjustRightInd w:val="0"/>
        <w:contextualSpacing/>
        <w:rPr>
          <w:rFonts w:ascii="Verdana" w:hAnsi="Verdana" w:cs="Arial"/>
          <w:b/>
          <w:sz w:val="22"/>
          <w:szCs w:val="22"/>
        </w:rPr>
      </w:pPr>
    </w:p>
    <w:p w14:paraId="64AB7426"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Cuadro 14.</w:t>
      </w:r>
      <w:r w:rsidRPr="00264E65">
        <w:rPr>
          <w:rFonts w:ascii="Verdana" w:hAnsi="Verdana" w:cs="Arial"/>
          <w:sz w:val="22"/>
          <w:szCs w:val="22"/>
        </w:rPr>
        <w:t xml:space="preserve"> Gastos vigencias 20</w:t>
      </w:r>
      <w:r w:rsidR="00A523F5" w:rsidRPr="00264E65">
        <w:rPr>
          <w:rFonts w:ascii="Verdana" w:hAnsi="Verdana" w:cs="Arial"/>
          <w:sz w:val="22"/>
          <w:szCs w:val="22"/>
        </w:rPr>
        <w:t>21</w:t>
      </w:r>
      <w:r w:rsidRPr="00264E65">
        <w:rPr>
          <w:rFonts w:ascii="Verdana" w:hAnsi="Verdana" w:cs="Arial"/>
          <w:sz w:val="22"/>
          <w:szCs w:val="22"/>
        </w:rPr>
        <w:t xml:space="preserve"> </w:t>
      </w:r>
      <w:r w:rsidR="00A523F5" w:rsidRPr="00264E65">
        <w:rPr>
          <w:rFonts w:ascii="Verdana" w:hAnsi="Verdana" w:cs="Arial"/>
          <w:sz w:val="22"/>
          <w:szCs w:val="22"/>
        </w:rPr>
        <w:t>–</w:t>
      </w:r>
      <w:r w:rsidRPr="00264E65">
        <w:rPr>
          <w:rFonts w:ascii="Verdana" w:hAnsi="Verdana" w:cs="Arial"/>
          <w:sz w:val="22"/>
          <w:szCs w:val="22"/>
        </w:rPr>
        <w:t xml:space="preserve"> 202</w:t>
      </w:r>
      <w:r w:rsidR="00A523F5" w:rsidRPr="00264E65">
        <w:rPr>
          <w:rFonts w:ascii="Verdana" w:hAnsi="Verdana" w:cs="Arial"/>
          <w:sz w:val="22"/>
          <w:szCs w:val="22"/>
        </w:rPr>
        <w:t>2</w:t>
      </w:r>
    </w:p>
    <w:tbl>
      <w:tblPr>
        <w:tblW w:w="9395" w:type="dxa"/>
        <w:tblCellMar>
          <w:left w:w="70" w:type="dxa"/>
          <w:right w:w="70" w:type="dxa"/>
        </w:tblCellMar>
        <w:tblLook w:val="04A0" w:firstRow="1" w:lastRow="0" w:firstColumn="1" w:lastColumn="0" w:noHBand="0" w:noVBand="1"/>
      </w:tblPr>
      <w:tblGrid>
        <w:gridCol w:w="2311"/>
        <w:gridCol w:w="1370"/>
        <w:gridCol w:w="1342"/>
        <w:gridCol w:w="845"/>
        <w:gridCol w:w="1420"/>
        <w:gridCol w:w="1379"/>
        <w:gridCol w:w="728"/>
      </w:tblGrid>
      <w:tr w:rsidR="00CD090D" w:rsidRPr="00CD090D" w14:paraId="5E86A171" w14:textId="77777777" w:rsidTr="00CD090D">
        <w:trPr>
          <w:trHeight w:val="536"/>
        </w:trPr>
        <w:tc>
          <w:tcPr>
            <w:tcW w:w="939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3BB56"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 xml:space="preserve">GASTOS TOTALES                         </w:t>
            </w:r>
            <w:proofErr w:type="gramStart"/>
            <w:r w:rsidRPr="00CD090D">
              <w:rPr>
                <w:rFonts w:ascii="Verdana" w:eastAsia="Times New Roman" w:hAnsi="Verdana" w:cs="Calibri"/>
                <w:b/>
                <w:bCs/>
                <w:color w:val="000000"/>
                <w:sz w:val="16"/>
                <w:szCs w:val="16"/>
                <w:lang w:val="es-CO" w:eastAsia="es-CO"/>
              </w:rPr>
              <w:t xml:space="preserve">   (</w:t>
            </w:r>
            <w:proofErr w:type="gramEnd"/>
            <w:r w:rsidRPr="00CD090D">
              <w:rPr>
                <w:rFonts w:ascii="Verdana" w:eastAsia="Times New Roman" w:hAnsi="Verdana" w:cs="Calibri"/>
                <w:b/>
                <w:bCs/>
                <w:color w:val="000000"/>
                <w:sz w:val="16"/>
                <w:szCs w:val="16"/>
                <w:lang w:val="es-CO" w:eastAsia="es-CO"/>
              </w:rPr>
              <w:t>En millones de pesos)</w:t>
            </w:r>
          </w:p>
        </w:tc>
      </w:tr>
      <w:tr w:rsidR="00CD090D" w:rsidRPr="00CD090D" w14:paraId="536EA851" w14:textId="77777777" w:rsidTr="00CD090D">
        <w:trPr>
          <w:trHeight w:val="300"/>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6DEC45AA"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 </w:t>
            </w:r>
          </w:p>
        </w:tc>
        <w:tc>
          <w:tcPr>
            <w:tcW w:w="355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396DE4"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2021</w:t>
            </w:r>
          </w:p>
        </w:tc>
        <w:tc>
          <w:tcPr>
            <w:tcW w:w="35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39834A"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2022</w:t>
            </w:r>
          </w:p>
        </w:tc>
      </w:tr>
      <w:tr w:rsidR="00CD090D" w:rsidRPr="00CD090D" w14:paraId="2BD6523C" w14:textId="77777777" w:rsidTr="00CD090D">
        <w:trPr>
          <w:trHeight w:val="510"/>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573BFD9F"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Concepto</w:t>
            </w:r>
          </w:p>
        </w:tc>
        <w:tc>
          <w:tcPr>
            <w:tcW w:w="1370" w:type="dxa"/>
            <w:tcBorders>
              <w:top w:val="nil"/>
              <w:left w:val="nil"/>
              <w:bottom w:val="single" w:sz="4" w:space="0" w:color="auto"/>
              <w:right w:val="single" w:sz="4" w:space="0" w:color="auto"/>
            </w:tcBorders>
            <w:shd w:val="clear" w:color="auto" w:fill="auto"/>
            <w:noWrap/>
            <w:vAlign w:val="center"/>
            <w:hideMark/>
          </w:tcPr>
          <w:p w14:paraId="337DA091"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Compromisos</w:t>
            </w:r>
          </w:p>
        </w:tc>
        <w:tc>
          <w:tcPr>
            <w:tcW w:w="1342" w:type="dxa"/>
            <w:tcBorders>
              <w:top w:val="nil"/>
              <w:left w:val="nil"/>
              <w:bottom w:val="single" w:sz="4" w:space="0" w:color="auto"/>
              <w:right w:val="single" w:sz="4" w:space="0" w:color="auto"/>
            </w:tcBorders>
            <w:shd w:val="clear" w:color="auto" w:fill="auto"/>
            <w:noWrap/>
            <w:vAlign w:val="center"/>
            <w:hideMark/>
          </w:tcPr>
          <w:p w14:paraId="7585B26A" w14:textId="77777777" w:rsidR="00CD090D" w:rsidRPr="00CD090D" w:rsidRDefault="00CD090D" w:rsidP="00CD090D">
            <w:pPr>
              <w:jc w:val="both"/>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Obligaciones</w:t>
            </w:r>
          </w:p>
        </w:tc>
        <w:tc>
          <w:tcPr>
            <w:tcW w:w="845" w:type="dxa"/>
            <w:tcBorders>
              <w:top w:val="nil"/>
              <w:left w:val="nil"/>
              <w:bottom w:val="single" w:sz="4" w:space="0" w:color="auto"/>
              <w:right w:val="single" w:sz="4" w:space="0" w:color="auto"/>
            </w:tcBorders>
            <w:shd w:val="clear" w:color="auto" w:fill="auto"/>
            <w:vAlign w:val="center"/>
            <w:hideMark/>
          </w:tcPr>
          <w:p w14:paraId="251A8140"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Pagos</w:t>
            </w:r>
          </w:p>
        </w:tc>
        <w:tc>
          <w:tcPr>
            <w:tcW w:w="1420" w:type="dxa"/>
            <w:tcBorders>
              <w:top w:val="nil"/>
              <w:left w:val="nil"/>
              <w:bottom w:val="single" w:sz="4" w:space="0" w:color="auto"/>
              <w:right w:val="single" w:sz="4" w:space="0" w:color="auto"/>
            </w:tcBorders>
            <w:shd w:val="clear" w:color="auto" w:fill="auto"/>
            <w:noWrap/>
            <w:vAlign w:val="center"/>
            <w:hideMark/>
          </w:tcPr>
          <w:p w14:paraId="04DD27BB"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Compromisos</w:t>
            </w:r>
          </w:p>
        </w:tc>
        <w:tc>
          <w:tcPr>
            <w:tcW w:w="1379" w:type="dxa"/>
            <w:tcBorders>
              <w:top w:val="nil"/>
              <w:left w:val="nil"/>
              <w:bottom w:val="single" w:sz="4" w:space="0" w:color="auto"/>
              <w:right w:val="single" w:sz="4" w:space="0" w:color="auto"/>
            </w:tcBorders>
            <w:shd w:val="clear" w:color="auto" w:fill="auto"/>
            <w:noWrap/>
            <w:vAlign w:val="center"/>
            <w:hideMark/>
          </w:tcPr>
          <w:p w14:paraId="3349DC3E" w14:textId="77777777" w:rsidR="00CD090D" w:rsidRPr="00CD090D" w:rsidRDefault="00CD090D" w:rsidP="00CD090D">
            <w:pPr>
              <w:jc w:val="both"/>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Obligaciones</w:t>
            </w:r>
          </w:p>
        </w:tc>
        <w:tc>
          <w:tcPr>
            <w:tcW w:w="728" w:type="dxa"/>
            <w:tcBorders>
              <w:top w:val="nil"/>
              <w:left w:val="nil"/>
              <w:bottom w:val="single" w:sz="4" w:space="0" w:color="auto"/>
              <w:right w:val="single" w:sz="4" w:space="0" w:color="auto"/>
            </w:tcBorders>
            <w:shd w:val="clear" w:color="auto" w:fill="auto"/>
            <w:vAlign w:val="center"/>
            <w:hideMark/>
          </w:tcPr>
          <w:p w14:paraId="33930FEA"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Pagos</w:t>
            </w:r>
          </w:p>
        </w:tc>
      </w:tr>
      <w:tr w:rsidR="00CD090D" w:rsidRPr="00CD090D" w14:paraId="7AC3CD5A" w14:textId="77777777" w:rsidTr="00CD090D">
        <w:trPr>
          <w:trHeight w:val="300"/>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581D938C" w14:textId="77777777" w:rsidR="00CD090D" w:rsidRPr="00CD090D" w:rsidRDefault="00CD090D" w:rsidP="00CD090D">
            <w:pPr>
              <w:jc w:val="both"/>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Gastos de Inversión</w:t>
            </w:r>
          </w:p>
        </w:tc>
        <w:tc>
          <w:tcPr>
            <w:tcW w:w="1370" w:type="dxa"/>
            <w:tcBorders>
              <w:top w:val="nil"/>
              <w:left w:val="nil"/>
              <w:bottom w:val="single" w:sz="4" w:space="0" w:color="auto"/>
              <w:right w:val="single" w:sz="4" w:space="0" w:color="auto"/>
            </w:tcBorders>
            <w:shd w:val="clear" w:color="auto" w:fill="auto"/>
            <w:noWrap/>
            <w:vAlign w:val="center"/>
            <w:hideMark/>
          </w:tcPr>
          <w:p w14:paraId="01B25434"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1.185</w:t>
            </w:r>
          </w:p>
        </w:tc>
        <w:tc>
          <w:tcPr>
            <w:tcW w:w="1342" w:type="dxa"/>
            <w:tcBorders>
              <w:top w:val="nil"/>
              <w:left w:val="nil"/>
              <w:bottom w:val="single" w:sz="4" w:space="0" w:color="auto"/>
              <w:right w:val="single" w:sz="4" w:space="0" w:color="auto"/>
            </w:tcBorders>
            <w:shd w:val="clear" w:color="auto" w:fill="auto"/>
            <w:noWrap/>
            <w:vAlign w:val="center"/>
            <w:hideMark/>
          </w:tcPr>
          <w:p w14:paraId="31550969"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372</w:t>
            </w:r>
          </w:p>
        </w:tc>
        <w:tc>
          <w:tcPr>
            <w:tcW w:w="845" w:type="dxa"/>
            <w:tcBorders>
              <w:top w:val="nil"/>
              <w:left w:val="nil"/>
              <w:bottom w:val="single" w:sz="4" w:space="0" w:color="auto"/>
              <w:right w:val="single" w:sz="4" w:space="0" w:color="auto"/>
            </w:tcBorders>
            <w:shd w:val="clear" w:color="auto" w:fill="auto"/>
            <w:noWrap/>
            <w:vAlign w:val="center"/>
            <w:hideMark/>
          </w:tcPr>
          <w:p w14:paraId="2656D5AB"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354</w:t>
            </w:r>
          </w:p>
        </w:tc>
        <w:tc>
          <w:tcPr>
            <w:tcW w:w="1420" w:type="dxa"/>
            <w:tcBorders>
              <w:top w:val="nil"/>
              <w:left w:val="nil"/>
              <w:bottom w:val="single" w:sz="4" w:space="0" w:color="auto"/>
              <w:right w:val="single" w:sz="4" w:space="0" w:color="auto"/>
            </w:tcBorders>
            <w:shd w:val="clear" w:color="auto" w:fill="auto"/>
            <w:noWrap/>
            <w:vAlign w:val="center"/>
            <w:hideMark/>
          </w:tcPr>
          <w:p w14:paraId="6C4FC767"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877</w:t>
            </w:r>
          </w:p>
        </w:tc>
        <w:tc>
          <w:tcPr>
            <w:tcW w:w="1379" w:type="dxa"/>
            <w:tcBorders>
              <w:top w:val="nil"/>
              <w:left w:val="nil"/>
              <w:bottom w:val="single" w:sz="4" w:space="0" w:color="auto"/>
              <w:right w:val="single" w:sz="4" w:space="0" w:color="auto"/>
            </w:tcBorders>
            <w:shd w:val="clear" w:color="auto" w:fill="auto"/>
            <w:noWrap/>
            <w:vAlign w:val="center"/>
            <w:hideMark/>
          </w:tcPr>
          <w:p w14:paraId="4BA1A2CB"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826</w:t>
            </w:r>
          </w:p>
        </w:tc>
        <w:tc>
          <w:tcPr>
            <w:tcW w:w="728" w:type="dxa"/>
            <w:tcBorders>
              <w:top w:val="nil"/>
              <w:left w:val="nil"/>
              <w:bottom w:val="single" w:sz="4" w:space="0" w:color="auto"/>
              <w:right w:val="single" w:sz="4" w:space="0" w:color="auto"/>
            </w:tcBorders>
            <w:shd w:val="clear" w:color="auto" w:fill="auto"/>
            <w:noWrap/>
            <w:vAlign w:val="center"/>
            <w:hideMark/>
          </w:tcPr>
          <w:p w14:paraId="12EF20A3"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826</w:t>
            </w:r>
          </w:p>
        </w:tc>
      </w:tr>
      <w:tr w:rsidR="00CD090D" w:rsidRPr="00CD090D" w14:paraId="3C4359B1" w14:textId="77777777" w:rsidTr="00CD090D">
        <w:trPr>
          <w:trHeight w:val="300"/>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44A9E21E" w14:textId="77777777" w:rsidR="00CD090D" w:rsidRPr="00CD090D" w:rsidRDefault="00CD090D" w:rsidP="00CD090D">
            <w:pPr>
              <w:jc w:val="both"/>
              <w:rPr>
                <w:rFonts w:ascii="Verdana" w:eastAsia="Times New Roman" w:hAnsi="Verdana" w:cs="Calibri"/>
                <w:color w:val="000000"/>
                <w:sz w:val="16"/>
                <w:szCs w:val="16"/>
                <w:lang w:val="es-CO" w:eastAsia="es-CO"/>
              </w:rPr>
            </w:pPr>
            <w:r w:rsidRPr="00CD090D">
              <w:rPr>
                <w:rFonts w:ascii="Verdana" w:eastAsia="Times New Roman" w:hAnsi="Verdana" w:cs="Calibri"/>
                <w:color w:val="000000"/>
                <w:sz w:val="16"/>
                <w:szCs w:val="16"/>
                <w:lang w:val="es-CO" w:eastAsia="es-CO"/>
              </w:rPr>
              <w:t>Subsidios</w:t>
            </w:r>
          </w:p>
        </w:tc>
        <w:tc>
          <w:tcPr>
            <w:tcW w:w="1370" w:type="dxa"/>
            <w:tcBorders>
              <w:top w:val="nil"/>
              <w:left w:val="nil"/>
              <w:bottom w:val="single" w:sz="4" w:space="0" w:color="auto"/>
              <w:right w:val="single" w:sz="4" w:space="0" w:color="auto"/>
            </w:tcBorders>
            <w:shd w:val="clear" w:color="auto" w:fill="auto"/>
            <w:noWrap/>
            <w:vAlign w:val="center"/>
            <w:hideMark/>
          </w:tcPr>
          <w:p w14:paraId="44546C72"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134</w:t>
            </w:r>
          </w:p>
        </w:tc>
        <w:tc>
          <w:tcPr>
            <w:tcW w:w="1342" w:type="dxa"/>
            <w:tcBorders>
              <w:top w:val="nil"/>
              <w:left w:val="nil"/>
              <w:bottom w:val="single" w:sz="4" w:space="0" w:color="auto"/>
              <w:right w:val="single" w:sz="4" w:space="0" w:color="auto"/>
            </w:tcBorders>
            <w:shd w:val="clear" w:color="auto" w:fill="auto"/>
            <w:noWrap/>
            <w:vAlign w:val="center"/>
            <w:hideMark/>
          </w:tcPr>
          <w:p w14:paraId="75D11931"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65</w:t>
            </w:r>
          </w:p>
        </w:tc>
        <w:tc>
          <w:tcPr>
            <w:tcW w:w="845" w:type="dxa"/>
            <w:tcBorders>
              <w:top w:val="nil"/>
              <w:left w:val="nil"/>
              <w:bottom w:val="single" w:sz="4" w:space="0" w:color="auto"/>
              <w:right w:val="single" w:sz="4" w:space="0" w:color="auto"/>
            </w:tcBorders>
            <w:shd w:val="clear" w:color="auto" w:fill="auto"/>
            <w:noWrap/>
            <w:vAlign w:val="center"/>
            <w:hideMark/>
          </w:tcPr>
          <w:p w14:paraId="71C06D73"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47</w:t>
            </w:r>
          </w:p>
        </w:tc>
        <w:tc>
          <w:tcPr>
            <w:tcW w:w="1420" w:type="dxa"/>
            <w:tcBorders>
              <w:top w:val="nil"/>
              <w:left w:val="nil"/>
              <w:bottom w:val="single" w:sz="4" w:space="0" w:color="auto"/>
              <w:right w:val="single" w:sz="4" w:space="0" w:color="auto"/>
            </w:tcBorders>
            <w:shd w:val="clear" w:color="auto" w:fill="auto"/>
            <w:noWrap/>
            <w:vAlign w:val="center"/>
            <w:hideMark/>
          </w:tcPr>
          <w:p w14:paraId="7E33D055"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132</w:t>
            </w:r>
          </w:p>
        </w:tc>
        <w:tc>
          <w:tcPr>
            <w:tcW w:w="1379" w:type="dxa"/>
            <w:tcBorders>
              <w:top w:val="nil"/>
              <w:left w:val="nil"/>
              <w:bottom w:val="single" w:sz="4" w:space="0" w:color="auto"/>
              <w:right w:val="single" w:sz="4" w:space="0" w:color="auto"/>
            </w:tcBorders>
            <w:shd w:val="clear" w:color="auto" w:fill="auto"/>
            <w:noWrap/>
            <w:vAlign w:val="center"/>
            <w:hideMark/>
          </w:tcPr>
          <w:p w14:paraId="24CC3AF3"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81</w:t>
            </w:r>
          </w:p>
        </w:tc>
        <w:tc>
          <w:tcPr>
            <w:tcW w:w="728" w:type="dxa"/>
            <w:tcBorders>
              <w:top w:val="nil"/>
              <w:left w:val="nil"/>
              <w:bottom w:val="single" w:sz="4" w:space="0" w:color="auto"/>
              <w:right w:val="single" w:sz="4" w:space="0" w:color="auto"/>
            </w:tcBorders>
            <w:shd w:val="clear" w:color="auto" w:fill="auto"/>
            <w:noWrap/>
            <w:vAlign w:val="center"/>
            <w:hideMark/>
          </w:tcPr>
          <w:p w14:paraId="49FE4FAC"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81</w:t>
            </w:r>
          </w:p>
        </w:tc>
      </w:tr>
      <w:tr w:rsidR="00CD090D" w:rsidRPr="00CD090D" w14:paraId="3D767025" w14:textId="77777777" w:rsidTr="00CD090D">
        <w:trPr>
          <w:trHeight w:val="765"/>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7ED4BDD4" w14:textId="77777777" w:rsidR="00CD090D" w:rsidRPr="00CD090D" w:rsidRDefault="00CD090D" w:rsidP="00CD090D">
            <w:pPr>
              <w:jc w:val="both"/>
              <w:rPr>
                <w:rFonts w:ascii="Verdana" w:eastAsia="Times New Roman" w:hAnsi="Verdana" w:cs="Calibri"/>
                <w:color w:val="000000"/>
                <w:sz w:val="16"/>
                <w:szCs w:val="16"/>
                <w:lang w:val="es-CO" w:eastAsia="es-CO"/>
              </w:rPr>
            </w:pPr>
            <w:r w:rsidRPr="00CD090D">
              <w:rPr>
                <w:rFonts w:ascii="Verdana" w:eastAsia="Times New Roman" w:hAnsi="Verdana" w:cs="Calibri"/>
                <w:color w:val="000000"/>
                <w:sz w:val="16"/>
                <w:szCs w:val="16"/>
                <w:lang w:val="es-CO" w:eastAsia="es-CO"/>
              </w:rPr>
              <w:t>Formulación, implantación y acciones de fortalecimiento</w:t>
            </w:r>
          </w:p>
        </w:tc>
        <w:tc>
          <w:tcPr>
            <w:tcW w:w="1370" w:type="dxa"/>
            <w:tcBorders>
              <w:top w:val="nil"/>
              <w:left w:val="nil"/>
              <w:bottom w:val="single" w:sz="4" w:space="0" w:color="auto"/>
              <w:right w:val="single" w:sz="4" w:space="0" w:color="auto"/>
            </w:tcBorders>
            <w:shd w:val="clear" w:color="auto" w:fill="auto"/>
            <w:noWrap/>
            <w:vAlign w:val="center"/>
            <w:hideMark/>
          </w:tcPr>
          <w:p w14:paraId="428368C0"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550</w:t>
            </w:r>
          </w:p>
        </w:tc>
        <w:tc>
          <w:tcPr>
            <w:tcW w:w="1342" w:type="dxa"/>
            <w:tcBorders>
              <w:top w:val="nil"/>
              <w:left w:val="nil"/>
              <w:bottom w:val="single" w:sz="4" w:space="0" w:color="auto"/>
              <w:right w:val="single" w:sz="4" w:space="0" w:color="auto"/>
            </w:tcBorders>
            <w:shd w:val="clear" w:color="auto" w:fill="auto"/>
            <w:noWrap/>
            <w:vAlign w:val="center"/>
            <w:hideMark/>
          </w:tcPr>
          <w:p w14:paraId="4656559B"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0</w:t>
            </w:r>
          </w:p>
        </w:tc>
        <w:tc>
          <w:tcPr>
            <w:tcW w:w="845" w:type="dxa"/>
            <w:tcBorders>
              <w:top w:val="nil"/>
              <w:left w:val="nil"/>
              <w:bottom w:val="single" w:sz="4" w:space="0" w:color="auto"/>
              <w:right w:val="single" w:sz="4" w:space="0" w:color="auto"/>
            </w:tcBorders>
            <w:shd w:val="clear" w:color="auto" w:fill="auto"/>
            <w:noWrap/>
            <w:vAlign w:val="center"/>
            <w:hideMark/>
          </w:tcPr>
          <w:p w14:paraId="791EFC90"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0</w:t>
            </w:r>
          </w:p>
        </w:tc>
        <w:tc>
          <w:tcPr>
            <w:tcW w:w="1420" w:type="dxa"/>
            <w:tcBorders>
              <w:top w:val="nil"/>
              <w:left w:val="nil"/>
              <w:bottom w:val="single" w:sz="4" w:space="0" w:color="auto"/>
              <w:right w:val="single" w:sz="4" w:space="0" w:color="auto"/>
            </w:tcBorders>
            <w:shd w:val="clear" w:color="auto" w:fill="auto"/>
            <w:noWrap/>
            <w:vAlign w:val="center"/>
            <w:hideMark/>
          </w:tcPr>
          <w:p w14:paraId="34CC17AD"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0</w:t>
            </w:r>
          </w:p>
        </w:tc>
        <w:tc>
          <w:tcPr>
            <w:tcW w:w="1379" w:type="dxa"/>
            <w:tcBorders>
              <w:top w:val="nil"/>
              <w:left w:val="nil"/>
              <w:bottom w:val="single" w:sz="4" w:space="0" w:color="auto"/>
              <w:right w:val="single" w:sz="4" w:space="0" w:color="auto"/>
            </w:tcBorders>
            <w:shd w:val="clear" w:color="auto" w:fill="auto"/>
            <w:noWrap/>
            <w:vAlign w:val="center"/>
            <w:hideMark/>
          </w:tcPr>
          <w:p w14:paraId="14B508F7"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0</w:t>
            </w:r>
          </w:p>
        </w:tc>
        <w:tc>
          <w:tcPr>
            <w:tcW w:w="728" w:type="dxa"/>
            <w:tcBorders>
              <w:top w:val="nil"/>
              <w:left w:val="nil"/>
              <w:bottom w:val="single" w:sz="4" w:space="0" w:color="auto"/>
              <w:right w:val="single" w:sz="4" w:space="0" w:color="auto"/>
            </w:tcBorders>
            <w:shd w:val="clear" w:color="auto" w:fill="auto"/>
            <w:noWrap/>
            <w:vAlign w:val="center"/>
            <w:hideMark/>
          </w:tcPr>
          <w:p w14:paraId="0025994B"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0</w:t>
            </w:r>
          </w:p>
        </w:tc>
      </w:tr>
      <w:tr w:rsidR="00CD090D" w:rsidRPr="00CD090D" w14:paraId="61C78DA7" w14:textId="77777777" w:rsidTr="00CD090D">
        <w:trPr>
          <w:trHeight w:val="510"/>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03B90121" w14:textId="77777777" w:rsidR="00CD090D" w:rsidRPr="00CD090D" w:rsidRDefault="00CD090D" w:rsidP="00CD090D">
            <w:pPr>
              <w:jc w:val="both"/>
              <w:rPr>
                <w:rFonts w:ascii="Verdana" w:eastAsia="Times New Roman" w:hAnsi="Verdana" w:cs="Calibri"/>
                <w:color w:val="000000"/>
                <w:sz w:val="16"/>
                <w:szCs w:val="16"/>
                <w:lang w:val="es-CO" w:eastAsia="es-CO"/>
              </w:rPr>
            </w:pPr>
            <w:r w:rsidRPr="00CD090D">
              <w:rPr>
                <w:rFonts w:ascii="Verdana" w:eastAsia="Times New Roman" w:hAnsi="Verdana" w:cs="Calibri"/>
                <w:color w:val="000000"/>
                <w:sz w:val="16"/>
                <w:szCs w:val="16"/>
                <w:lang w:val="es-CO" w:eastAsia="es-CO"/>
              </w:rPr>
              <w:lastRenderedPageBreak/>
              <w:t>Construcción, Ampliación y Mejoramiento</w:t>
            </w:r>
          </w:p>
        </w:tc>
        <w:tc>
          <w:tcPr>
            <w:tcW w:w="1370" w:type="dxa"/>
            <w:tcBorders>
              <w:top w:val="nil"/>
              <w:left w:val="nil"/>
              <w:bottom w:val="single" w:sz="4" w:space="0" w:color="auto"/>
              <w:right w:val="single" w:sz="4" w:space="0" w:color="auto"/>
            </w:tcBorders>
            <w:shd w:val="clear" w:color="auto" w:fill="auto"/>
            <w:noWrap/>
            <w:vAlign w:val="center"/>
            <w:hideMark/>
          </w:tcPr>
          <w:p w14:paraId="6B6D0E00"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501</w:t>
            </w:r>
          </w:p>
        </w:tc>
        <w:tc>
          <w:tcPr>
            <w:tcW w:w="1342" w:type="dxa"/>
            <w:tcBorders>
              <w:top w:val="nil"/>
              <w:left w:val="nil"/>
              <w:bottom w:val="single" w:sz="4" w:space="0" w:color="auto"/>
              <w:right w:val="single" w:sz="4" w:space="0" w:color="auto"/>
            </w:tcBorders>
            <w:shd w:val="clear" w:color="auto" w:fill="auto"/>
            <w:noWrap/>
            <w:vAlign w:val="center"/>
            <w:hideMark/>
          </w:tcPr>
          <w:p w14:paraId="51BF0CFC"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307</w:t>
            </w:r>
          </w:p>
        </w:tc>
        <w:tc>
          <w:tcPr>
            <w:tcW w:w="845" w:type="dxa"/>
            <w:tcBorders>
              <w:top w:val="nil"/>
              <w:left w:val="nil"/>
              <w:bottom w:val="single" w:sz="4" w:space="0" w:color="auto"/>
              <w:right w:val="single" w:sz="4" w:space="0" w:color="auto"/>
            </w:tcBorders>
            <w:shd w:val="clear" w:color="auto" w:fill="auto"/>
            <w:noWrap/>
            <w:vAlign w:val="center"/>
            <w:hideMark/>
          </w:tcPr>
          <w:p w14:paraId="29620A79"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307</w:t>
            </w:r>
          </w:p>
        </w:tc>
        <w:tc>
          <w:tcPr>
            <w:tcW w:w="1420" w:type="dxa"/>
            <w:tcBorders>
              <w:top w:val="nil"/>
              <w:left w:val="nil"/>
              <w:bottom w:val="single" w:sz="4" w:space="0" w:color="auto"/>
              <w:right w:val="single" w:sz="4" w:space="0" w:color="auto"/>
            </w:tcBorders>
            <w:shd w:val="clear" w:color="auto" w:fill="auto"/>
            <w:noWrap/>
            <w:vAlign w:val="center"/>
            <w:hideMark/>
          </w:tcPr>
          <w:p w14:paraId="31387F27"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745</w:t>
            </w:r>
          </w:p>
        </w:tc>
        <w:tc>
          <w:tcPr>
            <w:tcW w:w="1379" w:type="dxa"/>
            <w:tcBorders>
              <w:top w:val="nil"/>
              <w:left w:val="nil"/>
              <w:bottom w:val="single" w:sz="4" w:space="0" w:color="auto"/>
              <w:right w:val="single" w:sz="4" w:space="0" w:color="auto"/>
            </w:tcBorders>
            <w:shd w:val="clear" w:color="auto" w:fill="auto"/>
            <w:noWrap/>
            <w:vAlign w:val="center"/>
            <w:hideMark/>
          </w:tcPr>
          <w:p w14:paraId="5F72C1AD"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745</w:t>
            </w:r>
          </w:p>
        </w:tc>
        <w:tc>
          <w:tcPr>
            <w:tcW w:w="728" w:type="dxa"/>
            <w:tcBorders>
              <w:top w:val="nil"/>
              <w:left w:val="nil"/>
              <w:bottom w:val="single" w:sz="4" w:space="0" w:color="auto"/>
              <w:right w:val="single" w:sz="4" w:space="0" w:color="auto"/>
            </w:tcBorders>
            <w:shd w:val="clear" w:color="auto" w:fill="auto"/>
            <w:noWrap/>
            <w:vAlign w:val="center"/>
            <w:hideMark/>
          </w:tcPr>
          <w:p w14:paraId="507CE0C4"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745</w:t>
            </w:r>
          </w:p>
        </w:tc>
      </w:tr>
      <w:tr w:rsidR="00CD090D" w:rsidRPr="00CD090D" w14:paraId="6BD0535E" w14:textId="77777777" w:rsidTr="00CD090D">
        <w:trPr>
          <w:trHeight w:val="300"/>
        </w:trPr>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3F922053" w14:textId="77777777" w:rsidR="00CD090D" w:rsidRPr="00CD090D" w:rsidRDefault="00CD090D" w:rsidP="00CD090D">
            <w:pPr>
              <w:jc w:val="both"/>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Gastos Totales APSB</w:t>
            </w:r>
          </w:p>
        </w:tc>
        <w:tc>
          <w:tcPr>
            <w:tcW w:w="1370" w:type="dxa"/>
            <w:tcBorders>
              <w:top w:val="nil"/>
              <w:left w:val="nil"/>
              <w:bottom w:val="single" w:sz="4" w:space="0" w:color="auto"/>
              <w:right w:val="single" w:sz="4" w:space="0" w:color="auto"/>
            </w:tcBorders>
            <w:shd w:val="clear" w:color="auto" w:fill="auto"/>
            <w:noWrap/>
            <w:vAlign w:val="center"/>
            <w:hideMark/>
          </w:tcPr>
          <w:p w14:paraId="63EEF621"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1.185</w:t>
            </w:r>
          </w:p>
        </w:tc>
        <w:tc>
          <w:tcPr>
            <w:tcW w:w="1342" w:type="dxa"/>
            <w:tcBorders>
              <w:top w:val="nil"/>
              <w:left w:val="nil"/>
              <w:bottom w:val="single" w:sz="4" w:space="0" w:color="auto"/>
              <w:right w:val="single" w:sz="4" w:space="0" w:color="auto"/>
            </w:tcBorders>
            <w:shd w:val="clear" w:color="auto" w:fill="auto"/>
            <w:noWrap/>
            <w:vAlign w:val="center"/>
            <w:hideMark/>
          </w:tcPr>
          <w:p w14:paraId="616531FE"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372</w:t>
            </w:r>
          </w:p>
        </w:tc>
        <w:tc>
          <w:tcPr>
            <w:tcW w:w="845" w:type="dxa"/>
            <w:tcBorders>
              <w:top w:val="nil"/>
              <w:left w:val="nil"/>
              <w:bottom w:val="single" w:sz="4" w:space="0" w:color="auto"/>
              <w:right w:val="single" w:sz="4" w:space="0" w:color="auto"/>
            </w:tcBorders>
            <w:shd w:val="clear" w:color="auto" w:fill="auto"/>
            <w:noWrap/>
            <w:vAlign w:val="center"/>
            <w:hideMark/>
          </w:tcPr>
          <w:p w14:paraId="023BCD98"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354</w:t>
            </w:r>
          </w:p>
        </w:tc>
        <w:tc>
          <w:tcPr>
            <w:tcW w:w="1420" w:type="dxa"/>
            <w:tcBorders>
              <w:top w:val="nil"/>
              <w:left w:val="nil"/>
              <w:bottom w:val="single" w:sz="4" w:space="0" w:color="auto"/>
              <w:right w:val="single" w:sz="4" w:space="0" w:color="auto"/>
            </w:tcBorders>
            <w:shd w:val="clear" w:color="auto" w:fill="auto"/>
            <w:noWrap/>
            <w:vAlign w:val="center"/>
            <w:hideMark/>
          </w:tcPr>
          <w:p w14:paraId="4B4AFE69"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877</w:t>
            </w:r>
          </w:p>
        </w:tc>
        <w:tc>
          <w:tcPr>
            <w:tcW w:w="1379" w:type="dxa"/>
            <w:tcBorders>
              <w:top w:val="nil"/>
              <w:left w:val="nil"/>
              <w:bottom w:val="single" w:sz="4" w:space="0" w:color="auto"/>
              <w:right w:val="single" w:sz="4" w:space="0" w:color="auto"/>
            </w:tcBorders>
            <w:shd w:val="clear" w:color="auto" w:fill="auto"/>
            <w:noWrap/>
            <w:vAlign w:val="center"/>
            <w:hideMark/>
          </w:tcPr>
          <w:p w14:paraId="170ED2D9"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826</w:t>
            </w:r>
          </w:p>
        </w:tc>
        <w:tc>
          <w:tcPr>
            <w:tcW w:w="728" w:type="dxa"/>
            <w:tcBorders>
              <w:top w:val="nil"/>
              <w:left w:val="nil"/>
              <w:bottom w:val="single" w:sz="4" w:space="0" w:color="auto"/>
              <w:right w:val="single" w:sz="4" w:space="0" w:color="auto"/>
            </w:tcBorders>
            <w:shd w:val="clear" w:color="auto" w:fill="auto"/>
            <w:noWrap/>
            <w:vAlign w:val="center"/>
            <w:hideMark/>
          </w:tcPr>
          <w:p w14:paraId="2EBB8B00" w14:textId="77777777" w:rsidR="00CD090D" w:rsidRPr="00CD090D" w:rsidRDefault="00CD090D" w:rsidP="00CD090D">
            <w:pPr>
              <w:jc w:val="center"/>
              <w:rPr>
                <w:rFonts w:ascii="Verdana" w:eastAsia="Times New Roman" w:hAnsi="Verdana" w:cs="Calibri"/>
                <w:b/>
                <w:bCs/>
                <w:color w:val="000000"/>
                <w:sz w:val="16"/>
                <w:szCs w:val="16"/>
                <w:lang w:val="es-CO" w:eastAsia="es-CO"/>
              </w:rPr>
            </w:pPr>
            <w:r w:rsidRPr="00CD090D">
              <w:rPr>
                <w:rFonts w:ascii="Verdana" w:eastAsia="Times New Roman" w:hAnsi="Verdana" w:cs="Calibri"/>
                <w:b/>
                <w:bCs/>
                <w:color w:val="000000"/>
                <w:sz w:val="16"/>
                <w:szCs w:val="16"/>
                <w:lang w:val="es-CO" w:eastAsia="es-CO"/>
              </w:rPr>
              <w:t>826</w:t>
            </w:r>
          </w:p>
        </w:tc>
      </w:tr>
    </w:tbl>
    <w:p w14:paraId="321B2B38" w14:textId="77777777" w:rsidR="00911C69" w:rsidRPr="00433E58" w:rsidRDefault="00911C69" w:rsidP="00E233C0">
      <w:pPr>
        <w:contextualSpacing/>
        <w:jc w:val="center"/>
        <w:rPr>
          <w:rFonts w:ascii="Verdana" w:eastAsia="Calibri" w:hAnsi="Verdana" w:cs="Arial"/>
          <w:bCs/>
          <w:sz w:val="16"/>
          <w:szCs w:val="16"/>
          <w:lang w:val="es-CO" w:eastAsia="en-US"/>
        </w:rPr>
      </w:pPr>
      <w:r w:rsidRPr="00433E58">
        <w:rPr>
          <w:rFonts w:ascii="Verdana" w:eastAsia="Calibri" w:hAnsi="Verdana" w:cs="Arial"/>
          <w:bCs/>
          <w:sz w:val="16"/>
          <w:szCs w:val="16"/>
          <w:lang w:val="es-CO" w:eastAsia="en-US"/>
        </w:rPr>
        <w:t>Fuente: Cálculos propios DAF según información presupuestal suministrada por la Entidad.</w:t>
      </w:r>
    </w:p>
    <w:p w14:paraId="5755D6BD" w14:textId="77777777" w:rsidR="00911C69" w:rsidRPr="00264E65" w:rsidRDefault="00911C69" w:rsidP="00911C69">
      <w:pPr>
        <w:contextualSpacing/>
        <w:jc w:val="both"/>
        <w:rPr>
          <w:rFonts w:ascii="Verdana" w:hAnsi="Verdana" w:cs="Arial"/>
          <w:sz w:val="22"/>
          <w:szCs w:val="22"/>
        </w:rPr>
      </w:pPr>
    </w:p>
    <w:p w14:paraId="131BF0DF"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Sin embargo, la información de gastos para las vigencias 20</w:t>
      </w:r>
      <w:r w:rsidR="00A523F5" w:rsidRPr="00264E65">
        <w:rPr>
          <w:rFonts w:ascii="Verdana" w:hAnsi="Verdana" w:cs="Arial"/>
          <w:sz w:val="22"/>
          <w:szCs w:val="22"/>
        </w:rPr>
        <w:t>21</w:t>
      </w:r>
      <w:r w:rsidRPr="00264E65">
        <w:rPr>
          <w:rFonts w:ascii="Verdana" w:hAnsi="Verdana" w:cs="Arial"/>
          <w:sz w:val="22"/>
          <w:szCs w:val="22"/>
        </w:rPr>
        <w:t xml:space="preserve"> y 202</w:t>
      </w:r>
      <w:r w:rsidR="00A523F5" w:rsidRPr="00264E65">
        <w:rPr>
          <w:rFonts w:ascii="Verdana" w:hAnsi="Verdana" w:cs="Arial"/>
          <w:sz w:val="22"/>
          <w:szCs w:val="22"/>
        </w:rPr>
        <w:t>2</w:t>
      </w:r>
      <w:r w:rsidRPr="00264E65">
        <w:rPr>
          <w:rFonts w:ascii="Verdana" w:hAnsi="Verdana" w:cs="Arial"/>
          <w:sz w:val="22"/>
          <w:szCs w:val="22"/>
        </w:rPr>
        <w:t xml:space="preserve"> en el Sector de Agua </w:t>
      </w:r>
      <w:r w:rsidRPr="00264E65">
        <w:rPr>
          <w:rFonts w:ascii="Verdana" w:hAnsi="Verdana" w:cs="Arial"/>
          <w:color w:val="000000" w:themeColor="text1"/>
          <w:sz w:val="22"/>
          <w:szCs w:val="22"/>
        </w:rPr>
        <w:t xml:space="preserve">Potable y Saneamiento Básico reportada a la </w:t>
      </w:r>
      <w:r w:rsidRPr="00264E65">
        <w:rPr>
          <w:rFonts w:ascii="Verdana" w:hAnsi="Verdana" w:cs="Arial"/>
          <w:color w:val="000000" w:themeColor="text1"/>
          <w:sz w:val="22"/>
          <w:szCs w:val="22"/>
          <w:shd w:val="clear" w:color="auto" w:fill="FFFFFF"/>
        </w:rPr>
        <w:t xml:space="preserve">Categoría Única de Información del Presupuesto Ordinario </w:t>
      </w:r>
      <w:r w:rsidRPr="00264E65">
        <w:rPr>
          <w:rFonts w:ascii="Verdana" w:hAnsi="Verdana" w:cs="Arial"/>
          <w:color w:val="000000" w:themeColor="text1"/>
          <w:sz w:val="22"/>
          <w:szCs w:val="22"/>
        </w:rPr>
        <w:t>(CUIPO) fue la siguiente:</w:t>
      </w:r>
    </w:p>
    <w:p w14:paraId="31F4572E" w14:textId="77777777" w:rsidR="00911C69" w:rsidRDefault="00911C69" w:rsidP="00911C69">
      <w:pPr>
        <w:rPr>
          <w:rFonts w:ascii="Verdana" w:hAnsi="Verdana" w:cs="Arial"/>
          <w:sz w:val="22"/>
          <w:szCs w:val="22"/>
        </w:rPr>
      </w:pPr>
    </w:p>
    <w:p w14:paraId="05C15416" w14:textId="77777777" w:rsidR="00AB0D36" w:rsidRDefault="00AB0D36" w:rsidP="00911C69">
      <w:pPr>
        <w:rPr>
          <w:rFonts w:ascii="Verdana" w:hAnsi="Verdana" w:cs="Arial"/>
          <w:sz w:val="22"/>
          <w:szCs w:val="22"/>
        </w:rPr>
      </w:pPr>
    </w:p>
    <w:p w14:paraId="64C37155" w14:textId="77777777" w:rsidR="00AB0D36" w:rsidRDefault="00AB0D36" w:rsidP="00911C69">
      <w:pPr>
        <w:rPr>
          <w:rFonts w:ascii="Verdana" w:hAnsi="Verdana" w:cs="Arial"/>
          <w:sz w:val="22"/>
          <w:szCs w:val="22"/>
        </w:rPr>
      </w:pPr>
    </w:p>
    <w:p w14:paraId="38DFC390" w14:textId="77777777" w:rsidR="00AB0D36" w:rsidRPr="00264E65" w:rsidRDefault="00AB0D36" w:rsidP="00911C69">
      <w:pPr>
        <w:rPr>
          <w:rFonts w:ascii="Verdana" w:hAnsi="Verdana" w:cs="Arial"/>
          <w:sz w:val="22"/>
          <w:szCs w:val="22"/>
        </w:rPr>
      </w:pPr>
    </w:p>
    <w:p w14:paraId="7B5E448C"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Cuadro 15.</w:t>
      </w:r>
      <w:r w:rsidRPr="00264E65">
        <w:rPr>
          <w:rFonts w:ascii="Verdana" w:hAnsi="Verdana" w:cs="Arial"/>
          <w:sz w:val="22"/>
          <w:szCs w:val="22"/>
        </w:rPr>
        <w:t xml:space="preserve"> Gastos vigencias 20</w:t>
      </w:r>
      <w:r w:rsidR="00E233C0" w:rsidRPr="00264E65">
        <w:rPr>
          <w:rFonts w:ascii="Verdana" w:hAnsi="Verdana" w:cs="Arial"/>
          <w:sz w:val="22"/>
          <w:szCs w:val="22"/>
        </w:rPr>
        <w:t>21 y</w:t>
      </w:r>
      <w:r w:rsidRPr="00264E65">
        <w:rPr>
          <w:rFonts w:ascii="Verdana" w:hAnsi="Verdana" w:cs="Arial"/>
          <w:sz w:val="22"/>
          <w:szCs w:val="22"/>
        </w:rPr>
        <w:t xml:space="preserve"> 202</w:t>
      </w:r>
      <w:r w:rsidR="00E233C0" w:rsidRPr="00264E65">
        <w:rPr>
          <w:rFonts w:ascii="Verdana" w:hAnsi="Verdana" w:cs="Arial"/>
          <w:sz w:val="22"/>
          <w:szCs w:val="22"/>
        </w:rPr>
        <w:t>2</w:t>
      </w:r>
      <w:r w:rsidRPr="00264E65">
        <w:rPr>
          <w:rFonts w:ascii="Verdana" w:hAnsi="Verdana" w:cs="Arial"/>
          <w:sz w:val="22"/>
          <w:szCs w:val="22"/>
        </w:rPr>
        <w:t xml:space="preserve"> (CUIPO)</w:t>
      </w:r>
    </w:p>
    <w:tbl>
      <w:tblPr>
        <w:tblW w:w="9395" w:type="dxa"/>
        <w:tblCellMar>
          <w:left w:w="70" w:type="dxa"/>
          <w:right w:w="70" w:type="dxa"/>
        </w:tblCellMar>
        <w:tblLook w:val="04A0" w:firstRow="1" w:lastRow="0" w:firstColumn="1" w:lastColumn="0" w:noHBand="0" w:noVBand="1"/>
      </w:tblPr>
      <w:tblGrid>
        <w:gridCol w:w="2263"/>
        <w:gridCol w:w="1508"/>
        <w:gridCol w:w="1350"/>
        <w:gridCol w:w="691"/>
        <w:gridCol w:w="1441"/>
        <w:gridCol w:w="1382"/>
        <w:gridCol w:w="760"/>
      </w:tblGrid>
      <w:tr w:rsidR="00747E97" w:rsidRPr="00747E97" w14:paraId="34CC5485" w14:textId="77777777" w:rsidTr="00747E97">
        <w:trPr>
          <w:trHeight w:val="300"/>
        </w:trPr>
        <w:tc>
          <w:tcPr>
            <w:tcW w:w="939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8BBDF"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 xml:space="preserve">GASTOS TOTALES                         </w:t>
            </w:r>
            <w:proofErr w:type="gramStart"/>
            <w:r w:rsidRPr="00747E97">
              <w:rPr>
                <w:rFonts w:ascii="Verdana" w:eastAsia="Times New Roman" w:hAnsi="Verdana" w:cs="Calibri"/>
                <w:b/>
                <w:bCs/>
                <w:color w:val="000000"/>
                <w:sz w:val="16"/>
                <w:szCs w:val="16"/>
                <w:lang w:val="es-CO" w:eastAsia="es-CO"/>
              </w:rPr>
              <w:t xml:space="preserve">   (</w:t>
            </w:r>
            <w:proofErr w:type="gramEnd"/>
            <w:r w:rsidRPr="00747E97">
              <w:rPr>
                <w:rFonts w:ascii="Verdana" w:eastAsia="Times New Roman" w:hAnsi="Verdana" w:cs="Calibri"/>
                <w:b/>
                <w:bCs/>
                <w:color w:val="000000"/>
                <w:sz w:val="16"/>
                <w:szCs w:val="16"/>
                <w:lang w:val="es-CO" w:eastAsia="es-CO"/>
              </w:rPr>
              <w:t>En millones de pesos)</w:t>
            </w:r>
          </w:p>
        </w:tc>
      </w:tr>
      <w:tr w:rsidR="00747E97" w:rsidRPr="00EF5DAD" w14:paraId="0616268F" w14:textId="77777777" w:rsidTr="00EF5DAD">
        <w:trPr>
          <w:trHeight w:val="51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DD34B7C"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 </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038D5E"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2021</w:t>
            </w:r>
          </w:p>
        </w:tc>
        <w:tc>
          <w:tcPr>
            <w:tcW w:w="35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532743"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2022</w:t>
            </w:r>
          </w:p>
        </w:tc>
      </w:tr>
      <w:tr w:rsidR="00EF5DAD" w:rsidRPr="00EF5DAD" w14:paraId="34049DF1" w14:textId="77777777" w:rsidTr="00EF5DAD">
        <w:trPr>
          <w:trHeight w:val="51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AD2011C"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Concepto</w:t>
            </w:r>
          </w:p>
        </w:tc>
        <w:tc>
          <w:tcPr>
            <w:tcW w:w="1508" w:type="dxa"/>
            <w:tcBorders>
              <w:top w:val="nil"/>
              <w:left w:val="nil"/>
              <w:bottom w:val="single" w:sz="4" w:space="0" w:color="auto"/>
              <w:right w:val="single" w:sz="4" w:space="0" w:color="auto"/>
            </w:tcBorders>
            <w:shd w:val="clear" w:color="auto" w:fill="auto"/>
            <w:noWrap/>
            <w:vAlign w:val="center"/>
            <w:hideMark/>
          </w:tcPr>
          <w:p w14:paraId="05815BC1"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Compromisos</w:t>
            </w:r>
          </w:p>
        </w:tc>
        <w:tc>
          <w:tcPr>
            <w:tcW w:w="1350" w:type="dxa"/>
            <w:tcBorders>
              <w:top w:val="nil"/>
              <w:left w:val="nil"/>
              <w:bottom w:val="single" w:sz="4" w:space="0" w:color="auto"/>
              <w:right w:val="single" w:sz="4" w:space="0" w:color="auto"/>
            </w:tcBorders>
            <w:shd w:val="clear" w:color="auto" w:fill="auto"/>
            <w:noWrap/>
            <w:vAlign w:val="center"/>
            <w:hideMark/>
          </w:tcPr>
          <w:p w14:paraId="4EA9A0A7" w14:textId="77777777" w:rsidR="00747E97" w:rsidRPr="00747E97" w:rsidRDefault="00747E97" w:rsidP="00747E97">
            <w:pPr>
              <w:jc w:val="both"/>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Obligaciones</w:t>
            </w:r>
          </w:p>
        </w:tc>
        <w:tc>
          <w:tcPr>
            <w:tcW w:w="691" w:type="dxa"/>
            <w:tcBorders>
              <w:top w:val="nil"/>
              <w:left w:val="nil"/>
              <w:bottom w:val="single" w:sz="4" w:space="0" w:color="auto"/>
              <w:right w:val="single" w:sz="4" w:space="0" w:color="auto"/>
            </w:tcBorders>
            <w:shd w:val="clear" w:color="auto" w:fill="auto"/>
            <w:vAlign w:val="center"/>
            <w:hideMark/>
          </w:tcPr>
          <w:p w14:paraId="5C850095"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Pagos</w:t>
            </w:r>
          </w:p>
        </w:tc>
        <w:tc>
          <w:tcPr>
            <w:tcW w:w="1441" w:type="dxa"/>
            <w:tcBorders>
              <w:top w:val="nil"/>
              <w:left w:val="nil"/>
              <w:bottom w:val="single" w:sz="4" w:space="0" w:color="auto"/>
              <w:right w:val="single" w:sz="4" w:space="0" w:color="auto"/>
            </w:tcBorders>
            <w:shd w:val="clear" w:color="auto" w:fill="auto"/>
            <w:noWrap/>
            <w:vAlign w:val="center"/>
            <w:hideMark/>
          </w:tcPr>
          <w:p w14:paraId="75742CC4"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Compromisos</w:t>
            </w:r>
          </w:p>
        </w:tc>
        <w:tc>
          <w:tcPr>
            <w:tcW w:w="1382" w:type="dxa"/>
            <w:tcBorders>
              <w:top w:val="nil"/>
              <w:left w:val="nil"/>
              <w:bottom w:val="single" w:sz="4" w:space="0" w:color="auto"/>
              <w:right w:val="single" w:sz="4" w:space="0" w:color="auto"/>
            </w:tcBorders>
            <w:shd w:val="clear" w:color="auto" w:fill="auto"/>
            <w:noWrap/>
            <w:vAlign w:val="center"/>
            <w:hideMark/>
          </w:tcPr>
          <w:p w14:paraId="04E656D7" w14:textId="77777777" w:rsidR="00747E97" w:rsidRPr="00747E97" w:rsidRDefault="00747E97" w:rsidP="00747E97">
            <w:pPr>
              <w:jc w:val="both"/>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Obligaciones</w:t>
            </w:r>
          </w:p>
        </w:tc>
        <w:tc>
          <w:tcPr>
            <w:tcW w:w="760" w:type="dxa"/>
            <w:tcBorders>
              <w:top w:val="nil"/>
              <w:left w:val="nil"/>
              <w:bottom w:val="single" w:sz="4" w:space="0" w:color="auto"/>
              <w:right w:val="single" w:sz="4" w:space="0" w:color="auto"/>
            </w:tcBorders>
            <w:shd w:val="clear" w:color="auto" w:fill="auto"/>
            <w:vAlign w:val="center"/>
            <w:hideMark/>
          </w:tcPr>
          <w:p w14:paraId="139E1E7F"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Pagos</w:t>
            </w:r>
          </w:p>
        </w:tc>
      </w:tr>
      <w:tr w:rsidR="00EF5DAD" w:rsidRPr="00EF5DAD" w14:paraId="161DE412" w14:textId="77777777" w:rsidTr="00EF5DAD">
        <w:trPr>
          <w:trHeight w:val="76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02BFC0C" w14:textId="77777777" w:rsidR="00747E97" w:rsidRPr="00747E97" w:rsidRDefault="00747E97" w:rsidP="00747E97">
            <w:pPr>
              <w:jc w:val="both"/>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Gastos de Inversión</w:t>
            </w:r>
          </w:p>
        </w:tc>
        <w:tc>
          <w:tcPr>
            <w:tcW w:w="1508" w:type="dxa"/>
            <w:tcBorders>
              <w:top w:val="nil"/>
              <w:left w:val="nil"/>
              <w:bottom w:val="single" w:sz="4" w:space="0" w:color="auto"/>
              <w:right w:val="single" w:sz="4" w:space="0" w:color="auto"/>
            </w:tcBorders>
            <w:shd w:val="clear" w:color="auto" w:fill="auto"/>
            <w:noWrap/>
            <w:vAlign w:val="center"/>
            <w:hideMark/>
          </w:tcPr>
          <w:p w14:paraId="22711581"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724</w:t>
            </w:r>
          </w:p>
        </w:tc>
        <w:tc>
          <w:tcPr>
            <w:tcW w:w="1350" w:type="dxa"/>
            <w:tcBorders>
              <w:top w:val="nil"/>
              <w:left w:val="nil"/>
              <w:bottom w:val="single" w:sz="4" w:space="0" w:color="auto"/>
              <w:right w:val="single" w:sz="4" w:space="0" w:color="auto"/>
            </w:tcBorders>
            <w:shd w:val="clear" w:color="auto" w:fill="auto"/>
            <w:noWrap/>
            <w:vAlign w:val="center"/>
            <w:hideMark/>
          </w:tcPr>
          <w:p w14:paraId="6752B1BB"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73</w:t>
            </w:r>
          </w:p>
        </w:tc>
        <w:tc>
          <w:tcPr>
            <w:tcW w:w="691" w:type="dxa"/>
            <w:tcBorders>
              <w:top w:val="nil"/>
              <w:left w:val="nil"/>
              <w:bottom w:val="single" w:sz="4" w:space="0" w:color="auto"/>
              <w:right w:val="single" w:sz="4" w:space="0" w:color="auto"/>
            </w:tcBorders>
            <w:shd w:val="clear" w:color="auto" w:fill="auto"/>
            <w:noWrap/>
            <w:vAlign w:val="center"/>
            <w:hideMark/>
          </w:tcPr>
          <w:p w14:paraId="6A7931CA"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54</w:t>
            </w:r>
          </w:p>
        </w:tc>
        <w:tc>
          <w:tcPr>
            <w:tcW w:w="1441" w:type="dxa"/>
            <w:tcBorders>
              <w:top w:val="nil"/>
              <w:left w:val="nil"/>
              <w:bottom w:val="single" w:sz="4" w:space="0" w:color="auto"/>
              <w:right w:val="single" w:sz="4" w:space="0" w:color="auto"/>
            </w:tcBorders>
            <w:shd w:val="clear" w:color="auto" w:fill="auto"/>
            <w:noWrap/>
            <w:vAlign w:val="center"/>
            <w:hideMark/>
          </w:tcPr>
          <w:p w14:paraId="467810F0"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877</w:t>
            </w:r>
          </w:p>
        </w:tc>
        <w:tc>
          <w:tcPr>
            <w:tcW w:w="1382" w:type="dxa"/>
            <w:tcBorders>
              <w:top w:val="nil"/>
              <w:left w:val="nil"/>
              <w:bottom w:val="single" w:sz="4" w:space="0" w:color="auto"/>
              <w:right w:val="single" w:sz="4" w:space="0" w:color="auto"/>
            </w:tcBorders>
            <w:shd w:val="clear" w:color="auto" w:fill="auto"/>
            <w:noWrap/>
            <w:vAlign w:val="center"/>
            <w:hideMark/>
          </w:tcPr>
          <w:p w14:paraId="072E9903"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826</w:t>
            </w:r>
          </w:p>
        </w:tc>
        <w:tc>
          <w:tcPr>
            <w:tcW w:w="760" w:type="dxa"/>
            <w:tcBorders>
              <w:top w:val="nil"/>
              <w:left w:val="nil"/>
              <w:bottom w:val="single" w:sz="4" w:space="0" w:color="auto"/>
              <w:right w:val="single" w:sz="4" w:space="0" w:color="auto"/>
            </w:tcBorders>
            <w:shd w:val="clear" w:color="auto" w:fill="auto"/>
            <w:noWrap/>
            <w:vAlign w:val="center"/>
            <w:hideMark/>
          </w:tcPr>
          <w:p w14:paraId="21B0C90E"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826</w:t>
            </w:r>
          </w:p>
        </w:tc>
      </w:tr>
      <w:tr w:rsidR="00EF5DAD" w:rsidRPr="00EF5DAD" w14:paraId="4C4EC820" w14:textId="77777777" w:rsidTr="00EF5DA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3C3530B" w14:textId="77777777" w:rsidR="00747E97" w:rsidRPr="00747E97" w:rsidRDefault="00747E97" w:rsidP="00747E97">
            <w:pPr>
              <w:jc w:val="both"/>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Subsidios</w:t>
            </w:r>
          </w:p>
        </w:tc>
        <w:tc>
          <w:tcPr>
            <w:tcW w:w="1508" w:type="dxa"/>
            <w:tcBorders>
              <w:top w:val="nil"/>
              <w:left w:val="nil"/>
              <w:bottom w:val="single" w:sz="4" w:space="0" w:color="auto"/>
              <w:right w:val="single" w:sz="4" w:space="0" w:color="auto"/>
            </w:tcBorders>
            <w:shd w:val="clear" w:color="auto" w:fill="auto"/>
            <w:noWrap/>
            <w:vAlign w:val="center"/>
            <w:hideMark/>
          </w:tcPr>
          <w:p w14:paraId="475591EE"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134</w:t>
            </w:r>
          </w:p>
        </w:tc>
        <w:tc>
          <w:tcPr>
            <w:tcW w:w="1350" w:type="dxa"/>
            <w:tcBorders>
              <w:top w:val="nil"/>
              <w:left w:val="nil"/>
              <w:bottom w:val="single" w:sz="4" w:space="0" w:color="auto"/>
              <w:right w:val="single" w:sz="4" w:space="0" w:color="auto"/>
            </w:tcBorders>
            <w:shd w:val="clear" w:color="auto" w:fill="auto"/>
            <w:noWrap/>
            <w:vAlign w:val="center"/>
            <w:hideMark/>
          </w:tcPr>
          <w:p w14:paraId="38CC357F"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65</w:t>
            </w:r>
          </w:p>
        </w:tc>
        <w:tc>
          <w:tcPr>
            <w:tcW w:w="691" w:type="dxa"/>
            <w:tcBorders>
              <w:top w:val="nil"/>
              <w:left w:val="nil"/>
              <w:bottom w:val="single" w:sz="4" w:space="0" w:color="auto"/>
              <w:right w:val="single" w:sz="4" w:space="0" w:color="auto"/>
            </w:tcBorders>
            <w:shd w:val="clear" w:color="auto" w:fill="auto"/>
            <w:noWrap/>
            <w:vAlign w:val="center"/>
            <w:hideMark/>
          </w:tcPr>
          <w:p w14:paraId="0D2D2168"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47</w:t>
            </w:r>
          </w:p>
        </w:tc>
        <w:tc>
          <w:tcPr>
            <w:tcW w:w="1441" w:type="dxa"/>
            <w:tcBorders>
              <w:top w:val="nil"/>
              <w:left w:val="nil"/>
              <w:bottom w:val="single" w:sz="4" w:space="0" w:color="auto"/>
              <w:right w:val="single" w:sz="4" w:space="0" w:color="auto"/>
            </w:tcBorders>
            <w:shd w:val="clear" w:color="auto" w:fill="auto"/>
            <w:noWrap/>
            <w:vAlign w:val="center"/>
            <w:hideMark/>
          </w:tcPr>
          <w:p w14:paraId="17674536"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132</w:t>
            </w:r>
          </w:p>
        </w:tc>
        <w:tc>
          <w:tcPr>
            <w:tcW w:w="1382" w:type="dxa"/>
            <w:tcBorders>
              <w:top w:val="nil"/>
              <w:left w:val="nil"/>
              <w:bottom w:val="single" w:sz="4" w:space="0" w:color="auto"/>
              <w:right w:val="single" w:sz="4" w:space="0" w:color="auto"/>
            </w:tcBorders>
            <w:shd w:val="clear" w:color="auto" w:fill="auto"/>
            <w:noWrap/>
            <w:vAlign w:val="center"/>
            <w:hideMark/>
          </w:tcPr>
          <w:p w14:paraId="6FD6E575"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81</w:t>
            </w:r>
          </w:p>
        </w:tc>
        <w:tc>
          <w:tcPr>
            <w:tcW w:w="760" w:type="dxa"/>
            <w:tcBorders>
              <w:top w:val="nil"/>
              <w:left w:val="nil"/>
              <w:bottom w:val="single" w:sz="4" w:space="0" w:color="auto"/>
              <w:right w:val="single" w:sz="4" w:space="0" w:color="auto"/>
            </w:tcBorders>
            <w:shd w:val="clear" w:color="auto" w:fill="auto"/>
            <w:noWrap/>
            <w:vAlign w:val="center"/>
            <w:hideMark/>
          </w:tcPr>
          <w:p w14:paraId="222DA63A"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81</w:t>
            </w:r>
          </w:p>
        </w:tc>
      </w:tr>
      <w:tr w:rsidR="00EF5DAD" w:rsidRPr="00EF5DAD" w14:paraId="415DB43F" w14:textId="77777777" w:rsidTr="00EF5DAD">
        <w:trPr>
          <w:trHeight w:val="76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560514A" w14:textId="77777777" w:rsidR="00747E97" w:rsidRPr="00747E97" w:rsidRDefault="00747E97" w:rsidP="00747E97">
            <w:pPr>
              <w:jc w:val="both"/>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Formulación, implantación y acciones de fortalecimiento</w:t>
            </w:r>
          </w:p>
        </w:tc>
        <w:tc>
          <w:tcPr>
            <w:tcW w:w="1508" w:type="dxa"/>
            <w:tcBorders>
              <w:top w:val="nil"/>
              <w:left w:val="nil"/>
              <w:bottom w:val="single" w:sz="4" w:space="0" w:color="auto"/>
              <w:right w:val="single" w:sz="4" w:space="0" w:color="auto"/>
            </w:tcBorders>
            <w:shd w:val="clear" w:color="auto" w:fill="auto"/>
            <w:noWrap/>
            <w:vAlign w:val="center"/>
            <w:hideMark/>
          </w:tcPr>
          <w:p w14:paraId="5B1B394E"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550</w:t>
            </w:r>
          </w:p>
        </w:tc>
        <w:tc>
          <w:tcPr>
            <w:tcW w:w="1350" w:type="dxa"/>
            <w:tcBorders>
              <w:top w:val="nil"/>
              <w:left w:val="nil"/>
              <w:bottom w:val="single" w:sz="4" w:space="0" w:color="auto"/>
              <w:right w:val="single" w:sz="4" w:space="0" w:color="auto"/>
            </w:tcBorders>
            <w:shd w:val="clear" w:color="auto" w:fill="auto"/>
            <w:noWrap/>
            <w:vAlign w:val="center"/>
            <w:hideMark/>
          </w:tcPr>
          <w:p w14:paraId="3E7252BB"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0</w:t>
            </w:r>
          </w:p>
        </w:tc>
        <w:tc>
          <w:tcPr>
            <w:tcW w:w="691" w:type="dxa"/>
            <w:tcBorders>
              <w:top w:val="nil"/>
              <w:left w:val="nil"/>
              <w:bottom w:val="single" w:sz="4" w:space="0" w:color="auto"/>
              <w:right w:val="single" w:sz="4" w:space="0" w:color="auto"/>
            </w:tcBorders>
            <w:shd w:val="clear" w:color="auto" w:fill="auto"/>
            <w:noWrap/>
            <w:vAlign w:val="center"/>
            <w:hideMark/>
          </w:tcPr>
          <w:p w14:paraId="42DCB144"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0</w:t>
            </w:r>
          </w:p>
        </w:tc>
        <w:tc>
          <w:tcPr>
            <w:tcW w:w="1441" w:type="dxa"/>
            <w:tcBorders>
              <w:top w:val="nil"/>
              <w:left w:val="nil"/>
              <w:bottom w:val="single" w:sz="4" w:space="0" w:color="auto"/>
              <w:right w:val="single" w:sz="4" w:space="0" w:color="auto"/>
            </w:tcBorders>
            <w:shd w:val="clear" w:color="auto" w:fill="auto"/>
            <w:noWrap/>
            <w:vAlign w:val="center"/>
            <w:hideMark/>
          </w:tcPr>
          <w:p w14:paraId="278955AC"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0</w:t>
            </w:r>
          </w:p>
        </w:tc>
        <w:tc>
          <w:tcPr>
            <w:tcW w:w="1382" w:type="dxa"/>
            <w:tcBorders>
              <w:top w:val="nil"/>
              <w:left w:val="nil"/>
              <w:bottom w:val="single" w:sz="4" w:space="0" w:color="auto"/>
              <w:right w:val="single" w:sz="4" w:space="0" w:color="auto"/>
            </w:tcBorders>
            <w:shd w:val="clear" w:color="auto" w:fill="auto"/>
            <w:noWrap/>
            <w:vAlign w:val="center"/>
            <w:hideMark/>
          </w:tcPr>
          <w:p w14:paraId="5AA86466"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0</w:t>
            </w:r>
          </w:p>
        </w:tc>
        <w:tc>
          <w:tcPr>
            <w:tcW w:w="760" w:type="dxa"/>
            <w:tcBorders>
              <w:top w:val="nil"/>
              <w:left w:val="nil"/>
              <w:bottom w:val="single" w:sz="4" w:space="0" w:color="auto"/>
              <w:right w:val="single" w:sz="4" w:space="0" w:color="auto"/>
            </w:tcBorders>
            <w:shd w:val="clear" w:color="auto" w:fill="auto"/>
            <w:noWrap/>
            <w:vAlign w:val="center"/>
            <w:hideMark/>
          </w:tcPr>
          <w:p w14:paraId="092090BF"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0</w:t>
            </w:r>
          </w:p>
        </w:tc>
      </w:tr>
      <w:tr w:rsidR="00EF5DAD" w:rsidRPr="00EF5DAD" w14:paraId="015DEA83" w14:textId="77777777" w:rsidTr="00EF5DAD">
        <w:trPr>
          <w:trHeight w:val="51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2D8ABF4" w14:textId="77777777" w:rsidR="00747E97" w:rsidRPr="00747E97" w:rsidRDefault="00747E97" w:rsidP="00747E97">
            <w:pPr>
              <w:jc w:val="both"/>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Construcción, Ampliación y Mejoramiento</w:t>
            </w:r>
          </w:p>
        </w:tc>
        <w:tc>
          <w:tcPr>
            <w:tcW w:w="1508" w:type="dxa"/>
            <w:tcBorders>
              <w:top w:val="nil"/>
              <w:left w:val="nil"/>
              <w:bottom w:val="single" w:sz="4" w:space="0" w:color="auto"/>
              <w:right w:val="single" w:sz="4" w:space="0" w:color="auto"/>
            </w:tcBorders>
            <w:shd w:val="clear" w:color="auto" w:fill="auto"/>
            <w:noWrap/>
            <w:vAlign w:val="center"/>
            <w:hideMark/>
          </w:tcPr>
          <w:p w14:paraId="0D498C08"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40</w:t>
            </w:r>
          </w:p>
        </w:tc>
        <w:tc>
          <w:tcPr>
            <w:tcW w:w="1350" w:type="dxa"/>
            <w:tcBorders>
              <w:top w:val="nil"/>
              <w:left w:val="nil"/>
              <w:bottom w:val="single" w:sz="4" w:space="0" w:color="auto"/>
              <w:right w:val="single" w:sz="4" w:space="0" w:color="auto"/>
            </w:tcBorders>
            <w:shd w:val="clear" w:color="auto" w:fill="auto"/>
            <w:noWrap/>
            <w:vAlign w:val="center"/>
            <w:hideMark/>
          </w:tcPr>
          <w:p w14:paraId="598DC0F5"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7</w:t>
            </w:r>
          </w:p>
        </w:tc>
        <w:tc>
          <w:tcPr>
            <w:tcW w:w="691" w:type="dxa"/>
            <w:tcBorders>
              <w:top w:val="nil"/>
              <w:left w:val="nil"/>
              <w:bottom w:val="single" w:sz="4" w:space="0" w:color="auto"/>
              <w:right w:val="single" w:sz="4" w:space="0" w:color="auto"/>
            </w:tcBorders>
            <w:shd w:val="clear" w:color="auto" w:fill="auto"/>
            <w:noWrap/>
            <w:vAlign w:val="center"/>
            <w:hideMark/>
          </w:tcPr>
          <w:p w14:paraId="2E305DBB"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7</w:t>
            </w:r>
          </w:p>
        </w:tc>
        <w:tc>
          <w:tcPr>
            <w:tcW w:w="1441" w:type="dxa"/>
            <w:tcBorders>
              <w:top w:val="nil"/>
              <w:left w:val="nil"/>
              <w:bottom w:val="single" w:sz="4" w:space="0" w:color="auto"/>
              <w:right w:val="single" w:sz="4" w:space="0" w:color="auto"/>
            </w:tcBorders>
            <w:shd w:val="clear" w:color="auto" w:fill="auto"/>
            <w:noWrap/>
            <w:vAlign w:val="center"/>
            <w:hideMark/>
          </w:tcPr>
          <w:p w14:paraId="1088A9E6"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745</w:t>
            </w:r>
          </w:p>
        </w:tc>
        <w:tc>
          <w:tcPr>
            <w:tcW w:w="1382" w:type="dxa"/>
            <w:tcBorders>
              <w:top w:val="nil"/>
              <w:left w:val="nil"/>
              <w:bottom w:val="single" w:sz="4" w:space="0" w:color="auto"/>
              <w:right w:val="single" w:sz="4" w:space="0" w:color="auto"/>
            </w:tcBorders>
            <w:shd w:val="clear" w:color="auto" w:fill="auto"/>
            <w:noWrap/>
            <w:vAlign w:val="center"/>
            <w:hideMark/>
          </w:tcPr>
          <w:p w14:paraId="65EAA3A9"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745</w:t>
            </w:r>
          </w:p>
        </w:tc>
        <w:tc>
          <w:tcPr>
            <w:tcW w:w="760" w:type="dxa"/>
            <w:tcBorders>
              <w:top w:val="nil"/>
              <w:left w:val="nil"/>
              <w:bottom w:val="single" w:sz="4" w:space="0" w:color="auto"/>
              <w:right w:val="single" w:sz="4" w:space="0" w:color="auto"/>
            </w:tcBorders>
            <w:shd w:val="clear" w:color="auto" w:fill="auto"/>
            <w:noWrap/>
            <w:vAlign w:val="center"/>
            <w:hideMark/>
          </w:tcPr>
          <w:p w14:paraId="759572B1" w14:textId="77777777" w:rsidR="00747E97" w:rsidRPr="00747E97" w:rsidRDefault="00747E97" w:rsidP="00747E97">
            <w:pPr>
              <w:jc w:val="center"/>
              <w:rPr>
                <w:rFonts w:ascii="Verdana" w:eastAsia="Times New Roman" w:hAnsi="Verdana" w:cs="Calibri"/>
                <w:color w:val="000000"/>
                <w:sz w:val="16"/>
                <w:szCs w:val="16"/>
                <w:lang w:val="es-CO" w:eastAsia="es-CO"/>
              </w:rPr>
            </w:pPr>
            <w:r w:rsidRPr="00747E97">
              <w:rPr>
                <w:rFonts w:ascii="Verdana" w:eastAsia="Times New Roman" w:hAnsi="Verdana" w:cs="Calibri"/>
                <w:color w:val="000000"/>
                <w:sz w:val="16"/>
                <w:szCs w:val="16"/>
                <w:lang w:val="es-CO" w:eastAsia="es-CO"/>
              </w:rPr>
              <w:t>745</w:t>
            </w:r>
          </w:p>
        </w:tc>
      </w:tr>
      <w:tr w:rsidR="00EF5DAD" w:rsidRPr="00EF5DAD" w14:paraId="638E4479" w14:textId="77777777" w:rsidTr="00EF5DAD">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AFA60F6" w14:textId="77777777" w:rsidR="00747E97" w:rsidRPr="00747E97" w:rsidRDefault="00747E97" w:rsidP="00747E97">
            <w:pPr>
              <w:jc w:val="both"/>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Gastos Totales APSB</w:t>
            </w:r>
          </w:p>
        </w:tc>
        <w:tc>
          <w:tcPr>
            <w:tcW w:w="1508" w:type="dxa"/>
            <w:tcBorders>
              <w:top w:val="nil"/>
              <w:left w:val="nil"/>
              <w:bottom w:val="single" w:sz="4" w:space="0" w:color="auto"/>
              <w:right w:val="single" w:sz="4" w:space="0" w:color="auto"/>
            </w:tcBorders>
            <w:shd w:val="clear" w:color="auto" w:fill="auto"/>
            <w:noWrap/>
            <w:vAlign w:val="center"/>
            <w:hideMark/>
          </w:tcPr>
          <w:p w14:paraId="426667C7"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724</w:t>
            </w:r>
          </w:p>
        </w:tc>
        <w:tc>
          <w:tcPr>
            <w:tcW w:w="1350" w:type="dxa"/>
            <w:tcBorders>
              <w:top w:val="nil"/>
              <w:left w:val="nil"/>
              <w:bottom w:val="single" w:sz="4" w:space="0" w:color="auto"/>
              <w:right w:val="single" w:sz="4" w:space="0" w:color="auto"/>
            </w:tcBorders>
            <w:shd w:val="clear" w:color="auto" w:fill="auto"/>
            <w:noWrap/>
            <w:vAlign w:val="center"/>
            <w:hideMark/>
          </w:tcPr>
          <w:p w14:paraId="6DA81B4A"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73</w:t>
            </w:r>
          </w:p>
        </w:tc>
        <w:tc>
          <w:tcPr>
            <w:tcW w:w="691" w:type="dxa"/>
            <w:tcBorders>
              <w:top w:val="nil"/>
              <w:left w:val="nil"/>
              <w:bottom w:val="single" w:sz="4" w:space="0" w:color="auto"/>
              <w:right w:val="single" w:sz="4" w:space="0" w:color="auto"/>
            </w:tcBorders>
            <w:shd w:val="clear" w:color="auto" w:fill="auto"/>
            <w:noWrap/>
            <w:vAlign w:val="center"/>
            <w:hideMark/>
          </w:tcPr>
          <w:p w14:paraId="652BCDE2"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54</w:t>
            </w:r>
          </w:p>
        </w:tc>
        <w:tc>
          <w:tcPr>
            <w:tcW w:w="1441" w:type="dxa"/>
            <w:tcBorders>
              <w:top w:val="nil"/>
              <w:left w:val="nil"/>
              <w:bottom w:val="single" w:sz="4" w:space="0" w:color="auto"/>
              <w:right w:val="single" w:sz="4" w:space="0" w:color="auto"/>
            </w:tcBorders>
            <w:shd w:val="clear" w:color="auto" w:fill="auto"/>
            <w:noWrap/>
            <w:vAlign w:val="center"/>
            <w:hideMark/>
          </w:tcPr>
          <w:p w14:paraId="5C86356F"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877</w:t>
            </w:r>
          </w:p>
        </w:tc>
        <w:tc>
          <w:tcPr>
            <w:tcW w:w="1382" w:type="dxa"/>
            <w:tcBorders>
              <w:top w:val="nil"/>
              <w:left w:val="nil"/>
              <w:bottom w:val="single" w:sz="4" w:space="0" w:color="auto"/>
              <w:right w:val="single" w:sz="4" w:space="0" w:color="auto"/>
            </w:tcBorders>
            <w:shd w:val="clear" w:color="auto" w:fill="auto"/>
            <w:noWrap/>
            <w:vAlign w:val="center"/>
            <w:hideMark/>
          </w:tcPr>
          <w:p w14:paraId="23BCD777"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826</w:t>
            </w:r>
          </w:p>
        </w:tc>
        <w:tc>
          <w:tcPr>
            <w:tcW w:w="760" w:type="dxa"/>
            <w:tcBorders>
              <w:top w:val="nil"/>
              <w:left w:val="nil"/>
              <w:bottom w:val="single" w:sz="4" w:space="0" w:color="auto"/>
              <w:right w:val="single" w:sz="4" w:space="0" w:color="auto"/>
            </w:tcBorders>
            <w:shd w:val="clear" w:color="auto" w:fill="auto"/>
            <w:noWrap/>
            <w:vAlign w:val="center"/>
            <w:hideMark/>
          </w:tcPr>
          <w:p w14:paraId="1EA2B88A" w14:textId="77777777" w:rsidR="00747E97" w:rsidRPr="00747E97" w:rsidRDefault="00747E97" w:rsidP="00747E97">
            <w:pPr>
              <w:jc w:val="center"/>
              <w:rPr>
                <w:rFonts w:ascii="Verdana" w:eastAsia="Times New Roman" w:hAnsi="Verdana" w:cs="Calibri"/>
                <w:b/>
                <w:bCs/>
                <w:color w:val="000000"/>
                <w:sz w:val="16"/>
                <w:szCs w:val="16"/>
                <w:lang w:val="es-CO" w:eastAsia="es-CO"/>
              </w:rPr>
            </w:pPr>
            <w:r w:rsidRPr="00747E97">
              <w:rPr>
                <w:rFonts w:ascii="Verdana" w:eastAsia="Times New Roman" w:hAnsi="Verdana" w:cs="Calibri"/>
                <w:b/>
                <w:bCs/>
                <w:color w:val="000000"/>
                <w:sz w:val="16"/>
                <w:szCs w:val="16"/>
                <w:lang w:val="es-CO" w:eastAsia="es-CO"/>
              </w:rPr>
              <w:t>826</w:t>
            </w:r>
          </w:p>
        </w:tc>
      </w:tr>
    </w:tbl>
    <w:p w14:paraId="63E5B497" w14:textId="77777777" w:rsidR="00911C69" w:rsidRPr="00433E58" w:rsidRDefault="00911C69" w:rsidP="00911C69">
      <w:pPr>
        <w:contextualSpacing/>
        <w:jc w:val="center"/>
        <w:rPr>
          <w:rFonts w:ascii="Verdana" w:hAnsi="Verdana" w:cs="Arial"/>
          <w:sz w:val="20"/>
          <w:szCs w:val="20"/>
        </w:rPr>
      </w:pPr>
      <w:r w:rsidRPr="00433E58">
        <w:rPr>
          <w:rFonts w:ascii="Verdana" w:hAnsi="Verdana" w:cs="Arial"/>
          <w:sz w:val="16"/>
          <w:szCs w:val="16"/>
        </w:rPr>
        <w:t>Fuente: CUIPO</w:t>
      </w:r>
    </w:p>
    <w:p w14:paraId="7E4DEE80" w14:textId="77777777" w:rsidR="00911C69" w:rsidRPr="00433E58" w:rsidRDefault="00911C69" w:rsidP="00911C69">
      <w:pPr>
        <w:contextualSpacing/>
        <w:jc w:val="center"/>
        <w:rPr>
          <w:rFonts w:ascii="Verdana" w:hAnsi="Verdana" w:cs="Arial"/>
          <w:sz w:val="22"/>
          <w:szCs w:val="22"/>
        </w:rPr>
      </w:pPr>
    </w:p>
    <w:p w14:paraId="0EC3A90D" w14:textId="77777777" w:rsidR="00911C69" w:rsidRPr="00264E65" w:rsidRDefault="00911C69" w:rsidP="00911C69">
      <w:pPr>
        <w:contextualSpacing/>
        <w:jc w:val="both"/>
        <w:rPr>
          <w:rFonts w:ascii="Verdana" w:hAnsi="Verdana" w:cs="Arial"/>
          <w:color w:val="000000" w:themeColor="text1"/>
          <w:sz w:val="22"/>
          <w:szCs w:val="22"/>
        </w:rPr>
      </w:pPr>
      <w:r w:rsidRPr="00264E65">
        <w:rPr>
          <w:rFonts w:ascii="Verdana" w:hAnsi="Verdana" w:cs="Arial"/>
          <w:color w:val="000000" w:themeColor="text1"/>
          <w:sz w:val="22"/>
          <w:szCs w:val="22"/>
        </w:rPr>
        <w:t xml:space="preserve">Al comparar los dos cuadros anteriores se puede evidenciar las diferencias existentes entre la información entregada por la Entidad Territorial y la cargada al Formulario Único </w:t>
      </w:r>
      <w:proofErr w:type="gramStart"/>
      <w:r w:rsidRPr="00264E65">
        <w:rPr>
          <w:rFonts w:ascii="Verdana" w:hAnsi="Verdana" w:cs="Arial"/>
          <w:color w:val="000000" w:themeColor="text1"/>
          <w:sz w:val="22"/>
          <w:szCs w:val="22"/>
        </w:rPr>
        <w:t xml:space="preserve">Territorial </w:t>
      </w:r>
      <w:r w:rsidR="002A4562" w:rsidRPr="00264E65">
        <w:rPr>
          <w:rFonts w:ascii="Verdana" w:hAnsi="Verdana" w:cs="Arial"/>
          <w:color w:val="000000" w:themeColor="text1"/>
          <w:sz w:val="22"/>
          <w:szCs w:val="22"/>
        </w:rPr>
        <w:t xml:space="preserve"> para</w:t>
      </w:r>
      <w:proofErr w:type="gramEnd"/>
      <w:r w:rsidR="002A4562" w:rsidRPr="00264E65">
        <w:rPr>
          <w:rFonts w:ascii="Verdana" w:hAnsi="Verdana" w:cs="Arial"/>
          <w:color w:val="000000" w:themeColor="text1"/>
          <w:sz w:val="22"/>
          <w:szCs w:val="22"/>
        </w:rPr>
        <w:t xml:space="preserve"> 2021 </w:t>
      </w:r>
      <w:r w:rsidRPr="00264E65">
        <w:rPr>
          <w:rFonts w:ascii="Verdana" w:hAnsi="Verdana" w:cs="Arial"/>
          <w:color w:val="000000" w:themeColor="text1"/>
          <w:sz w:val="22"/>
          <w:szCs w:val="22"/>
        </w:rPr>
        <w:t>en los valores comprometidos, obligados y pagados por concepto de Construcción, ampliación y mejoramiento.</w:t>
      </w:r>
    </w:p>
    <w:p w14:paraId="033917A4" w14:textId="77777777" w:rsidR="00911C69" w:rsidRPr="00264E65" w:rsidRDefault="00911C69" w:rsidP="00911C69">
      <w:pPr>
        <w:contextualSpacing/>
        <w:jc w:val="both"/>
        <w:rPr>
          <w:rFonts w:ascii="Verdana" w:hAnsi="Verdana" w:cs="Arial"/>
          <w:sz w:val="22"/>
          <w:szCs w:val="22"/>
        </w:rPr>
      </w:pPr>
    </w:p>
    <w:p w14:paraId="404C9FBB"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Por otro lado, al realizar un análisis horizontal de la información entregada por la Entidad Territorial, se puede ver que en 202</w:t>
      </w:r>
      <w:r w:rsidR="002A4562" w:rsidRPr="00264E65">
        <w:rPr>
          <w:rFonts w:ascii="Verdana" w:hAnsi="Verdana" w:cs="Arial"/>
          <w:sz w:val="22"/>
          <w:szCs w:val="22"/>
        </w:rPr>
        <w:t>2</w:t>
      </w:r>
      <w:r w:rsidRPr="00264E65">
        <w:rPr>
          <w:rFonts w:ascii="Verdana" w:hAnsi="Verdana" w:cs="Arial"/>
          <w:sz w:val="22"/>
          <w:szCs w:val="22"/>
        </w:rPr>
        <w:t xml:space="preserve"> los compromisos decrecieron en un 2</w:t>
      </w:r>
      <w:r w:rsidR="002A4562" w:rsidRPr="00264E65">
        <w:rPr>
          <w:rFonts w:ascii="Verdana" w:hAnsi="Verdana" w:cs="Arial"/>
          <w:sz w:val="22"/>
          <w:szCs w:val="22"/>
        </w:rPr>
        <w:t>6</w:t>
      </w:r>
      <w:r w:rsidRPr="00264E65">
        <w:rPr>
          <w:rFonts w:ascii="Verdana" w:hAnsi="Verdana" w:cs="Arial"/>
          <w:sz w:val="22"/>
          <w:szCs w:val="22"/>
        </w:rPr>
        <w:t>% con respecto a 20</w:t>
      </w:r>
      <w:r w:rsidR="002A4562" w:rsidRPr="00264E65">
        <w:rPr>
          <w:rFonts w:ascii="Verdana" w:hAnsi="Verdana" w:cs="Arial"/>
          <w:sz w:val="22"/>
          <w:szCs w:val="22"/>
        </w:rPr>
        <w:t>21</w:t>
      </w:r>
      <w:r w:rsidRPr="00264E65">
        <w:rPr>
          <w:rFonts w:ascii="Verdana" w:hAnsi="Verdana" w:cs="Arial"/>
          <w:sz w:val="22"/>
          <w:szCs w:val="22"/>
        </w:rPr>
        <w:t>.</w:t>
      </w:r>
    </w:p>
    <w:p w14:paraId="5698A8C5" w14:textId="77777777" w:rsidR="00911C69" w:rsidRPr="00264E65" w:rsidRDefault="00911C69" w:rsidP="00911C69">
      <w:pPr>
        <w:contextualSpacing/>
        <w:jc w:val="both"/>
        <w:rPr>
          <w:rFonts w:ascii="Verdana" w:hAnsi="Verdana" w:cs="Arial"/>
          <w:sz w:val="22"/>
          <w:szCs w:val="22"/>
        </w:rPr>
      </w:pPr>
    </w:p>
    <w:p w14:paraId="398F6442"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Igualmente, se puede ver que el valor comprometido destinado a Construcción, ampliación y mejoramiento de la vigencia 202</w:t>
      </w:r>
      <w:r w:rsidR="00791D91" w:rsidRPr="00264E65">
        <w:rPr>
          <w:rFonts w:ascii="Verdana" w:hAnsi="Verdana" w:cs="Arial"/>
          <w:sz w:val="22"/>
          <w:szCs w:val="22"/>
        </w:rPr>
        <w:t>2</w:t>
      </w:r>
      <w:r w:rsidRPr="00264E65">
        <w:rPr>
          <w:rFonts w:ascii="Verdana" w:hAnsi="Verdana" w:cs="Arial"/>
          <w:sz w:val="22"/>
          <w:szCs w:val="22"/>
        </w:rPr>
        <w:t xml:space="preserve"> creció en un </w:t>
      </w:r>
      <w:r w:rsidR="00791D91" w:rsidRPr="00264E65">
        <w:rPr>
          <w:rFonts w:ascii="Verdana" w:hAnsi="Verdana" w:cs="Arial"/>
          <w:sz w:val="22"/>
          <w:szCs w:val="22"/>
        </w:rPr>
        <w:t>49</w:t>
      </w:r>
      <w:r w:rsidRPr="00264E65">
        <w:rPr>
          <w:rFonts w:ascii="Verdana" w:hAnsi="Verdana" w:cs="Arial"/>
          <w:sz w:val="22"/>
          <w:szCs w:val="22"/>
        </w:rPr>
        <w:t>% con respecto a la vigencia 20</w:t>
      </w:r>
      <w:r w:rsidR="00791D91" w:rsidRPr="00264E65">
        <w:rPr>
          <w:rFonts w:ascii="Verdana" w:hAnsi="Verdana" w:cs="Arial"/>
          <w:sz w:val="22"/>
          <w:szCs w:val="22"/>
        </w:rPr>
        <w:t>2</w:t>
      </w:r>
      <w:r w:rsidRPr="00264E65">
        <w:rPr>
          <w:rFonts w:ascii="Verdana" w:hAnsi="Verdana" w:cs="Arial"/>
          <w:sz w:val="22"/>
          <w:szCs w:val="22"/>
        </w:rPr>
        <w:t xml:space="preserve">1 y que el valor comprometido destinado a la financiación de subsidios </w:t>
      </w:r>
      <w:r w:rsidRPr="00264E65">
        <w:rPr>
          <w:rFonts w:ascii="Verdana" w:hAnsi="Verdana" w:cs="Arial"/>
          <w:sz w:val="22"/>
          <w:szCs w:val="22"/>
        </w:rPr>
        <w:lastRenderedPageBreak/>
        <w:t>para los Servicios de Acueducto, Alcantarillado y Aseo de la vigencia 202</w:t>
      </w:r>
      <w:r w:rsidR="00791D91" w:rsidRPr="00264E65">
        <w:rPr>
          <w:rFonts w:ascii="Verdana" w:hAnsi="Verdana" w:cs="Arial"/>
          <w:sz w:val="22"/>
          <w:szCs w:val="22"/>
        </w:rPr>
        <w:t>2</w:t>
      </w:r>
      <w:r w:rsidRPr="00264E65">
        <w:rPr>
          <w:rFonts w:ascii="Verdana" w:hAnsi="Verdana" w:cs="Arial"/>
          <w:sz w:val="22"/>
          <w:szCs w:val="22"/>
        </w:rPr>
        <w:t xml:space="preserve"> </w:t>
      </w:r>
      <w:r w:rsidR="00FA138F" w:rsidRPr="00264E65">
        <w:rPr>
          <w:rFonts w:ascii="Verdana" w:hAnsi="Verdana" w:cs="Arial"/>
          <w:sz w:val="22"/>
          <w:szCs w:val="22"/>
        </w:rPr>
        <w:t>de</w:t>
      </w:r>
      <w:r w:rsidRPr="00264E65">
        <w:rPr>
          <w:rFonts w:ascii="Verdana" w:hAnsi="Verdana" w:cs="Arial"/>
          <w:sz w:val="22"/>
          <w:szCs w:val="22"/>
        </w:rPr>
        <w:t xml:space="preserve">creció en un </w:t>
      </w:r>
      <w:r w:rsidR="00791D91" w:rsidRPr="00264E65">
        <w:rPr>
          <w:rFonts w:ascii="Verdana" w:hAnsi="Verdana" w:cs="Arial"/>
          <w:sz w:val="22"/>
          <w:szCs w:val="22"/>
        </w:rPr>
        <w:t>1</w:t>
      </w:r>
      <w:r w:rsidRPr="00264E65">
        <w:rPr>
          <w:rFonts w:ascii="Verdana" w:hAnsi="Verdana" w:cs="Arial"/>
          <w:sz w:val="22"/>
          <w:szCs w:val="22"/>
        </w:rPr>
        <w:t>% con respecto a 20</w:t>
      </w:r>
      <w:r w:rsidR="00791D91" w:rsidRPr="00264E65">
        <w:rPr>
          <w:rFonts w:ascii="Verdana" w:hAnsi="Verdana" w:cs="Arial"/>
          <w:sz w:val="22"/>
          <w:szCs w:val="22"/>
        </w:rPr>
        <w:t>2</w:t>
      </w:r>
      <w:r w:rsidRPr="00264E65">
        <w:rPr>
          <w:rFonts w:ascii="Verdana" w:hAnsi="Verdana" w:cs="Arial"/>
          <w:sz w:val="22"/>
          <w:szCs w:val="22"/>
        </w:rPr>
        <w:t>1.</w:t>
      </w:r>
    </w:p>
    <w:p w14:paraId="4D0617E2" w14:textId="77777777" w:rsidR="00911C69" w:rsidRPr="00264E65" w:rsidRDefault="00911C69" w:rsidP="00911C69">
      <w:pPr>
        <w:contextualSpacing/>
        <w:jc w:val="both"/>
        <w:rPr>
          <w:rFonts w:ascii="Verdana" w:hAnsi="Verdana" w:cs="Arial"/>
          <w:sz w:val="22"/>
          <w:szCs w:val="22"/>
        </w:rPr>
      </w:pPr>
    </w:p>
    <w:p w14:paraId="7DCF261E" w14:textId="77777777" w:rsidR="00911C69" w:rsidRPr="00264E65" w:rsidRDefault="00911C69" w:rsidP="00911C69">
      <w:pPr>
        <w:spacing w:after="200"/>
        <w:ind w:left="360"/>
        <w:contextualSpacing/>
        <w:jc w:val="both"/>
        <w:rPr>
          <w:rFonts w:ascii="Verdana" w:eastAsia="Calibri" w:hAnsi="Verdana" w:cs="Arial"/>
          <w:b/>
          <w:i/>
          <w:iCs/>
          <w:sz w:val="22"/>
          <w:szCs w:val="22"/>
          <w:lang w:val="es-CO" w:eastAsia="en-US"/>
        </w:rPr>
      </w:pPr>
      <w:r w:rsidRPr="00264E65">
        <w:rPr>
          <w:rFonts w:ascii="Verdana" w:eastAsia="Calibri" w:hAnsi="Verdana" w:cs="Arial"/>
          <w:b/>
          <w:i/>
          <w:iCs/>
          <w:sz w:val="22"/>
          <w:szCs w:val="22"/>
          <w:lang w:val="es-CO" w:eastAsia="en-US"/>
        </w:rPr>
        <w:t>3. Resultados.</w:t>
      </w:r>
    </w:p>
    <w:p w14:paraId="0EF6581E" w14:textId="77777777" w:rsidR="00911C69" w:rsidRPr="00264E65" w:rsidRDefault="00911C69" w:rsidP="00911C69">
      <w:pPr>
        <w:contextualSpacing/>
        <w:jc w:val="both"/>
        <w:rPr>
          <w:rFonts w:ascii="Verdana" w:hAnsi="Verdana" w:cs="Arial"/>
          <w:sz w:val="22"/>
          <w:szCs w:val="22"/>
        </w:rPr>
      </w:pPr>
    </w:p>
    <w:p w14:paraId="1B9F3D42" w14:textId="77777777" w:rsidR="0015627E" w:rsidRPr="00264E65" w:rsidRDefault="0015627E" w:rsidP="0015627E">
      <w:pPr>
        <w:contextualSpacing/>
        <w:jc w:val="both"/>
        <w:rPr>
          <w:rFonts w:ascii="Verdana" w:hAnsi="Verdana" w:cs="Arial"/>
          <w:sz w:val="22"/>
          <w:szCs w:val="22"/>
        </w:rPr>
      </w:pPr>
      <w:r w:rsidRPr="00264E65">
        <w:rPr>
          <w:rFonts w:ascii="Verdana" w:hAnsi="Verdana" w:cs="Arial"/>
          <w:sz w:val="22"/>
          <w:szCs w:val="22"/>
        </w:rPr>
        <w:t>El resultado del ejercicio presupuestal de cierre para la vigencia 2021, arrojó superávit sectorial por $60 millones, proveniente del recaudo de $1.245 millones, contra $1.185 millones comprometidos.</w:t>
      </w:r>
    </w:p>
    <w:p w14:paraId="46FDD5F5" w14:textId="77777777" w:rsidR="0015627E" w:rsidRPr="00264E65" w:rsidRDefault="0015627E" w:rsidP="0015627E">
      <w:pPr>
        <w:contextualSpacing/>
        <w:jc w:val="both"/>
        <w:rPr>
          <w:rFonts w:ascii="Verdana" w:hAnsi="Verdana" w:cs="Arial"/>
          <w:sz w:val="22"/>
          <w:szCs w:val="22"/>
        </w:rPr>
      </w:pPr>
    </w:p>
    <w:p w14:paraId="1305EEB3" w14:textId="77777777" w:rsidR="0015627E" w:rsidRPr="00264E65" w:rsidRDefault="0015627E" w:rsidP="0015627E">
      <w:pPr>
        <w:contextualSpacing/>
        <w:jc w:val="both"/>
        <w:rPr>
          <w:rFonts w:ascii="Verdana" w:hAnsi="Verdana" w:cs="Arial"/>
          <w:sz w:val="22"/>
          <w:szCs w:val="22"/>
        </w:rPr>
      </w:pPr>
      <w:r w:rsidRPr="00264E65">
        <w:rPr>
          <w:rFonts w:ascii="Verdana" w:hAnsi="Verdana" w:cs="Arial"/>
          <w:sz w:val="22"/>
          <w:szCs w:val="22"/>
        </w:rPr>
        <w:t>Igualmente, según el ejercicio se debieron constituir reservas por $813 millones; sin embargo, al revisar el Decreto Municipal No. 100.22.02 del 5 de enero de 2022, se pudo ver que el valor de las reservas SGP – APSB para la vigencia 2021 ascendió a $814 millones, lo cual tampoco coincidió con lo reportado en la Categoría de Cierre Fiscal en FUT donde aparecen reservas por valor de $1.086 millones.</w:t>
      </w:r>
    </w:p>
    <w:p w14:paraId="65A30292" w14:textId="77777777" w:rsidR="0015627E" w:rsidRPr="00264E65" w:rsidRDefault="0015627E" w:rsidP="0015627E">
      <w:pPr>
        <w:contextualSpacing/>
        <w:jc w:val="both"/>
        <w:rPr>
          <w:rFonts w:ascii="Verdana" w:hAnsi="Verdana" w:cs="Arial"/>
          <w:sz w:val="22"/>
          <w:szCs w:val="22"/>
        </w:rPr>
      </w:pPr>
    </w:p>
    <w:p w14:paraId="39A6880F" w14:textId="77777777" w:rsidR="00481FEF" w:rsidRPr="00264E65" w:rsidRDefault="0015627E" w:rsidP="0015627E">
      <w:pPr>
        <w:contextualSpacing/>
        <w:jc w:val="both"/>
        <w:rPr>
          <w:rFonts w:ascii="Verdana" w:hAnsi="Verdana" w:cs="Arial"/>
          <w:sz w:val="22"/>
          <w:szCs w:val="22"/>
        </w:rPr>
      </w:pPr>
      <w:r w:rsidRPr="00264E65">
        <w:rPr>
          <w:rFonts w:ascii="Verdana" w:hAnsi="Verdana" w:cs="Arial"/>
          <w:sz w:val="22"/>
          <w:szCs w:val="22"/>
        </w:rPr>
        <w:t>Así mismo, según el ejercicio se debieron constituir cuentas por pagar</w:t>
      </w:r>
      <w:r w:rsidR="009A7545" w:rsidRPr="00264E65">
        <w:rPr>
          <w:rFonts w:ascii="Verdana" w:hAnsi="Verdana" w:cs="Arial"/>
          <w:sz w:val="22"/>
          <w:szCs w:val="22"/>
        </w:rPr>
        <w:t xml:space="preserve"> por $18 millones</w:t>
      </w:r>
      <w:r w:rsidR="00481FEF" w:rsidRPr="00264E65">
        <w:rPr>
          <w:rFonts w:ascii="Verdana" w:hAnsi="Verdana" w:cs="Arial"/>
          <w:sz w:val="22"/>
          <w:szCs w:val="22"/>
        </w:rPr>
        <w:t>,</w:t>
      </w:r>
      <w:r w:rsidRPr="00264E65">
        <w:rPr>
          <w:rFonts w:ascii="Verdana" w:hAnsi="Verdana" w:cs="Arial"/>
          <w:sz w:val="22"/>
          <w:szCs w:val="22"/>
        </w:rPr>
        <w:t xml:space="preserve"> </w:t>
      </w:r>
      <w:r w:rsidR="00481FEF" w:rsidRPr="00264E65">
        <w:rPr>
          <w:rFonts w:ascii="Verdana" w:hAnsi="Verdana" w:cs="Arial"/>
          <w:sz w:val="22"/>
          <w:szCs w:val="22"/>
        </w:rPr>
        <w:t>pero</w:t>
      </w:r>
      <w:r w:rsidRPr="00264E65">
        <w:rPr>
          <w:rFonts w:ascii="Verdana" w:hAnsi="Verdana" w:cs="Arial"/>
          <w:sz w:val="22"/>
          <w:szCs w:val="22"/>
        </w:rPr>
        <w:t xml:space="preserve"> al revisar el Decreto No. 100.22.03 del 5 de enero de 22 se pudieron ver cuentas por pagar por $19 millones</w:t>
      </w:r>
      <w:r w:rsidR="00481FEF" w:rsidRPr="00264E65">
        <w:rPr>
          <w:rFonts w:ascii="Verdana" w:hAnsi="Verdana" w:cs="Arial"/>
          <w:sz w:val="22"/>
          <w:szCs w:val="22"/>
        </w:rPr>
        <w:t>, información que no coincide con lo reportado en la Categoría de Cierre Fiscal en FUT, donde aparece en cero.</w:t>
      </w:r>
    </w:p>
    <w:p w14:paraId="44BE8C4E" w14:textId="77777777" w:rsidR="0015627E" w:rsidRPr="00264E65" w:rsidRDefault="0015627E" w:rsidP="0015627E">
      <w:pPr>
        <w:contextualSpacing/>
        <w:jc w:val="both"/>
        <w:rPr>
          <w:rFonts w:ascii="Verdana" w:hAnsi="Verdana" w:cs="Arial"/>
          <w:sz w:val="22"/>
          <w:szCs w:val="22"/>
        </w:rPr>
      </w:pPr>
    </w:p>
    <w:p w14:paraId="5D19528B" w14:textId="77777777" w:rsidR="0015627E" w:rsidRPr="00264E65" w:rsidRDefault="0015627E" w:rsidP="0015627E">
      <w:pPr>
        <w:contextualSpacing/>
        <w:jc w:val="both"/>
        <w:rPr>
          <w:rFonts w:ascii="Verdana" w:hAnsi="Verdana" w:cs="Arial"/>
          <w:sz w:val="22"/>
          <w:szCs w:val="22"/>
        </w:rPr>
      </w:pPr>
      <w:r w:rsidRPr="00264E65">
        <w:rPr>
          <w:rFonts w:ascii="Verdana" w:hAnsi="Verdana" w:cs="Arial"/>
          <w:sz w:val="22"/>
          <w:szCs w:val="22"/>
        </w:rPr>
        <w:t xml:space="preserve">Del mismo modo, cabe indicar que el saldo en </w:t>
      </w:r>
      <w:proofErr w:type="gramStart"/>
      <w:r w:rsidRPr="00264E65">
        <w:rPr>
          <w:rFonts w:ascii="Verdana" w:hAnsi="Verdana" w:cs="Arial"/>
          <w:sz w:val="22"/>
          <w:szCs w:val="22"/>
        </w:rPr>
        <w:t>caja</w:t>
      </w:r>
      <w:proofErr w:type="gramEnd"/>
      <w:r w:rsidRPr="00264E65">
        <w:rPr>
          <w:rFonts w:ascii="Verdana" w:hAnsi="Verdana" w:cs="Arial"/>
          <w:sz w:val="22"/>
          <w:szCs w:val="22"/>
        </w:rPr>
        <w:t xml:space="preserve"> y bancos que según el resultado del ejercicio fue de $891 millones y que según las conciliaciones entregadas por el Municipio el saldo según extracto bancario fue de $1.617 millones (coincide con el saldo de la Cuenta Maestra entregado por el Ministerio de Vivienda, Ciudad y Territorio), mientras que el saldo en libros contables fue de $1.247 millones, valor que coincide con lo reportado en el formulario de Cierre Fiscal de FUT.</w:t>
      </w:r>
    </w:p>
    <w:p w14:paraId="2F807FE7" w14:textId="77777777" w:rsidR="00911C69" w:rsidRPr="00264E65" w:rsidRDefault="00911C69" w:rsidP="00911C69">
      <w:pPr>
        <w:contextualSpacing/>
        <w:jc w:val="both"/>
        <w:rPr>
          <w:rFonts w:ascii="Verdana" w:hAnsi="Verdana" w:cs="Arial"/>
          <w:sz w:val="22"/>
          <w:szCs w:val="22"/>
        </w:rPr>
      </w:pPr>
    </w:p>
    <w:p w14:paraId="6FB79FD9"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Cuadro 16.</w:t>
      </w:r>
      <w:r w:rsidRPr="00264E65">
        <w:rPr>
          <w:rFonts w:ascii="Verdana" w:hAnsi="Verdana" w:cs="Arial"/>
          <w:sz w:val="22"/>
          <w:szCs w:val="22"/>
        </w:rPr>
        <w:t xml:space="preserve"> Resultados vigencias 20</w:t>
      </w:r>
      <w:r w:rsidR="0015627E" w:rsidRPr="00264E65">
        <w:rPr>
          <w:rFonts w:ascii="Verdana" w:hAnsi="Verdana" w:cs="Arial"/>
          <w:sz w:val="22"/>
          <w:szCs w:val="22"/>
        </w:rPr>
        <w:t>2</w:t>
      </w:r>
      <w:r w:rsidRPr="00264E65">
        <w:rPr>
          <w:rFonts w:ascii="Verdana" w:hAnsi="Verdana" w:cs="Arial"/>
          <w:sz w:val="22"/>
          <w:szCs w:val="22"/>
        </w:rPr>
        <w:t>1 – 202</w:t>
      </w:r>
      <w:r w:rsidR="0015627E" w:rsidRPr="00264E65">
        <w:rPr>
          <w:rFonts w:ascii="Verdana" w:hAnsi="Verdana" w:cs="Arial"/>
          <w:sz w:val="22"/>
          <w:szCs w:val="22"/>
        </w:rPr>
        <w:t>2</w:t>
      </w:r>
    </w:p>
    <w:tbl>
      <w:tblPr>
        <w:tblW w:w="7673" w:type="dxa"/>
        <w:jc w:val="center"/>
        <w:tblCellMar>
          <w:left w:w="70" w:type="dxa"/>
          <w:right w:w="70" w:type="dxa"/>
        </w:tblCellMar>
        <w:tblLook w:val="04A0" w:firstRow="1" w:lastRow="0" w:firstColumn="1" w:lastColumn="0" w:noHBand="0" w:noVBand="1"/>
      </w:tblPr>
      <w:tblGrid>
        <w:gridCol w:w="3847"/>
        <w:gridCol w:w="1840"/>
        <w:gridCol w:w="1840"/>
        <w:gridCol w:w="201"/>
      </w:tblGrid>
      <w:tr w:rsidR="00502A7D" w:rsidRPr="00502A7D" w14:paraId="3D069DD3" w14:textId="77777777" w:rsidTr="00502A7D">
        <w:trPr>
          <w:gridAfter w:val="1"/>
          <w:wAfter w:w="146" w:type="dxa"/>
          <w:trHeight w:val="315"/>
          <w:jc w:val="center"/>
        </w:trPr>
        <w:tc>
          <w:tcPr>
            <w:tcW w:w="3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C4D5A"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r w:rsidRPr="00502A7D">
              <w:rPr>
                <w:rFonts w:ascii="Arial Narrow" w:eastAsia="Times New Roman" w:hAnsi="Arial Narrow" w:cs="Calibri"/>
                <w:b/>
                <w:bCs/>
                <w:color w:val="000000"/>
                <w:sz w:val="20"/>
                <w:szCs w:val="20"/>
                <w:lang w:val="es-CO" w:eastAsia="es-CO"/>
              </w:rPr>
              <w:t>INFORME DE CIERRE DE VIGENCIA (Cifras en millones de pesos)</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5B069E9"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r w:rsidRPr="00502A7D">
              <w:rPr>
                <w:rFonts w:ascii="Arial Narrow" w:eastAsia="Times New Roman" w:hAnsi="Arial Narrow" w:cs="Calibri"/>
                <w:b/>
                <w:bCs/>
                <w:color w:val="000000"/>
                <w:sz w:val="20"/>
                <w:szCs w:val="20"/>
                <w:lang w:val="es-CO" w:eastAsia="es-CO"/>
              </w:rPr>
              <w:t>2021</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7BDBDEFE"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r w:rsidRPr="00502A7D">
              <w:rPr>
                <w:rFonts w:ascii="Arial Narrow" w:eastAsia="Times New Roman" w:hAnsi="Arial Narrow" w:cs="Calibri"/>
                <w:b/>
                <w:bCs/>
                <w:color w:val="000000"/>
                <w:sz w:val="20"/>
                <w:szCs w:val="20"/>
                <w:lang w:val="es-CO" w:eastAsia="es-CO"/>
              </w:rPr>
              <w:t>2022</w:t>
            </w:r>
          </w:p>
        </w:tc>
      </w:tr>
      <w:tr w:rsidR="00502A7D" w:rsidRPr="00502A7D" w14:paraId="245E364F" w14:textId="77777777" w:rsidTr="00502A7D">
        <w:trPr>
          <w:gridAfter w:val="1"/>
          <w:wAfter w:w="146" w:type="dxa"/>
          <w:trHeight w:val="458"/>
          <w:jc w:val="center"/>
        </w:trPr>
        <w:tc>
          <w:tcPr>
            <w:tcW w:w="38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E182B1"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r w:rsidRPr="00502A7D">
              <w:rPr>
                <w:rFonts w:ascii="Arial Narrow" w:eastAsia="Times New Roman" w:hAnsi="Arial Narrow" w:cs="Calibri"/>
                <w:b/>
                <w:bCs/>
                <w:color w:val="000000"/>
                <w:sz w:val="20"/>
                <w:szCs w:val="20"/>
                <w:lang w:val="es-CO" w:eastAsia="es-CO"/>
              </w:rPr>
              <w:t>Concepto</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035F8E61"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r w:rsidRPr="00502A7D">
              <w:rPr>
                <w:rFonts w:ascii="Arial Narrow" w:eastAsia="Times New Roman" w:hAnsi="Arial Narrow" w:cs="Calibri"/>
                <w:b/>
                <w:bCs/>
                <w:color w:val="000000"/>
                <w:sz w:val="20"/>
                <w:szCs w:val="20"/>
                <w:lang w:val="es-CO" w:eastAsia="es-CO"/>
              </w:rPr>
              <w:t>Según Ejecución Presupuestal</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03E5DD0F"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r w:rsidRPr="00502A7D">
              <w:rPr>
                <w:rFonts w:ascii="Arial Narrow" w:eastAsia="Times New Roman" w:hAnsi="Arial Narrow" w:cs="Calibri"/>
                <w:b/>
                <w:bCs/>
                <w:color w:val="000000"/>
                <w:sz w:val="20"/>
                <w:szCs w:val="20"/>
                <w:lang w:val="es-CO" w:eastAsia="es-CO"/>
              </w:rPr>
              <w:t>Según Ejecución Presupuestal</w:t>
            </w:r>
          </w:p>
        </w:tc>
      </w:tr>
      <w:tr w:rsidR="00502A7D" w:rsidRPr="00502A7D" w14:paraId="6EBEC14D" w14:textId="77777777" w:rsidTr="00502A7D">
        <w:trPr>
          <w:trHeight w:val="300"/>
          <w:jc w:val="center"/>
        </w:trPr>
        <w:tc>
          <w:tcPr>
            <w:tcW w:w="3847" w:type="dxa"/>
            <w:vMerge/>
            <w:tcBorders>
              <w:top w:val="nil"/>
              <w:left w:val="single" w:sz="4" w:space="0" w:color="auto"/>
              <w:bottom w:val="single" w:sz="4" w:space="0" w:color="auto"/>
              <w:right w:val="single" w:sz="4" w:space="0" w:color="auto"/>
            </w:tcBorders>
            <w:vAlign w:val="center"/>
            <w:hideMark/>
          </w:tcPr>
          <w:p w14:paraId="4D562E78" w14:textId="77777777" w:rsidR="00502A7D" w:rsidRPr="00502A7D" w:rsidRDefault="00502A7D" w:rsidP="00502A7D">
            <w:pPr>
              <w:rPr>
                <w:rFonts w:ascii="Arial Narrow" w:eastAsia="Times New Roman" w:hAnsi="Arial Narrow" w:cs="Calibri"/>
                <w:b/>
                <w:bCs/>
                <w:color w:val="000000"/>
                <w:sz w:val="20"/>
                <w:szCs w:val="20"/>
                <w:lang w:val="es-CO" w:eastAsia="es-CO"/>
              </w:rPr>
            </w:pPr>
          </w:p>
        </w:tc>
        <w:tc>
          <w:tcPr>
            <w:tcW w:w="1840" w:type="dxa"/>
            <w:vMerge/>
            <w:tcBorders>
              <w:top w:val="nil"/>
              <w:left w:val="single" w:sz="4" w:space="0" w:color="auto"/>
              <w:bottom w:val="single" w:sz="4" w:space="0" w:color="auto"/>
              <w:right w:val="single" w:sz="4" w:space="0" w:color="auto"/>
            </w:tcBorders>
            <w:vAlign w:val="center"/>
            <w:hideMark/>
          </w:tcPr>
          <w:p w14:paraId="7E418D27" w14:textId="77777777" w:rsidR="00502A7D" w:rsidRPr="00502A7D" w:rsidRDefault="00502A7D" w:rsidP="00502A7D">
            <w:pPr>
              <w:rPr>
                <w:rFonts w:ascii="Arial Narrow" w:eastAsia="Times New Roman" w:hAnsi="Arial Narrow" w:cs="Calibri"/>
                <w:b/>
                <w:bCs/>
                <w:color w:val="000000"/>
                <w:sz w:val="20"/>
                <w:szCs w:val="20"/>
                <w:lang w:val="es-CO" w:eastAsia="es-CO"/>
              </w:rPr>
            </w:pPr>
          </w:p>
        </w:tc>
        <w:tc>
          <w:tcPr>
            <w:tcW w:w="1840" w:type="dxa"/>
            <w:vMerge/>
            <w:tcBorders>
              <w:top w:val="nil"/>
              <w:left w:val="single" w:sz="4" w:space="0" w:color="auto"/>
              <w:bottom w:val="single" w:sz="4" w:space="0" w:color="auto"/>
              <w:right w:val="single" w:sz="4" w:space="0" w:color="auto"/>
            </w:tcBorders>
            <w:vAlign w:val="center"/>
            <w:hideMark/>
          </w:tcPr>
          <w:p w14:paraId="33D11006" w14:textId="77777777" w:rsidR="00502A7D" w:rsidRPr="00502A7D" w:rsidRDefault="00502A7D" w:rsidP="00502A7D">
            <w:pPr>
              <w:rPr>
                <w:rFonts w:ascii="Arial Narrow" w:eastAsia="Times New Roman" w:hAnsi="Arial Narrow" w:cs="Calibri"/>
                <w:b/>
                <w:bCs/>
                <w:color w:val="000000"/>
                <w:sz w:val="20"/>
                <w:szCs w:val="20"/>
                <w:lang w:val="es-CO" w:eastAsia="es-CO"/>
              </w:rPr>
            </w:pPr>
          </w:p>
        </w:tc>
        <w:tc>
          <w:tcPr>
            <w:tcW w:w="146" w:type="dxa"/>
            <w:tcBorders>
              <w:top w:val="nil"/>
              <w:left w:val="nil"/>
              <w:bottom w:val="nil"/>
              <w:right w:val="nil"/>
            </w:tcBorders>
            <w:shd w:val="clear" w:color="auto" w:fill="auto"/>
            <w:noWrap/>
            <w:vAlign w:val="bottom"/>
            <w:hideMark/>
          </w:tcPr>
          <w:p w14:paraId="76607D95" w14:textId="77777777" w:rsidR="00502A7D" w:rsidRPr="00502A7D" w:rsidRDefault="00502A7D" w:rsidP="00502A7D">
            <w:pPr>
              <w:jc w:val="center"/>
              <w:rPr>
                <w:rFonts w:ascii="Arial Narrow" w:eastAsia="Times New Roman" w:hAnsi="Arial Narrow" w:cs="Calibri"/>
                <w:b/>
                <w:bCs/>
                <w:color w:val="000000"/>
                <w:sz w:val="20"/>
                <w:szCs w:val="20"/>
                <w:lang w:val="es-CO" w:eastAsia="es-CO"/>
              </w:rPr>
            </w:pPr>
          </w:p>
        </w:tc>
      </w:tr>
      <w:tr w:rsidR="00502A7D" w:rsidRPr="00502A7D" w14:paraId="3C39D2F1"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270A90B3"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1. Ingresos (Recaudados)</w:t>
            </w:r>
          </w:p>
        </w:tc>
        <w:tc>
          <w:tcPr>
            <w:tcW w:w="1840" w:type="dxa"/>
            <w:tcBorders>
              <w:top w:val="nil"/>
              <w:left w:val="nil"/>
              <w:bottom w:val="single" w:sz="4" w:space="0" w:color="auto"/>
              <w:right w:val="single" w:sz="4" w:space="0" w:color="auto"/>
            </w:tcBorders>
            <w:shd w:val="clear" w:color="auto" w:fill="auto"/>
            <w:noWrap/>
            <w:vAlign w:val="center"/>
            <w:hideMark/>
          </w:tcPr>
          <w:p w14:paraId="5B5DE1E4"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1.245</w:t>
            </w:r>
          </w:p>
        </w:tc>
        <w:tc>
          <w:tcPr>
            <w:tcW w:w="1840" w:type="dxa"/>
            <w:tcBorders>
              <w:top w:val="nil"/>
              <w:left w:val="nil"/>
              <w:bottom w:val="single" w:sz="4" w:space="0" w:color="auto"/>
              <w:right w:val="single" w:sz="4" w:space="0" w:color="auto"/>
            </w:tcBorders>
            <w:shd w:val="clear" w:color="auto" w:fill="auto"/>
            <w:noWrap/>
            <w:vAlign w:val="center"/>
            <w:hideMark/>
          </w:tcPr>
          <w:p w14:paraId="3BAFD0E1"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978</w:t>
            </w:r>
          </w:p>
        </w:tc>
        <w:tc>
          <w:tcPr>
            <w:tcW w:w="146" w:type="dxa"/>
            <w:vAlign w:val="center"/>
            <w:hideMark/>
          </w:tcPr>
          <w:p w14:paraId="62ED148A" w14:textId="77777777" w:rsidR="00502A7D" w:rsidRPr="00502A7D" w:rsidRDefault="00502A7D" w:rsidP="00502A7D">
            <w:pPr>
              <w:rPr>
                <w:rFonts w:eastAsia="Times New Roman"/>
                <w:sz w:val="20"/>
                <w:szCs w:val="20"/>
                <w:lang w:val="es-CO" w:eastAsia="es-CO"/>
              </w:rPr>
            </w:pPr>
          </w:p>
        </w:tc>
      </w:tr>
      <w:tr w:rsidR="00502A7D" w:rsidRPr="00502A7D" w14:paraId="3A0CF4D3"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115E351B"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2. Gastos (Comprometidos) </w:t>
            </w:r>
          </w:p>
        </w:tc>
        <w:tc>
          <w:tcPr>
            <w:tcW w:w="1840" w:type="dxa"/>
            <w:tcBorders>
              <w:top w:val="nil"/>
              <w:left w:val="nil"/>
              <w:bottom w:val="single" w:sz="4" w:space="0" w:color="auto"/>
              <w:right w:val="single" w:sz="4" w:space="0" w:color="auto"/>
            </w:tcBorders>
            <w:shd w:val="clear" w:color="auto" w:fill="auto"/>
            <w:noWrap/>
            <w:vAlign w:val="center"/>
            <w:hideMark/>
          </w:tcPr>
          <w:p w14:paraId="66280035"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1.185</w:t>
            </w:r>
          </w:p>
        </w:tc>
        <w:tc>
          <w:tcPr>
            <w:tcW w:w="1840" w:type="dxa"/>
            <w:tcBorders>
              <w:top w:val="nil"/>
              <w:left w:val="nil"/>
              <w:bottom w:val="single" w:sz="4" w:space="0" w:color="auto"/>
              <w:right w:val="single" w:sz="4" w:space="0" w:color="auto"/>
            </w:tcBorders>
            <w:shd w:val="clear" w:color="auto" w:fill="auto"/>
            <w:noWrap/>
            <w:vAlign w:val="center"/>
            <w:hideMark/>
          </w:tcPr>
          <w:p w14:paraId="279CE253"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877</w:t>
            </w:r>
          </w:p>
        </w:tc>
        <w:tc>
          <w:tcPr>
            <w:tcW w:w="146" w:type="dxa"/>
            <w:vAlign w:val="center"/>
            <w:hideMark/>
          </w:tcPr>
          <w:p w14:paraId="48A3414D" w14:textId="77777777" w:rsidR="00502A7D" w:rsidRPr="00502A7D" w:rsidRDefault="00502A7D" w:rsidP="00502A7D">
            <w:pPr>
              <w:rPr>
                <w:rFonts w:eastAsia="Times New Roman"/>
                <w:sz w:val="20"/>
                <w:szCs w:val="20"/>
                <w:lang w:val="es-CO" w:eastAsia="es-CO"/>
              </w:rPr>
            </w:pPr>
          </w:p>
        </w:tc>
      </w:tr>
      <w:tr w:rsidR="00502A7D" w:rsidRPr="00502A7D" w14:paraId="4574A49D"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1E1911EE"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3. Gastos (Obligados) </w:t>
            </w:r>
          </w:p>
        </w:tc>
        <w:tc>
          <w:tcPr>
            <w:tcW w:w="1840" w:type="dxa"/>
            <w:tcBorders>
              <w:top w:val="nil"/>
              <w:left w:val="nil"/>
              <w:bottom w:val="single" w:sz="4" w:space="0" w:color="auto"/>
              <w:right w:val="single" w:sz="4" w:space="0" w:color="auto"/>
            </w:tcBorders>
            <w:shd w:val="clear" w:color="auto" w:fill="auto"/>
            <w:noWrap/>
            <w:vAlign w:val="center"/>
            <w:hideMark/>
          </w:tcPr>
          <w:p w14:paraId="42D191AE"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372</w:t>
            </w:r>
          </w:p>
        </w:tc>
        <w:tc>
          <w:tcPr>
            <w:tcW w:w="1840" w:type="dxa"/>
            <w:tcBorders>
              <w:top w:val="nil"/>
              <w:left w:val="nil"/>
              <w:bottom w:val="single" w:sz="4" w:space="0" w:color="auto"/>
              <w:right w:val="single" w:sz="4" w:space="0" w:color="auto"/>
            </w:tcBorders>
            <w:shd w:val="clear" w:color="auto" w:fill="auto"/>
            <w:noWrap/>
            <w:vAlign w:val="center"/>
            <w:hideMark/>
          </w:tcPr>
          <w:p w14:paraId="7CCE9F37"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826</w:t>
            </w:r>
          </w:p>
        </w:tc>
        <w:tc>
          <w:tcPr>
            <w:tcW w:w="146" w:type="dxa"/>
            <w:vAlign w:val="center"/>
            <w:hideMark/>
          </w:tcPr>
          <w:p w14:paraId="1DBF0D79" w14:textId="77777777" w:rsidR="00502A7D" w:rsidRPr="00502A7D" w:rsidRDefault="00502A7D" w:rsidP="00502A7D">
            <w:pPr>
              <w:rPr>
                <w:rFonts w:eastAsia="Times New Roman"/>
                <w:sz w:val="20"/>
                <w:szCs w:val="20"/>
                <w:lang w:val="es-CO" w:eastAsia="es-CO"/>
              </w:rPr>
            </w:pPr>
          </w:p>
        </w:tc>
      </w:tr>
      <w:tr w:rsidR="00502A7D" w:rsidRPr="00502A7D" w14:paraId="778CB212"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26DBE3B8"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4. Pagos </w:t>
            </w:r>
          </w:p>
        </w:tc>
        <w:tc>
          <w:tcPr>
            <w:tcW w:w="1840" w:type="dxa"/>
            <w:tcBorders>
              <w:top w:val="nil"/>
              <w:left w:val="nil"/>
              <w:bottom w:val="single" w:sz="4" w:space="0" w:color="auto"/>
              <w:right w:val="single" w:sz="4" w:space="0" w:color="auto"/>
            </w:tcBorders>
            <w:shd w:val="clear" w:color="auto" w:fill="auto"/>
            <w:noWrap/>
            <w:vAlign w:val="center"/>
            <w:hideMark/>
          </w:tcPr>
          <w:p w14:paraId="5CBBC4A9"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354</w:t>
            </w:r>
          </w:p>
        </w:tc>
        <w:tc>
          <w:tcPr>
            <w:tcW w:w="1840" w:type="dxa"/>
            <w:tcBorders>
              <w:top w:val="nil"/>
              <w:left w:val="nil"/>
              <w:bottom w:val="single" w:sz="4" w:space="0" w:color="auto"/>
              <w:right w:val="single" w:sz="4" w:space="0" w:color="auto"/>
            </w:tcBorders>
            <w:shd w:val="clear" w:color="auto" w:fill="auto"/>
            <w:noWrap/>
            <w:vAlign w:val="center"/>
            <w:hideMark/>
          </w:tcPr>
          <w:p w14:paraId="2A7477CA"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826</w:t>
            </w:r>
          </w:p>
        </w:tc>
        <w:tc>
          <w:tcPr>
            <w:tcW w:w="146" w:type="dxa"/>
            <w:vAlign w:val="center"/>
            <w:hideMark/>
          </w:tcPr>
          <w:p w14:paraId="5124458A" w14:textId="77777777" w:rsidR="00502A7D" w:rsidRPr="00502A7D" w:rsidRDefault="00502A7D" w:rsidP="00502A7D">
            <w:pPr>
              <w:rPr>
                <w:rFonts w:eastAsia="Times New Roman"/>
                <w:sz w:val="20"/>
                <w:szCs w:val="20"/>
                <w:lang w:val="es-CO" w:eastAsia="es-CO"/>
              </w:rPr>
            </w:pPr>
          </w:p>
        </w:tc>
      </w:tr>
      <w:tr w:rsidR="00502A7D" w:rsidRPr="00502A7D" w14:paraId="2C7EB747"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6B984ECD"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Déficit o superávit (1) - (2) </w:t>
            </w:r>
          </w:p>
        </w:tc>
        <w:tc>
          <w:tcPr>
            <w:tcW w:w="1840" w:type="dxa"/>
            <w:tcBorders>
              <w:top w:val="nil"/>
              <w:left w:val="nil"/>
              <w:bottom w:val="single" w:sz="4" w:space="0" w:color="auto"/>
              <w:right w:val="single" w:sz="4" w:space="0" w:color="auto"/>
            </w:tcBorders>
            <w:shd w:val="clear" w:color="auto" w:fill="auto"/>
            <w:noWrap/>
            <w:vAlign w:val="center"/>
            <w:hideMark/>
          </w:tcPr>
          <w:p w14:paraId="4D140ED3"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60</w:t>
            </w:r>
          </w:p>
        </w:tc>
        <w:tc>
          <w:tcPr>
            <w:tcW w:w="1840" w:type="dxa"/>
            <w:tcBorders>
              <w:top w:val="nil"/>
              <w:left w:val="nil"/>
              <w:bottom w:val="single" w:sz="4" w:space="0" w:color="auto"/>
              <w:right w:val="single" w:sz="4" w:space="0" w:color="auto"/>
            </w:tcBorders>
            <w:shd w:val="clear" w:color="auto" w:fill="auto"/>
            <w:noWrap/>
            <w:vAlign w:val="center"/>
            <w:hideMark/>
          </w:tcPr>
          <w:p w14:paraId="15899457"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101</w:t>
            </w:r>
          </w:p>
        </w:tc>
        <w:tc>
          <w:tcPr>
            <w:tcW w:w="146" w:type="dxa"/>
            <w:vAlign w:val="center"/>
            <w:hideMark/>
          </w:tcPr>
          <w:p w14:paraId="5A0C7F5B" w14:textId="77777777" w:rsidR="00502A7D" w:rsidRPr="00502A7D" w:rsidRDefault="00502A7D" w:rsidP="00502A7D">
            <w:pPr>
              <w:rPr>
                <w:rFonts w:eastAsia="Times New Roman"/>
                <w:sz w:val="20"/>
                <w:szCs w:val="20"/>
                <w:lang w:val="es-CO" w:eastAsia="es-CO"/>
              </w:rPr>
            </w:pPr>
          </w:p>
        </w:tc>
      </w:tr>
      <w:tr w:rsidR="00502A7D" w:rsidRPr="00502A7D" w14:paraId="5CF86FBE"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1449E3E1"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Reservas (2) - (3) </w:t>
            </w:r>
          </w:p>
        </w:tc>
        <w:tc>
          <w:tcPr>
            <w:tcW w:w="1840" w:type="dxa"/>
            <w:tcBorders>
              <w:top w:val="nil"/>
              <w:left w:val="nil"/>
              <w:bottom w:val="single" w:sz="4" w:space="0" w:color="auto"/>
              <w:right w:val="single" w:sz="4" w:space="0" w:color="auto"/>
            </w:tcBorders>
            <w:shd w:val="clear" w:color="auto" w:fill="auto"/>
            <w:noWrap/>
            <w:vAlign w:val="center"/>
            <w:hideMark/>
          </w:tcPr>
          <w:p w14:paraId="71B7F458"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813</w:t>
            </w:r>
          </w:p>
        </w:tc>
        <w:tc>
          <w:tcPr>
            <w:tcW w:w="1840" w:type="dxa"/>
            <w:tcBorders>
              <w:top w:val="nil"/>
              <w:left w:val="nil"/>
              <w:bottom w:val="single" w:sz="4" w:space="0" w:color="auto"/>
              <w:right w:val="single" w:sz="4" w:space="0" w:color="auto"/>
            </w:tcBorders>
            <w:shd w:val="clear" w:color="auto" w:fill="auto"/>
            <w:noWrap/>
            <w:vAlign w:val="center"/>
            <w:hideMark/>
          </w:tcPr>
          <w:p w14:paraId="3925CA5B"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51</w:t>
            </w:r>
          </w:p>
        </w:tc>
        <w:tc>
          <w:tcPr>
            <w:tcW w:w="146" w:type="dxa"/>
            <w:vAlign w:val="center"/>
            <w:hideMark/>
          </w:tcPr>
          <w:p w14:paraId="79D0DE98" w14:textId="77777777" w:rsidR="00502A7D" w:rsidRPr="00502A7D" w:rsidRDefault="00502A7D" w:rsidP="00502A7D">
            <w:pPr>
              <w:rPr>
                <w:rFonts w:eastAsia="Times New Roman"/>
                <w:sz w:val="20"/>
                <w:szCs w:val="20"/>
                <w:lang w:val="es-CO" w:eastAsia="es-CO"/>
              </w:rPr>
            </w:pPr>
          </w:p>
        </w:tc>
      </w:tr>
      <w:tr w:rsidR="00502A7D" w:rsidRPr="00502A7D" w14:paraId="7CC05AD3"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41E3B60C"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Cuentas por pagar (3) - (4) </w:t>
            </w:r>
          </w:p>
        </w:tc>
        <w:tc>
          <w:tcPr>
            <w:tcW w:w="1840" w:type="dxa"/>
            <w:tcBorders>
              <w:top w:val="nil"/>
              <w:left w:val="nil"/>
              <w:bottom w:val="single" w:sz="4" w:space="0" w:color="auto"/>
              <w:right w:val="single" w:sz="4" w:space="0" w:color="auto"/>
            </w:tcBorders>
            <w:shd w:val="clear" w:color="auto" w:fill="auto"/>
            <w:noWrap/>
            <w:vAlign w:val="center"/>
            <w:hideMark/>
          </w:tcPr>
          <w:p w14:paraId="57CBC505"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18</w:t>
            </w:r>
          </w:p>
        </w:tc>
        <w:tc>
          <w:tcPr>
            <w:tcW w:w="1840" w:type="dxa"/>
            <w:tcBorders>
              <w:top w:val="nil"/>
              <w:left w:val="nil"/>
              <w:bottom w:val="single" w:sz="4" w:space="0" w:color="auto"/>
              <w:right w:val="single" w:sz="4" w:space="0" w:color="auto"/>
            </w:tcBorders>
            <w:shd w:val="clear" w:color="auto" w:fill="auto"/>
            <w:noWrap/>
            <w:vAlign w:val="center"/>
            <w:hideMark/>
          </w:tcPr>
          <w:p w14:paraId="3F5248C7"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0</w:t>
            </w:r>
          </w:p>
        </w:tc>
        <w:tc>
          <w:tcPr>
            <w:tcW w:w="146" w:type="dxa"/>
            <w:vAlign w:val="center"/>
            <w:hideMark/>
          </w:tcPr>
          <w:p w14:paraId="52BECCB7" w14:textId="77777777" w:rsidR="00502A7D" w:rsidRPr="00502A7D" w:rsidRDefault="00502A7D" w:rsidP="00502A7D">
            <w:pPr>
              <w:rPr>
                <w:rFonts w:eastAsia="Times New Roman"/>
                <w:sz w:val="20"/>
                <w:szCs w:val="20"/>
                <w:lang w:val="es-CO" w:eastAsia="es-CO"/>
              </w:rPr>
            </w:pPr>
          </w:p>
        </w:tc>
      </w:tr>
      <w:tr w:rsidR="00502A7D" w:rsidRPr="00502A7D" w14:paraId="76541A91"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7A694264"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 xml:space="preserve"> Saldo en </w:t>
            </w:r>
            <w:proofErr w:type="gramStart"/>
            <w:r w:rsidRPr="00502A7D">
              <w:rPr>
                <w:rFonts w:ascii="Arial Narrow" w:eastAsia="Times New Roman" w:hAnsi="Arial Narrow" w:cs="Calibri"/>
                <w:color w:val="000000"/>
                <w:sz w:val="20"/>
                <w:szCs w:val="20"/>
                <w:lang w:val="es-CO" w:eastAsia="es-CO"/>
              </w:rPr>
              <w:t>Caja</w:t>
            </w:r>
            <w:proofErr w:type="gramEnd"/>
            <w:r w:rsidRPr="00502A7D">
              <w:rPr>
                <w:rFonts w:ascii="Arial Narrow" w:eastAsia="Times New Roman" w:hAnsi="Arial Narrow" w:cs="Calibri"/>
                <w:color w:val="000000"/>
                <w:sz w:val="20"/>
                <w:szCs w:val="20"/>
                <w:lang w:val="es-CO" w:eastAsia="es-CO"/>
              </w:rPr>
              <w:t xml:space="preserve"> y Bancos (1) - (4) </w:t>
            </w:r>
          </w:p>
        </w:tc>
        <w:tc>
          <w:tcPr>
            <w:tcW w:w="1840" w:type="dxa"/>
            <w:tcBorders>
              <w:top w:val="nil"/>
              <w:left w:val="nil"/>
              <w:bottom w:val="single" w:sz="4" w:space="0" w:color="auto"/>
              <w:right w:val="single" w:sz="4" w:space="0" w:color="auto"/>
            </w:tcBorders>
            <w:shd w:val="clear" w:color="auto" w:fill="auto"/>
            <w:noWrap/>
            <w:vAlign w:val="center"/>
            <w:hideMark/>
          </w:tcPr>
          <w:p w14:paraId="3324EC57"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891</w:t>
            </w:r>
          </w:p>
        </w:tc>
        <w:tc>
          <w:tcPr>
            <w:tcW w:w="1840" w:type="dxa"/>
            <w:tcBorders>
              <w:top w:val="nil"/>
              <w:left w:val="nil"/>
              <w:bottom w:val="single" w:sz="4" w:space="0" w:color="auto"/>
              <w:right w:val="single" w:sz="4" w:space="0" w:color="auto"/>
            </w:tcBorders>
            <w:shd w:val="clear" w:color="auto" w:fill="auto"/>
            <w:noWrap/>
            <w:vAlign w:val="center"/>
            <w:hideMark/>
          </w:tcPr>
          <w:p w14:paraId="2A8BA2BE"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152</w:t>
            </w:r>
          </w:p>
        </w:tc>
        <w:tc>
          <w:tcPr>
            <w:tcW w:w="146" w:type="dxa"/>
            <w:vAlign w:val="center"/>
            <w:hideMark/>
          </w:tcPr>
          <w:p w14:paraId="49EF2465" w14:textId="77777777" w:rsidR="00502A7D" w:rsidRPr="00502A7D" w:rsidRDefault="00502A7D" w:rsidP="00502A7D">
            <w:pPr>
              <w:rPr>
                <w:rFonts w:eastAsia="Times New Roman"/>
                <w:sz w:val="20"/>
                <w:szCs w:val="20"/>
                <w:lang w:val="es-CO" w:eastAsia="es-CO"/>
              </w:rPr>
            </w:pPr>
          </w:p>
        </w:tc>
      </w:tr>
      <w:tr w:rsidR="00502A7D" w:rsidRPr="00502A7D" w14:paraId="4F4A2860" w14:textId="77777777" w:rsidTr="00502A7D">
        <w:trPr>
          <w:trHeight w:val="300"/>
          <w:jc w:val="center"/>
        </w:trPr>
        <w:tc>
          <w:tcPr>
            <w:tcW w:w="3847" w:type="dxa"/>
            <w:tcBorders>
              <w:top w:val="nil"/>
              <w:left w:val="single" w:sz="4" w:space="0" w:color="auto"/>
              <w:bottom w:val="single" w:sz="4" w:space="0" w:color="auto"/>
              <w:right w:val="single" w:sz="4" w:space="0" w:color="auto"/>
            </w:tcBorders>
            <w:shd w:val="clear" w:color="auto" w:fill="auto"/>
            <w:noWrap/>
            <w:vAlign w:val="center"/>
            <w:hideMark/>
          </w:tcPr>
          <w:p w14:paraId="138C31C0" w14:textId="77777777" w:rsidR="00502A7D" w:rsidRPr="00502A7D" w:rsidRDefault="00502A7D" w:rsidP="00502A7D">
            <w:pPr>
              <w:jc w:val="both"/>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lastRenderedPageBreak/>
              <w:t xml:space="preserve">Saldo real en </w:t>
            </w:r>
            <w:proofErr w:type="gramStart"/>
            <w:r w:rsidRPr="00502A7D">
              <w:rPr>
                <w:rFonts w:ascii="Arial Narrow" w:eastAsia="Times New Roman" w:hAnsi="Arial Narrow" w:cs="Calibri"/>
                <w:color w:val="000000"/>
                <w:sz w:val="20"/>
                <w:szCs w:val="20"/>
                <w:lang w:val="es-CO" w:eastAsia="es-CO"/>
              </w:rPr>
              <w:t>caja</w:t>
            </w:r>
            <w:proofErr w:type="gramEnd"/>
            <w:r w:rsidRPr="00502A7D">
              <w:rPr>
                <w:rFonts w:ascii="Arial Narrow" w:eastAsia="Times New Roman" w:hAnsi="Arial Narrow" w:cs="Calibri"/>
                <w:color w:val="000000"/>
                <w:sz w:val="20"/>
                <w:szCs w:val="20"/>
                <w:lang w:val="es-CO" w:eastAsia="es-CO"/>
              </w:rPr>
              <w:t xml:space="preserve"> y bancos</w:t>
            </w:r>
          </w:p>
        </w:tc>
        <w:tc>
          <w:tcPr>
            <w:tcW w:w="1840" w:type="dxa"/>
            <w:tcBorders>
              <w:top w:val="nil"/>
              <w:left w:val="nil"/>
              <w:bottom w:val="single" w:sz="4" w:space="0" w:color="auto"/>
              <w:right w:val="single" w:sz="4" w:space="0" w:color="auto"/>
            </w:tcBorders>
            <w:shd w:val="clear" w:color="auto" w:fill="auto"/>
            <w:noWrap/>
            <w:vAlign w:val="center"/>
            <w:hideMark/>
          </w:tcPr>
          <w:p w14:paraId="045D5D02"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1.617</w:t>
            </w:r>
          </w:p>
        </w:tc>
        <w:tc>
          <w:tcPr>
            <w:tcW w:w="1840" w:type="dxa"/>
            <w:tcBorders>
              <w:top w:val="nil"/>
              <w:left w:val="nil"/>
              <w:bottom w:val="single" w:sz="4" w:space="0" w:color="auto"/>
              <w:right w:val="single" w:sz="4" w:space="0" w:color="auto"/>
            </w:tcBorders>
            <w:shd w:val="clear" w:color="auto" w:fill="auto"/>
            <w:noWrap/>
            <w:vAlign w:val="center"/>
            <w:hideMark/>
          </w:tcPr>
          <w:p w14:paraId="0CC5C96E" w14:textId="77777777" w:rsidR="00502A7D" w:rsidRPr="00502A7D" w:rsidRDefault="00502A7D" w:rsidP="00502A7D">
            <w:pPr>
              <w:jc w:val="center"/>
              <w:rPr>
                <w:rFonts w:ascii="Arial Narrow" w:eastAsia="Times New Roman" w:hAnsi="Arial Narrow" w:cs="Calibri"/>
                <w:color w:val="000000"/>
                <w:sz w:val="20"/>
                <w:szCs w:val="20"/>
                <w:lang w:val="es-CO" w:eastAsia="es-CO"/>
              </w:rPr>
            </w:pPr>
            <w:r w:rsidRPr="00502A7D">
              <w:rPr>
                <w:rFonts w:ascii="Arial Narrow" w:eastAsia="Times New Roman" w:hAnsi="Arial Narrow" w:cs="Calibri"/>
                <w:color w:val="000000"/>
                <w:sz w:val="20"/>
                <w:szCs w:val="20"/>
                <w:lang w:val="es-CO" w:eastAsia="es-CO"/>
              </w:rPr>
              <w:t>1.154</w:t>
            </w:r>
          </w:p>
        </w:tc>
        <w:tc>
          <w:tcPr>
            <w:tcW w:w="146" w:type="dxa"/>
            <w:vAlign w:val="center"/>
            <w:hideMark/>
          </w:tcPr>
          <w:p w14:paraId="1ACD412D" w14:textId="77777777" w:rsidR="00502A7D" w:rsidRPr="00502A7D" w:rsidRDefault="00502A7D" w:rsidP="00502A7D">
            <w:pPr>
              <w:rPr>
                <w:rFonts w:eastAsia="Times New Roman"/>
                <w:sz w:val="20"/>
                <w:szCs w:val="20"/>
                <w:lang w:val="es-CO" w:eastAsia="es-CO"/>
              </w:rPr>
            </w:pPr>
          </w:p>
        </w:tc>
      </w:tr>
    </w:tbl>
    <w:p w14:paraId="6AFBBA39" w14:textId="77777777" w:rsidR="00911C69" w:rsidRPr="00433E58" w:rsidRDefault="00911C69" w:rsidP="00911C69">
      <w:pPr>
        <w:contextualSpacing/>
        <w:jc w:val="center"/>
        <w:rPr>
          <w:rFonts w:ascii="Verdana" w:hAnsi="Verdana" w:cs="Arial"/>
          <w:bCs/>
          <w:sz w:val="16"/>
          <w:szCs w:val="16"/>
        </w:rPr>
      </w:pPr>
      <w:r w:rsidRPr="00433E58">
        <w:rPr>
          <w:rFonts w:ascii="Verdana" w:hAnsi="Verdana" w:cs="Arial"/>
          <w:bCs/>
          <w:sz w:val="16"/>
          <w:szCs w:val="16"/>
        </w:rPr>
        <w:t>Fuente: Cálculos propios DAF según información presupuestal suministrada por la Entidad.</w:t>
      </w:r>
    </w:p>
    <w:p w14:paraId="56240442" w14:textId="77777777" w:rsidR="00911C69" w:rsidRPr="00433E58" w:rsidRDefault="00911C69" w:rsidP="00911C69">
      <w:pPr>
        <w:contextualSpacing/>
        <w:jc w:val="both"/>
        <w:rPr>
          <w:rFonts w:ascii="Verdana" w:hAnsi="Verdana" w:cs="Arial"/>
          <w:sz w:val="22"/>
          <w:szCs w:val="22"/>
        </w:rPr>
      </w:pPr>
    </w:p>
    <w:p w14:paraId="3EC43304"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Mientras que para 202</w:t>
      </w:r>
      <w:r w:rsidR="0015627E" w:rsidRPr="00264E65">
        <w:rPr>
          <w:rFonts w:ascii="Verdana" w:hAnsi="Verdana" w:cs="Arial"/>
          <w:sz w:val="22"/>
          <w:szCs w:val="22"/>
        </w:rPr>
        <w:t>2</w:t>
      </w:r>
      <w:r w:rsidRPr="00264E65">
        <w:rPr>
          <w:rFonts w:ascii="Verdana" w:hAnsi="Verdana" w:cs="Arial"/>
          <w:sz w:val="22"/>
          <w:szCs w:val="22"/>
        </w:rPr>
        <w:t>, el resultado del ejercicio presupuestal de cierre arrojó superávit sectorial por $</w:t>
      </w:r>
      <w:r w:rsidR="0015627E" w:rsidRPr="00264E65">
        <w:rPr>
          <w:rFonts w:ascii="Verdana" w:hAnsi="Verdana" w:cs="Arial"/>
          <w:sz w:val="22"/>
          <w:szCs w:val="22"/>
        </w:rPr>
        <w:t>101</w:t>
      </w:r>
      <w:r w:rsidRPr="00264E65">
        <w:rPr>
          <w:rFonts w:ascii="Verdana" w:hAnsi="Verdana" w:cs="Arial"/>
          <w:sz w:val="22"/>
          <w:szCs w:val="22"/>
        </w:rPr>
        <w:t xml:space="preserve"> millones, proveniente del recaudo de $</w:t>
      </w:r>
      <w:r w:rsidR="00481FEF" w:rsidRPr="00264E65">
        <w:rPr>
          <w:rFonts w:ascii="Verdana" w:hAnsi="Verdana" w:cs="Arial"/>
          <w:sz w:val="22"/>
          <w:szCs w:val="22"/>
        </w:rPr>
        <w:t>978</w:t>
      </w:r>
      <w:r w:rsidRPr="00264E65">
        <w:rPr>
          <w:rFonts w:ascii="Verdana" w:hAnsi="Verdana" w:cs="Arial"/>
          <w:sz w:val="22"/>
          <w:szCs w:val="22"/>
        </w:rPr>
        <w:t xml:space="preserve"> millones, contra $</w:t>
      </w:r>
      <w:r w:rsidR="00481FEF" w:rsidRPr="00264E65">
        <w:rPr>
          <w:rFonts w:ascii="Verdana" w:hAnsi="Verdana" w:cs="Arial"/>
          <w:sz w:val="22"/>
          <w:szCs w:val="22"/>
        </w:rPr>
        <w:t>877</w:t>
      </w:r>
      <w:r w:rsidRPr="00264E65">
        <w:rPr>
          <w:rFonts w:ascii="Verdana" w:hAnsi="Verdana" w:cs="Arial"/>
          <w:sz w:val="22"/>
          <w:szCs w:val="22"/>
        </w:rPr>
        <w:t xml:space="preserve"> millones comprometidos. De la misma manera, según el ejercicio se debieron constituir reservas por $51 millones y no se debieron constituir cuentas por pagar.</w:t>
      </w:r>
    </w:p>
    <w:p w14:paraId="07E5EE88" w14:textId="77777777" w:rsidR="00911C69" w:rsidRPr="00264E65" w:rsidRDefault="00911C69" w:rsidP="00911C69">
      <w:pPr>
        <w:contextualSpacing/>
        <w:jc w:val="both"/>
        <w:rPr>
          <w:rFonts w:ascii="Verdana" w:hAnsi="Verdana" w:cs="Arial"/>
          <w:sz w:val="22"/>
          <w:szCs w:val="22"/>
        </w:rPr>
      </w:pPr>
    </w:p>
    <w:p w14:paraId="1AFC953A" w14:textId="77777777" w:rsidR="00911C69" w:rsidRPr="00264E65" w:rsidRDefault="00911C69" w:rsidP="00911C69">
      <w:pPr>
        <w:contextualSpacing/>
        <w:jc w:val="both"/>
        <w:rPr>
          <w:rFonts w:ascii="Verdana" w:hAnsi="Verdana" w:cs="Arial"/>
          <w:color w:val="000000" w:themeColor="text1"/>
          <w:sz w:val="22"/>
          <w:szCs w:val="22"/>
        </w:rPr>
      </w:pPr>
      <w:r w:rsidRPr="00264E65">
        <w:rPr>
          <w:rFonts w:ascii="Verdana" w:hAnsi="Verdana" w:cs="Arial"/>
          <w:color w:val="000000" w:themeColor="text1"/>
          <w:sz w:val="22"/>
          <w:szCs w:val="22"/>
        </w:rPr>
        <w:t xml:space="preserve">Con respecto a las reservas, al revisar el anexo del Decreto Municipal No. </w:t>
      </w:r>
      <w:r w:rsidR="004D72B8" w:rsidRPr="00264E65">
        <w:rPr>
          <w:rFonts w:ascii="Verdana" w:hAnsi="Verdana" w:cs="Arial"/>
          <w:color w:val="000000" w:themeColor="text1"/>
          <w:sz w:val="22"/>
          <w:szCs w:val="22"/>
        </w:rPr>
        <w:t>171</w:t>
      </w:r>
      <w:r w:rsidRPr="00264E65">
        <w:rPr>
          <w:rFonts w:ascii="Verdana" w:hAnsi="Verdana" w:cs="Arial"/>
          <w:color w:val="000000" w:themeColor="text1"/>
          <w:sz w:val="22"/>
          <w:szCs w:val="22"/>
        </w:rPr>
        <w:t xml:space="preserve"> del</w:t>
      </w:r>
      <w:r w:rsidR="004D72B8" w:rsidRPr="00264E65">
        <w:rPr>
          <w:rFonts w:ascii="Verdana" w:hAnsi="Verdana" w:cs="Arial"/>
          <w:color w:val="000000" w:themeColor="text1"/>
          <w:sz w:val="22"/>
          <w:szCs w:val="22"/>
        </w:rPr>
        <w:t xml:space="preserve"> 30</w:t>
      </w:r>
      <w:r w:rsidRPr="00264E65">
        <w:rPr>
          <w:rFonts w:ascii="Verdana" w:hAnsi="Verdana" w:cs="Arial"/>
          <w:color w:val="000000" w:themeColor="text1"/>
          <w:sz w:val="22"/>
          <w:szCs w:val="22"/>
        </w:rPr>
        <w:t xml:space="preserve"> de </w:t>
      </w:r>
      <w:r w:rsidR="004D72B8" w:rsidRPr="00264E65">
        <w:rPr>
          <w:rFonts w:ascii="Verdana" w:hAnsi="Verdana" w:cs="Arial"/>
          <w:color w:val="000000" w:themeColor="text1"/>
          <w:sz w:val="22"/>
          <w:szCs w:val="22"/>
        </w:rPr>
        <w:t>diciembre</w:t>
      </w:r>
      <w:r w:rsidRPr="00264E65">
        <w:rPr>
          <w:rFonts w:ascii="Verdana" w:hAnsi="Verdana" w:cs="Arial"/>
          <w:color w:val="000000" w:themeColor="text1"/>
          <w:sz w:val="22"/>
          <w:szCs w:val="22"/>
        </w:rPr>
        <w:t xml:space="preserve"> de 202</w:t>
      </w:r>
      <w:r w:rsidR="004D72B8" w:rsidRPr="00264E65">
        <w:rPr>
          <w:rFonts w:ascii="Verdana" w:hAnsi="Verdana" w:cs="Arial"/>
          <w:color w:val="000000" w:themeColor="text1"/>
          <w:sz w:val="22"/>
          <w:szCs w:val="22"/>
        </w:rPr>
        <w:t>2</w:t>
      </w:r>
      <w:r w:rsidRPr="00264E65">
        <w:rPr>
          <w:rFonts w:ascii="Verdana" w:hAnsi="Verdana" w:cs="Arial"/>
          <w:color w:val="000000" w:themeColor="text1"/>
          <w:sz w:val="22"/>
          <w:szCs w:val="22"/>
        </w:rPr>
        <w:t>, se pudo ver que estas ascendieron a $</w:t>
      </w:r>
      <w:r w:rsidR="004D72B8" w:rsidRPr="00264E65">
        <w:rPr>
          <w:rFonts w:ascii="Verdana" w:hAnsi="Verdana" w:cs="Arial"/>
          <w:color w:val="000000" w:themeColor="text1"/>
          <w:sz w:val="22"/>
          <w:szCs w:val="22"/>
        </w:rPr>
        <w:t>51</w:t>
      </w:r>
      <w:r w:rsidRPr="00264E65">
        <w:rPr>
          <w:rFonts w:ascii="Verdana" w:hAnsi="Verdana" w:cs="Arial"/>
          <w:color w:val="000000" w:themeColor="text1"/>
          <w:sz w:val="22"/>
          <w:szCs w:val="22"/>
        </w:rPr>
        <w:t xml:space="preserve"> millones, valor que coincide con el resultante del ejercicio</w:t>
      </w:r>
      <w:r w:rsidR="00A23DC5" w:rsidRPr="00264E65">
        <w:rPr>
          <w:rFonts w:ascii="Verdana" w:hAnsi="Verdana" w:cs="Arial"/>
          <w:color w:val="000000" w:themeColor="text1"/>
          <w:sz w:val="22"/>
          <w:szCs w:val="22"/>
        </w:rPr>
        <w:t xml:space="preserve">, pero no con lo reportado en </w:t>
      </w:r>
      <w:r w:rsidRPr="00264E65">
        <w:rPr>
          <w:rFonts w:ascii="Verdana" w:hAnsi="Verdana" w:cs="Arial"/>
          <w:color w:val="000000" w:themeColor="text1"/>
          <w:sz w:val="22"/>
          <w:szCs w:val="22"/>
        </w:rPr>
        <w:t>la Categoría de Cierre Fiscal de FUT</w:t>
      </w:r>
      <w:r w:rsidR="00A23DC5" w:rsidRPr="00264E65">
        <w:rPr>
          <w:rFonts w:ascii="Verdana" w:hAnsi="Verdana" w:cs="Arial"/>
          <w:color w:val="000000" w:themeColor="text1"/>
          <w:sz w:val="22"/>
          <w:szCs w:val="22"/>
        </w:rPr>
        <w:t>, donde aparece en cero</w:t>
      </w:r>
      <w:r w:rsidRPr="00264E65">
        <w:rPr>
          <w:rFonts w:ascii="Verdana" w:hAnsi="Verdana" w:cs="Arial"/>
          <w:color w:val="000000" w:themeColor="text1"/>
          <w:sz w:val="22"/>
          <w:szCs w:val="22"/>
        </w:rPr>
        <w:t xml:space="preserve">. Con respecto a las cuentas por pagar, el ejercicio mostró que no se debían constituir, </w:t>
      </w:r>
      <w:r w:rsidR="00247CAD" w:rsidRPr="00264E65">
        <w:rPr>
          <w:rFonts w:ascii="Verdana" w:hAnsi="Verdana" w:cs="Arial"/>
          <w:color w:val="000000" w:themeColor="text1"/>
          <w:sz w:val="22"/>
          <w:szCs w:val="22"/>
        </w:rPr>
        <w:t>lo cual, coincidió con lo contenido</w:t>
      </w:r>
      <w:r w:rsidRPr="00264E65">
        <w:rPr>
          <w:rFonts w:ascii="Verdana" w:hAnsi="Verdana" w:cs="Arial"/>
          <w:color w:val="000000" w:themeColor="text1"/>
          <w:sz w:val="22"/>
          <w:szCs w:val="22"/>
        </w:rPr>
        <w:t xml:space="preserve"> </w:t>
      </w:r>
      <w:r w:rsidR="00247CAD" w:rsidRPr="00264E65">
        <w:rPr>
          <w:rFonts w:ascii="Verdana" w:hAnsi="Verdana" w:cs="Arial"/>
          <w:color w:val="000000" w:themeColor="text1"/>
          <w:sz w:val="22"/>
          <w:szCs w:val="22"/>
        </w:rPr>
        <w:t>en el</w:t>
      </w:r>
      <w:r w:rsidRPr="00264E65">
        <w:rPr>
          <w:rFonts w:ascii="Verdana" w:hAnsi="Verdana" w:cs="Arial"/>
          <w:color w:val="000000" w:themeColor="text1"/>
          <w:sz w:val="22"/>
          <w:szCs w:val="22"/>
        </w:rPr>
        <w:t xml:space="preserve"> Decreto No. </w:t>
      </w:r>
      <w:r w:rsidR="00A23DC5" w:rsidRPr="00264E65">
        <w:rPr>
          <w:rFonts w:ascii="Verdana" w:hAnsi="Verdana" w:cs="Arial"/>
          <w:color w:val="000000" w:themeColor="text1"/>
          <w:sz w:val="22"/>
          <w:szCs w:val="22"/>
        </w:rPr>
        <w:t>172</w:t>
      </w:r>
      <w:r w:rsidRPr="00264E65">
        <w:rPr>
          <w:rFonts w:ascii="Verdana" w:hAnsi="Verdana" w:cs="Arial"/>
          <w:color w:val="000000" w:themeColor="text1"/>
          <w:sz w:val="22"/>
          <w:szCs w:val="22"/>
        </w:rPr>
        <w:t xml:space="preserve"> del </w:t>
      </w:r>
      <w:r w:rsidR="00A23DC5" w:rsidRPr="00264E65">
        <w:rPr>
          <w:rFonts w:ascii="Verdana" w:hAnsi="Verdana" w:cs="Arial"/>
          <w:color w:val="000000" w:themeColor="text1"/>
          <w:sz w:val="22"/>
          <w:szCs w:val="22"/>
        </w:rPr>
        <w:t>30</w:t>
      </w:r>
      <w:r w:rsidRPr="00264E65">
        <w:rPr>
          <w:rFonts w:ascii="Verdana" w:hAnsi="Verdana" w:cs="Arial"/>
          <w:color w:val="000000" w:themeColor="text1"/>
          <w:sz w:val="22"/>
          <w:szCs w:val="22"/>
        </w:rPr>
        <w:t xml:space="preserve"> de </w:t>
      </w:r>
      <w:r w:rsidR="00A23DC5" w:rsidRPr="00264E65">
        <w:rPr>
          <w:rFonts w:ascii="Verdana" w:hAnsi="Verdana" w:cs="Arial"/>
          <w:color w:val="000000" w:themeColor="text1"/>
          <w:sz w:val="22"/>
          <w:szCs w:val="22"/>
        </w:rPr>
        <w:t>diciembre</w:t>
      </w:r>
      <w:r w:rsidRPr="00264E65">
        <w:rPr>
          <w:rFonts w:ascii="Verdana" w:hAnsi="Verdana" w:cs="Arial"/>
          <w:color w:val="000000" w:themeColor="text1"/>
          <w:sz w:val="22"/>
          <w:szCs w:val="22"/>
        </w:rPr>
        <w:t xml:space="preserve"> de 202</w:t>
      </w:r>
      <w:r w:rsidR="00A23DC5" w:rsidRPr="00264E65">
        <w:rPr>
          <w:rFonts w:ascii="Verdana" w:hAnsi="Verdana" w:cs="Arial"/>
          <w:color w:val="000000" w:themeColor="text1"/>
          <w:sz w:val="22"/>
          <w:szCs w:val="22"/>
        </w:rPr>
        <w:t>2</w:t>
      </w:r>
      <w:r w:rsidR="00247CAD" w:rsidRPr="00264E65">
        <w:rPr>
          <w:rFonts w:ascii="Verdana" w:hAnsi="Verdana" w:cs="Arial"/>
          <w:color w:val="000000" w:themeColor="text1"/>
          <w:sz w:val="22"/>
          <w:szCs w:val="22"/>
        </w:rPr>
        <w:t xml:space="preserve"> y con la información de Cierre Fiscal reportada en FUT.</w:t>
      </w:r>
    </w:p>
    <w:p w14:paraId="66F57FED" w14:textId="77777777" w:rsidR="00911C69" w:rsidRPr="00264E65" w:rsidRDefault="00911C69" w:rsidP="00911C69">
      <w:pPr>
        <w:contextualSpacing/>
        <w:jc w:val="both"/>
        <w:rPr>
          <w:rFonts w:ascii="Verdana" w:hAnsi="Verdana" w:cs="Arial"/>
          <w:color w:val="FF0000"/>
          <w:sz w:val="22"/>
          <w:szCs w:val="22"/>
        </w:rPr>
      </w:pPr>
    </w:p>
    <w:p w14:paraId="7339873A" w14:textId="77777777" w:rsidR="00911C69" w:rsidRPr="00264E65" w:rsidRDefault="00911C69" w:rsidP="00911C69">
      <w:pPr>
        <w:contextualSpacing/>
        <w:jc w:val="both"/>
        <w:rPr>
          <w:rFonts w:ascii="Verdana" w:hAnsi="Verdana" w:cs="Arial"/>
          <w:color w:val="000000" w:themeColor="text1"/>
          <w:sz w:val="22"/>
          <w:szCs w:val="22"/>
        </w:rPr>
      </w:pPr>
      <w:r w:rsidRPr="00264E65">
        <w:rPr>
          <w:rFonts w:ascii="Verdana" w:hAnsi="Verdana" w:cs="Arial"/>
          <w:color w:val="000000" w:themeColor="text1"/>
          <w:sz w:val="22"/>
          <w:szCs w:val="22"/>
        </w:rPr>
        <w:t xml:space="preserve">Finalmente, cabe indicar que el saldo en </w:t>
      </w:r>
      <w:proofErr w:type="gramStart"/>
      <w:r w:rsidRPr="00264E65">
        <w:rPr>
          <w:rFonts w:ascii="Verdana" w:hAnsi="Verdana" w:cs="Arial"/>
          <w:color w:val="000000" w:themeColor="text1"/>
          <w:sz w:val="22"/>
          <w:szCs w:val="22"/>
        </w:rPr>
        <w:t>caja</w:t>
      </w:r>
      <w:proofErr w:type="gramEnd"/>
      <w:r w:rsidRPr="00264E65">
        <w:rPr>
          <w:rFonts w:ascii="Verdana" w:hAnsi="Verdana" w:cs="Arial"/>
          <w:color w:val="000000" w:themeColor="text1"/>
          <w:sz w:val="22"/>
          <w:szCs w:val="22"/>
        </w:rPr>
        <w:t xml:space="preserve"> y bancos que según el resultado del ejercicio fue de $</w:t>
      </w:r>
      <w:r w:rsidR="00247CAD" w:rsidRPr="00264E65">
        <w:rPr>
          <w:rFonts w:ascii="Verdana" w:hAnsi="Verdana" w:cs="Arial"/>
          <w:color w:val="000000" w:themeColor="text1"/>
          <w:sz w:val="22"/>
          <w:szCs w:val="22"/>
        </w:rPr>
        <w:t>152</w:t>
      </w:r>
      <w:r w:rsidRPr="00264E65">
        <w:rPr>
          <w:rFonts w:ascii="Verdana" w:hAnsi="Verdana" w:cs="Arial"/>
          <w:color w:val="000000" w:themeColor="text1"/>
          <w:sz w:val="22"/>
          <w:szCs w:val="22"/>
        </w:rPr>
        <w:t xml:space="preserve"> millones y que según las conciliaciones entregadas por el Municipio el saldo según extracto bancario fue de $1.</w:t>
      </w:r>
      <w:r w:rsidR="00247CAD" w:rsidRPr="00264E65">
        <w:rPr>
          <w:rFonts w:ascii="Verdana" w:hAnsi="Verdana" w:cs="Arial"/>
          <w:color w:val="000000" w:themeColor="text1"/>
          <w:sz w:val="22"/>
          <w:szCs w:val="22"/>
        </w:rPr>
        <w:t>154</w:t>
      </w:r>
      <w:r w:rsidRPr="00264E65">
        <w:rPr>
          <w:rFonts w:ascii="Verdana" w:hAnsi="Verdana" w:cs="Arial"/>
          <w:color w:val="000000" w:themeColor="text1"/>
          <w:sz w:val="22"/>
          <w:szCs w:val="22"/>
        </w:rPr>
        <w:t xml:space="preserve"> millones (coincide con el saldo de la Cuenta Maestra entregado por el Ministerio de Vivienda, Ciudad y Territorio), mientras que el saldo en libros contables fue de $</w:t>
      </w:r>
      <w:r w:rsidR="00247CAD" w:rsidRPr="00264E65">
        <w:rPr>
          <w:rFonts w:ascii="Verdana" w:hAnsi="Verdana" w:cs="Arial"/>
          <w:color w:val="000000" w:themeColor="text1"/>
          <w:sz w:val="22"/>
          <w:szCs w:val="22"/>
        </w:rPr>
        <w:t>724</w:t>
      </w:r>
      <w:r w:rsidRPr="00264E65">
        <w:rPr>
          <w:rFonts w:ascii="Verdana" w:hAnsi="Verdana" w:cs="Arial"/>
          <w:color w:val="000000" w:themeColor="text1"/>
          <w:sz w:val="22"/>
          <w:szCs w:val="22"/>
        </w:rPr>
        <w:t xml:space="preserve"> millones, valor que coincide con lo reportado en el formulario de Cierre Fiscal de FUT.</w:t>
      </w:r>
    </w:p>
    <w:p w14:paraId="0105BE00" w14:textId="77777777" w:rsidR="00911C69" w:rsidRPr="00264E65" w:rsidRDefault="00911C69" w:rsidP="00911C69">
      <w:pPr>
        <w:pStyle w:val="Sinespaciado"/>
        <w:ind w:firstLine="708"/>
        <w:contextualSpacing/>
        <w:jc w:val="both"/>
        <w:rPr>
          <w:rFonts w:ascii="Verdana" w:hAnsi="Verdana" w:cs="Arial"/>
          <w:b/>
        </w:rPr>
      </w:pPr>
    </w:p>
    <w:p w14:paraId="5456B847" w14:textId="77777777" w:rsidR="00911C69" w:rsidRPr="00264E65" w:rsidRDefault="00911C69" w:rsidP="00911C69">
      <w:pPr>
        <w:pStyle w:val="Sinespaciado"/>
        <w:ind w:firstLine="708"/>
        <w:contextualSpacing/>
        <w:jc w:val="both"/>
        <w:rPr>
          <w:rFonts w:ascii="Verdana" w:hAnsi="Verdana" w:cs="Arial"/>
          <w:b/>
          <w:i/>
          <w:iCs/>
        </w:rPr>
      </w:pPr>
      <w:r w:rsidRPr="00264E65">
        <w:rPr>
          <w:rFonts w:ascii="Verdana" w:hAnsi="Verdana" w:cs="Arial"/>
          <w:b/>
        </w:rPr>
        <w:t>IV</w:t>
      </w:r>
      <w:r w:rsidRPr="00264E65">
        <w:rPr>
          <w:rFonts w:ascii="Verdana" w:hAnsi="Verdana" w:cs="Arial"/>
          <w:b/>
          <w:i/>
          <w:iCs/>
        </w:rPr>
        <w:t xml:space="preserve">.  </w:t>
      </w:r>
      <w:r w:rsidRPr="00264E65">
        <w:rPr>
          <w:rFonts w:ascii="Verdana" w:hAnsi="Verdana" w:cs="Arial"/>
          <w:b/>
        </w:rPr>
        <w:t>PROBLEMÁTICA</w:t>
      </w:r>
      <w:r w:rsidRPr="00264E65">
        <w:rPr>
          <w:rFonts w:ascii="Verdana" w:hAnsi="Verdana" w:cs="Arial"/>
          <w:b/>
          <w:i/>
          <w:iCs/>
        </w:rPr>
        <w:t>.</w:t>
      </w:r>
    </w:p>
    <w:p w14:paraId="1DE85111" w14:textId="77777777" w:rsidR="00911C69" w:rsidRPr="00264E65" w:rsidRDefault="00911C69" w:rsidP="00911C69">
      <w:pPr>
        <w:pStyle w:val="Sinespaciado"/>
        <w:contextualSpacing/>
        <w:jc w:val="both"/>
        <w:rPr>
          <w:rFonts w:ascii="Verdana" w:hAnsi="Verdana" w:cs="Arial"/>
          <w:b/>
        </w:rPr>
      </w:pPr>
    </w:p>
    <w:p w14:paraId="747AACE0" w14:textId="77777777" w:rsidR="00911C69" w:rsidRPr="00264E65" w:rsidRDefault="00911C69" w:rsidP="00911C69">
      <w:pPr>
        <w:pStyle w:val="Sinespaciado"/>
        <w:contextualSpacing/>
        <w:jc w:val="both"/>
        <w:rPr>
          <w:rFonts w:ascii="Verdana" w:hAnsi="Verdana" w:cs="Arial"/>
        </w:rPr>
      </w:pPr>
      <w:r w:rsidRPr="00264E65">
        <w:rPr>
          <w:rFonts w:ascii="Verdana" w:hAnsi="Verdana" w:cs="Arial"/>
        </w:rPr>
        <w:t>Una vez revisada la información aportada por la Entidad Territorial, se identificaron los siguientes puntos críticos relacionados con el Sector:</w:t>
      </w:r>
    </w:p>
    <w:p w14:paraId="2146F3F4" w14:textId="77777777" w:rsidR="00911C69" w:rsidRPr="00264E65" w:rsidRDefault="00911C69" w:rsidP="00911C69">
      <w:pPr>
        <w:pStyle w:val="Sinespaciado"/>
        <w:contextualSpacing/>
        <w:jc w:val="both"/>
        <w:rPr>
          <w:rFonts w:ascii="Verdana" w:hAnsi="Verdana" w:cs="Arial"/>
        </w:rPr>
      </w:pPr>
    </w:p>
    <w:p w14:paraId="3A09A4BE" w14:textId="77777777" w:rsidR="00911C69" w:rsidRPr="00264E65" w:rsidRDefault="00911C69" w:rsidP="00911C69">
      <w:pPr>
        <w:pStyle w:val="Prrafodelista"/>
        <w:numPr>
          <w:ilvl w:val="0"/>
          <w:numId w:val="20"/>
        </w:numPr>
        <w:jc w:val="both"/>
        <w:rPr>
          <w:rFonts w:ascii="Verdana" w:hAnsi="Verdana" w:cs="Arial"/>
          <w:sz w:val="22"/>
          <w:szCs w:val="22"/>
        </w:rPr>
      </w:pPr>
      <w:r w:rsidRPr="00264E65">
        <w:rPr>
          <w:rFonts w:ascii="Verdana" w:hAnsi="Verdana" w:cs="Arial"/>
          <w:sz w:val="22"/>
          <w:szCs w:val="22"/>
        </w:rPr>
        <w:t>Existen diferencias en los valores de las ejecuciones presupuestales de ingresos y la información reportada a CUIPO para la vigencia 2021</w:t>
      </w:r>
      <w:r w:rsidR="00247CAD" w:rsidRPr="00264E65">
        <w:rPr>
          <w:rFonts w:ascii="Verdana" w:hAnsi="Verdana" w:cs="Arial"/>
          <w:sz w:val="22"/>
          <w:szCs w:val="22"/>
        </w:rPr>
        <w:t xml:space="preserve"> y 2022</w:t>
      </w:r>
      <w:r w:rsidRPr="00264E65">
        <w:rPr>
          <w:rFonts w:ascii="Verdana" w:hAnsi="Verdana" w:cs="Arial"/>
          <w:sz w:val="22"/>
          <w:szCs w:val="22"/>
        </w:rPr>
        <w:t xml:space="preserve">, igualmente, se encontraron diferencias en los valores de las ejecuciones presupuestales de gastos y la información reportada </w:t>
      </w:r>
      <w:r w:rsidR="00247CAD" w:rsidRPr="00264E65">
        <w:rPr>
          <w:rFonts w:ascii="Verdana" w:hAnsi="Verdana" w:cs="Arial"/>
          <w:sz w:val="22"/>
          <w:szCs w:val="22"/>
        </w:rPr>
        <w:t>en</w:t>
      </w:r>
      <w:r w:rsidRPr="00264E65">
        <w:rPr>
          <w:rFonts w:ascii="Verdana" w:hAnsi="Verdana" w:cs="Arial"/>
          <w:sz w:val="22"/>
          <w:szCs w:val="22"/>
        </w:rPr>
        <w:t xml:space="preserve"> CUIPO para 2021. También es necesario mencionar que el Municipio no ha cumplido con la obligación de cargar la información correspondiente a los sistemas de información previstos por el Gobierno Nacional, ya que no cargó al FUT la información de la Categoría de Cierre Fiscal de las vigencias 2019 y 2020.</w:t>
      </w:r>
    </w:p>
    <w:p w14:paraId="1F01E358" w14:textId="77777777" w:rsidR="00911C69" w:rsidRPr="00264E65" w:rsidRDefault="00911C69" w:rsidP="00911C69">
      <w:pPr>
        <w:pStyle w:val="Prrafodelista"/>
        <w:jc w:val="both"/>
        <w:rPr>
          <w:rFonts w:ascii="Verdana" w:hAnsi="Verdana" w:cs="Arial"/>
          <w:sz w:val="22"/>
          <w:szCs w:val="22"/>
        </w:rPr>
      </w:pPr>
    </w:p>
    <w:p w14:paraId="267B640A" w14:textId="77777777" w:rsidR="00911C69" w:rsidRPr="00264E65" w:rsidRDefault="00911C69" w:rsidP="00911C69">
      <w:pPr>
        <w:pStyle w:val="Prrafodelista"/>
        <w:numPr>
          <w:ilvl w:val="0"/>
          <w:numId w:val="20"/>
        </w:numPr>
        <w:jc w:val="both"/>
        <w:rPr>
          <w:rFonts w:ascii="Verdana" w:eastAsiaTheme="minorHAnsi" w:hAnsi="Verdana" w:cs="Arial"/>
          <w:sz w:val="22"/>
          <w:szCs w:val="22"/>
          <w:lang w:val="es-419"/>
        </w:rPr>
      </w:pPr>
      <w:r w:rsidRPr="00264E65">
        <w:rPr>
          <w:rStyle w:val="cf01"/>
          <w:rFonts w:ascii="Verdana" w:hAnsi="Verdana" w:cs="Arial"/>
          <w:sz w:val="22"/>
          <w:szCs w:val="22"/>
          <w:lang w:val="es-419"/>
        </w:rPr>
        <w:t xml:space="preserve">En las ejecuciones presupuestales de ingresos, las únicas contribuciones que aparecen son las de la Empresa Aguas de la Sabana de Bogotá S.A. E.S.P. pese a que por medio de la contabilidad del FSRI entregada por el Municipio, se vio que la Empresa COJARDÍN S.A. E.S.P. realiza transferencias por los Servicios </w:t>
      </w:r>
      <w:r w:rsidRPr="00264E65">
        <w:rPr>
          <w:rStyle w:val="cf01"/>
          <w:rFonts w:ascii="Verdana" w:hAnsi="Verdana" w:cs="Arial"/>
          <w:sz w:val="22"/>
          <w:szCs w:val="22"/>
          <w:lang w:val="es-419"/>
        </w:rPr>
        <w:lastRenderedPageBreak/>
        <w:t xml:space="preserve">de Acueducto, Alcantarillado y Aseo y la Empresa </w:t>
      </w:r>
      <w:proofErr w:type="spellStart"/>
      <w:r w:rsidRPr="00264E65">
        <w:rPr>
          <w:rStyle w:val="cf01"/>
          <w:rFonts w:ascii="Verdana" w:hAnsi="Verdana" w:cs="Arial"/>
          <w:sz w:val="22"/>
          <w:szCs w:val="22"/>
          <w:lang w:val="es-419"/>
        </w:rPr>
        <w:t>Ecoservicios</w:t>
      </w:r>
      <w:proofErr w:type="spellEnd"/>
      <w:r w:rsidRPr="00264E65">
        <w:rPr>
          <w:rStyle w:val="cf01"/>
          <w:rFonts w:ascii="Verdana" w:hAnsi="Verdana" w:cs="Arial"/>
          <w:sz w:val="22"/>
          <w:szCs w:val="22"/>
          <w:lang w:val="es-419"/>
        </w:rPr>
        <w:t xml:space="preserve"> de Occidente S.A.S. E.S.P. por el Servicio de Aseo. D</w:t>
      </w:r>
      <w:r w:rsidRPr="00264E65">
        <w:rPr>
          <w:rFonts w:ascii="Verdana" w:hAnsi="Verdana" w:cs="Arial"/>
          <w:sz w:val="22"/>
          <w:szCs w:val="22"/>
        </w:rPr>
        <w:t xml:space="preserve">el mismo modo, en las cuentas del Fondo de Solidaridad y Redistribución del Ingreso que se pueden ver a través de las ejecuciones presupuestales de ingresos, tampoco fue posible ver las contribuciones recaudadas por la prestación de los Servicios de Acueducto, Alcantarillado y Aseo por parte de la Empresa de Servicios Públicos de Cota EMSERCOTA S.A. E.S.P, pese a que la Ley 142 de 1994 </w:t>
      </w:r>
      <w:r w:rsidRPr="00264E65">
        <w:rPr>
          <w:rFonts w:ascii="Verdana" w:eastAsia="Calibri" w:hAnsi="Verdana" w:cs="Arial"/>
          <w:sz w:val="22"/>
          <w:szCs w:val="22"/>
          <w:lang w:val="es-CO"/>
        </w:rPr>
        <w:t>establece obligaciones a los prestadores de servicios públicos, convirtiéndolos en agentes recaudadores del tributo municipal denominado “</w:t>
      </w:r>
      <w:r w:rsidRPr="00264E65">
        <w:rPr>
          <w:rFonts w:ascii="Verdana" w:eastAsia="Calibri" w:hAnsi="Verdana" w:cs="Arial"/>
          <w:i/>
          <w:iCs/>
          <w:sz w:val="22"/>
          <w:szCs w:val="22"/>
          <w:lang w:val="es-CO"/>
        </w:rPr>
        <w:t>factor</w:t>
      </w:r>
      <w:r w:rsidRPr="00264E65">
        <w:rPr>
          <w:rFonts w:ascii="Verdana" w:eastAsia="Calibri" w:hAnsi="Verdana" w:cs="Arial"/>
          <w:sz w:val="22"/>
          <w:szCs w:val="22"/>
          <w:lang w:val="es-CO"/>
        </w:rPr>
        <w:t>” y posteriormente “</w:t>
      </w:r>
      <w:r w:rsidRPr="00264E65">
        <w:rPr>
          <w:rFonts w:ascii="Verdana" w:eastAsia="Calibri" w:hAnsi="Verdana" w:cs="Arial"/>
          <w:i/>
          <w:iCs/>
          <w:sz w:val="22"/>
          <w:szCs w:val="22"/>
          <w:lang w:val="es-CO"/>
        </w:rPr>
        <w:t>Contribución</w:t>
      </w:r>
      <w:r w:rsidRPr="00264E65">
        <w:rPr>
          <w:rFonts w:ascii="Verdana" w:eastAsia="Calibri" w:hAnsi="Verdana" w:cs="Arial"/>
          <w:sz w:val="22"/>
          <w:szCs w:val="22"/>
          <w:lang w:val="es-CO"/>
        </w:rPr>
        <w:t xml:space="preserve"> </w:t>
      </w:r>
      <w:r w:rsidRPr="00264E65">
        <w:rPr>
          <w:rFonts w:ascii="Verdana" w:eastAsia="Calibri" w:hAnsi="Verdana" w:cs="Arial"/>
          <w:i/>
          <w:iCs/>
          <w:sz w:val="22"/>
          <w:szCs w:val="22"/>
          <w:lang w:val="es-CO"/>
        </w:rPr>
        <w:t>Solidaria</w:t>
      </w:r>
      <w:r w:rsidRPr="00264E65">
        <w:rPr>
          <w:rFonts w:ascii="Verdana" w:eastAsia="Calibri" w:hAnsi="Verdana" w:cs="Arial"/>
          <w:sz w:val="22"/>
          <w:szCs w:val="22"/>
          <w:lang w:val="es-CO"/>
        </w:rPr>
        <w:t xml:space="preserve">”, la cual debe hacer trámite presupuestal en el Municipio y específicamente en el Fondo de Solidaridad y Redistribución del Ingreso (su ejecución podría ser sin situación de fondos), para que esos recursos apliquen contablemente como fuente de los subsidios otorgados. Así mismo, cabe resaltar que, ni por medio de las ejecuciones presupuestales ni de la contabilidad de los FSRI fue posible ver contribuciones por parte de la Empresa </w:t>
      </w:r>
      <w:proofErr w:type="spellStart"/>
      <w:r w:rsidRPr="00264E65">
        <w:rPr>
          <w:rFonts w:ascii="Verdana" w:eastAsia="Calibri" w:hAnsi="Verdana" w:cs="Arial"/>
          <w:sz w:val="22"/>
          <w:szCs w:val="22"/>
        </w:rPr>
        <w:t>Interaseo</w:t>
      </w:r>
      <w:proofErr w:type="spellEnd"/>
      <w:r w:rsidRPr="00264E65">
        <w:rPr>
          <w:rFonts w:ascii="Verdana" w:eastAsia="Calibri" w:hAnsi="Verdana" w:cs="Arial"/>
          <w:sz w:val="22"/>
          <w:szCs w:val="22"/>
        </w:rPr>
        <w:t xml:space="preserve"> S.A.S. ESP.</w:t>
      </w:r>
    </w:p>
    <w:p w14:paraId="66B98888" w14:textId="77777777" w:rsidR="00911C69" w:rsidRPr="00264E65" w:rsidRDefault="00911C69" w:rsidP="00911C69">
      <w:pPr>
        <w:jc w:val="both"/>
        <w:rPr>
          <w:rFonts w:ascii="Verdana" w:eastAsiaTheme="minorHAnsi" w:hAnsi="Verdana" w:cs="Arial"/>
          <w:sz w:val="22"/>
          <w:szCs w:val="22"/>
          <w:lang w:val="es-419"/>
        </w:rPr>
      </w:pPr>
    </w:p>
    <w:p w14:paraId="76B7AC62" w14:textId="77777777" w:rsidR="00911C69" w:rsidRPr="00264E65" w:rsidRDefault="00911C69" w:rsidP="00911C69">
      <w:pPr>
        <w:pStyle w:val="Prrafodelista"/>
        <w:numPr>
          <w:ilvl w:val="0"/>
          <w:numId w:val="8"/>
        </w:numPr>
        <w:jc w:val="both"/>
        <w:rPr>
          <w:rFonts w:ascii="Verdana" w:eastAsiaTheme="minorHAnsi" w:hAnsi="Verdana" w:cs="Arial"/>
          <w:sz w:val="22"/>
          <w:szCs w:val="22"/>
          <w:lang w:val="es-419"/>
        </w:rPr>
      </w:pPr>
      <w:r w:rsidRPr="00264E65">
        <w:rPr>
          <w:rStyle w:val="cf01"/>
          <w:rFonts w:ascii="Verdana" w:hAnsi="Verdana" w:cs="Arial"/>
          <w:sz w:val="22"/>
          <w:szCs w:val="22"/>
          <w:lang w:val="es-419"/>
        </w:rPr>
        <w:t xml:space="preserve">La Tesorera Municipal envió un documento que hace constar que a 31 de diciembre de 2021 </w:t>
      </w:r>
      <w:r w:rsidRPr="00264E65">
        <w:rPr>
          <w:rFonts w:ascii="Verdana" w:eastAsia="Arial" w:hAnsi="Verdana" w:cs="Arial"/>
          <w:sz w:val="22"/>
          <w:szCs w:val="22"/>
        </w:rPr>
        <w:t xml:space="preserve">las Empresas: Aguas de la Sabana de Bogotá S.A. ESP, </w:t>
      </w:r>
      <w:proofErr w:type="spellStart"/>
      <w:r w:rsidRPr="00264E65">
        <w:rPr>
          <w:rFonts w:ascii="Verdana" w:eastAsia="Arial" w:hAnsi="Verdana" w:cs="Arial"/>
          <w:sz w:val="22"/>
          <w:szCs w:val="22"/>
        </w:rPr>
        <w:t>Interaseo</w:t>
      </w:r>
      <w:proofErr w:type="spellEnd"/>
      <w:r w:rsidRPr="00264E65">
        <w:rPr>
          <w:rFonts w:ascii="Verdana" w:eastAsia="Arial" w:hAnsi="Verdana" w:cs="Arial"/>
          <w:sz w:val="22"/>
          <w:szCs w:val="22"/>
        </w:rPr>
        <w:t xml:space="preserve"> S.A.S. ESP y </w:t>
      </w:r>
      <w:proofErr w:type="spellStart"/>
      <w:r w:rsidRPr="00264E65">
        <w:rPr>
          <w:rFonts w:ascii="Verdana" w:eastAsia="Arial" w:hAnsi="Verdana" w:cs="Arial"/>
          <w:sz w:val="22"/>
          <w:szCs w:val="22"/>
        </w:rPr>
        <w:t>Ecoservicios</w:t>
      </w:r>
      <w:proofErr w:type="spellEnd"/>
      <w:r w:rsidRPr="00264E65">
        <w:rPr>
          <w:rFonts w:ascii="Verdana" w:eastAsia="Arial" w:hAnsi="Verdana" w:cs="Arial"/>
          <w:sz w:val="22"/>
          <w:szCs w:val="22"/>
        </w:rPr>
        <w:t xml:space="preserve"> de Occidente S.A.S. ESP, adeudaban al Fondo de Solidaridad y Redistribución del Ingreso la suma de $1.183 millones.</w:t>
      </w:r>
    </w:p>
    <w:p w14:paraId="7F5D29C7" w14:textId="77777777" w:rsidR="00911C69" w:rsidRPr="00264E65" w:rsidRDefault="00911C69" w:rsidP="00911C69">
      <w:pPr>
        <w:jc w:val="both"/>
        <w:rPr>
          <w:rFonts w:ascii="Verdana" w:eastAsiaTheme="minorHAnsi" w:hAnsi="Verdana" w:cs="Arial"/>
          <w:sz w:val="22"/>
          <w:szCs w:val="22"/>
          <w:lang w:val="es-419"/>
        </w:rPr>
      </w:pPr>
    </w:p>
    <w:p w14:paraId="3418B300" w14:textId="77777777" w:rsidR="00911C69" w:rsidRPr="00264E65" w:rsidRDefault="00911C69" w:rsidP="00911C69">
      <w:pPr>
        <w:pStyle w:val="Prrafodelista"/>
        <w:numPr>
          <w:ilvl w:val="0"/>
          <w:numId w:val="20"/>
        </w:numPr>
        <w:jc w:val="both"/>
        <w:rPr>
          <w:rStyle w:val="cf01"/>
          <w:rFonts w:ascii="Verdana" w:eastAsiaTheme="minorHAnsi" w:hAnsi="Verdana" w:cs="Arial"/>
          <w:sz w:val="22"/>
          <w:szCs w:val="22"/>
          <w:lang w:val="es-419"/>
        </w:rPr>
      </w:pPr>
      <w:r w:rsidRPr="00264E65">
        <w:rPr>
          <w:rStyle w:val="cf01"/>
          <w:rFonts w:ascii="Verdana" w:hAnsi="Verdana" w:cs="Arial"/>
          <w:sz w:val="22"/>
          <w:szCs w:val="22"/>
          <w:lang w:val="es-419"/>
        </w:rPr>
        <w:t>Por medio del SECOP y a partir de la información entregada por la Entidad Territorial, se pudo conocer que el último contrato para la transferencia de subsidios con el operador EMSERCOTA S.A. E.S.P. data de 2019, Igualmente, el Municipio no remitió, ni se encontraron convenios para la transferencia de subsidios suscritos con otros operadores, ni facturas de estos.</w:t>
      </w:r>
    </w:p>
    <w:p w14:paraId="3297DCA5" w14:textId="77777777" w:rsidR="00911C69" w:rsidRPr="00264E65" w:rsidRDefault="00911C69" w:rsidP="00911C69">
      <w:pPr>
        <w:pStyle w:val="Prrafodelista"/>
        <w:jc w:val="both"/>
        <w:rPr>
          <w:rStyle w:val="cf01"/>
          <w:rFonts w:ascii="Verdana" w:eastAsiaTheme="minorHAnsi" w:hAnsi="Verdana" w:cs="Arial"/>
          <w:sz w:val="22"/>
          <w:szCs w:val="22"/>
          <w:lang w:val="es-419"/>
        </w:rPr>
      </w:pPr>
    </w:p>
    <w:p w14:paraId="06F87106" w14:textId="77777777" w:rsidR="00911C69" w:rsidRPr="00264E65" w:rsidRDefault="00911C69" w:rsidP="00911C69">
      <w:pPr>
        <w:pStyle w:val="Prrafodelista"/>
        <w:numPr>
          <w:ilvl w:val="0"/>
          <w:numId w:val="20"/>
        </w:numPr>
        <w:autoSpaceDE w:val="0"/>
        <w:autoSpaceDN w:val="0"/>
        <w:adjustRightInd w:val="0"/>
        <w:jc w:val="both"/>
        <w:rPr>
          <w:rFonts w:ascii="Verdana" w:eastAsiaTheme="minorHAnsi" w:hAnsi="Verdana" w:cs="Arial"/>
          <w:sz w:val="22"/>
          <w:szCs w:val="22"/>
          <w:lang w:val="es-419"/>
        </w:rPr>
      </w:pPr>
      <w:r w:rsidRPr="00264E65">
        <w:rPr>
          <w:rStyle w:val="cf01"/>
          <w:rFonts w:ascii="Verdana" w:hAnsi="Verdana" w:cs="Arial"/>
          <w:sz w:val="22"/>
          <w:szCs w:val="22"/>
          <w:lang w:val="es-419"/>
        </w:rPr>
        <w:t xml:space="preserve">El Municipio suscribió el Convenio No. 747 de 2019 cuyo objeto consistió en “Transferencia de los recursos del Municipio de Cota – Cundinamarca a la Empresa de Servicios Públicos de Cota EMSERCOTA S.A. E.S.P., con desembolso de los recursos que se apropien, destinados a subsidiar las conexiones domiciliarias del servicio de aseo, acueducto y alcantarillado en la cabecera Municipal”, por valor de $9.953 millones, convenio en el que se invirtieron recursos, tal como indica el correspondiente CDP y RP, que tenían como fuente principalmente, las transferencias realizadas por la empresa Aguas de la Sabana S.A. E.S.P. por los Servicios de Acueducto, Alcantarillado y Aseo. Sin embargo, dichos recursos corresponderían a superávit en los FSRI por concepto de aportes solidarios y según </w:t>
      </w:r>
      <w:r w:rsidRPr="00264E65">
        <w:rPr>
          <w:rFonts w:ascii="Verdana" w:hAnsi="Verdana" w:cs="Arial"/>
          <w:sz w:val="22"/>
          <w:szCs w:val="22"/>
          <w:lang w:val="es-419"/>
        </w:rPr>
        <w:t xml:space="preserve">lo establecido en el </w:t>
      </w:r>
      <w:r w:rsidRPr="00264E65">
        <w:rPr>
          <w:rFonts w:ascii="Verdana" w:hAnsi="Verdana" w:cs="Arial"/>
          <w:bCs/>
          <w:sz w:val="22"/>
          <w:szCs w:val="22"/>
          <w:lang w:val="es-419"/>
        </w:rPr>
        <w:t xml:space="preserve">artículo 2.3.4.1.4.15. del Decreto 1077 de 2015, estos solo pueden ser destinados a cubrir déficits en subsidios y </w:t>
      </w:r>
      <w:r w:rsidRPr="00264E65">
        <w:rPr>
          <w:rFonts w:ascii="Verdana" w:hAnsi="Verdana" w:cs="Arial"/>
          <w:sz w:val="22"/>
          <w:szCs w:val="22"/>
          <w:lang w:val="es-419"/>
        </w:rPr>
        <w:t xml:space="preserve">no subsidios para los cargos por aportes de conexión domiciliaria (incluyendo la acometida y el medidor de los estratos 1, </w:t>
      </w:r>
      <w:r w:rsidRPr="00264E65">
        <w:rPr>
          <w:rFonts w:ascii="Verdana" w:hAnsi="Verdana" w:cs="Arial"/>
          <w:sz w:val="22"/>
          <w:szCs w:val="22"/>
          <w:lang w:val="es-419"/>
        </w:rPr>
        <w:lastRenderedPageBreak/>
        <w:t xml:space="preserve">2 y 3, ya que, si bien, el artículo 2.3.4.1.1.3. del Decreto 1077 de 2015 menciona que estos son objeto de subsidio, este concepto no correspondía a un déficit por subsidios y, por tanto, no se debía financiar con los recursos de superávit en el Fondo de Solidaridad y Redistribución de Ingresos por concepto de aportes solidarios, ni la adición y prórroga del Convenio No. 747 de 2019 celebrada en la vigencia </w:t>
      </w:r>
      <w:r w:rsidRPr="00264E65">
        <w:rPr>
          <w:rFonts w:ascii="Verdana" w:hAnsi="Verdana" w:cs="Arial"/>
          <w:color w:val="000000" w:themeColor="text1"/>
          <w:sz w:val="22"/>
          <w:szCs w:val="22"/>
          <w:lang w:val="es-419"/>
        </w:rPr>
        <w:t xml:space="preserve">2021. Adicionalmente, teniendo en cuenta que según el CDP y RP del Convenio No. 747 de 2019, se invirtieron recursos de la participación para APSB del SGP ($25 millones inicialmente y $37 millones a través de la Adición y prórroga No. 01), es importante indicar que el cambio de medidores y la entrega de </w:t>
      </w:r>
      <w:r w:rsidRPr="00264E65">
        <w:rPr>
          <w:rFonts w:ascii="Verdana" w:hAnsi="Verdana" w:cs="Arial"/>
          <w:color w:val="000000" w:themeColor="text1"/>
          <w:sz w:val="22"/>
          <w:szCs w:val="22"/>
          <w:lang w:val="es-CO" w:eastAsia="en-US"/>
        </w:rPr>
        <w:t>contenedores de 35 litros para la realización de una adecuada separación en la fuente de los residuos sólidos que se producen en cada hogar no son actividades financiables con los recursos para APSB del SGP, razón por la cual, se configuró un cambio en la destinación de los recursos.</w:t>
      </w:r>
    </w:p>
    <w:p w14:paraId="0414A6CF" w14:textId="77777777" w:rsidR="00911C69" w:rsidRPr="00264E65" w:rsidRDefault="00911C69" w:rsidP="00911C69">
      <w:pPr>
        <w:pStyle w:val="Sinespaciado"/>
        <w:contextualSpacing/>
        <w:jc w:val="both"/>
        <w:rPr>
          <w:rFonts w:ascii="Verdana" w:hAnsi="Verdana" w:cs="Arial"/>
          <w:bCs/>
        </w:rPr>
      </w:pPr>
    </w:p>
    <w:p w14:paraId="27500C72"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Durante la vigencia 2019, el Municipio realizó un pago por concepto de “</w:t>
      </w:r>
      <w:r w:rsidRPr="00264E65">
        <w:rPr>
          <w:rFonts w:ascii="Verdana" w:hAnsi="Verdana" w:cs="Arial"/>
          <w:i/>
          <w:iCs/>
          <w:sz w:val="22"/>
          <w:szCs w:val="22"/>
        </w:rPr>
        <w:t>Capitalización de acciones en la Empresa de Servicios Públicos de Cota EMSERCOTA S.A con Acta de Asamblea General de Accionistas Extraordinaria N003 de 2019</w:t>
      </w:r>
      <w:r w:rsidRPr="00264E65">
        <w:rPr>
          <w:rFonts w:ascii="Verdana" w:hAnsi="Verdana" w:cs="Arial"/>
          <w:sz w:val="22"/>
          <w:szCs w:val="22"/>
        </w:rPr>
        <w:t>”; la cual, es una actividad no financiable con los recursos de la Participación APSB porque no está incluida en el artículo 11 de la Ley 1176 de 2007, razón por la cual, constituye un cambio en la destinación de los recursos del SGP – APSB.</w:t>
      </w:r>
    </w:p>
    <w:p w14:paraId="44FA4290" w14:textId="77777777" w:rsidR="00911C69" w:rsidRPr="00264E65" w:rsidRDefault="00911C69" w:rsidP="00911C69">
      <w:pPr>
        <w:jc w:val="both"/>
        <w:rPr>
          <w:rFonts w:ascii="Verdana" w:hAnsi="Verdana" w:cs="Arial"/>
          <w:sz w:val="22"/>
          <w:szCs w:val="22"/>
        </w:rPr>
      </w:pPr>
    </w:p>
    <w:p w14:paraId="4FD85D49"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El Municipio no cumplió</w:t>
      </w:r>
      <w:r w:rsidRPr="00264E65">
        <w:rPr>
          <w:rFonts w:ascii="Verdana" w:hAnsi="Verdana" w:cs="Arial"/>
          <w:bCs/>
          <w:sz w:val="22"/>
          <w:szCs w:val="22"/>
        </w:rPr>
        <w:t xml:space="preserve"> en la vigencia 2021 con lo establecido en el parágrafo 2 del artículo 11 de la Ley 1176 de 2007 sobre la destinación de mínimo el 15 % de los recursos de la Participación para APSB del SGP </w:t>
      </w:r>
      <w:r w:rsidRPr="00264E65">
        <w:rPr>
          <w:rFonts w:ascii="Verdana" w:hAnsi="Verdana" w:cs="Arial"/>
          <w:sz w:val="22"/>
          <w:szCs w:val="22"/>
        </w:rPr>
        <w:t>en la financiación de subsidios para los Servicios de Acueducto, Alcantarillado y Aseo.</w:t>
      </w:r>
    </w:p>
    <w:p w14:paraId="3A7FA498" w14:textId="77777777" w:rsidR="00911C69" w:rsidRPr="00264E65" w:rsidRDefault="00911C69" w:rsidP="00911C69">
      <w:pPr>
        <w:rPr>
          <w:rFonts w:ascii="Verdana" w:hAnsi="Verdana" w:cs="Arial"/>
          <w:sz w:val="22"/>
          <w:szCs w:val="22"/>
        </w:rPr>
      </w:pPr>
    </w:p>
    <w:p w14:paraId="4DDA2459"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El Municipio de Cota – Cundinamarca no ha cumplido la normatividad relacionada con la publicación en el SECOP de los documentos del proceso y los actos administrativos de los procesos de contratación dentro de los tres días siguientes a su expedición.</w:t>
      </w:r>
    </w:p>
    <w:p w14:paraId="44B14EF6" w14:textId="77777777" w:rsidR="00911C69" w:rsidRPr="00264E65" w:rsidRDefault="00911C69" w:rsidP="00911C69">
      <w:pPr>
        <w:jc w:val="both"/>
        <w:rPr>
          <w:rFonts w:ascii="Verdana" w:hAnsi="Verdana" w:cs="Arial"/>
          <w:sz w:val="22"/>
          <w:szCs w:val="22"/>
        </w:rPr>
      </w:pPr>
    </w:p>
    <w:p w14:paraId="612F0B08" w14:textId="77777777" w:rsidR="00911C69" w:rsidRPr="00264E65" w:rsidRDefault="00911C69" w:rsidP="00911C69">
      <w:pPr>
        <w:pStyle w:val="Sinespaciado"/>
        <w:contextualSpacing/>
        <w:jc w:val="both"/>
        <w:rPr>
          <w:rFonts w:ascii="Verdana" w:hAnsi="Verdana" w:cs="Arial"/>
          <w:b/>
        </w:rPr>
      </w:pPr>
      <w:r w:rsidRPr="00264E65">
        <w:rPr>
          <w:rFonts w:ascii="Verdana" w:hAnsi="Verdana" w:cs="Arial"/>
          <w:b/>
        </w:rPr>
        <w:t>V. CONCLUSIONES Y RECOMENDACIÓN DE MEDIDA.</w:t>
      </w:r>
    </w:p>
    <w:p w14:paraId="64C71FAD" w14:textId="77777777" w:rsidR="00911C69" w:rsidRPr="00264E65" w:rsidRDefault="00911C69" w:rsidP="00911C69">
      <w:pPr>
        <w:contextualSpacing/>
        <w:jc w:val="both"/>
        <w:rPr>
          <w:rFonts w:ascii="Verdana" w:hAnsi="Verdana" w:cs="Arial"/>
          <w:sz w:val="22"/>
          <w:szCs w:val="22"/>
          <w:lang w:val="es-CO"/>
        </w:rPr>
      </w:pPr>
    </w:p>
    <w:p w14:paraId="46170DA8" w14:textId="77777777" w:rsidR="00911C69" w:rsidRPr="00264E65" w:rsidRDefault="00911C69" w:rsidP="00911C69">
      <w:pPr>
        <w:contextualSpacing/>
        <w:jc w:val="both"/>
        <w:rPr>
          <w:rFonts w:ascii="Verdana" w:eastAsia="Times New Roman" w:hAnsi="Verdana" w:cs="Arial"/>
          <w:sz w:val="22"/>
          <w:szCs w:val="22"/>
          <w:lang w:val="es-CO" w:eastAsia="en-US"/>
        </w:rPr>
      </w:pPr>
      <w:r w:rsidRPr="00264E65">
        <w:rPr>
          <w:rFonts w:ascii="Verdana" w:eastAsia="Times New Roman" w:hAnsi="Verdana" w:cs="Arial"/>
          <w:sz w:val="22"/>
          <w:szCs w:val="22"/>
          <w:lang w:val="es-CO" w:eastAsia="en-US"/>
        </w:rPr>
        <w:t>En conclusión, los eventos de riesgo encontrados en el Municipio de Cota - Cundinamarca, con ocasión del análisis de la información presentada por la Administración Municipal, están relacionados con aspectos particulares y con gestión.</w:t>
      </w:r>
    </w:p>
    <w:p w14:paraId="7D73CFC0" w14:textId="77777777" w:rsidR="00911C69" w:rsidRPr="00264E65" w:rsidRDefault="00911C69" w:rsidP="00911C69">
      <w:pPr>
        <w:contextualSpacing/>
        <w:jc w:val="both"/>
        <w:rPr>
          <w:rFonts w:ascii="Verdana" w:hAnsi="Verdana" w:cs="Arial"/>
          <w:sz w:val="22"/>
          <w:szCs w:val="22"/>
          <w:lang w:val="es-CO"/>
        </w:rPr>
      </w:pPr>
    </w:p>
    <w:p w14:paraId="5EF60444" w14:textId="77777777" w:rsidR="00911C69" w:rsidRPr="00264E65" w:rsidRDefault="00911C69" w:rsidP="00911C69">
      <w:pPr>
        <w:tabs>
          <w:tab w:val="left" w:pos="8460"/>
        </w:tabs>
        <w:contextualSpacing/>
        <w:jc w:val="both"/>
        <w:rPr>
          <w:rFonts w:ascii="Verdana" w:eastAsia="Times New Roman" w:hAnsi="Verdana" w:cs="Arial"/>
          <w:sz w:val="22"/>
          <w:szCs w:val="22"/>
          <w:lang w:val="es-CO" w:eastAsia="en-US"/>
        </w:rPr>
      </w:pPr>
      <w:r w:rsidRPr="00264E65">
        <w:rPr>
          <w:rFonts w:ascii="Verdana" w:hAnsi="Verdana" w:cs="Arial"/>
          <w:sz w:val="22"/>
          <w:szCs w:val="22"/>
          <w:lang w:val="es-CO"/>
        </w:rPr>
        <w:t xml:space="preserve">Las diferencias en los valores de las ejecuciones presupuestales y la información reportada al FUT para las vigencias 2019 y 2020 y a CUIPO para 2021; el no cumplimiento </w:t>
      </w:r>
      <w:r w:rsidRPr="00264E65">
        <w:rPr>
          <w:rFonts w:ascii="Verdana" w:hAnsi="Verdana" w:cs="Arial"/>
          <w:sz w:val="22"/>
          <w:szCs w:val="22"/>
        </w:rPr>
        <w:t xml:space="preserve">con la obligación de cargar la información correspondiente a los </w:t>
      </w:r>
      <w:r w:rsidRPr="00264E65">
        <w:rPr>
          <w:rFonts w:ascii="Verdana" w:hAnsi="Verdana" w:cs="Arial"/>
          <w:sz w:val="22"/>
          <w:szCs w:val="22"/>
        </w:rPr>
        <w:lastRenderedPageBreak/>
        <w:t xml:space="preserve">sistemas de información previstos por el Gobierno Nacional; el haber financiado actividades no elegibles como la capitalización de EMSERCOTA S.A. </w:t>
      </w:r>
      <w:r w:rsidRPr="00264E65">
        <w:rPr>
          <w:rFonts w:ascii="Verdana" w:hAnsi="Verdana" w:cs="Arial"/>
          <w:color w:val="000000" w:themeColor="text1"/>
          <w:sz w:val="22"/>
          <w:szCs w:val="22"/>
        </w:rPr>
        <w:t>E.S.P., el cambio de medidores y</w:t>
      </w:r>
      <w:r w:rsidRPr="00264E65">
        <w:rPr>
          <w:rFonts w:ascii="Verdana" w:hAnsi="Verdana" w:cs="Arial"/>
          <w:color w:val="000000" w:themeColor="text1"/>
          <w:sz w:val="22"/>
          <w:szCs w:val="22"/>
          <w:lang w:val="es-419"/>
        </w:rPr>
        <w:t xml:space="preserve"> la entrega de </w:t>
      </w:r>
      <w:r w:rsidRPr="00264E65">
        <w:rPr>
          <w:rFonts w:ascii="Verdana" w:hAnsi="Verdana" w:cs="Arial"/>
          <w:color w:val="000000" w:themeColor="text1"/>
          <w:sz w:val="22"/>
          <w:szCs w:val="22"/>
          <w:lang w:val="es-CO" w:eastAsia="en-US"/>
        </w:rPr>
        <w:t>contenedores de 35 litros para la realización de una adecuada separación en la fuente de los residuos sólidos que se producen en cada hogar</w:t>
      </w:r>
      <w:r w:rsidRPr="00264E65">
        <w:rPr>
          <w:rFonts w:ascii="Verdana" w:hAnsi="Verdana" w:cs="Arial"/>
          <w:color w:val="000000" w:themeColor="text1"/>
          <w:sz w:val="22"/>
          <w:szCs w:val="22"/>
        </w:rPr>
        <w:t xml:space="preserve"> con recursos SGP – APSB; el incumplimiento</w:t>
      </w:r>
      <w:r w:rsidRPr="00264E65">
        <w:rPr>
          <w:rFonts w:ascii="Verdana" w:hAnsi="Verdana" w:cs="Arial"/>
          <w:bCs/>
          <w:color w:val="000000" w:themeColor="text1"/>
          <w:sz w:val="22"/>
          <w:szCs w:val="22"/>
        </w:rPr>
        <w:t xml:space="preserve"> en la vigencia 2021 con lo establecido en el parágrafo 2 del artículo 11 </w:t>
      </w:r>
      <w:r w:rsidRPr="00264E65">
        <w:rPr>
          <w:rFonts w:ascii="Verdana" w:hAnsi="Verdana" w:cs="Arial"/>
          <w:bCs/>
          <w:sz w:val="22"/>
          <w:szCs w:val="22"/>
        </w:rPr>
        <w:t xml:space="preserve">de la Ley 1176 de 2007 sobre la destinación de mínimo el 15 % de los recursos de la Participación para APSB del SGP </w:t>
      </w:r>
      <w:r w:rsidRPr="00264E65">
        <w:rPr>
          <w:rFonts w:ascii="Verdana" w:hAnsi="Verdana" w:cs="Arial"/>
          <w:sz w:val="22"/>
          <w:szCs w:val="22"/>
        </w:rPr>
        <w:t>en la financiación de subsidios para los Servicios de Acueducto, Alcantarillado y Ase</w:t>
      </w:r>
      <w:r w:rsidRPr="00264E65">
        <w:rPr>
          <w:rFonts w:ascii="Verdana" w:hAnsi="Verdana" w:cs="Arial"/>
          <w:color w:val="000000" w:themeColor="text1"/>
          <w:sz w:val="22"/>
          <w:szCs w:val="22"/>
        </w:rPr>
        <w:t>o</w:t>
      </w:r>
      <w:r w:rsidRPr="00264E65">
        <w:rPr>
          <w:rFonts w:ascii="Verdana" w:hAnsi="Verdana" w:cs="Arial"/>
          <w:color w:val="000000" w:themeColor="text1"/>
          <w:sz w:val="22"/>
          <w:szCs w:val="22"/>
          <w:lang w:val="es-CO" w:eastAsia="en-US"/>
        </w:rPr>
        <w:t>;</w:t>
      </w:r>
      <w:r w:rsidRPr="00264E65">
        <w:rPr>
          <w:rFonts w:ascii="Verdana" w:hAnsi="Verdana" w:cs="Arial"/>
          <w:color w:val="000000" w:themeColor="text1"/>
          <w:sz w:val="22"/>
          <w:szCs w:val="22"/>
        </w:rPr>
        <w:t xml:space="preserve"> </w:t>
      </w:r>
      <w:r w:rsidRPr="00264E65">
        <w:rPr>
          <w:rFonts w:ascii="Verdana" w:hAnsi="Verdana" w:cs="Arial"/>
          <w:sz w:val="22"/>
          <w:szCs w:val="22"/>
        </w:rPr>
        <w:t xml:space="preserve">y el no cumplir con la normatividad relacionada con la publicación en el SECOP de los documentos del proceso y los actos administrativos de los procesos de contratación dentro de los tres días siguientes a su expedición, </w:t>
      </w:r>
      <w:r w:rsidRPr="00264E65">
        <w:rPr>
          <w:rFonts w:ascii="Verdana" w:eastAsia="Times New Roman" w:hAnsi="Verdana" w:cs="Arial"/>
          <w:sz w:val="22"/>
          <w:szCs w:val="22"/>
          <w:lang w:val="es-CO" w:eastAsia="en-US"/>
        </w:rPr>
        <w:t>son riesgos que se pueden extinguir mejorando la gestión.</w:t>
      </w:r>
    </w:p>
    <w:p w14:paraId="1F0E86F0" w14:textId="77777777" w:rsidR="00911C69" w:rsidRPr="00264E65" w:rsidRDefault="00911C69" w:rsidP="00911C69">
      <w:pPr>
        <w:contextualSpacing/>
        <w:jc w:val="both"/>
        <w:rPr>
          <w:rFonts w:ascii="Verdana" w:eastAsia="Times New Roman" w:hAnsi="Verdana" w:cs="Arial"/>
          <w:sz w:val="22"/>
          <w:szCs w:val="22"/>
          <w:lang w:val="es-CO" w:eastAsia="en-US"/>
        </w:rPr>
      </w:pPr>
    </w:p>
    <w:p w14:paraId="0B5B5DB0" w14:textId="77777777" w:rsidR="00911C69" w:rsidRPr="00264E65" w:rsidRDefault="00911C69" w:rsidP="00911C69">
      <w:pPr>
        <w:contextualSpacing/>
        <w:jc w:val="both"/>
        <w:rPr>
          <w:rFonts w:ascii="Verdana" w:eastAsiaTheme="minorHAnsi" w:hAnsi="Verdana" w:cs="Arial"/>
          <w:sz w:val="22"/>
          <w:szCs w:val="22"/>
          <w:lang w:val="es-CO" w:eastAsia="en-US"/>
        </w:rPr>
      </w:pPr>
      <w:r w:rsidRPr="00264E65">
        <w:rPr>
          <w:rFonts w:ascii="Verdana" w:eastAsia="Times New Roman" w:hAnsi="Verdana" w:cs="Arial"/>
          <w:sz w:val="22"/>
          <w:szCs w:val="22"/>
          <w:lang w:val="es-CO" w:eastAsia="en-US"/>
        </w:rPr>
        <w:t xml:space="preserve">Finalmente, es evidente que el Municipio de Cota – Cundinamarca tiene problemas particulares en el Sector de Agua Potable y Saneamiento Básico, razón por la cual, </w:t>
      </w:r>
      <w:r w:rsidRPr="00264E65">
        <w:rPr>
          <w:rFonts w:ascii="Verdana" w:eastAsiaTheme="minorHAnsi" w:hAnsi="Verdana" w:cs="Arial"/>
          <w:sz w:val="22"/>
          <w:szCs w:val="22"/>
          <w:lang w:val="es-CO" w:eastAsia="en-US"/>
        </w:rPr>
        <w:t>l</w:t>
      </w:r>
      <w:r w:rsidRPr="00264E65">
        <w:rPr>
          <w:rFonts w:ascii="Verdana" w:eastAsia="Times New Roman" w:hAnsi="Verdana" w:cs="Arial"/>
          <w:sz w:val="22"/>
          <w:szCs w:val="22"/>
          <w:lang w:val="es-CO" w:eastAsia="en-US"/>
        </w:rPr>
        <w:t>a Dirección General de Apoyo Fiscal del Ministerio de Hacienda y Crédito Público considera que la medida más eficaz para efectos de extinguir los eventos de riesgo arriba mencionados y lograr un nivel de eficiencia aceptable en la prestación de los servicios públicos domiciliarios del Municipio, es un plan de desempeño de conformidad con lo establecido en los artículos 10 y 12 del Decreto 028 de 2008.</w:t>
      </w:r>
    </w:p>
    <w:p w14:paraId="4B25DAC4" w14:textId="77777777" w:rsidR="00911C69" w:rsidRPr="00264E65" w:rsidRDefault="00911C69" w:rsidP="00911C69">
      <w:pPr>
        <w:contextualSpacing/>
        <w:jc w:val="both"/>
        <w:rPr>
          <w:rFonts w:ascii="Verdana" w:hAnsi="Verdana" w:cs="Arial"/>
          <w:sz w:val="22"/>
          <w:szCs w:val="22"/>
        </w:rPr>
      </w:pPr>
    </w:p>
    <w:p w14:paraId="06466307" w14:textId="77777777" w:rsidR="00911C69" w:rsidRPr="00264E65" w:rsidRDefault="00911C69" w:rsidP="00911C69">
      <w:pPr>
        <w:pStyle w:val="Sinespaciado"/>
        <w:ind w:left="709" w:hanging="1"/>
        <w:contextualSpacing/>
        <w:jc w:val="both"/>
        <w:rPr>
          <w:rFonts w:ascii="Verdana" w:hAnsi="Verdana" w:cs="Arial"/>
          <w:b/>
        </w:rPr>
      </w:pPr>
      <w:r w:rsidRPr="00264E65">
        <w:rPr>
          <w:rStyle w:val="normaltextrun"/>
          <w:rFonts w:ascii="Verdana" w:hAnsi="Verdana" w:cs="Arial"/>
          <w:b/>
          <w:bCs/>
          <w:bdr w:val="none" w:sz="0" w:space="0" w:color="auto" w:frame="1"/>
        </w:rPr>
        <w:t>VI. EVENTOS DE RIESGO IDENTIFICADOS EN EL MARCO DEL DECRETO 028 DE 2008.</w:t>
      </w:r>
    </w:p>
    <w:p w14:paraId="5551C481" w14:textId="77777777" w:rsidR="00911C69" w:rsidRPr="00264E65" w:rsidRDefault="00911C69" w:rsidP="00911C69">
      <w:pPr>
        <w:pStyle w:val="Sinespaciado"/>
        <w:ind w:left="993"/>
        <w:contextualSpacing/>
        <w:jc w:val="both"/>
        <w:rPr>
          <w:rFonts w:ascii="Verdana" w:hAnsi="Verdana" w:cs="Arial"/>
          <w:b/>
        </w:rPr>
      </w:pPr>
    </w:p>
    <w:p w14:paraId="3CEC7536"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EVENTO DE RIESGO 9.1 “</w:t>
      </w:r>
      <w:r w:rsidRPr="00264E65">
        <w:rPr>
          <w:rFonts w:ascii="Verdana" w:hAnsi="Verdana" w:cs="Arial"/>
          <w:b/>
          <w:i/>
          <w:iCs/>
          <w:sz w:val="22"/>
          <w:szCs w:val="22"/>
        </w:rPr>
        <w:t>NO ENVÍO DE INFORMACIÓN CONFORME A LOS PLAZOS, CONDICIONES Y FORMATOS INDICADOS POR EL GOBIERNO NACIONAL Y/O HABER REMITIDO INFORMACIÓN INCOMPLETA Y/O ERRÓNEA</w:t>
      </w:r>
      <w:r w:rsidRPr="00264E65">
        <w:rPr>
          <w:rFonts w:ascii="Verdana" w:hAnsi="Verdana" w:cs="Arial"/>
          <w:b/>
          <w:sz w:val="22"/>
          <w:szCs w:val="22"/>
        </w:rPr>
        <w:t>”.</w:t>
      </w:r>
    </w:p>
    <w:p w14:paraId="5659651E" w14:textId="77777777" w:rsidR="00911C69" w:rsidRPr="00264E65" w:rsidRDefault="00911C69" w:rsidP="00911C69">
      <w:pPr>
        <w:contextualSpacing/>
        <w:jc w:val="both"/>
        <w:rPr>
          <w:rFonts w:ascii="Verdana" w:hAnsi="Verdana" w:cs="Arial"/>
          <w:b/>
          <w:sz w:val="22"/>
          <w:szCs w:val="22"/>
        </w:rPr>
      </w:pPr>
    </w:p>
    <w:p w14:paraId="3E891B32"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CONFIGURACIÓN DEL EVENTO DE RIESGO.</w:t>
      </w:r>
    </w:p>
    <w:p w14:paraId="2CE52B33" w14:textId="77777777" w:rsidR="00911C69" w:rsidRPr="00264E65" w:rsidRDefault="00911C69" w:rsidP="00911C69">
      <w:pPr>
        <w:pStyle w:val="Sinespaciado"/>
        <w:contextualSpacing/>
        <w:jc w:val="both"/>
        <w:rPr>
          <w:rFonts w:ascii="Verdana" w:eastAsia="MS Mincho" w:hAnsi="Verdana" w:cs="Arial"/>
          <w:b/>
          <w:lang w:val="es-ES" w:eastAsia="es-ES"/>
        </w:rPr>
      </w:pPr>
    </w:p>
    <w:p w14:paraId="6EB71BCA" w14:textId="77777777" w:rsidR="00911C69" w:rsidRPr="00264E65" w:rsidRDefault="00911C69" w:rsidP="00911C69">
      <w:pPr>
        <w:pStyle w:val="Prrafodelista"/>
        <w:numPr>
          <w:ilvl w:val="0"/>
          <w:numId w:val="22"/>
        </w:numPr>
        <w:jc w:val="both"/>
        <w:rPr>
          <w:rFonts w:ascii="Verdana" w:hAnsi="Verdana" w:cs="Arial"/>
          <w:b/>
          <w:sz w:val="22"/>
          <w:szCs w:val="22"/>
        </w:rPr>
      </w:pPr>
      <w:r w:rsidRPr="00264E65">
        <w:rPr>
          <w:rFonts w:ascii="Verdana" w:hAnsi="Verdana" w:cs="Arial"/>
          <w:b/>
          <w:sz w:val="22"/>
          <w:szCs w:val="22"/>
        </w:rPr>
        <w:t>EJECUCIÓN PRESUPUESTAL DE INGRESOS</w:t>
      </w:r>
    </w:p>
    <w:p w14:paraId="01B2138A" w14:textId="77777777" w:rsidR="00911C69" w:rsidRPr="00264E65" w:rsidRDefault="00911C69" w:rsidP="00911C69">
      <w:pPr>
        <w:jc w:val="both"/>
        <w:rPr>
          <w:rFonts w:ascii="Verdana" w:hAnsi="Verdana" w:cs="Arial"/>
          <w:sz w:val="22"/>
          <w:szCs w:val="22"/>
        </w:rPr>
      </w:pPr>
    </w:p>
    <w:p w14:paraId="27A4520D" w14:textId="77777777" w:rsidR="00911C69" w:rsidRPr="00264E65" w:rsidRDefault="00911C69" w:rsidP="00911C69">
      <w:pPr>
        <w:spacing w:line="254" w:lineRule="auto"/>
        <w:jc w:val="both"/>
        <w:rPr>
          <w:rFonts w:ascii="Verdana" w:eastAsia="Times New Roman" w:hAnsi="Verdana" w:cs="Arial"/>
          <w:sz w:val="22"/>
          <w:szCs w:val="22"/>
          <w:lang w:val="es-CO"/>
        </w:rPr>
      </w:pPr>
      <w:r w:rsidRPr="00264E65">
        <w:rPr>
          <w:rFonts w:ascii="Verdana" w:eastAsia="Times New Roman" w:hAnsi="Verdana" w:cs="Arial"/>
          <w:sz w:val="22"/>
          <w:szCs w:val="22"/>
          <w:lang w:val="es-CO"/>
        </w:rPr>
        <w:t xml:space="preserve">El Ministerio de Hacienda y Crédito Público en uso de sus facultades legales expidió la Resolución No. 3832 del 18 de octubre de 2019 </w:t>
      </w:r>
      <w:r w:rsidRPr="00264E65">
        <w:rPr>
          <w:rFonts w:ascii="Verdana" w:eastAsia="Times New Roman" w:hAnsi="Verdana" w:cs="Arial"/>
          <w:i/>
          <w:iCs/>
          <w:sz w:val="22"/>
          <w:szCs w:val="22"/>
          <w:lang w:val="es-CO"/>
        </w:rPr>
        <w:t>“Por la cual se expide el Catálogo de Clasificación Presupuestal para las Entidades Territoriales y sus descentralizadas – CCPET</w:t>
      </w:r>
      <w:r w:rsidRPr="00264E65">
        <w:rPr>
          <w:rFonts w:ascii="Verdana" w:eastAsia="Times New Roman" w:hAnsi="Verdana" w:cs="Arial"/>
          <w:sz w:val="22"/>
          <w:szCs w:val="22"/>
          <w:lang w:val="es-CO"/>
        </w:rPr>
        <w:t>”, el cual deberá aplicarse en todas las etapas del ciclo presupuestal según la definición y composición del clasificador presupuestal establecido. Así mismo la Contraloría General de la República puso a disposición en el CHIP la Categoría Única de Información del Presupuesto Ordinario – CUIPO a través del cual se reporta la información presupuestal dispuesta en el CCPET de cada Entidad Territorial.</w:t>
      </w:r>
    </w:p>
    <w:p w14:paraId="65EC8A0D" w14:textId="77777777" w:rsidR="00911C69" w:rsidRPr="00264E65" w:rsidRDefault="00911C69" w:rsidP="00911C69">
      <w:pPr>
        <w:spacing w:line="254" w:lineRule="auto"/>
        <w:jc w:val="both"/>
        <w:rPr>
          <w:rFonts w:ascii="Verdana" w:eastAsia="Times New Roman" w:hAnsi="Verdana" w:cs="Arial"/>
          <w:sz w:val="22"/>
          <w:szCs w:val="22"/>
          <w:lang w:val="es-CO"/>
        </w:rPr>
      </w:pPr>
    </w:p>
    <w:p w14:paraId="3E78F096" w14:textId="77777777" w:rsidR="00911C69" w:rsidRPr="00264E65" w:rsidRDefault="00911C69" w:rsidP="00911C69">
      <w:pPr>
        <w:jc w:val="both"/>
        <w:rPr>
          <w:rFonts w:ascii="Verdana" w:hAnsi="Verdana" w:cs="Arial"/>
          <w:sz w:val="22"/>
          <w:szCs w:val="22"/>
        </w:rPr>
      </w:pPr>
      <w:r w:rsidRPr="00264E65">
        <w:rPr>
          <w:rFonts w:ascii="Verdana" w:hAnsi="Verdana" w:cs="Arial"/>
          <w:sz w:val="22"/>
          <w:szCs w:val="22"/>
        </w:rPr>
        <w:t>De acuerdo con la</w:t>
      </w:r>
      <w:r w:rsidR="0033033A" w:rsidRPr="00264E65">
        <w:rPr>
          <w:rFonts w:ascii="Verdana" w:hAnsi="Verdana" w:cs="Arial"/>
          <w:sz w:val="22"/>
          <w:szCs w:val="22"/>
        </w:rPr>
        <w:t>s</w:t>
      </w:r>
      <w:r w:rsidRPr="00264E65">
        <w:rPr>
          <w:rFonts w:ascii="Verdana" w:hAnsi="Verdana" w:cs="Arial"/>
          <w:sz w:val="22"/>
          <w:szCs w:val="22"/>
        </w:rPr>
        <w:t xml:space="preserve"> ejecuci</w:t>
      </w:r>
      <w:r w:rsidR="0033033A" w:rsidRPr="00264E65">
        <w:rPr>
          <w:rFonts w:ascii="Verdana" w:hAnsi="Verdana" w:cs="Arial"/>
          <w:sz w:val="22"/>
          <w:szCs w:val="22"/>
        </w:rPr>
        <w:t>ones</w:t>
      </w:r>
      <w:r w:rsidRPr="00264E65">
        <w:rPr>
          <w:rFonts w:ascii="Verdana" w:hAnsi="Verdana" w:cs="Arial"/>
          <w:sz w:val="22"/>
          <w:szCs w:val="22"/>
        </w:rPr>
        <w:t xml:space="preserve"> de ingresos de la</w:t>
      </w:r>
      <w:r w:rsidR="0033033A" w:rsidRPr="00264E65">
        <w:rPr>
          <w:rFonts w:ascii="Verdana" w:hAnsi="Verdana" w:cs="Arial"/>
          <w:sz w:val="22"/>
          <w:szCs w:val="22"/>
        </w:rPr>
        <w:t>s</w:t>
      </w:r>
      <w:r w:rsidRPr="00264E65">
        <w:rPr>
          <w:rFonts w:ascii="Verdana" w:hAnsi="Verdana" w:cs="Arial"/>
          <w:sz w:val="22"/>
          <w:szCs w:val="22"/>
        </w:rPr>
        <w:t xml:space="preserve"> vigencia</w:t>
      </w:r>
      <w:r w:rsidR="0033033A" w:rsidRPr="00264E65">
        <w:rPr>
          <w:rFonts w:ascii="Verdana" w:hAnsi="Verdana" w:cs="Arial"/>
          <w:sz w:val="22"/>
          <w:szCs w:val="22"/>
        </w:rPr>
        <w:t>s</w:t>
      </w:r>
      <w:r w:rsidRPr="00264E65">
        <w:rPr>
          <w:rFonts w:ascii="Verdana" w:hAnsi="Verdana" w:cs="Arial"/>
          <w:sz w:val="22"/>
          <w:szCs w:val="22"/>
        </w:rPr>
        <w:t xml:space="preserve"> 2021</w:t>
      </w:r>
      <w:r w:rsidR="0033033A" w:rsidRPr="00264E65">
        <w:rPr>
          <w:rFonts w:ascii="Verdana" w:hAnsi="Verdana" w:cs="Arial"/>
          <w:sz w:val="22"/>
          <w:szCs w:val="22"/>
        </w:rPr>
        <w:t xml:space="preserve"> y 2022</w:t>
      </w:r>
      <w:r w:rsidRPr="00264E65">
        <w:rPr>
          <w:rFonts w:ascii="Verdana" w:hAnsi="Verdana" w:cs="Arial"/>
          <w:sz w:val="22"/>
          <w:szCs w:val="22"/>
        </w:rPr>
        <w:t xml:space="preserve"> entregada</w:t>
      </w:r>
      <w:r w:rsidR="0033033A" w:rsidRPr="00264E65">
        <w:rPr>
          <w:rFonts w:ascii="Verdana" w:hAnsi="Verdana" w:cs="Arial"/>
          <w:sz w:val="22"/>
          <w:szCs w:val="22"/>
        </w:rPr>
        <w:t>s</w:t>
      </w:r>
      <w:r w:rsidRPr="00264E65">
        <w:rPr>
          <w:rFonts w:ascii="Verdana" w:hAnsi="Verdana" w:cs="Arial"/>
          <w:sz w:val="22"/>
          <w:szCs w:val="22"/>
        </w:rPr>
        <w:t xml:space="preserve"> por el Municipio y la información del cuarto trimestre de 2021</w:t>
      </w:r>
      <w:r w:rsidR="0033033A" w:rsidRPr="00264E65">
        <w:rPr>
          <w:rFonts w:ascii="Verdana" w:hAnsi="Verdana" w:cs="Arial"/>
          <w:sz w:val="22"/>
          <w:szCs w:val="22"/>
        </w:rPr>
        <w:t xml:space="preserve"> y 2022</w:t>
      </w:r>
      <w:r w:rsidRPr="00264E65">
        <w:rPr>
          <w:rFonts w:ascii="Verdana" w:hAnsi="Verdana" w:cs="Arial"/>
          <w:sz w:val="22"/>
          <w:szCs w:val="22"/>
        </w:rPr>
        <w:t xml:space="preserve"> reportada a CUIPO por la Entidad Territorial, se presenta la siguiente situación:</w:t>
      </w:r>
    </w:p>
    <w:p w14:paraId="40B2787E" w14:textId="77777777" w:rsidR="00911C69" w:rsidRPr="00264E65" w:rsidRDefault="00911C69" w:rsidP="00911C69">
      <w:pPr>
        <w:autoSpaceDE w:val="0"/>
        <w:autoSpaceDN w:val="0"/>
        <w:adjustRightInd w:val="0"/>
        <w:contextualSpacing/>
        <w:rPr>
          <w:rFonts w:ascii="Verdana" w:hAnsi="Verdana" w:cs="Arial"/>
          <w:b/>
          <w:sz w:val="22"/>
          <w:szCs w:val="22"/>
        </w:rPr>
      </w:pPr>
    </w:p>
    <w:p w14:paraId="19C556FD"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 xml:space="preserve">Cuadro 17. </w:t>
      </w:r>
      <w:r w:rsidRPr="00264E65">
        <w:rPr>
          <w:rFonts w:ascii="Verdana" w:hAnsi="Verdana" w:cs="Arial"/>
          <w:sz w:val="22"/>
          <w:szCs w:val="22"/>
        </w:rPr>
        <w:t xml:space="preserve">Recaudo ingresos APSB </w:t>
      </w:r>
      <w:r w:rsidR="0033033A" w:rsidRPr="00264E65">
        <w:rPr>
          <w:rFonts w:ascii="Verdana" w:hAnsi="Verdana" w:cs="Arial"/>
          <w:sz w:val="22"/>
          <w:szCs w:val="22"/>
        </w:rPr>
        <w:t xml:space="preserve">2021 y </w:t>
      </w:r>
      <w:r w:rsidRPr="00264E65">
        <w:rPr>
          <w:rFonts w:ascii="Verdana" w:hAnsi="Verdana" w:cs="Arial"/>
          <w:sz w:val="22"/>
          <w:szCs w:val="22"/>
        </w:rPr>
        <w:t>202</w:t>
      </w:r>
      <w:r w:rsidR="0033033A" w:rsidRPr="00264E65">
        <w:rPr>
          <w:rFonts w:ascii="Verdana" w:hAnsi="Verdana" w:cs="Arial"/>
          <w:sz w:val="22"/>
          <w:szCs w:val="22"/>
        </w:rPr>
        <w:t>2</w:t>
      </w:r>
      <w:r w:rsidRPr="00264E65">
        <w:rPr>
          <w:rFonts w:ascii="Verdana" w:hAnsi="Verdana" w:cs="Arial"/>
          <w:sz w:val="22"/>
          <w:szCs w:val="22"/>
        </w:rPr>
        <w:t xml:space="preserve"> (ejecuciones Municipio y CUIPO)</w:t>
      </w:r>
    </w:p>
    <w:tbl>
      <w:tblPr>
        <w:tblW w:w="7298" w:type="dxa"/>
        <w:jc w:val="center"/>
        <w:tblCellMar>
          <w:left w:w="70" w:type="dxa"/>
          <w:right w:w="70" w:type="dxa"/>
        </w:tblCellMar>
        <w:tblLook w:val="04A0" w:firstRow="1" w:lastRow="0" w:firstColumn="1" w:lastColumn="0" w:noHBand="0" w:noVBand="1"/>
      </w:tblPr>
      <w:tblGrid>
        <w:gridCol w:w="3292"/>
        <w:gridCol w:w="1314"/>
        <w:gridCol w:w="909"/>
        <w:gridCol w:w="1314"/>
        <w:gridCol w:w="909"/>
      </w:tblGrid>
      <w:tr w:rsidR="00D23AA6" w:rsidRPr="00D23AA6" w14:paraId="1601B93A" w14:textId="77777777" w:rsidTr="00D23AA6">
        <w:trPr>
          <w:trHeight w:val="300"/>
          <w:jc w:val="center"/>
        </w:trPr>
        <w:tc>
          <w:tcPr>
            <w:tcW w:w="7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6D9E3"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 xml:space="preserve">INGRESOS </w:t>
            </w:r>
            <w:proofErr w:type="gramStart"/>
            <w:r w:rsidRPr="00D23AA6">
              <w:rPr>
                <w:rFonts w:ascii="Verdana" w:eastAsia="Times New Roman" w:hAnsi="Verdana" w:cs="Calibri"/>
                <w:b/>
                <w:bCs/>
                <w:color w:val="000000"/>
                <w:sz w:val="16"/>
                <w:szCs w:val="16"/>
                <w:lang w:val="es-419" w:eastAsia="es-CO"/>
              </w:rPr>
              <w:t>TOTALES  (</w:t>
            </w:r>
            <w:proofErr w:type="gramEnd"/>
            <w:r w:rsidRPr="00D23AA6">
              <w:rPr>
                <w:rFonts w:ascii="Verdana" w:eastAsia="Times New Roman" w:hAnsi="Verdana" w:cs="Calibri"/>
                <w:b/>
                <w:bCs/>
                <w:color w:val="000000"/>
                <w:sz w:val="16"/>
                <w:szCs w:val="16"/>
                <w:lang w:val="es-419" w:eastAsia="es-CO"/>
              </w:rPr>
              <w:t>En millones de pesos)</w:t>
            </w:r>
          </w:p>
        </w:tc>
      </w:tr>
      <w:tr w:rsidR="00D23AA6" w:rsidRPr="00D23AA6" w14:paraId="333E8987" w14:textId="77777777" w:rsidTr="00D23AA6">
        <w:trPr>
          <w:trHeight w:val="300"/>
          <w:jc w:val="center"/>
        </w:trPr>
        <w:tc>
          <w:tcPr>
            <w:tcW w:w="32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B9ECA"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Concepto</w:t>
            </w:r>
          </w:p>
        </w:tc>
        <w:tc>
          <w:tcPr>
            <w:tcW w:w="2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77987B"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CO" w:eastAsia="es-CO"/>
              </w:rPr>
              <w:t>2021</w:t>
            </w:r>
          </w:p>
        </w:tc>
        <w:tc>
          <w:tcPr>
            <w:tcW w:w="2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16C25"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CO" w:eastAsia="es-CO"/>
              </w:rPr>
              <w:t>2022</w:t>
            </w:r>
          </w:p>
        </w:tc>
      </w:tr>
      <w:tr w:rsidR="00D23AA6" w:rsidRPr="00D23AA6" w14:paraId="1656543E" w14:textId="77777777" w:rsidTr="00D23AA6">
        <w:trPr>
          <w:trHeight w:val="840"/>
          <w:jc w:val="center"/>
        </w:trPr>
        <w:tc>
          <w:tcPr>
            <w:tcW w:w="3292" w:type="dxa"/>
            <w:vMerge/>
            <w:tcBorders>
              <w:top w:val="nil"/>
              <w:left w:val="single" w:sz="4" w:space="0" w:color="auto"/>
              <w:bottom w:val="single" w:sz="4" w:space="0" w:color="auto"/>
              <w:right w:val="single" w:sz="4" w:space="0" w:color="auto"/>
            </w:tcBorders>
            <w:vAlign w:val="center"/>
            <w:hideMark/>
          </w:tcPr>
          <w:p w14:paraId="012EE1D4" w14:textId="77777777" w:rsidR="00D23AA6" w:rsidRPr="00D23AA6" w:rsidRDefault="00D23AA6" w:rsidP="00D23AA6">
            <w:pPr>
              <w:rPr>
                <w:rFonts w:ascii="Verdana" w:eastAsia="Times New Roman" w:hAnsi="Verdana" w:cs="Calibri"/>
                <w:b/>
                <w:bCs/>
                <w:color w:val="000000"/>
                <w:sz w:val="16"/>
                <w:szCs w:val="16"/>
                <w:lang w:val="es-CO" w:eastAsia="es-CO"/>
              </w:rPr>
            </w:pPr>
          </w:p>
        </w:tc>
        <w:tc>
          <w:tcPr>
            <w:tcW w:w="1204" w:type="dxa"/>
            <w:tcBorders>
              <w:top w:val="nil"/>
              <w:left w:val="nil"/>
              <w:bottom w:val="single" w:sz="4" w:space="0" w:color="auto"/>
              <w:right w:val="single" w:sz="4" w:space="0" w:color="auto"/>
            </w:tcBorders>
            <w:shd w:val="clear" w:color="auto" w:fill="auto"/>
            <w:vAlign w:val="center"/>
            <w:hideMark/>
          </w:tcPr>
          <w:p w14:paraId="7E9A3710"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CO" w:eastAsia="es-CO"/>
              </w:rPr>
              <w:t>Según Ejecución Presupuestal</w:t>
            </w:r>
          </w:p>
        </w:tc>
        <w:tc>
          <w:tcPr>
            <w:tcW w:w="799" w:type="dxa"/>
            <w:tcBorders>
              <w:top w:val="nil"/>
              <w:left w:val="nil"/>
              <w:bottom w:val="single" w:sz="4" w:space="0" w:color="auto"/>
              <w:right w:val="single" w:sz="4" w:space="0" w:color="auto"/>
            </w:tcBorders>
            <w:shd w:val="clear" w:color="auto" w:fill="auto"/>
            <w:vAlign w:val="center"/>
            <w:hideMark/>
          </w:tcPr>
          <w:p w14:paraId="7D3F51BA"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CUIPO</w:t>
            </w:r>
          </w:p>
        </w:tc>
        <w:tc>
          <w:tcPr>
            <w:tcW w:w="1204" w:type="dxa"/>
            <w:tcBorders>
              <w:top w:val="nil"/>
              <w:left w:val="nil"/>
              <w:bottom w:val="single" w:sz="4" w:space="0" w:color="auto"/>
              <w:right w:val="single" w:sz="4" w:space="0" w:color="auto"/>
            </w:tcBorders>
            <w:shd w:val="clear" w:color="auto" w:fill="auto"/>
            <w:vAlign w:val="center"/>
            <w:hideMark/>
          </w:tcPr>
          <w:p w14:paraId="012F4E20"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CO" w:eastAsia="es-CO"/>
              </w:rPr>
              <w:t>Según Ejecución Presupuestal</w:t>
            </w:r>
          </w:p>
        </w:tc>
        <w:tc>
          <w:tcPr>
            <w:tcW w:w="799" w:type="dxa"/>
            <w:tcBorders>
              <w:top w:val="nil"/>
              <w:left w:val="nil"/>
              <w:bottom w:val="single" w:sz="4" w:space="0" w:color="auto"/>
              <w:right w:val="single" w:sz="4" w:space="0" w:color="auto"/>
            </w:tcBorders>
            <w:shd w:val="clear" w:color="auto" w:fill="auto"/>
            <w:vAlign w:val="center"/>
            <w:hideMark/>
          </w:tcPr>
          <w:p w14:paraId="0ED4D75A"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CUIPO</w:t>
            </w:r>
          </w:p>
        </w:tc>
      </w:tr>
      <w:tr w:rsidR="00D23AA6" w:rsidRPr="00D23AA6" w14:paraId="2B4EA070" w14:textId="77777777" w:rsidTr="00D23AA6">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08EA8483"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27EA5757"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Recaudo</w:t>
            </w:r>
          </w:p>
        </w:tc>
        <w:tc>
          <w:tcPr>
            <w:tcW w:w="799" w:type="dxa"/>
            <w:tcBorders>
              <w:top w:val="nil"/>
              <w:left w:val="nil"/>
              <w:bottom w:val="single" w:sz="4" w:space="0" w:color="auto"/>
              <w:right w:val="single" w:sz="4" w:space="0" w:color="auto"/>
            </w:tcBorders>
            <w:shd w:val="clear" w:color="auto" w:fill="auto"/>
            <w:noWrap/>
            <w:vAlign w:val="center"/>
            <w:hideMark/>
          </w:tcPr>
          <w:p w14:paraId="64257A36"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Recaudo</w:t>
            </w:r>
          </w:p>
        </w:tc>
        <w:tc>
          <w:tcPr>
            <w:tcW w:w="1204" w:type="dxa"/>
            <w:tcBorders>
              <w:top w:val="nil"/>
              <w:left w:val="nil"/>
              <w:bottom w:val="single" w:sz="4" w:space="0" w:color="auto"/>
              <w:right w:val="single" w:sz="4" w:space="0" w:color="auto"/>
            </w:tcBorders>
            <w:shd w:val="clear" w:color="auto" w:fill="auto"/>
            <w:vAlign w:val="center"/>
            <w:hideMark/>
          </w:tcPr>
          <w:p w14:paraId="0CCE4465"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Recaudo</w:t>
            </w:r>
          </w:p>
        </w:tc>
        <w:tc>
          <w:tcPr>
            <w:tcW w:w="799" w:type="dxa"/>
            <w:tcBorders>
              <w:top w:val="nil"/>
              <w:left w:val="nil"/>
              <w:bottom w:val="single" w:sz="4" w:space="0" w:color="auto"/>
              <w:right w:val="single" w:sz="4" w:space="0" w:color="auto"/>
            </w:tcBorders>
            <w:shd w:val="clear" w:color="auto" w:fill="auto"/>
            <w:noWrap/>
            <w:vAlign w:val="center"/>
            <w:hideMark/>
          </w:tcPr>
          <w:p w14:paraId="60229F85"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Recaudo</w:t>
            </w:r>
          </w:p>
        </w:tc>
      </w:tr>
      <w:tr w:rsidR="00D23AA6" w:rsidRPr="00D23AA6" w14:paraId="2CCD4774" w14:textId="77777777" w:rsidTr="00D23AA6">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026DAA7B"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Ingresos Corrientes APSB</w:t>
            </w:r>
          </w:p>
        </w:tc>
        <w:tc>
          <w:tcPr>
            <w:tcW w:w="1204" w:type="dxa"/>
            <w:tcBorders>
              <w:top w:val="nil"/>
              <w:left w:val="nil"/>
              <w:bottom w:val="single" w:sz="4" w:space="0" w:color="auto"/>
              <w:right w:val="single" w:sz="4" w:space="0" w:color="auto"/>
            </w:tcBorders>
            <w:shd w:val="clear" w:color="auto" w:fill="auto"/>
            <w:noWrap/>
            <w:vAlign w:val="center"/>
            <w:hideMark/>
          </w:tcPr>
          <w:p w14:paraId="4431D03A"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1,046</w:t>
            </w:r>
          </w:p>
        </w:tc>
        <w:tc>
          <w:tcPr>
            <w:tcW w:w="799" w:type="dxa"/>
            <w:tcBorders>
              <w:top w:val="nil"/>
              <w:left w:val="nil"/>
              <w:bottom w:val="single" w:sz="4" w:space="0" w:color="auto"/>
              <w:right w:val="single" w:sz="4" w:space="0" w:color="auto"/>
            </w:tcBorders>
            <w:shd w:val="clear" w:color="auto" w:fill="auto"/>
            <w:noWrap/>
            <w:vAlign w:val="center"/>
            <w:hideMark/>
          </w:tcPr>
          <w:p w14:paraId="460E2CF8"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1,046</w:t>
            </w:r>
          </w:p>
        </w:tc>
        <w:tc>
          <w:tcPr>
            <w:tcW w:w="1204" w:type="dxa"/>
            <w:tcBorders>
              <w:top w:val="nil"/>
              <w:left w:val="nil"/>
              <w:bottom w:val="single" w:sz="4" w:space="0" w:color="auto"/>
              <w:right w:val="single" w:sz="4" w:space="0" w:color="auto"/>
            </w:tcBorders>
            <w:shd w:val="clear" w:color="auto" w:fill="auto"/>
            <w:noWrap/>
            <w:vAlign w:val="center"/>
            <w:hideMark/>
          </w:tcPr>
          <w:p w14:paraId="28E00627"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877</w:t>
            </w:r>
          </w:p>
        </w:tc>
        <w:tc>
          <w:tcPr>
            <w:tcW w:w="799" w:type="dxa"/>
            <w:tcBorders>
              <w:top w:val="nil"/>
              <w:left w:val="nil"/>
              <w:bottom w:val="single" w:sz="4" w:space="0" w:color="auto"/>
              <w:right w:val="single" w:sz="4" w:space="0" w:color="auto"/>
            </w:tcBorders>
            <w:shd w:val="clear" w:color="auto" w:fill="auto"/>
            <w:noWrap/>
            <w:vAlign w:val="center"/>
            <w:hideMark/>
          </w:tcPr>
          <w:p w14:paraId="3558DAC3"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877</w:t>
            </w:r>
          </w:p>
        </w:tc>
      </w:tr>
      <w:tr w:rsidR="00D23AA6" w:rsidRPr="00D23AA6" w14:paraId="7411E306" w14:textId="77777777" w:rsidTr="00D23AA6">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5A3AF419"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Participación APSB</w:t>
            </w:r>
          </w:p>
        </w:tc>
        <w:tc>
          <w:tcPr>
            <w:tcW w:w="1204" w:type="dxa"/>
            <w:tcBorders>
              <w:top w:val="nil"/>
              <w:left w:val="nil"/>
              <w:bottom w:val="single" w:sz="4" w:space="0" w:color="auto"/>
              <w:right w:val="single" w:sz="4" w:space="0" w:color="auto"/>
            </w:tcBorders>
            <w:shd w:val="clear" w:color="auto" w:fill="auto"/>
            <w:noWrap/>
            <w:vAlign w:val="center"/>
            <w:hideMark/>
          </w:tcPr>
          <w:p w14:paraId="22B33D73"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1,046</w:t>
            </w:r>
          </w:p>
        </w:tc>
        <w:tc>
          <w:tcPr>
            <w:tcW w:w="799" w:type="dxa"/>
            <w:tcBorders>
              <w:top w:val="nil"/>
              <w:left w:val="nil"/>
              <w:bottom w:val="single" w:sz="4" w:space="0" w:color="auto"/>
              <w:right w:val="single" w:sz="4" w:space="0" w:color="auto"/>
            </w:tcBorders>
            <w:shd w:val="clear" w:color="auto" w:fill="auto"/>
            <w:noWrap/>
            <w:vAlign w:val="center"/>
            <w:hideMark/>
          </w:tcPr>
          <w:p w14:paraId="51491A80"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1,046</w:t>
            </w:r>
          </w:p>
        </w:tc>
        <w:tc>
          <w:tcPr>
            <w:tcW w:w="1204" w:type="dxa"/>
            <w:tcBorders>
              <w:top w:val="nil"/>
              <w:left w:val="nil"/>
              <w:bottom w:val="single" w:sz="4" w:space="0" w:color="auto"/>
              <w:right w:val="single" w:sz="4" w:space="0" w:color="auto"/>
            </w:tcBorders>
            <w:shd w:val="clear" w:color="auto" w:fill="auto"/>
            <w:noWrap/>
            <w:vAlign w:val="center"/>
            <w:hideMark/>
          </w:tcPr>
          <w:p w14:paraId="7C8A8367"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745</w:t>
            </w:r>
          </w:p>
        </w:tc>
        <w:tc>
          <w:tcPr>
            <w:tcW w:w="799" w:type="dxa"/>
            <w:tcBorders>
              <w:top w:val="nil"/>
              <w:left w:val="nil"/>
              <w:bottom w:val="single" w:sz="4" w:space="0" w:color="auto"/>
              <w:right w:val="single" w:sz="4" w:space="0" w:color="auto"/>
            </w:tcBorders>
            <w:shd w:val="clear" w:color="auto" w:fill="auto"/>
            <w:noWrap/>
            <w:vAlign w:val="center"/>
            <w:hideMark/>
          </w:tcPr>
          <w:p w14:paraId="68DFFDA0"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877</w:t>
            </w:r>
          </w:p>
        </w:tc>
      </w:tr>
      <w:tr w:rsidR="00D23AA6" w:rsidRPr="00D23AA6" w14:paraId="392579C6" w14:textId="77777777" w:rsidTr="00D23AA6">
        <w:trPr>
          <w:trHeight w:val="63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6D3F5FB4"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CO" w:eastAsia="es-CO"/>
              </w:rPr>
              <w:t>Fondo de Redistribución del Ingreso</w:t>
            </w:r>
          </w:p>
        </w:tc>
        <w:tc>
          <w:tcPr>
            <w:tcW w:w="1204" w:type="dxa"/>
            <w:tcBorders>
              <w:top w:val="nil"/>
              <w:left w:val="nil"/>
              <w:bottom w:val="single" w:sz="4" w:space="0" w:color="auto"/>
              <w:right w:val="single" w:sz="4" w:space="0" w:color="auto"/>
            </w:tcBorders>
            <w:shd w:val="clear" w:color="auto" w:fill="auto"/>
            <w:noWrap/>
            <w:vAlign w:val="center"/>
            <w:hideMark/>
          </w:tcPr>
          <w:p w14:paraId="3347666A"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419" w:eastAsia="es-CO"/>
              </w:rPr>
              <w:t>0</w:t>
            </w:r>
          </w:p>
        </w:tc>
        <w:tc>
          <w:tcPr>
            <w:tcW w:w="799" w:type="dxa"/>
            <w:tcBorders>
              <w:top w:val="nil"/>
              <w:left w:val="nil"/>
              <w:bottom w:val="single" w:sz="4" w:space="0" w:color="auto"/>
              <w:right w:val="single" w:sz="4" w:space="0" w:color="auto"/>
            </w:tcBorders>
            <w:shd w:val="clear" w:color="auto" w:fill="auto"/>
            <w:noWrap/>
            <w:vAlign w:val="center"/>
            <w:hideMark/>
          </w:tcPr>
          <w:p w14:paraId="5530CB3F"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419" w:eastAsia="es-CO"/>
              </w:rPr>
              <w:t>0</w:t>
            </w:r>
          </w:p>
        </w:tc>
        <w:tc>
          <w:tcPr>
            <w:tcW w:w="1204" w:type="dxa"/>
            <w:tcBorders>
              <w:top w:val="nil"/>
              <w:left w:val="nil"/>
              <w:bottom w:val="single" w:sz="4" w:space="0" w:color="auto"/>
              <w:right w:val="single" w:sz="4" w:space="0" w:color="auto"/>
            </w:tcBorders>
            <w:shd w:val="clear" w:color="auto" w:fill="auto"/>
            <w:noWrap/>
            <w:vAlign w:val="center"/>
            <w:hideMark/>
          </w:tcPr>
          <w:p w14:paraId="4BF20874"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132</w:t>
            </w:r>
          </w:p>
        </w:tc>
        <w:tc>
          <w:tcPr>
            <w:tcW w:w="799" w:type="dxa"/>
            <w:tcBorders>
              <w:top w:val="nil"/>
              <w:left w:val="nil"/>
              <w:bottom w:val="single" w:sz="4" w:space="0" w:color="auto"/>
              <w:right w:val="single" w:sz="4" w:space="0" w:color="auto"/>
            </w:tcBorders>
            <w:shd w:val="clear" w:color="auto" w:fill="auto"/>
            <w:noWrap/>
            <w:vAlign w:val="center"/>
            <w:hideMark/>
          </w:tcPr>
          <w:p w14:paraId="1F3B1871"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0</w:t>
            </w:r>
          </w:p>
        </w:tc>
      </w:tr>
      <w:tr w:rsidR="00D23AA6" w:rsidRPr="00D23AA6" w14:paraId="3994EFFC" w14:textId="77777777" w:rsidTr="00D23AA6">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6DBD68C9" w14:textId="77777777" w:rsidR="00D23AA6" w:rsidRPr="00D23AA6" w:rsidRDefault="00D23AA6" w:rsidP="00D23AA6">
            <w:pPr>
              <w:jc w:val="both"/>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CO" w:eastAsia="es-CO"/>
              </w:rPr>
              <w:t>Agua Potable y Saneamiento Básico</w:t>
            </w:r>
          </w:p>
        </w:tc>
        <w:tc>
          <w:tcPr>
            <w:tcW w:w="1204" w:type="dxa"/>
            <w:tcBorders>
              <w:top w:val="nil"/>
              <w:left w:val="nil"/>
              <w:bottom w:val="single" w:sz="4" w:space="0" w:color="auto"/>
              <w:right w:val="single" w:sz="4" w:space="0" w:color="auto"/>
            </w:tcBorders>
            <w:shd w:val="clear" w:color="auto" w:fill="auto"/>
            <w:noWrap/>
            <w:vAlign w:val="center"/>
            <w:hideMark/>
          </w:tcPr>
          <w:p w14:paraId="1669C848"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CO" w:eastAsia="es-CO"/>
              </w:rPr>
              <w:t>0</w:t>
            </w:r>
          </w:p>
        </w:tc>
        <w:tc>
          <w:tcPr>
            <w:tcW w:w="799" w:type="dxa"/>
            <w:tcBorders>
              <w:top w:val="nil"/>
              <w:left w:val="nil"/>
              <w:bottom w:val="single" w:sz="4" w:space="0" w:color="auto"/>
              <w:right w:val="single" w:sz="4" w:space="0" w:color="auto"/>
            </w:tcBorders>
            <w:shd w:val="clear" w:color="auto" w:fill="auto"/>
            <w:noWrap/>
            <w:vAlign w:val="center"/>
            <w:hideMark/>
          </w:tcPr>
          <w:p w14:paraId="73351CF0"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CO" w:eastAsia="es-CO"/>
              </w:rPr>
              <w:t>0</w:t>
            </w:r>
          </w:p>
        </w:tc>
        <w:tc>
          <w:tcPr>
            <w:tcW w:w="1204" w:type="dxa"/>
            <w:tcBorders>
              <w:top w:val="nil"/>
              <w:left w:val="nil"/>
              <w:bottom w:val="single" w:sz="4" w:space="0" w:color="auto"/>
              <w:right w:val="single" w:sz="4" w:space="0" w:color="auto"/>
            </w:tcBorders>
            <w:shd w:val="clear" w:color="auto" w:fill="auto"/>
            <w:noWrap/>
            <w:vAlign w:val="center"/>
            <w:hideMark/>
          </w:tcPr>
          <w:p w14:paraId="57A41886"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CO" w:eastAsia="es-CO"/>
              </w:rPr>
              <w:t>132</w:t>
            </w:r>
          </w:p>
        </w:tc>
        <w:tc>
          <w:tcPr>
            <w:tcW w:w="799" w:type="dxa"/>
            <w:tcBorders>
              <w:top w:val="nil"/>
              <w:left w:val="nil"/>
              <w:bottom w:val="single" w:sz="4" w:space="0" w:color="auto"/>
              <w:right w:val="single" w:sz="4" w:space="0" w:color="auto"/>
            </w:tcBorders>
            <w:shd w:val="clear" w:color="auto" w:fill="auto"/>
            <w:noWrap/>
            <w:vAlign w:val="center"/>
            <w:hideMark/>
          </w:tcPr>
          <w:p w14:paraId="4D4DB7E7"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CO" w:eastAsia="es-CO"/>
              </w:rPr>
              <w:t>0</w:t>
            </w:r>
          </w:p>
        </w:tc>
      </w:tr>
      <w:tr w:rsidR="00D23AA6" w:rsidRPr="00D23AA6" w14:paraId="2BAD015E" w14:textId="77777777" w:rsidTr="00D23AA6">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21C772F0"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Recursos de Capital APSB</w:t>
            </w:r>
          </w:p>
        </w:tc>
        <w:tc>
          <w:tcPr>
            <w:tcW w:w="1204" w:type="dxa"/>
            <w:tcBorders>
              <w:top w:val="nil"/>
              <w:left w:val="nil"/>
              <w:bottom w:val="single" w:sz="4" w:space="0" w:color="auto"/>
              <w:right w:val="single" w:sz="4" w:space="0" w:color="auto"/>
            </w:tcBorders>
            <w:shd w:val="clear" w:color="auto" w:fill="auto"/>
            <w:noWrap/>
            <w:vAlign w:val="center"/>
            <w:hideMark/>
          </w:tcPr>
          <w:p w14:paraId="7B91133C"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199</w:t>
            </w:r>
          </w:p>
        </w:tc>
        <w:tc>
          <w:tcPr>
            <w:tcW w:w="799" w:type="dxa"/>
            <w:tcBorders>
              <w:top w:val="nil"/>
              <w:left w:val="nil"/>
              <w:bottom w:val="single" w:sz="4" w:space="0" w:color="auto"/>
              <w:right w:val="single" w:sz="4" w:space="0" w:color="auto"/>
            </w:tcBorders>
            <w:shd w:val="clear" w:color="auto" w:fill="auto"/>
            <w:noWrap/>
            <w:vAlign w:val="center"/>
            <w:hideMark/>
          </w:tcPr>
          <w:p w14:paraId="079BF1E4"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9</w:t>
            </w:r>
          </w:p>
        </w:tc>
        <w:tc>
          <w:tcPr>
            <w:tcW w:w="1204" w:type="dxa"/>
            <w:tcBorders>
              <w:top w:val="nil"/>
              <w:left w:val="nil"/>
              <w:bottom w:val="single" w:sz="4" w:space="0" w:color="auto"/>
              <w:right w:val="single" w:sz="4" w:space="0" w:color="auto"/>
            </w:tcBorders>
            <w:shd w:val="clear" w:color="auto" w:fill="auto"/>
            <w:noWrap/>
            <w:vAlign w:val="center"/>
            <w:hideMark/>
          </w:tcPr>
          <w:p w14:paraId="049B6C82"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101</w:t>
            </w:r>
          </w:p>
        </w:tc>
        <w:tc>
          <w:tcPr>
            <w:tcW w:w="799" w:type="dxa"/>
            <w:tcBorders>
              <w:top w:val="nil"/>
              <w:left w:val="nil"/>
              <w:bottom w:val="single" w:sz="4" w:space="0" w:color="auto"/>
              <w:right w:val="single" w:sz="4" w:space="0" w:color="auto"/>
            </w:tcBorders>
            <w:shd w:val="clear" w:color="auto" w:fill="auto"/>
            <w:noWrap/>
            <w:vAlign w:val="center"/>
            <w:hideMark/>
          </w:tcPr>
          <w:p w14:paraId="599E5EF0"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14</w:t>
            </w:r>
          </w:p>
        </w:tc>
      </w:tr>
      <w:tr w:rsidR="00D23AA6" w:rsidRPr="00D23AA6" w14:paraId="3C3F6D3F" w14:textId="77777777" w:rsidTr="00D23AA6">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271A475F"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Rendimientos Financieros</w:t>
            </w:r>
          </w:p>
        </w:tc>
        <w:tc>
          <w:tcPr>
            <w:tcW w:w="1204" w:type="dxa"/>
            <w:tcBorders>
              <w:top w:val="nil"/>
              <w:left w:val="nil"/>
              <w:bottom w:val="single" w:sz="4" w:space="0" w:color="auto"/>
              <w:right w:val="single" w:sz="4" w:space="0" w:color="auto"/>
            </w:tcBorders>
            <w:shd w:val="clear" w:color="auto" w:fill="auto"/>
            <w:noWrap/>
            <w:vAlign w:val="center"/>
            <w:hideMark/>
          </w:tcPr>
          <w:p w14:paraId="3630C148"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11</w:t>
            </w:r>
          </w:p>
        </w:tc>
        <w:tc>
          <w:tcPr>
            <w:tcW w:w="799" w:type="dxa"/>
            <w:tcBorders>
              <w:top w:val="nil"/>
              <w:left w:val="nil"/>
              <w:bottom w:val="single" w:sz="4" w:space="0" w:color="auto"/>
              <w:right w:val="single" w:sz="4" w:space="0" w:color="auto"/>
            </w:tcBorders>
            <w:shd w:val="clear" w:color="auto" w:fill="auto"/>
            <w:noWrap/>
            <w:vAlign w:val="center"/>
            <w:hideMark/>
          </w:tcPr>
          <w:p w14:paraId="0773C2B9"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0</w:t>
            </w:r>
          </w:p>
        </w:tc>
        <w:tc>
          <w:tcPr>
            <w:tcW w:w="1204" w:type="dxa"/>
            <w:tcBorders>
              <w:top w:val="nil"/>
              <w:left w:val="nil"/>
              <w:bottom w:val="single" w:sz="4" w:space="0" w:color="auto"/>
              <w:right w:val="single" w:sz="4" w:space="0" w:color="auto"/>
            </w:tcBorders>
            <w:shd w:val="clear" w:color="auto" w:fill="auto"/>
            <w:noWrap/>
            <w:vAlign w:val="center"/>
            <w:hideMark/>
          </w:tcPr>
          <w:p w14:paraId="7F01E555"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45</w:t>
            </w:r>
          </w:p>
        </w:tc>
        <w:tc>
          <w:tcPr>
            <w:tcW w:w="799" w:type="dxa"/>
            <w:tcBorders>
              <w:top w:val="nil"/>
              <w:left w:val="nil"/>
              <w:bottom w:val="single" w:sz="4" w:space="0" w:color="auto"/>
              <w:right w:val="single" w:sz="4" w:space="0" w:color="auto"/>
            </w:tcBorders>
            <w:shd w:val="clear" w:color="auto" w:fill="auto"/>
            <w:noWrap/>
            <w:vAlign w:val="center"/>
            <w:hideMark/>
          </w:tcPr>
          <w:p w14:paraId="06C7DB94"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0</w:t>
            </w:r>
          </w:p>
        </w:tc>
      </w:tr>
      <w:tr w:rsidR="00D23AA6" w:rsidRPr="00D23AA6" w14:paraId="163237FF" w14:textId="77777777" w:rsidTr="00D23AA6">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684ED15E"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 xml:space="preserve">Recursos del Balance </w:t>
            </w:r>
          </w:p>
        </w:tc>
        <w:tc>
          <w:tcPr>
            <w:tcW w:w="1204" w:type="dxa"/>
            <w:tcBorders>
              <w:top w:val="nil"/>
              <w:left w:val="nil"/>
              <w:bottom w:val="single" w:sz="4" w:space="0" w:color="auto"/>
              <w:right w:val="single" w:sz="4" w:space="0" w:color="auto"/>
            </w:tcBorders>
            <w:shd w:val="clear" w:color="auto" w:fill="auto"/>
            <w:noWrap/>
            <w:vAlign w:val="center"/>
            <w:hideMark/>
          </w:tcPr>
          <w:p w14:paraId="32C2E7EE"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188</w:t>
            </w:r>
          </w:p>
        </w:tc>
        <w:tc>
          <w:tcPr>
            <w:tcW w:w="799" w:type="dxa"/>
            <w:tcBorders>
              <w:top w:val="nil"/>
              <w:left w:val="nil"/>
              <w:bottom w:val="single" w:sz="4" w:space="0" w:color="auto"/>
              <w:right w:val="single" w:sz="4" w:space="0" w:color="auto"/>
            </w:tcBorders>
            <w:shd w:val="clear" w:color="auto" w:fill="auto"/>
            <w:noWrap/>
            <w:vAlign w:val="center"/>
            <w:hideMark/>
          </w:tcPr>
          <w:p w14:paraId="7A4854B2"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9</w:t>
            </w:r>
          </w:p>
        </w:tc>
        <w:tc>
          <w:tcPr>
            <w:tcW w:w="1204" w:type="dxa"/>
            <w:tcBorders>
              <w:top w:val="nil"/>
              <w:left w:val="nil"/>
              <w:bottom w:val="single" w:sz="4" w:space="0" w:color="auto"/>
              <w:right w:val="single" w:sz="4" w:space="0" w:color="auto"/>
            </w:tcBorders>
            <w:shd w:val="clear" w:color="auto" w:fill="auto"/>
            <w:noWrap/>
            <w:vAlign w:val="center"/>
            <w:hideMark/>
          </w:tcPr>
          <w:p w14:paraId="43E63C8E"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55</w:t>
            </w:r>
          </w:p>
        </w:tc>
        <w:tc>
          <w:tcPr>
            <w:tcW w:w="799" w:type="dxa"/>
            <w:tcBorders>
              <w:top w:val="nil"/>
              <w:left w:val="nil"/>
              <w:bottom w:val="single" w:sz="4" w:space="0" w:color="auto"/>
              <w:right w:val="single" w:sz="4" w:space="0" w:color="auto"/>
            </w:tcBorders>
            <w:shd w:val="clear" w:color="auto" w:fill="auto"/>
            <w:noWrap/>
            <w:vAlign w:val="center"/>
            <w:hideMark/>
          </w:tcPr>
          <w:p w14:paraId="72ADF238"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14</w:t>
            </w:r>
          </w:p>
        </w:tc>
      </w:tr>
      <w:tr w:rsidR="00D23AA6" w:rsidRPr="00D23AA6" w14:paraId="6EB10B50" w14:textId="77777777" w:rsidTr="00D23AA6">
        <w:trPr>
          <w:trHeight w:val="30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1F9AE99C" w14:textId="77777777" w:rsidR="00D23AA6" w:rsidRPr="00D23AA6" w:rsidRDefault="00D23AA6" w:rsidP="00D23AA6">
            <w:pPr>
              <w:jc w:val="both"/>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419" w:eastAsia="es-CO"/>
              </w:rPr>
              <w:t>Superávit fiscal</w:t>
            </w:r>
          </w:p>
        </w:tc>
        <w:tc>
          <w:tcPr>
            <w:tcW w:w="1204" w:type="dxa"/>
            <w:tcBorders>
              <w:top w:val="nil"/>
              <w:left w:val="nil"/>
              <w:bottom w:val="single" w:sz="4" w:space="0" w:color="auto"/>
              <w:right w:val="single" w:sz="4" w:space="0" w:color="auto"/>
            </w:tcBorders>
            <w:shd w:val="clear" w:color="auto" w:fill="auto"/>
            <w:noWrap/>
            <w:vAlign w:val="center"/>
            <w:hideMark/>
          </w:tcPr>
          <w:p w14:paraId="1500D373"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419" w:eastAsia="es-CO"/>
              </w:rPr>
              <w:t>188</w:t>
            </w:r>
          </w:p>
        </w:tc>
        <w:tc>
          <w:tcPr>
            <w:tcW w:w="799" w:type="dxa"/>
            <w:tcBorders>
              <w:top w:val="nil"/>
              <w:left w:val="nil"/>
              <w:bottom w:val="single" w:sz="4" w:space="0" w:color="auto"/>
              <w:right w:val="single" w:sz="4" w:space="0" w:color="auto"/>
            </w:tcBorders>
            <w:shd w:val="clear" w:color="auto" w:fill="auto"/>
            <w:noWrap/>
            <w:vAlign w:val="center"/>
            <w:hideMark/>
          </w:tcPr>
          <w:p w14:paraId="5BBCAB15" w14:textId="77777777" w:rsidR="00D23AA6" w:rsidRPr="00D23AA6" w:rsidRDefault="00D23AA6" w:rsidP="00D23AA6">
            <w:pPr>
              <w:jc w:val="center"/>
              <w:rPr>
                <w:rFonts w:ascii="Verdana" w:eastAsia="Times New Roman" w:hAnsi="Verdana" w:cs="Calibri"/>
                <w:color w:val="000000"/>
                <w:sz w:val="16"/>
                <w:szCs w:val="16"/>
                <w:lang w:val="es-CO" w:eastAsia="es-CO"/>
              </w:rPr>
            </w:pPr>
            <w:r w:rsidRPr="00D23AA6">
              <w:rPr>
                <w:rFonts w:ascii="Verdana" w:eastAsia="Times New Roman" w:hAnsi="Verdana" w:cs="Calibri"/>
                <w:color w:val="000000"/>
                <w:sz w:val="16"/>
                <w:szCs w:val="16"/>
                <w:lang w:val="es-419" w:eastAsia="es-CO"/>
              </w:rPr>
              <w:t>9</w:t>
            </w:r>
          </w:p>
        </w:tc>
        <w:tc>
          <w:tcPr>
            <w:tcW w:w="1204" w:type="dxa"/>
            <w:tcBorders>
              <w:top w:val="nil"/>
              <w:left w:val="nil"/>
              <w:bottom w:val="single" w:sz="4" w:space="0" w:color="auto"/>
              <w:right w:val="single" w:sz="4" w:space="0" w:color="auto"/>
            </w:tcBorders>
            <w:shd w:val="clear" w:color="auto" w:fill="auto"/>
            <w:noWrap/>
            <w:vAlign w:val="center"/>
            <w:hideMark/>
          </w:tcPr>
          <w:p w14:paraId="6FFC2954"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55</w:t>
            </w:r>
          </w:p>
        </w:tc>
        <w:tc>
          <w:tcPr>
            <w:tcW w:w="799" w:type="dxa"/>
            <w:tcBorders>
              <w:top w:val="nil"/>
              <w:left w:val="nil"/>
              <w:bottom w:val="single" w:sz="4" w:space="0" w:color="auto"/>
              <w:right w:val="single" w:sz="4" w:space="0" w:color="auto"/>
            </w:tcBorders>
            <w:shd w:val="clear" w:color="auto" w:fill="auto"/>
            <w:noWrap/>
            <w:vAlign w:val="center"/>
            <w:hideMark/>
          </w:tcPr>
          <w:p w14:paraId="37CA8084"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14</w:t>
            </w:r>
          </w:p>
        </w:tc>
      </w:tr>
      <w:tr w:rsidR="00D23AA6" w:rsidRPr="00D23AA6" w14:paraId="66889941" w14:textId="77777777" w:rsidTr="00D23AA6">
        <w:trPr>
          <w:trHeight w:val="420"/>
          <w:jc w:val="center"/>
        </w:trPr>
        <w:tc>
          <w:tcPr>
            <w:tcW w:w="3292" w:type="dxa"/>
            <w:tcBorders>
              <w:top w:val="nil"/>
              <w:left w:val="single" w:sz="4" w:space="0" w:color="auto"/>
              <w:bottom w:val="single" w:sz="4" w:space="0" w:color="auto"/>
              <w:right w:val="single" w:sz="4" w:space="0" w:color="auto"/>
            </w:tcBorders>
            <w:shd w:val="clear" w:color="auto" w:fill="auto"/>
            <w:noWrap/>
            <w:vAlign w:val="center"/>
            <w:hideMark/>
          </w:tcPr>
          <w:p w14:paraId="190BE138" w14:textId="77777777" w:rsidR="00D23AA6" w:rsidRPr="00D23AA6" w:rsidRDefault="00D23AA6" w:rsidP="00D23AA6">
            <w:pPr>
              <w:jc w:val="both"/>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INGRESOS TOTALES APSB</w:t>
            </w:r>
          </w:p>
        </w:tc>
        <w:tc>
          <w:tcPr>
            <w:tcW w:w="1204" w:type="dxa"/>
            <w:tcBorders>
              <w:top w:val="nil"/>
              <w:left w:val="nil"/>
              <w:bottom w:val="single" w:sz="4" w:space="0" w:color="auto"/>
              <w:right w:val="single" w:sz="4" w:space="0" w:color="auto"/>
            </w:tcBorders>
            <w:shd w:val="clear" w:color="auto" w:fill="auto"/>
            <w:noWrap/>
            <w:vAlign w:val="center"/>
            <w:hideMark/>
          </w:tcPr>
          <w:p w14:paraId="77CBDD35"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1,245</w:t>
            </w:r>
          </w:p>
        </w:tc>
        <w:tc>
          <w:tcPr>
            <w:tcW w:w="799" w:type="dxa"/>
            <w:tcBorders>
              <w:top w:val="nil"/>
              <w:left w:val="nil"/>
              <w:bottom w:val="single" w:sz="4" w:space="0" w:color="auto"/>
              <w:right w:val="single" w:sz="4" w:space="0" w:color="auto"/>
            </w:tcBorders>
            <w:shd w:val="clear" w:color="auto" w:fill="auto"/>
            <w:noWrap/>
            <w:vAlign w:val="center"/>
            <w:hideMark/>
          </w:tcPr>
          <w:p w14:paraId="62F23F7A"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1,056</w:t>
            </w:r>
          </w:p>
        </w:tc>
        <w:tc>
          <w:tcPr>
            <w:tcW w:w="1204" w:type="dxa"/>
            <w:tcBorders>
              <w:top w:val="nil"/>
              <w:left w:val="nil"/>
              <w:bottom w:val="single" w:sz="4" w:space="0" w:color="auto"/>
              <w:right w:val="single" w:sz="4" w:space="0" w:color="auto"/>
            </w:tcBorders>
            <w:shd w:val="clear" w:color="auto" w:fill="auto"/>
            <w:noWrap/>
            <w:vAlign w:val="center"/>
            <w:hideMark/>
          </w:tcPr>
          <w:p w14:paraId="027A03AA"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978</w:t>
            </w:r>
          </w:p>
        </w:tc>
        <w:tc>
          <w:tcPr>
            <w:tcW w:w="799" w:type="dxa"/>
            <w:tcBorders>
              <w:top w:val="nil"/>
              <w:left w:val="nil"/>
              <w:bottom w:val="single" w:sz="4" w:space="0" w:color="auto"/>
              <w:right w:val="single" w:sz="4" w:space="0" w:color="auto"/>
            </w:tcBorders>
            <w:shd w:val="clear" w:color="auto" w:fill="auto"/>
            <w:noWrap/>
            <w:vAlign w:val="center"/>
            <w:hideMark/>
          </w:tcPr>
          <w:p w14:paraId="1DEB4A28" w14:textId="77777777" w:rsidR="00D23AA6" w:rsidRPr="00D23AA6" w:rsidRDefault="00D23AA6" w:rsidP="00D23AA6">
            <w:pPr>
              <w:jc w:val="center"/>
              <w:rPr>
                <w:rFonts w:ascii="Verdana" w:eastAsia="Times New Roman" w:hAnsi="Verdana" w:cs="Calibri"/>
                <w:b/>
                <w:bCs/>
                <w:color w:val="000000"/>
                <w:sz w:val="16"/>
                <w:szCs w:val="16"/>
                <w:lang w:val="es-CO" w:eastAsia="es-CO"/>
              </w:rPr>
            </w:pPr>
            <w:r w:rsidRPr="00D23AA6">
              <w:rPr>
                <w:rFonts w:ascii="Verdana" w:eastAsia="Times New Roman" w:hAnsi="Verdana" w:cs="Calibri"/>
                <w:b/>
                <w:bCs/>
                <w:color w:val="000000"/>
                <w:sz w:val="16"/>
                <w:szCs w:val="16"/>
                <w:lang w:val="es-419" w:eastAsia="es-CO"/>
              </w:rPr>
              <w:t>891</w:t>
            </w:r>
          </w:p>
        </w:tc>
      </w:tr>
    </w:tbl>
    <w:p w14:paraId="216C305A" w14:textId="77777777" w:rsidR="00911C69" w:rsidRPr="00433E58" w:rsidRDefault="00911C69" w:rsidP="00911C69">
      <w:pPr>
        <w:jc w:val="center"/>
        <w:rPr>
          <w:rFonts w:ascii="Verdana" w:eastAsia="Calibri" w:hAnsi="Verdana" w:cs="Arial"/>
          <w:color w:val="000000" w:themeColor="text1"/>
          <w:sz w:val="22"/>
          <w:szCs w:val="22"/>
          <w:lang w:val="es-CO" w:eastAsia="en-US"/>
        </w:rPr>
      </w:pPr>
      <w:r w:rsidRPr="00433E58">
        <w:rPr>
          <w:rFonts w:ascii="Verdana" w:hAnsi="Verdana" w:cs="Arial"/>
          <w:bCs/>
          <w:color w:val="000000" w:themeColor="text1"/>
          <w:sz w:val="16"/>
          <w:szCs w:val="16"/>
          <w:lang w:val="es-CO"/>
        </w:rPr>
        <w:t>Fuente: Cálculos propios DAF según información presupuestal suministrada por la Entidad y CUIPO.</w:t>
      </w:r>
    </w:p>
    <w:p w14:paraId="4E87A916" w14:textId="77777777" w:rsidR="00911C69" w:rsidRPr="00433E58" w:rsidRDefault="00911C69" w:rsidP="00911C69">
      <w:pPr>
        <w:pStyle w:val="Sinespaciado"/>
        <w:jc w:val="both"/>
        <w:rPr>
          <w:rFonts w:ascii="Verdana" w:eastAsia="MS Mincho" w:hAnsi="Verdana" w:cs="Arial"/>
          <w:color w:val="000000" w:themeColor="text1"/>
          <w:lang w:val="es-ES" w:eastAsia="es-ES"/>
        </w:rPr>
      </w:pPr>
    </w:p>
    <w:p w14:paraId="456E9A44" w14:textId="77777777" w:rsidR="00911C69" w:rsidRPr="00264E65" w:rsidRDefault="00911C69" w:rsidP="00911C69">
      <w:pPr>
        <w:jc w:val="both"/>
        <w:rPr>
          <w:rFonts w:ascii="Verdana" w:hAnsi="Verdana" w:cs="Arial"/>
          <w:sz w:val="22"/>
          <w:szCs w:val="22"/>
        </w:rPr>
      </w:pPr>
      <w:r w:rsidRPr="00264E65">
        <w:rPr>
          <w:rFonts w:ascii="Verdana" w:hAnsi="Verdana" w:cs="Arial"/>
          <w:sz w:val="22"/>
          <w:szCs w:val="22"/>
        </w:rPr>
        <w:t>Como se puede ver a través del cuadro anterior, el recaudo para la vigencia 2021 en el Sector Agua Potable y Saneamiento Básico según la ejecución entregada por la Entidad Territorial fue de $1.245 millones, mientras que según la información reportada a CUIPO fue de $1.056 millones, mostrando una diferencia de $189 millones debido a la diferencia en los valores reportados por concepto de Superávit fiscal y de Rendimientos financieros.</w:t>
      </w:r>
    </w:p>
    <w:p w14:paraId="3F210469" w14:textId="77777777" w:rsidR="00FA5849" w:rsidRPr="00264E65" w:rsidRDefault="00FA5849" w:rsidP="00911C69">
      <w:pPr>
        <w:jc w:val="both"/>
        <w:rPr>
          <w:rFonts w:ascii="Verdana" w:hAnsi="Verdana" w:cs="Arial"/>
          <w:sz w:val="22"/>
          <w:szCs w:val="22"/>
        </w:rPr>
      </w:pPr>
    </w:p>
    <w:p w14:paraId="70B30496" w14:textId="77777777" w:rsidR="00FA5849" w:rsidRPr="00264E65" w:rsidRDefault="00FA5849" w:rsidP="00FA5849">
      <w:pPr>
        <w:jc w:val="both"/>
        <w:rPr>
          <w:rFonts w:ascii="Verdana" w:hAnsi="Verdana" w:cs="Arial"/>
          <w:sz w:val="22"/>
          <w:szCs w:val="22"/>
        </w:rPr>
      </w:pPr>
      <w:r w:rsidRPr="00264E65">
        <w:rPr>
          <w:rFonts w:ascii="Verdana" w:hAnsi="Verdana" w:cs="Arial"/>
          <w:sz w:val="22"/>
          <w:szCs w:val="22"/>
        </w:rPr>
        <w:t>Así mismo, el recaudo para la vigencia 2022 en el Sector Agua Potable y Saneamiento Básico según la ejecución entregada por la Entidad Territorial fue de $978 millones, mientras que según la información reportada a CUIPO fue de $891 millones, mostrando una diferencia de $87 millones debido a la diferencia en los valores reportados por concepto de Superávit fiscal y de Rendimientos financieros.</w:t>
      </w:r>
    </w:p>
    <w:p w14:paraId="1EC3E388" w14:textId="77777777" w:rsidR="00FA5849" w:rsidRPr="00264E65" w:rsidRDefault="00FA5849" w:rsidP="00911C69">
      <w:pPr>
        <w:jc w:val="both"/>
        <w:rPr>
          <w:rFonts w:ascii="Verdana" w:hAnsi="Verdana" w:cs="Arial"/>
          <w:sz w:val="22"/>
          <w:szCs w:val="22"/>
        </w:rPr>
      </w:pPr>
    </w:p>
    <w:p w14:paraId="5BFCA7C1" w14:textId="77777777" w:rsidR="00911C69" w:rsidRPr="00264E65" w:rsidRDefault="00911C69" w:rsidP="00911C69">
      <w:pPr>
        <w:rPr>
          <w:rFonts w:ascii="Verdana" w:hAnsi="Verdana" w:cs="Arial"/>
          <w:sz w:val="22"/>
          <w:szCs w:val="22"/>
        </w:rPr>
      </w:pPr>
    </w:p>
    <w:p w14:paraId="06BC7EAB" w14:textId="77777777" w:rsidR="00911C69" w:rsidRPr="00264E65" w:rsidRDefault="00911C69" w:rsidP="00911C69">
      <w:pPr>
        <w:tabs>
          <w:tab w:val="left" w:pos="8460"/>
        </w:tabs>
        <w:jc w:val="both"/>
        <w:rPr>
          <w:rFonts w:ascii="Verdana" w:hAnsi="Verdana" w:cs="Arial"/>
          <w:b/>
          <w:sz w:val="22"/>
          <w:szCs w:val="22"/>
        </w:rPr>
      </w:pPr>
      <w:r w:rsidRPr="00264E65">
        <w:rPr>
          <w:rFonts w:ascii="Verdana" w:hAnsi="Verdana" w:cs="Arial"/>
          <w:b/>
          <w:sz w:val="22"/>
          <w:szCs w:val="22"/>
        </w:rPr>
        <w:t>EVIDENCIA:</w:t>
      </w:r>
    </w:p>
    <w:p w14:paraId="08541AA6" w14:textId="77777777" w:rsidR="00911C69" w:rsidRPr="00264E65" w:rsidRDefault="00911C69" w:rsidP="00911C69">
      <w:pPr>
        <w:tabs>
          <w:tab w:val="left" w:pos="8460"/>
        </w:tabs>
        <w:jc w:val="both"/>
        <w:rPr>
          <w:rFonts w:ascii="Verdana" w:hAnsi="Verdana" w:cs="Arial"/>
          <w:b/>
          <w:sz w:val="22"/>
          <w:szCs w:val="22"/>
        </w:rPr>
      </w:pPr>
    </w:p>
    <w:p w14:paraId="1D8F1272" w14:textId="77777777" w:rsidR="00911C69" w:rsidRPr="00264E65" w:rsidRDefault="00911C69" w:rsidP="00911C69">
      <w:pPr>
        <w:jc w:val="both"/>
        <w:rPr>
          <w:rFonts w:ascii="Verdana" w:hAnsi="Verdana" w:cs="Arial"/>
          <w:sz w:val="22"/>
          <w:szCs w:val="22"/>
        </w:rPr>
      </w:pPr>
      <w:r w:rsidRPr="00264E65">
        <w:rPr>
          <w:rFonts w:ascii="Verdana" w:hAnsi="Verdana" w:cs="Arial"/>
          <w:sz w:val="22"/>
          <w:szCs w:val="22"/>
        </w:rPr>
        <w:t>Obra en el expediente digital en el Sistema de Información Electrónica Documental – SIED del Ministerio de Hacienda y Crédito Público No. 12/2019/D028-PREDI el siguiente material probatorio:</w:t>
      </w:r>
    </w:p>
    <w:p w14:paraId="14C3657A" w14:textId="77777777" w:rsidR="00911C69" w:rsidRPr="00264E65" w:rsidRDefault="00911C69" w:rsidP="00911C69">
      <w:pPr>
        <w:tabs>
          <w:tab w:val="left" w:pos="8460"/>
        </w:tabs>
        <w:jc w:val="both"/>
        <w:rPr>
          <w:rFonts w:ascii="Verdana" w:hAnsi="Verdana" w:cs="Arial"/>
          <w:sz w:val="22"/>
          <w:szCs w:val="22"/>
        </w:rPr>
      </w:pPr>
    </w:p>
    <w:p w14:paraId="2718A66E" w14:textId="77777777" w:rsidR="00911C69" w:rsidRPr="00264E65" w:rsidRDefault="00911C69" w:rsidP="00911C69">
      <w:pPr>
        <w:rPr>
          <w:rFonts w:ascii="Verdana" w:hAnsi="Verdana" w:cs="Arial"/>
          <w:sz w:val="22"/>
          <w:szCs w:val="22"/>
        </w:rPr>
      </w:pPr>
    </w:p>
    <w:p w14:paraId="77B58AC5" w14:textId="77777777" w:rsidR="009B65DE" w:rsidRPr="00264E65" w:rsidRDefault="00911C69" w:rsidP="009B65DE">
      <w:pPr>
        <w:pStyle w:val="Prrafodelista"/>
        <w:numPr>
          <w:ilvl w:val="0"/>
          <w:numId w:val="21"/>
        </w:numPr>
        <w:tabs>
          <w:tab w:val="left" w:pos="8460"/>
        </w:tabs>
        <w:jc w:val="both"/>
        <w:rPr>
          <w:rStyle w:val="Hipervnculo"/>
          <w:rFonts w:ascii="Verdana" w:hAnsi="Verdana" w:cs="Arial"/>
          <w:color w:val="auto"/>
          <w:sz w:val="22"/>
          <w:szCs w:val="22"/>
          <w:u w:val="none"/>
        </w:rPr>
      </w:pPr>
      <w:r w:rsidRPr="00264E65">
        <w:rPr>
          <w:rFonts w:ascii="Verdana" w:hAnsi="Verdana" w:cs="Arial"/>
          <w:sz w:val="22"/>
          <w:szCs w:val="22"/>
        </w:rPr>
        <w:t xml:space="preserve">Ejecución presupuestal de ingresos del Municipio de Cota – Cundinamarca de la vigencia 2021. </w:t>
      </w:r>
      <w:r w:rsidRPr="00264E65">
        <w:rPr>
          <w:rFonts w:ascii="Verdana" w:hAnsi="Verdana" w:cs="Arial"/>
          <w:sz w:val="22"/>
          <w:szCs w:val="22"/>
          <w:lang w:eastAsia="es-CO"/>
        </w:rPr>
        <w:t>Participación de Agua Potable y Saneamiento Básico. Municipio de Cota – Cundinamarca. Serie “</w:t>
      </w:r>
      <w:r w:rsidRPr="00264E65">
        <w:rPr>
          <w:rFonts w:ascii="Verdana" w:hAnsi="Verdana" w:cs="Arial"/>
          <w:i/>
          <w:iCs/>
          <w:sz w:val="22"/>
          <w:szCs w:val="22"/>
          <w:lang w:eastAsia="es-CO"/>
        </w:rPr>
        <w:t>Historial de Seguimiento y Control a la Ejecución de los Recursos del Sistema General de Participaciones – Ejecución y Seguimiento</w:t>
      </w:r>
      <w:r w:rsidRPr="00264E65">
        <w:rPr>
          <w:rFonts w:ascii="Verdana" w:hAnsi="Verdana" w:cs="Arial"/>
          <w:sz w:val="22"/>
          <w:szCs w:val="22"/>
          <w:lang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eastAsia="es-CO"/>
        </w:rPr>
        <w:t xml:space="preserve">. Radicado No. 1-2022-030600 del 22 de abril de 2022. Enlace: </w:t>
      </w:r>
      <w:hyperlink r:id="rId11" w:history="1">
        <w:r w:rsidR="00052C04" w:rsidRPr="00264E65">
          <w:rPr>
            <w:rStyle w:val="Hipervnculo"/>
            <w:rFonts w:ascii="Verdana" w:hAnsi="Verdana" w:cs="Arial"/>
            <w:sz w:val="22"/>
            <w:szCs w:val="22"/>
            <w:lang w:eastAsia="es-CO"/>
          </w:rPr>
          <w:t>https://bit.ly/3ypqFx7</w:t>
        </w:r>
      </w:hyperlink>
    </w:p>
    <w:p w14:paraId="0A99AC58" w14:textId="77777777" w:rsidR="009B65DE" w:rsidRPr="00264E65" w:rsidRDefault="009B65DE" w:rsidP="009B65DE">
      <w:pPr>
        <w:pStyle w:val="Prrafodelista"/>
        <w:tabs>
          <w:tab w:val="left" w:pos="8460"/>
        </w:tabs>
        <w:jc w:val="both"/>
        <w:rPr>
          <w:rStyle w:val="Hipervnculo"/>
          <w:rFonts w:ascii="Verdana" w:hAnsi="Verdana" w:cs="Arial"/>
          <w:color w:val="auto"/>
          <w:sz w:val="22"/>
          <w:szCs w:val="22"/>
          <w:u w:val="none"/>
        </w:rPr>
      </w:pPr>
    </w:p>
    <w:p w14:paraId="44755A59" w14:textId="77777777" w:rsidR="00052C04" w:rsidRPr="00264E65" w:rsidRDefault="009B65DE" w:rsidP="009B65DE">
      <w:pPr>
        <w:pStyle w:val="Prrafodelista"/>
        <w:numPr>
          <w:ilvl w:val="0"/>
          <w:numId w:val="21"/>
        </w:numPr>
        <w:tabs>
          <w:tab w:val="left" w:pos="8460"/>
        </w:tabs>
        <w:jc w:val="both"/>
        <w:rPr>
          <w:rFonts w:ascii="Verdana" w:hAnsi="Verdana" w:cs="Arial"/>
          <w:sz w:val="22"/>
          <w:szCs w:val="22"/>
        </w:rPr>
      </w:pPr>
      <w:r w:rsidRPr="00264E65">
        <w:rPr>
          <w:rFonts w:ascii="Verdana" w:hAnsi="Verdana" w:cs="Arial"/>
          <w:color w:val="000000" w:themeColor="text1"/>
          <w:sz w:val="22"/>
          <w:szCs w:val="22"/>
        </w:rPr>
        <w:t>E</w:t>
      </w:r>
      <w:r w:rsidR="00052C04" w:rsidRPr="00264E65">
        <w:rPr>
          <w:rFonts w:ascii="Verdana" w:hAnsi="Verdana" w:cs="Arial"/>
          <w:color w:val="000000" w:themeColor="text1"/>
          <w:sz w:val="22"/>
          <w:szCs w:val="22"/>
        </w:rPr>
        <w:t xml:space="preserve">jecución presupuestal de ingresos del Municipio de Cota – Cundinamarca de la vigencia 2022. </w:t>
      </w:r>
      <w:r w:rsidR="00052C04" w:rsidRPr="00264E65">
        <w:rPr>
          <w:rFonts w:ascii="Verdana" w:hAnsi="Verdana" w:cs="Arial"/>
          <w:color w:val="000000" w:themeColor="text1"/>
          <w:sz w:val="22"/>
          <w:szCs w:val="22"/>
          <w:lang w:eastAsia="es-CO"/>
        </w:rPr>
        <w:t xml:space="preserve">Participación de Agua Potable y Saneamiento Básico. Municipio de Cota – </w:t>
      </w:r>
      <w:r w:rsidR="00052C04" w:rsidRPr="00264E65">
        <w:rPr>
          <w:rFonts w:ascii="Verdana" w:hAnsi="Verdana" w:cs="Arial"/>
          <w:sz w:val="22"/>
          <w:szCs w:val="22"/>
          <w:lang w:eastAsia="es-CO"/>
        </w:rPr>
        <w:t>Cundinamarca. Serie “</w:t>
      </w:r>
      <w:r w:rsidR="00052C04" w:rsidRPr="00264E65">
        <w:rPr>
          <w:rFonts w:ascii="Verdana" w:hAnsi="Verdana" w:cs="Arial"/>
          <w:i/>
          <w:iCs/>
          <w:sz w:val="22"/>
          <w:szCs w:val="22"/>
          <w:lang w:eastAsia="es-CO"/>
        </w:rPr>
        <w:t>Historial de Seguimiento y Control a la Ejecución de los Recursos del Sistema General de Participaciones – Ejecución y Seguimiento</w:t>
      </w:r>
      <w:r w:rsidR="00052C04" w:rsidRPr="00264E65">
        <w:rPr>
          <w:rFonts w:ascii="Verdana" w:hAnsi="Verdana" w:cs="Arial"/>
          <w:sz w:val="22"/>
          <w:szCs w:val="22"/>
          <w:lang w:eastAsia="es-CO"/>
        </w:rPr>
        <w:t xml:space="preserve">”. Expediente Digital No. </w:t>
      </w:r>
      <w:r w:rsidR="00052C04" w:rsidRPr="00264E65">
        <w:rPr>
          <w:rFonts w:ascii="Verdana" w:hAnsi="Verdana" w:cs="Arial"/>
          <w:sz w:val="22"/>
          <w:szCs w:val="22"/>
        </w:rPr>
        <w:t>12/2019/D028-PREDI</w:t>
      </w:r>
      <w:r w:rsidR="00052C04" w:rsidRPr="00264E65">
        <w:rPr>
          <w:rFonts w:ascii="Verdana" w:hAnsi="Verdana" w:cs="Arial"/>
          <w:sz w:val="22"/>
          <w:szCs w:val="22"/>
          <w:lang w:eastAsia="es-CO"/>
        </w:rPr>
        <w:t xml:space="preserve">. Radicado No. 1-2023-043301 del 24 de mayo de 2023. Enlace: </w:t>
      </w:r>
      <w:r w:rsidR="008C58DF" w:rsidRPr="00264E65">
        <w:rPr>
          <w:rStyle w:val="Hipervnculo"/>
          <w:rFonts w:ascii="Verdana" w:hAnsi="Verdana" w:cs="Arial"/>
          <w:sz w:val="22"/>
          <w:szCs w:val="22"/>
          <w:lang w:eastAsia="es-CO"/>
        </w:rPr>
        <w:t>https://</w:t>
      </w:r>
      <w:r w:rsidR="008C58DF" w:rsidRPr="00264E65">
        <w:rPr>
          <w:rFonts w:ascii="Verdana" w:hAnsi="Verdana" w:cs="Arial"/>
          <w:color w:val="0000FF"/>
          <w:sz w:val="22"/>
          <w:szCs w:val="22"/>
          <w:u w:val="single"/>
          <w:lang w:val="es-CO" w:eastAsia="es-CO"/>
        </w:rPr>
        <w:t>bit.ly/3X7wWsH</w:t>
      </w:r>
    </w:p>
    <w:p w14:paraId="6517F2E1" w14:textId="77777777" w:rsidR="00911C69" w:rsidRPr="00264E65" w:rsidRDefault="00911C69" w:rsidP="00911C69">
      <w:pPr>
        <w:pStyle w:val="Prrafodelista"/>
        <w:jc w:val="both"/>
        <w:rPr>
          <w:rFonts w:ascii="Verdana" w:eastAsia="Calibri" w:hAnsi="Verdana" w:cs="Arial"/>
          <w:sz w:val="22"/>
          <w:szCs w:val="22"/>
          <w:lang w:val="en-US" w:eastAsia="es-CO"/>
        </w:rPr>
      </w:pPr>
    </w:p>
    <w:p w14:paraId="62CD86D1" w14:textId="77777777" w:rsidR="00911C69" w:rsidRPr="00264E65" w:rsidRDefault="00911C69" w:rsidP="00911C69">
      <w:pPr>
        <w:pStyle w:val="Prrafodelista"/>
        <w:numPr>
          <w:ilvl w:val="0"/>
          <w:numId w:val="21"/>
        </w:numPr>
        <w:jc w:val="both"/>
        <w:rPr>
          <w:rFonts w:ascii="Verdana" w:hAnsi="Verdana" w:cs="Arial"/>
          <w:sz w:val="22"/>
          <w:szCs w:val="22"/>
          <w:lang w:val="en-US"/>
        </w:rPr>
      </w:pPr>
      <w:r w:rsidRPr="00264E65">
        <w:rPr>
          <w:rFonts w:ascii="Verdana" w:hAnsi="Verdana" w:cs="Arial"/>
          <w:sz w:val="22"/>
          <w:szCs w:val="22"/>
        </w:rPr>
        <w:t xml:space="preserve">Reporte al Consolidador de Hacienda e Información Pública – CHIP del Municipio de Cota – Cundinamarca. </w:t>
      </w:r>
      <w:r w:rsidRPr="00264E65">
        <w:rPr>
          <w:rFonts w:ascii="Verdana" w:eastAsia="Times New Roman" w:hAnsi="Verdana" w:cs="Arial"/>
          <w:sz w:val="22"/>
          <w:szCs w:val="22"/>
        </w:rPr>
        <w:t xml:space="preserve">Formulario Único Territorial – FUT, </w:t>
      </w:r>
      <w:r w:rsidRPr="00264E65">
        <w:rPr>
          <w:rFonts w:ascii="Verdana" w:hAnsi="Verdana" w:cs="Arial"/>
          <w:sz w:val="22"/>
          <w:szCs w:val="22"/>
          <w:shd w:val="clear" w:color="auto" w:fill="FFFFFF"/>
        </w:rPr>
        <w:t>Categoría Única de Información del Presupuesto Ordinario</w:t>
      </w:r>
      <w:r w:rsidRPr="00264E65">
        <w:rPr>
          <w:rFonts w:ascii="Verdana" w:eastAsia="Times New Roman" w:hAnsi="Verdana" w:cs="Arial"/>
          <w:sz w:val="22"/>
          <w:szCs w:val="22"/>
        </w:rPr>
        <w:t xml:space="preserve"> - CUIPO. </w:t>
      </w:r>
      <w:r w:rsidRPr="00264E65">
        <w:rPr>
          <w:rFonts w:ascii="Verdana" w:hAnsi="Verdana" w:cs="Arial"/>
          <w:sz w:val="22"/>
          <w:szCs w:val="22"/>
        </w:rPr>
        <w:t xml:space="preserve">Vigencia 2021. </w:t>
      </w:r>
      <w:r w:rsidRPr="00264E65">
        <w:rPr>
          <w:rFonts w:ascii="Verdana" w:hAnsi="Verdana" w:cs="Arial"/>
          <w:sz w:val="22"/>
          <w:szCs w:val="22"/>
          <w:lang w:eastAsia="es-CO"/>
        </w:rPr>
        <w:t>Participación de Agua Potable y Saneamiento Básico. Municipio de Cota – Cundinamarca. Serie “</w:t>
      </w:r>
      <w:r w:rsidRPr="00264E65">
        <w:rPr>
          <w:rFonts w:ascii="Verdana" w:hAnsi="Verdana" w:cs="Arial"/>
          <w:i/>
          <w:iCs/>
          <w:sz w:val="22"/>
          <w:szCs w:val="22"/>
          <w:lang w:eastAsia="es-CO"/>
        </w:rPr>
        <w:t>Historial de Seguimiento y Control a la Ejecución de los Recursos del Sistema General de Participaciones – Ejecución y Seguimiento</w:t>
      </w:r>
      <w:r w:rsidRPr="00264E65">
        <w:rPr>
          <w:rFonts w:ascii="Verdana" w:hAnsi="Verdana" w:cs="Arial"/>
          <w:sz w:val="22"/>
          <w:szCs w:val="22"/>
          <w:lang w:eastAsia="es-CO"/>
        </w:rPr>
        <w:t xml:space="preserve">”. Expediente digital No. 12/2019/D028-PREDI. </w:t>
      </w:r>
      <w:r w:rsidRPr="00264E65">
        <w:rPr>
          <w:rFonts w:ascii="Verdana" w:hAnsi="Verdana" w:cs="Arial"/>
          <w:sz w:val="22"/>
          <w:szCs w:val="22"/>
          <w:lang w:val="en-US" w:eastAsia="es-CO"/>
        </w:rPr>
        <w:t xml:space="preserve">Enlace: </w:t>
      </w:r>
      <w:hyperlink r:id="rId12" w:history="1">
        <w:r w:rsidRPr="00264E65">
          <w:rPr>
            <w:rStyle w:val="Hipervnculo"/>
            <w:rFonts w:ascii="Verdana" w:hAnsi="Verdana" w:cs="Arial"/>
            <w:sz w:val="22"/>
            <w:szCs w:val="22"/>
            <w:lang w:eastAsia="es-CO"/>
          </w:rPr>
          <w:t>https://bit.ly/3MerC19</w:t>
        </w:r>
      </w:hyperlink>
      <w:r w:rsidRPr="00264E65">
        <w:rPr>
          <w:rFonts w:ascii="Verdana" w:hAnsi="Verdana"/>
          <w:sz w:val="22"/>
          <w:szCs w:val="22"/>
          <w:lang w:val="en-US"/>
        </w:rPr>
        <w:t xml:space="preserve"> </w:t>
      </w:r>
    </w:p>
    <w:p w14:paraId="01B9DB0B" w14:textId="77777777" w:rsidR="0052468D" w:rsidRPr="00264E65" w:rsidRDefault="0052468D" w:rsidP="0052468D">
      <w:pPr>
        <w:pStyle w:val="Prrafodelista"/>
        <w:rPr>
          <w:rFonts w:ascii="Verdana" w:hAnsi="Verdana" w:cs="Arial"/>
          <w:sz w:val="22"/>
          <w:szCs w:val="22"/>
          <w:lang w:val="en-US"/>
        </w:rPr>
      </w:pPr>
    </w:p>
    <w:p w14:paraId="5214E3AD" w14:textId="77777777" w:rsidR="00D866E7" w:rsidRPr="00264E65" w:rsidRDefault="0052468D" w:rsidP="00D866E7">
      <w:pPr>
        <w:pStyle w:val="Prrafodelista"/>
        <w:numPr>
          <w:ilvl w:val="0"/>
          <w:numId w:val="21"/>
        </w:numPr>
        <w:jc w:val="both"/>
        <w:rPr>
          <w:rFonts w:ascii="Verdana" w:hAnsi="Verdana" w:cs="Arial"/>
          <w:sz w:val="22"/>
          <w:szCs w:val="22"/>
        </w:rPr>
      </w:pPr>
      <w:r w:rsidRPr="00264E65">
        <w:rPr>
          <w:rFonts w:ascii="Verdana" w:hAnsi="Verdana" w:cs="Arial"/>
          <w:sz w:val="22"/>
          <w:szCs w:val="22"/>
        </w:rPr>
        <w:t xml:space="preserve">Reporte al Consolidador de Hacienda e Información Pública – CHIP del Municipio de Cota – Cundinamarca. Formulario Único Territorial – FUT, Categoría Única de Información del Presupuesto Ordinario - CUIPO. Vigencia 2022. Participación de Agua Potable y Saneamiento Básico. Municipio de Cota – Cundinamarca. Serie “Historial de Seguimiento y Control a la Ejecución de los Recursos del Sistema General de Participaciones – Ejecución y Seguimiento”. Expediente digital No. 12/2019/D028-PREDI. Enlace: </w:t>
      </w:r>
      <w:hyperlink r:id="rId13" w:history="1">
        <w:r w:rsidR="00302097" w:rsidRPr="00264E65">
          <w:rPr>
            <w:rStyle w:val="Hipervnculo"/>
            <w:rFonts w:ascii="Verdana" w:hAnsi="Verdana" w:cs="Arial"/>
            <w:sz w:val="22"/>
            <w:szCs w:val="22"/>
          </w:rPr>
          <w:t>https://bit.ly/440tkux</w:t>
        </w:r>
      </w:hyperlink>
      <w:r w:rsidR="00302097" w:rsidRPr="00264E65">
        <w:rPr>
          <w:rFonts w:ascii="Verdana" w:hAnsi="Verdana" w:cs="Arial"/>
          <w:sz w:val="22"/>
          <w:szCs w:val="22"/>
        </w:rPr>
        <w:t xml:space="preserve"> </w:t>
      </w:r>
    </w:p>
    <w:p w14:paraId="066F43E9" w14:textId="77777777" w:rsidR="0052468D" w:rsidRPr="00264E65" w:rsidRDefault="00302097" w:rsidP="00302097">
      <w:pPr>
        <w:pStyle w:val="Prrafodelista"/>
        <w:jc w:val="both"/>
        <w:rPr>
          <w:rFonts w:ascii="Verdana" w:hAnsi="Verdana" w:cs="Arial"/>
          <w:sz w:val="22"/>
          <w:szCs w:val="22"/>
        </w:rPr>
      </w:pPr>
      <w:r w:rsidRPr="00264E65">
        <w:rPr>
          <w:rFonts w:ascii="Verdana" w:hAnsi="Verdana" w:cs="Arial"/>
          <w:sz w:val="22"/>
          <w:szCs w:val="22"/>
        </w:rPr>
        <w:t xml:space="preserve"> </w:t>
      </w:r>
    </w:p>
    <w:p w14:paraId="758D06E0" w14:textId="77777777" w:rsidR="00911C69" w:rsidRPr="00264E65" w:rsidRDefault="00911C69" w:rsidP="00911C69">
      <w:pPr>
        <w:autoSpaceDE w:val="0"/>
        <w:autoSpaceDN w:val="0"/>
        <w:adjustRightInd w:val="0"/>
        <w:contextualSpacing/>
        <w:jc w:val="both"/>
        <w:rPr>
          <w:rFonts w:ascii="Verdana" w:hAnsi="Verdana" w:cs="Arial"/>
          <w:b/>
          <w:bCs/>
          <w:sz w:val="22"/>
          <w:szCs w:val="22"/>
        </w:rPr>
      </w:pPr>
    </w:p>
    <w:p w14:paraId="3E4DB949" w14:textId="77777777" w:rsidR="00911C69" w:rsidRPr="00264E65" w:rsidRDefault="00911C69" w:rsidP="00911C69">
      <w:pPr>
        <w:pStyle w:val="Prrafodelista"/>
        <w:numPr>
          <w:ilvl w:val="0"/>
          <w:numId w:val="6"/>
        </w:numPr>
        <w:autoSpaceDE w:val="0"/>
        <w:autoSpaceDN w:val="0"/>
        <w:adjustRightInd w:val="0"/>
        <w:jc w:val="both"/>
        <w:rPr>
          <w:rFonts w:ascii="Verdana" w:hAnsi="Verdana" w:cs="Arial"/>
          <w:b/>
          <w:sz w:val="22"/>
          <w:szCs w:val="22"/>
        </w:rPr>
      </w:pPr>
      <w:r w:rsidRPr="00264E65">
        <w:rPr>
          <w:rFonts w:ascii="Verdana" w:hAnsi="Verdana" w:cs="Arial"/>
          <w:b/>
          <w:sz w:val="22"/>
          <w:szCs w:val="22"/>
        </w:rPr>
        <w:t xml:space="preserve"> EJECUCIÓN PRESUPUESTAL DE GASTOS.</w:t>
      </w:r>
    </w:p>
    <w:p w14:paraId="46C9ED60" w14:textId="77777777" w:rsidR="00911C69" w:rsidRPr="00264E65" w:rsidRDefault="00911C69" w:rsidP="00911C69">
      <w:pPr>
        <w:contextualSpacing/>
        <w:jc w:val="both"/>
        <w:rPr>
          <w:rFonts w:ascii="Verdana" w:hAnsi="Verdana" w:cs="Arial"/>
          <w:sz w:val="22"/>
          <w:szCs w:val="22"/>
        </w:rPr>
      </w:pPr>
    </w:p>
    <w:p w14:paraId="4BA45D22" w14:textId="77777777" w:rsidR="00911C69" w:rsidRPr="00264E65" w:rsidRDefault="00911C69" w:rsidP="00911C69">
      <w:pPr>
        <w:contextualSpacing/>
        <w:jc w:val="both"/>
        <w:rPr>
          <w:rFonts w:ascii="Verdana" w:hAnsi="Verdana" w:cs="Arial"/>
          <w:sz w:val="22"/>
          <w:szCs w:val="22"/>
        </w:rPr>
      </w:pPr>
      <w:bookmarkStart w:id="5" w:name="_Hlk116029389"/>
      <w:r w:rsidRPr="00264E65">
        <w:rPr>
          <w:rFonts w:ascii="Verdana" w:hAnsi="Verdana" w:cs="Arial"/>
          <w:sz w:val="22"/>
          <w:szCs w:val="22"/>
        </w:rPr>
        <w:t>En virtud del artículo 2.6.4.2 del Decreto 1068 de 2015, modificado por el Decreto 1536 del 29 de septiembre de 2016, en el que se establece la obligatoriedad en el diligenciamiento del Formulario Único Territorial - FUT por parte de los departamentos, municipios y distritos, de la totalidad de la información de la ejecución presupuestal de ingresos y gastos, demás la solicitada, por los diferentes sectores de competencia de las entidades territoriales, incluyendo aquella que sea provista por entidades del nivel descentralizado. Así mismo, el artículo 19 de la Ley 1450 de 2011 estableció que a partir del 1 de enero de 2012 toda la información presupuestal y financiera será recolectada por el Gobierno Nacional a través del FUT. Adicionalmente, en el marco del Decreto 028 de 2008 dicha información será tenida en cuenta para los efectos del monitoreo, seguimiento y control al uso de los recursos del SGP en las entidades territoriales.</w:t>
      </w:r>
    </w:p>
    <w:p w14:paraId="7B95B259" w14:textId="77777777" w:rsidR="00911C69" w:rsidRPr="00264E65" w:rsidRDefault="00911C69" w:rsidP="00911C69">
      <w:pPr>
        <w:contextualSpacing/>
        <w:jc w:val="both"/>
        <w:rPr>
          <w:rFonts w:ascii="Verdana" w:hAnsi="Verdana" w:cs="Arial"/>
          <w:sz w:val="22"/>
          <w:szCs w:val="22"/>
        </w:rPr>
      </w:pPr>
    </w:p>
    <w:p w14:paraId="38E7E7BC" w14:textId="77777777" w:rsidR="00911C69" w:rsidRPr="00264E65" w:rsidRDefault="00911C69" w:rsidP="00911C69">
      <w:pPr>
        <w:spacing w:line="259" w:lineRule="auto"/>
        <w:jc w:val="both"/>
        <w:rPr>
          <w:rFonts w:ascii="Verdana" w:eastAsia="Times New Roman" w:hAnsi="Verdana" w:cs="Arial"/>
          <w:sz w:val="22"/>
          <w:szCs w:val="22"/>
          <w:lang w:val="es-CO"/>
        </w:rPr>
      </w:pPr>
      <w:r w:rsidRPr="00264E65">
        <w:rPr>
          <w:rFonts w:ascii="Verdana" w:eastAsia="Times New Roman" w:hAnsi="Verdana" w:cs="Arial"/>
          <w:sz w:val="22"/>
          <w:szCs w:val="22"/>
          <w:lang w:val="es-CO"/>
        </w:rPr>
        <w:t xml:space="preserve">De igual manera, el Ministerio de Hacienda y Crédito Público en uso de sus facultades legales expidió la Resolución No. 3832 del 18 de octubre de 2019 </w:t>
      </w:r>
      <w:r w:rsidRPr="00264E65">
        <w:rPr>
          <w:rFonts w:ascii="Verdana" w:eastAsia="Times New Roman" w:hAnsi="Verdana" w:cs="Arial"/>
          <w:i/>
          <w:iCs/>
          <w:sz w:val="22"/>
          <w:szCs w:val="22"/>
          <w:lang w:val="es-CO"/>
        </w:rPr>
        <w:t xml:space="preserve">“Por la cual se expide el Catálogo de Clasificación Presupuestal para las Entidades Territoriales y sus descentralizadas – CCPET”, </w:t>
      </w:r>
      <w:r w:rsidRPr="00264E65">
        <w:rPr>
          <w:rFonts w:ascii="Verdana" w:eastAsia="Times New Roman" w:hAnsi="Verdana" w:cs="Arial"/>
          <w:sz w:val="22"/>
          <w:szCs w:val="22"/>
          <w:lang w:val="es-CO"/>
        </w:rPr>
        <w:t>el cual deberá aplicarse en todas las etapas del ciclo presupuestal según la definición y composición del clasificador presupuestal establecido. Así mismo la Contraloría General de la República puso a disposición en el CHIP la Categoría Única de Información del Presupuesto Ordinario – CUIPO a través del cual se reporta la información presupuestal dispuesta en el CCPET de cada Entidad Territorial.</w:t>
      </w:r>
    </w:p>
    <w:p w14:paraId="33B1E440" w14:textId="77777777" w:rsidR="00052C04" w:rsidRPr="00264E65" w:rsidRDefault="00052C04" w:rsidP="00911C69">
      <w:pPr>
        <w:spacing w:line="259" w:lineRule="auto"/>
        <w:jc w:val="both"/>
        <w:rPr>
          <w:rFonts w:ascii="Verdana" w:eastAsia="Times New Roman" w:hAnsi="Verdana" w:cs="Arial"/>
          <w:sz w:val="22"/>
          <w:szCs w:val="22"/>
          <w:lang w:val="es-CO"/>
        </w:rPr>
      </w:pPr>
    </w:p>
    <w:p w14:paraId="4A8E33A1"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De acuerdo con la ejecuci</w:t>
      </w:r>
      <w:r w:rsidR="00065F2C" w:rsidRPr="00264E65">
        <w:rPr>
          <w:rFonts w:ascii="Verdana" w:hAnsi="Verdana" w:cs="Arial"/>
          <w:sz w:val="22"/>
          <w:szCs w:val="22"/>
        </w:rPr>
        <w:t>ón</w:t>
      </w:r>
      <w:r w:rsidRPr="00264E65">
        <w:rPr>
          <w:rFonts w:ascii="Verdana" w:hAnsi="Verdana" w:cs="Arial"/>
          <w:sz w:val="22"/>
          <w:szCs w:val="22"/>
        </w:rPr>
        <w:t xml:space="preserve"> de gastos de la vigencia</w:t>
      </w:r>
      <w:r w:rsidR="00065F2C" w:rsidRPr="00264E65">
        <w:rPr>
          <w:rFonts w:ascii="Verdana" w:hAnsi="Verdana" w:cs="Arial"/>
          <w:sz w:val="22"/>
          <w:szCs w:val="22"/>
        </w:rPr>
        <w:t xml:space="preserve"> </w:t>
      </w:r>
      <w:r w:rsidRPr="00264E65">
        <w:rPr>
          <w:rFonts w:ascii="Verdana" w:hAnsi="Verdana" w:cs="Arial"/>
          <w:sz w:val="22"/>
          <w:szCs w:val="22"/>
        </w:rPr>
        <w:t>202</w:t>
      </w:r>
      <w:r w:rsidR="00065F2C" w:rsidRPr="00264E65">
        <w:rPr>
          <w:rFonts w:ascii="Verdana" w:hAnsi="Verdana" w:cs="Arial"/>
          <w:sz w:val="22"/>
          <w:szCs w:val="22"/>
        </w:rPr>
        <w:t>1</w:t>
      </w:r>
      <w:r w:rsidRPr="00264E65">
        <w:rPr>
          <w:rFonts w:ascii="Verdana" w:hAnsi="Verdana" w:cs="Arial"/>
          <w:sz w:val="22"/>
          <w:szCs w:val="22"/>
        </w:rPr>
        <w:t xml:space="preserve"> entregada por el Municipio</w:t>
      </w:r>
      <w:r w:rsidR="002674B8" w:rsidRPr="00264E65">
        <w:rPr>
          <w:rFonts w:ascii="Verdana" w:hAnsi="Verdana" w:cs="Arial"/>
          <w:sz w:val="22"/>
          <w:szCs w:val="22"/>
        </w:rPr>
        <w:t xml:space="preserve"> </w:t>
      </w:r>
      <w:r w:rsidRPr="00264E65">
        <w:rPr>
          <w:rFonts w:ascii="Verdana" w:hAnsi="Verdana" w:cs="Arial"/>
          <w:sz w:val="22"/>
          <w:szCs w:val="22"/>
        </w:rPr>
        <w:t>y la información del cuarto trimestre de 2021</w:t>
      </w:r>
      <w:r w:rsidR="002674B8" w:rsidRPr="00264E65">
        <w:rPr>
          <w:rFonts w:ascii="Verdana" w:hAnsi="Verdana" w:cs="Arial"/>
          <w:sz w:val="22"/>
          <w:szCs w:val="22"/>
        </w:rPr>
        <w:t xml:space="preserve"> </w:t>
      </w:r>
      <w:r w:rsidRPr="00264E65">
        <w:rPr>
          <w:rFonts w:ascii="Verdana" w:hAnsi="Verdana" w:cs="Arial"/>
          <w:sz w:val="22"/>
          <w:szCs w:val="22"/>
        </w:rPr>
        <w:t>reportada a CUIPO por la Entidad Territorial, se presenta la siguiente situación:</w:t>
      </w:r>
    </w:p>
    <w:p w14:paraId="4C5F9329" w14:textId="77777777" w:rsidR="00911C69" w:rsidRPr="00264E65" w:rsidRDefault="00911C69" w:rsidP="00911C69">
      <w:pPr>
        <w:contextualSpacing/>
        <w:jc w:val="both"/>
        <w:rPr>
          <w:rFonts w:ascii="Verdana" w:hAnsi="Verdana" w:cs="Arial"/>
          <w:b/>
          <w:bCs/>
          <w:sz w:val="22"/>
          <w:szCs w:val="22"/>
        </w:rPr>
      </w:pPr>
    </w:p>
    <w:p w14:paraId="099D6669"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El presupuesto de gastos para la vigencia 2021 en el Sector Agua Potable y Saneamiento Básico según las ejecuciones entregadas por la Entidad Territorial es el siguiente:</w:t>
      </w:r>
    </w:p>
    <w:p w14:paraId="766E8DCD" w14:textId="77777777" w:rsidR="00911C69" w:rsidRPr="00264E65" w:rsidRDefault="00911C69" w:rsidP="00911C69">
      <w:pPr>
        <w:autoSpaceDE w:val="0"/>
        <w:autoSpaceDN w:val="0"/>
        <w:adjustRightInd w:val="0"/>
        <w:contextualSpacing/>
        <w:rPr>
          <w:rFonts w:ascii="Verdana" w:hAnsi="Verdana" w:cs="Arial"/>
          <w:b/>
          <w:sz w:val="22"/>
          <w:szCs w:val="22"/>
        </w:rPr>
      </w:pPr>
    </w:p>
    <w:p w14:paraId="0A42F281"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 xml:space="preserve">Cuadro 18. </w:t>
      </w:r>
      <w:r w:rsidRPr="00264E65">
        <w:rPr>
          <w:rFonts w:ascii="Verdana" w:hAnsi="Verdana" w:cs="Arial"/>
          <w:sz w:val="22"/>
          <w:szCs w:val="22"/>
        </w:rPr>
        <w:t>Gastos 2021 (ejecuciones Municipio)</w:t>
      </w:r>
    </w:p>
    <w:tbl>
      <w:tblPr>
        <w:tblW w:w="8483" w:type="dxa"/>
        <w:tblCellMar>
          <w:left w:w="70" w:type="dxa"/>
          <w:right w:w="70" w:type="dxa"/>
        </w:tblCellMar>
        <w:tblLook w:val="04A0" w:firstRow="1" w:lastRow="0" w:firstColumn="1" w:lastColumn="0" w:noHBand="0" w:noVBand="1"/>
      </w:tblPr>
      <w:tblGrid>
        <w:gridCol w:w="5117"/>
        <w:gridCol w:w="1513"/>
        <w:gridCol w:w="1434"/>
        <w:gridCol w:w="749"/>
      </w:tblGrid>
      <w:tr w:rsidR="00D23AA6" w:rsidRPr="00D23AA6" w14:paraId="3EF0533F" w14:textId="77777777" w:rsidTr="00D23AA6">
        <w:trPr>
          <w:trHeight w:val="300"/>
        </w:trPr>
        <w:tc>
          <w:tcPr>
            <w:tcW w:w="84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DEA3F"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GASTOS TOTALES</w:t>
            </w:r>
          </w:p>
        </w:tc>
      </w:tr>
      <w:tr w:rsidR="00D23AA6" w:rsidRPr="00D23AA6" w14:paraId="03DA1968" w14:textId="77777777" w:rsidTr="00D23AA6">
        <w:trPr>
          <w:trHeight w:val="300"/>
        </w:trPr>
        <w:tc>
          <w:tcPr>
            <w:tcW w:w="84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661FE"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(Cifras en millones de pesos)</w:t>
            </w:r>
          </w:p>
        </w:tc>
      </w:tr>
      <w:tr w:rsidR="00D23AA6" w:rsidRPr="00D23AA6" w14:paraId="15585210" w14:textId="77777777" w:rsidTr="00D23AA6">
        <w:trPr>
          <w:trHeight w:val="300"/>
        </w:trPr>
        <w:tc>
          <w:tcPr>
            <w:tcW w:w="51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0D4CDF"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Concepto</w:t>
            </w:r>
          </w:p>
        </w:tc>
        <w:tc>
          <w:tcPr>
            <w:tcW w:w="3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4AF9A7"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2021</w:t>
            </w:r>
          </w:p>
        </w:tc>
      </w:tr>
      <w:tr w:rsidR="00D23AA6" w:rsidRPr="00D23AA6" w14:paraId="0B30FA8E" w14:textId="77777777" w:rsidTr="00D23AA6">
        <w:trPr>
          <w:trHeight w:val="300"/>
        </w:trPr>
        <w:tc>
          <w:tcPr>
            <w:tcW w:w="5117" w:type="dxa"/>
            <w:vMerge/>
            <w:tcBorders>
              <w:top w:val="nil"/>
              <w:left w:val="single" w:sz="4" w:space="0" w:color="auto"/>
              <w:bottom w:val="single" w:sz="4" w:space="0" w:color="auto"/>
              <w:right w:val="single" w:sz="4" w:space="0" w:color="auto"/>
            </w:tcBorders>
            <w:vAlign w:val="center"/>
            <w:hideMark/>
          </w:tcPr>
          <w:p w14:paraId="7850F3D8" w14:textId="77777777" w:rsidR="00D23AA6" w:rsidRPr="00D23AA6" w:rsidRDefault="00D23AA6" w:rsidP="00D23AA6">
            <w:pPr>
              <w:rPr>
                <w:rFonts w:ascii="Verdana" w:eastAsia="Times New Roman" w:hAnsi="Verdana" w:cs="Calibri"/>
                <w:b/>
                <w:bCs/>
                <w:color w:val="000000"/>
                <w:sz w:val="18"/>
                <w:szCs w:val="18"/>
                <w:lang w:val="es-CO" w:eastAsia="es-CO"/>
              </w:rPr>
            </w:pPr>
          </w:p>
        </w:tc>
        <w:tc>
          <w:tcPr>
            <w:tcW w:w="1403" w:type="dxa"/>
            <w:tcBorders>
              <w:top w:val="nil"/>
              <w:left w:val="nil"/>
              <w:bottom w:val="single" w:sz="4" w:space="0" w:color="auto"/>
              <w:right w:val="single" w:sz="4" w:space="0" w:color="auto"/>
            </w:tcBorders>
            <w:shd w:val="clear" w:color="auto" w:fill="auto"/>
            <w:noWrap/>
            <w:vAlign w:val="center"/>
            <w:hideMark/>
          </w:tcPr>
          <w:p w14:paraId="54A7A2F9"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Compromisos</w:t>
            </w:r>
          </w:p>
        </w:tc>
        <w:tc>
          <w:tcPr>
            <w:tcW w:w="1324" w:type="dxa"/>
            <w:tcBorders>
              <w:top w:val="nil"/>
              <w:left w:val="nil"/>
              <w:bottom w:val="single" w:sz="4" w:space="0" w:color="auto"/>
              <w:right w:val="single" w:sz="4" w:space="0" w:color="auto"/>
            </w:tcBorders>
            <w:shd w:val="clear" w:color="auto" w:fill="auto"/>
            <w:noWrap/>
            <w:vAlign w:val="center"/>
            <w:hideMark/>
          </w:tcPr>
          <w:p w14:paraId="3E240DE3"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Obligaciones</w:t>
            </w:r>
          </w:p>
        </w:tc>
        <w:tc>
          <w:tcPr>
            <w:tcW w:w="639" w:type="dxa"/>
            <w:tcBorders>
              <w:top w:val="nil"/>
              <w:left w:val="nil"/>
              <w:bottom w:val="single" w:sz="4" w:space="0" w:color="auto"/>
              <w:right w:val="single" w:sz="4" w:space="0" w:color="auto"/>
            </w:tcBorders>
            <w:shd w:val="clear" w:color="auto" w:fill="auto"/>
            <w:vAlign w:val="center"/>
            <w:hideMark/>
          </w:tcPr>
          <w:p w14:paraId="083598BB"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Pagos</w:t>
            </w:r>
          </w:p>
        </w:tc>
      </w:tr>
      <w:tr w:rsidR="00D23AA6" w:rsidRPr="00D23AA6" w14:paraId="5857BB8F" w14:textId="77777777" w:rsidTr="00D23AA6">
        <w:trPr>
          <w:trHeight w:val="300"/>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7108CB09" w14:textId="77777777" w:rsidR="00D23AA6" w:rsidRPr="00D23AA6" w:rsidRDefault="00D23AA6" w:rsidP="00D23AA6">
            <w:pP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Gastos de Inversión</w:t>
            </w:r>
          </w:p>
        </w:tc>
        <w:tc>
          <w:tcPr>
            <w:tcW w:w="1403" w:type="dxa"/>
            <w:tcBorders>
              <w:top w:val="nil"/>
              <w:left w:val="nil"/>
              <w:bottom w:val="single" w:sz="4" w:space="0" w:color="auto"/>
              <w:right w:val="single" w:sz="4" w:space="0" w:color="auto"/>
            </w:tcBorders>
            <w:shd w:val="clear" w:color="auto" w:fill="auto"/>
            <w:noWrap/>
            <w:vAlign w:val="center"/>
            <w:hideMark/>
          </w:tcPr>
          <w:p w14:paraId="796213F9"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1.185</w:t>
            </w:r>
          </w:p>
        </w:tc>
        <w:tc>
          <w:tcPr>
            <w:tcW w:w="1324" w:type="dxa"/>
            <w:tcBorders>
              <w:top w:val="nil"/>
              <w:left w:val="nil"/>
              <w:bottom w:val="single" w:sz="4" w:space="0" w:color="auto"/>
              <w:right w:val="single" w:sz="4" w:space="0" w:color="auto"/>
            </w:tcBorders>
            <w:shd w:val="clear" w:color="auto" w:fill="auto"/>
            <w:noWrap/>
            <w:vAlign w:val="center"/>
            <w:hideMark/>
          </w:tcPr>
          <w:p w14:paraId="42A53377"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372</w:t>
            </w:r>
          </w:p>
        </w:tc>
        <w:tc>
          <w:tcPr>
            <w:tcW w:w="639" w:type="dxa"/>
            <w:tcBorders>
              <w:top w:val="nil"/>
              <w:left w:val="nil"/>
              <w:bottom w:val="single" w:sz="4" w:space="0" w:color="auto"/>
              <w:right w:val="single" w:sz="4" w:space="0" w:color="auto"/>
            </w:tcBorders>
            <w:shd w:val="clear" w:color="auto" w:fill="auto"/>
            <w:noWrap/>
            <w:vAlign w:val="center"/>
            <w:hideMark/>
          </w:tcPr>
          <w:p w14:paraId="56B42762"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354</w:t>
            </w:r>
          </w:p>
        </w:tc>
      </w:tr>
      <w:tr w:rsidR="00D23AA6" w:rsidRPr="00D23AA6" w14:paraId="42D1D1BB" w14:textId="77777777" w:rsidTr="00D23AA6">
        <w:trPr>
          <w:trHeight w:val="300"/>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38C33870" w14:textId="77777777" w:rsidR="00D23AA6" w:rsidRPr="00D23AA6" w:rsidRDefault="00D23AA6" w:rsidP="00D23AA6">
            <w:pP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Subsidios</w:t>
            </w:r>
          </w:p>
        </w:tc>
        <w:tc>
          <w:tcPr>
            <w:tcW w:w="1403" w:type="dxa"/>
            <w:tcBorders>
              <w:top w:val="nil"/>
              <w:left w:val="nil"/>
              <w:bottom w:val="single" w:sz="4" w:space="0" w:color="auto"/>
              <w:right w:val="single" w:sz="4" w:space="0" w:color="auto"/>
            </w:tcBorders>
            <w:shd w:val="clear" w:color="auto" w:fill="auto"/>
            <w:noWrap/>
            <w:vAlign w:val="center"/>
            <w:hideMark/>
          </w:tcPr>
          <w:p w14:paraId="3458F236"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134</w:t>
            </w:r>
          </w:p>
        </w:tc>
        <w:tc>
          <w:tcPr>
            <w:tcW w:w="1324" w:type="dxa"/>
            <w:tcBorders>
              <w:top w:val="nil"/>
              <w:left w:val="nil"/>
              <w:bottom w:val="single" w:sz="4" w:space="0" w:color="auto"/>
              <w:right w:val="single" w:sz="4" w:space="0" w:color="auto"/>
            </w:tcBorders>
            <w:shd w:val="clear" w:color="auto" w:fill="auto"/>
            <w:noWrap/>
            <w:vAlign w:val="center"/>
            <w:hideMark/>
          </w:tcPr>
          <w:p w14:paraId="5350CD12"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65</w:t>
            </w:r>
          </w:p>
        </w:tc>
        <w:tc>
          <w:tcPr>
            <w:tcW w:w="639" w:type="dxa"/>
            <w:tcBorders>
              <w:top w:val="nil"/>
              <w:left w:val="nil"/>
              <w:bottom w:val="single" w:sz="4" w:space="0" w:color="auto"/>
              <w:right w:val="single" w:sz="4" w:space="0" w:color="auto"/>
            </w:tcBorders>
            <w:shd w:val="clear" w:color="auto" w:fill="auto"/>
            <w:noWrap/>
            <w:vAlign w:val="center"/>
            <w:hideMark/>
          </w:tcPr>
          <w:p w14:paraId="5DD80201"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47</w:t>
            </w:r>
          </w:p>
        </w:tc>
      </w:tr>
      <w:tr w:rsidR="00D23AA6" w:rsidRPr="00D23AA6" w14:paraId="4F0997D8" w14:textId="77777777" w:rsidTr="00D23AA6">
        <w:trPr>
          <w:trHeight w:val="300"/>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0667C5F5" w14:textId="77777777" w:rsidR="00D23AA6" w:rsidRPr="00D23AA6" w:rsidRDefault="00D23AA6" w:rsidP="00D23AA6">
            <w:pP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lastRenderedPageBreak/>
              <w:t>Formulación, implantación y acciones de fortalecimiento</w:t>
            </w:r>
          </w:p>
        </w:tc>
        <w:tc>
          <w:tcPr>
            <w:tcW w:w="1403" w:type="dxa"/>
            <w:tcBorders>
              <w:top w:val="nil"/>
              <w:left w:val="nil"/>
              <w:bottom w:val="single" w:sz="4" w:space="0" w:color="auto"/>
              <w:right w:val="single" w:sz="4" w:space="0" w:color="auto"/>
            </w:tcBorders>
            <w:shd w:val="clear" w:color="auto" w:fill="auto"/>
            <w:noWrap/>
            <w:vAlign w:val="center"/>
            <w:hideMark/>
          </w:tcPr>
          <w:p w14:paraId="5622055F"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550</w:t>
            </w:r>
          </w:p>
        </w:tc>
        <w:tc>
          <w:tcPr>
            <w:tcW w:w="1324" w:type="dxa"/>
            <w:tcBorders>
              <w:top w:val="nil"/>
              <w:left w:val="nil"/>
              <w:bottom w:val="single" w:sz="4" w:space="0" w:color="auto"/>
              <w:right w:val="single" w:sz="4" w:space="0" w:color="auto"/>
            </w:tcBorders>
            <w:shd w:val="clear" w:color="auto" w:fill="auto"/>
            <w:noWrap/>
            <w:vAlign w:val="center"/>
            <w:hideMark/>
          </w:tcPr>
          <w:p w14:paraId="7234DE48"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0</w:t>
            </w:r>
          </w:p>
        </w:tc>
        <w:tc>
          <w:tcPr>
            <w:tcW w:w="639" w:type="dxa"/>
            <w:tcBorders>
              <w:top w:val="nil"/>
              <w:left w:val="nil"/>
              <w:bottom w:val="single" w:sz="4" w:space="0" w:color="auto"/>
              <w:right w:val="single" w:sz="4" w:space="0" w:color="auto"/>
            </w:tcBorders>
            <w:shd w:val="clear" w:color="auto" w:fill="auto"/>
            <w:noWrap/>
            <w:vAlign w:val="center"/>
            <w:hideMark/>
          </w:tcPr>
          <w:p w14:paraId="71406903"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0</w:t>
            </w:r>
          </w:p>
        </w:tc>
      </w:tr>
      <w:tr w:rsidR="00D23AA6" w:rsidRPr="00D23AA6" w14:paraId="774D2C3C" w14:textId="77777777" w:rsidTr="00D23AA6">
        <w:trPr>
          <w:trHeight w:val="300"/>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3E1307C5" w14:textId="77777777" w:rsidR="00D23AA6" w:rsidRPr="00D23AA6" w:rsidRDefault="00D23AA6" w:rsidP="00D23AA6">
            <w:pP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Construcción, Ampliación y Mejoramiento</w:t>
            </w:r>
          </w:p>
        </w:tc>
        <w:tc>
          <w:tcPr>
            <w:tcW w:w="1403" w:type="dxa"/>
            <w:tcBorders>
              <w:top w:val="nil"/>
              <w:left w:val="nil"/>
              <w:bottom w:val="single" w:sz="4" w:space="0" w:color="auto"/>
              <w:right w:val="single" w:sz="4" w:space="0" w:color="auto"/>
            </w:tcBorders>
            <w:shd w:val="clear" w:color="auto" w:fill="auto"/>
            <w:noWrap/>
            <w:vAlign w:val="center"/>
            <w:hideMark/>
          </w:tcPr>
          <w:p w14:paraId="7B1DE349"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501</w:t>
            </w:r>
          </w:p>
        </w:tc>
        <w:tc>
          <w:tcPr>
            <w:tcW w:w="1324" w:type="dxa"/>
            <w:tcBorders>
              <w:top w:val="nil"/>
              <w:left w:val="nil"/>
              <w:bottom w:val="single" w:sz="4" w:space="0" w:color="auto"/>
              <w:right w:val="single" w:sz="4" w:space="0" w:color="auto"/>
            </w:tcBorders>
            <w:shd w:val="clear" w:color="auto" w:fill="auto"/>
            <w:noWrap/>
            <w:vAlign w:val="center"/>
            <w:hideMark/>
          </w:tcPr>
          <w:p w14:paraId="44A555BD"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307</w:t>
            </w:r>
          </w:p>
        </w:tc>
        <w:tc>
          <w:tcPr>
            <w:tcW w:w="639" w:type="dxa"/>
            <w:tcBorders>
              <w:top w:val="nil"/>
              <w:left w:val="nil"/>
              <w:bottom w:val="single" w:sz="4" w:space="0" w:color="auto"/>
              <w:right w:val="single" w:sz="4" w:space="0" w:color="auto"/>
            </w:tcBorders>
            <w:shd w:val="clear" w:color="auto" w:fill="auto"/>
            <w:noWrap/>
            <w:vAlign w:val="center"/>
            <w:hideMark/>
          </w:tcPr>
          <w:p w14:paraId="15D714FF"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CO" w:eastAsia="es-CO"/>
              </w:rPr>
              <w:t>307</w:t>
            </w:r>
          </w:p>
        </w:tc>
      </w:tr>
      <w:tr w:rsidR="00D23AA6" w:rsidRPr="00D23AA6" w14:paraId="23B2B966" w14:textId="77777777" w:rsidTr="00D23AA6">
        <w:trPr>
          <w:trHeight w:val="300"/>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66A70370" w14:textId="77777777" w:rsidR="00D23AA6" w:rsidRPr="00D23AA6" w:rsidRDefault="00D23AA6" w:rsidP="00D23AA6">
            <w:pP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Gastos Totales APSB</w:t>
            </w:r>
          </w:p>
        </w:tc>
        <w:tc>
          <w:tcPr>
            <w:tcW w:w="1403" w:type="dxa"/>
            <w:tcBorders>
              <w:top w:val="nil"/>
              <w:left w:val="nil"/>
              <w:bottom w:val="single" w:sz="4" w:space="0" w:color="auto"/>
              <w:right w:val="single" w:sz="4" w:space="0" w:color="auto"/>
            </w:tcBorders>
            <w:shd w:val="clear" w:color="auto" w:fill="auto"/>
            <w:noWrap/>
            <w:vAlign w:val="center"/>
            <w:hideMark/>
          </w:tcPr>
          <w:p w14:paraId="303BD374"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1.185</w:t>
            </w:r>
          </w:p>
        </w:tc>
        <w:tc>
          <w:tcPr>
            <w:tcW w:w="1324" w:type="dxa"/>
            <w:tcBorders>
              <w:top w:val="nil"/>
              <w:left w:val="nil"/>
              <w:bottom w:val="single" w:sz="4" w:space="0" w:color="auto"/>
              <w:right w:val="single" w:sz="4" w:space="0" w:color="auto"/>
            </w:tcBorders>
            <w:shd w:val="clear" w:color="auto" w:fill="auto"/>
            <w:noWrap/>
            <w:vAlign w:val="center"/>
            <w:hideMark/>
          </w:tcPr>
          <w:p w14:paraId="022BD4F9"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372</w:t>
            </w:r>
          </w:p>
        </w:tc>
        <w:tc>
          <w:tcPr>
            <w:tcW w:w="639" w:type="dxa"/>
            <w:tcBorders>
              <w:top w:val="nil"/>
              <w:left w:val="nil"/>
              <w:bottom w:val="single" w:sz="4" w:space="0" w:color="auto"/>
              <w:right w:val="single" w:sz="4" w:space="0" w:color="auto"/>
            </w:tcBorders>
            <w:shd w:val="clear" w:color="auto" w:fill="auto"/>
            <w:noWrap/>
            <w:vAlign w:val="center"/>
            <w:hideMark/>
          </w:tcPr>
          <w:p w14:paraId="6696010A"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CO" w:eastAsia="es-CO"/>
              </w:rPr>
              <w:t>354</w:t>
            </w:r>
          </w:p>
        </w:tc>
      </w:tr>
    </w:tbl>
    <w:p w14:paraId="1A7F4397" w14:textId="77777777" w:rsidR="00911C69" w:rsidRPr="00433E58" w:rsidRDefault="00911C69" w:rsidP="00911C69">
      <w:pPr>
        <w:contextualSpacing/>
        <w:jc w:val="center"/>
        <w:rPr>
          <w:rFonts w:ascii="Verdana" w:eastAsia="Calibri" w:hAnsi="Verdana" w:cs="Arial"/>
          <w:sz w:val="22"/>
          <w:szCs w:val="22"/>
          <w:lang w:val="es-CO" w:eastAsia="en-US"/>
        </w:rPr>
      </w:pPr>
      <w:r w:rsidRPr="00433E58">
        <w:rPr>
          <w:rFonts w:ascii="Verdana" w:hAnsi="Verdana" w:cs="Arial"/>
          <w:bCs/>
          <w:sz w:val="16"/>
          <w:szCs w:val="16"/>
          <w:lang w:val="es-CO"/>
        </w:rPr>
        <w:t>Fuente: Cálculos propios DAF según información presupuestal suministrada por la Entidad</w:t>
      </w:r>
    </w:p>
    <w:p w14:paraId="1F50C0EA" w14:textId="77777777" w:rsidR="00911C69" w:rsidRPr="00433E58" w:rsidRDefault="00911C69" w:rsidP="00911C69">
      <w:pPr>
        <w:pStyle w:val="Sinespaciado"/>
        <w:contextualSpacing/>
        <w:jc w:val="both"/>
        <w:rPr>
          <w:rFonts w:ascii="Verdana" w:eastAsia="MS Mincho" w:hAnsi="Verdana" w:cs="Arial"/>
          <w:b/>
          <w:bCs/>
          <w:lang w:eastAsia="es-ES"/>
        </w:rPr>
      </w:pPr>
    </w:p>
    <w:p w14:paraId="7805884D"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 xml:space="preserve">Sin embargo, la información de gastos para la vigencia </w:t>
      </w:r>
      <w:r w:rsidR="00065F2C" w:rsidRPr="00264E65">
        <w:rPr>
          <w:rFonts w:ascii="Verdana" w:hAnsi="Verdana" w:cs="Arial"/>
          <w:sz w:val="22"/>
          <w:szCs w:val="22"/>
        </w:rPr>
        <w:t>2021</w:t>
      </w:r>
      <w:r w:rsidRPr="00264E65">
        <w:rPr>
          <w:rFonts w:ascii="Verdana" w:hAnsi="Verdana" w:cs="Arial"/>
          <w:sz w:val="22"/>
          <w:szCs w:val="22"/>
        </w:rPr>
        <w:t xml:space="preserve"> en el Sector de Agua </w:t>
      </w:r>
      <w:r w:rsidRPr="00264E65">
        <w:rPr>
          <w:rFonts w:ascii="Verdana" w:hAnsi="Verdana" w:cs="Arial"/>
          <w:color w:val="000000" w:themeColor="text1"/>
          <w:sz w:val="22"/>
          <w:szCs w:val="22"/>
        </w:rPr>
        <w:t xml:space="preserve">Potable y Saneamiento Básico reportada a la </w:t>
      </w:r>
      <w:r w:rsidRPr="00264E65">
        <w:rPr>
          <w:rFonts w:ascii="Verdana" w:hAnsi="Verdana" w:cs="Arial"/>
          <w:color w:val="000000" w:themeColor="text1"/>
          <w:sz w:val="22"/>
          <w:szCs w:val="22"/>
          <w:shd w:val="clear" w:color="auto" w:fill="FFFFFF"/>
        </w:rPr>
        <w:t xml:space="preserve">Categoría Única de Información del Presupuesto Ordinario </w:t>
      </w:r>
      <w:r w:rsidRPr="00264E65">
        <w:rPr>
          <w:rFonts w:ascii="Verdana" w:hAnsi="Verdana" w:cs="Arial"/>
          <w:color w:val="000000" w:themeColor="text1"/>
          <w:sz w:val="22"/>
          <w:szCs w:val="22"/>
        </w:rPr>
        <w:t>(CUIPO) fue la siguiente:</w:t>
      </w:r>
    </w:p>
    <w:p w14:paraId="074AF420" w14:textId="77777777" w:rsidR="00911C69" w:rsidRPr="00264E65" w:rsidRDefault="00911C69" w:rsidP="00911C69">
      <w:pPr>
        <w:rPr>
          <w:rFonts w:ascii="Verdana" w:hAnsi="Verdana" w:cs="Arial"/>
          <w:sz w:val="22"/>
          <w:szCs w:val="22"/>
        </w:rPr>
      </w:pPr>
    </w:p>
    <w:p w14:paraId="618436BB" w14:textId="77777777" w:rsidR="009524C1" w:rsidRPr="00264E65" w:rsidRDefault="009524C1" w:rsidP="00911C69">
      <w:pPr>
        <w:rPr>
          <w:rFonts w:ascii="Verdana" w:hAnsi="Verdana" w:cs="Arial"/>
          <w:sz w:val="22"/>
          <w:szCs w:val="22"/>
        </w:rPr>
      </w:pPr>
    </w:p>
    <w:p w14:paraId="28348C3C" w14:textId="77777777" w:rsidR="00AB0D36" w:rsidRDefault="00AB0D36" w:rsidP="00911C69">
      <w:pPr>
        <w:autoSpaceDE w:val="0"/>
        <w:autoSpaceDN w:val="0"/>
        <w:adjustRightInd w:val="0"/>
        <w:contextualSpacing/>
        <w:jc w:val="center"/>
        <w:rPr>
          <w:rFonts w:ascii="Verdana" w:hAnsi="Verdana" w:cs="Arial"/>
          <w:b/>
          <w:sz w:val="22"/>
          <w:szCs w:val="22"/>
        </w:rPr>
      </w:pPr>
    </w:p>
    <w:p w14:paraId="02F4ADA5" w14:textId="77777777" w:rsidR="00AB0D36" w:rsidRDefault="00AB0D36" w:rsidP="00911C69">
      <w:pPr>
        <w:autoSpaceDE w:val="0"/>
        <w:autoSpaceDN w:val="0"/>
        <w:adjustRightInd w:val="0"/>
        <w:contextualSpacing/>
        <w:jc w:val="center"/>
        <w:rPr>
          <w:rFonts w:ascii="Verdana" w:hAnsi="Verdana" w:cs="Arial"/>
          <w:b/>
          <w:sz w:val="22"/>
          <w:szCs w:val="22"/>
        </w:rPr>
      </w:pPr>
    </w:p>
    <w:p w14:paraId="7FB6503B" w14:textId="77777777" w:rsidR="00911C69" w:rsidRPr="00264E65" w:rsidRDefault="00911C69" w:rsidP="00911C69">
      <w:pPr>
        <w:autoSpaceDE w:val="0"/>
        <w:autoSpaceDN w:val="0"/>
        <w:adjustRightInd w:val="0"/>
        <w:contextualSpacing/>
        <w:jc w:val="center"/>
        <w:rPr>
          <w:rFonts w:ascii="Verdana" w:hAnsi="Verdana" w:cs="Arial"/>
          <w:sz w:val="22"/>
          <w:szCs w:val="22"/>
        </w:rPr>
      </w:pPr>
      <w:r w:rsidRPr="00264E65">
        <w:rPr>
          <w:rFonts w:ascii="Verdana" w:hAnsi="Verdana" w:cs="Arial"/>
          <w:b/>
          <w:sz w:val="22"/>
          <w:szCs w:val="22"/>
        </w:rPr>
        <w:t>Cuadro 19.</w:t>
      </w:r>
      <w:r w:rsidRPr="00264E65">
        <w:rPr>
          <w:rFonts w:ascii="Verdana" w:hAnsi="Verdana" w:cs="Arial"/>
          <w:sz w:val="22"/>
          <w:szCs w:val="22"/>
        </w:rPr>
        <w:t xml:space="preserve"> Gastos vigencia 2021 (CUIPO)</w:t>
      </w:r>
    </w:p>
    <w:tbl>
      <w:tblPr>
        <w:tblW w:w="8483" w:type="dxa"/>
        <w:jc w:val="center"/>
        <w:tblCellMar>
          <w:left w:w="70" w:type="dxa"/>
          <w:right w:w="70" w:type="dxa"/>
        </w:tblCellMar>
        <w:tblLook w:val="04A0" w:firstRow="1" w:lastRow="0" w:firstColumn="1" w:lastColumn="0" w:noHBand="0" w:noVBand="1"/>
      </w:tblPr>
      <w:tblGrid>
        <w:gridCol w:w="5117"/>
        <w:gridCol w:w="1513"/>
        <w:gridCol w:w="1434"/>
        <w:gridCol w:w="749"/>
      </w:tblGrid>
      <w:tr w:rsidR="00D23AA6" w:rsidRPr="00D23AA6" w14:paraId="3CCC1C91" w14:textId="77777777" w:rsidTr="00D23AA6">
        <w:trPr>
          <w:trHeight w:val="300"/>
          <w:jc w:val="center"/>
        </w:trPr>
        <w:tc>
          <w:tcPr>
            <w:tcW w:w="84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0D79B"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 xml:space="preserve">GASTOS TOTALES                         </w:t>
            </w:r>
            <w:proofErr w:type="gramStart"/>
            <w:r w:rsidRPr="00D23AA6">
              <w:rPr>
                <w:rFonts w:ascii="Verdana" w:eastAsia="Times New Roman" w:hAnsi="Verdana" w:cs="Calibri"/>
                <w:b/>
                <w:bCs/>
                <w:color w:val="000000"/>
                <w:sz w:val="18"/>
                <w:szCs w:val="18"/>
                <w:lang w:val="es-419" w:eastAsia="es-CO"/>
              </w:rPr>
              <w:t xml:space="preserve">   (</w:t>
            </w:r>
            <w:proofErr w:type="gramEnd"/>
            <w:r w:rsidRPr="00D23AA6">
              <w:rPr>
                <w:rFonts w:ascii="Verdana" w:eastAsia="Times New Roman" w:hAnsi="Verdana" w:cs="Calibri"/>
                <w:b/>
                <w:bCs/>
                <w:color w:val="000000"/>
                <w:sz w:val="18"/>
                <w:szCs w:val="18"/>
                <w:lang w:val="es-419" w:eastAsia="es-CO"/>
              </w:rPr>
              <w:t>En millones de pesos)</w:t>
            </w:r>
          </w:p>
        </w:tc>
      </w:tr>
      <w:tr w:rsidR="00D23AA6" w:rsidRPr="00D23AA6" w14:paraId="7D642521" w14:textId="77777777" w:rsidTr="00D23AA6">
        <w:trPr>
          <w:trHeight w:val="300"/>
          <w:jc w:val="center"/>
        </w:trPr>
        <w:tc>
          <w:tcPr>
            <w:tcW w:w="51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70B68C"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Concepto</w:t>
            </w:r>
          </w:p>
        </w:tc>
        <w:tc>
          <w:tcPr>
            <w:tcW w:w="3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180AD3"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2021</w:t>
            </w:r>
          </w:p>
        </w:tc>
      </w:tr>
      <w:tr w:rsidR="00D23AA6" w:rsidRPr="00D23AA6" w14:paraId="1EDA205F" w14:textId="77777777" w:rsidTr="00D23AA6">
        <w:trPr>
          <w:trHeight w:val="450"/>
          <w:jc w:val="center"/>
        </w:trPr>
        <w:tc>
          <w:tcPr>
            <w:tcW w:w="5117" w:type="dxa"/>
            <w:vMerge/>
            <w:tcBorders>
              <w:top w:val="nil"/>
              <w:left w:val="single" w:sz="4" w:space="0" w:color="auto"/>
              <w:bottom w:val="single" w:sz="4" w:space="0" w:color="auto"/>
              <w:right w:val="single" w:sz="4" w:space="0" w:color="auto"/>
            </w:tcBorders>
            <w:vAlign w:val="center"/>
            <w:hideMark/>
          </w:tcPr>
          <w:p w14:paraId="05F15316" w14:textId="77777777" w:rsidR="00D23AA6" w:rsidRPr="00D23AA6" w:rsidRDefault="00D23AA6" w:rsidP="00D23AA6">
            <w:pPr>
              <w:rPr>
                <w:rFonts w:ascii="Verdana" w:eastAsia="Times New Roman" w:hAnsi="Verdana" w:cs="Calibri"/>
                <w:b/>
                <w:bCs/>
                <w:color w:val="000000"/>
                <w:sz w:val="18"/>
                <w:szCs w:val="18"/>
                <w:lang w:val="es-CO" w:eastAsia="es-CO"/>
              </w:rPr>
            </w:pPr>
          </w:p>
        </w:tc>
        <w:tc>
          <w:tcPr>
            <w:tcW w:w="1403" w:type="dxa"/>
            <w:tcBorders>
              <w:top w:val="nil"/>
              <w:left w:val="nil"/>
              <w:bottom w:val="single" w:sz="4" w:space="0" w:color="auto"/>
              <w:right w:val="single" w:sz="4" w:space="0" w:color="auto"/>
            </w:tcBorders>
            <w:shd w:val="clear" w:color="auto" w:fill="auto"/>
            <w:noWrap/>
            <w:vAlign w:val="center"/>
            <w:hideMark/>
          </w:tcPr>
          <w:p w14:paraId="160D1C48"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Compromisos</w:t>
            </w:r>
          </w:p>
        </w:tc>
        <w:tc>
          <w:tcPr>
            <w:tcW w:w="1324" w:type="dxa"/>
            <w:tcBorders>
              <w:top w:val="nil"/>
              <w:left w:val="nil"/>
              <w:bottom w:val="single" w:sz="4" w:space="0" w:color="auto"/>
              <w:right w:val="single" w:sz="4" w:space="0" w:color="auto"/>
            </w:tcBorders>
            <w:shd w:val="clear" w:color="auto" w:fill="auto"/>
            <w:noWrap/>
            <w:vAlign w:val="center"/>
            <w:hideMark/>
          </w:tcPr>
          <w:p w14:paraId="1002ACDB" w14:textId="77777777" w:rsidR="00D23AA6" w:rsidRPr="00D23AA6" w:rsidRDefault="00D23AA6" w:rsidP="00D23AA6">
            <w:pPr>
              <w:jc w:val="both"/>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Obligaciones</w:t>
            </w:r>
          </w:p>
        </w:tc>
        <w:tc>
          <w:tcPr>
            <w:tcW w:w="639" w:type="dxa"/>
            <w:tcBorders>
              <w:top w:val="nil"/>
              <w:left w:val="nil"/>
              <w:bottom w:val="single" w:sz="4" w:space="0" w:color="auto"/>
              <w:right w:val="single" w:sz="4" w:space="0" w:color="auto"/>
            </w:tcBorders>
            <w:shd w:val="clear" w:color="auto" w:fill="auto"/>
            <w:vAlign w:val="center"/>
            <w:hideMark/>
          </w:tcPr>
          <w:p w14:paraId="51AE17F6"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Pagos</w:t>
            </w:r>
          </w:p>
        </w:tc>
      </w:tr>
      <w:tr w:rsidR="00D23AA6" w:rsidRPr="00D23AA6" w14:paraId="5B232163" w14:textId="77777777" w:rsidTr="00D23AA6">
        <w:trPr>
          <w:trHeight w:val="450"/>
          <w:jc w:val="center"/>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3118947C" w14:textId="77777777" w:rsidR="00D23AA6" w:rsidRPr="00D23AA6" w:rsidRDefault="00D23AA6" w:rsidP="00D23AA6">
            <w:pPr>
              <w:jc w:val="both"/>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Gastos de Inversión</w:t>
            </w:r>
          </w:p>
        </w:tc>
        <w:tc>
          <w:tcPr>
            <w:tcW w:w="1403" w:type="dxa"/>
            <w:tcBorders>
              <w:top w:val="nil"/>
              <w:left w:val="nil"/>
              <w:bottom w:val="single" w:sz="4" w:space="0" w:color="auto"/>
              <w:right w:val="single" w:sz="4" w:space="0" w:color="auto"/>
            </w:tcBorders>
            <w:shd w:val="clear" w:color="auto" w:fill="auto"/>
            <w:noWrap/>
            <w:vAlign w:val="center"/>
            <w:hideMark/>
          </w:tcPr>
          <w:p w14:paraId="170526D3"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724</w:t>
            </w:r>
          </w:p>
        </w:tc>
        <w:tc>
          <w:tcPr>
            <w:tcW w:w="1324" w:type="dxa"/>
            <w:tcBorders>
              <w:top w:val="nil"/>
              <w:left w:val="nil"/>
              <w:bottom w:val="single" w:sz="4" w:space="0" w:color="auto"/>
              <w:right w:val="single" w:sz="4" w:space="0" w:color="auto"/>
            </w:tcBorders>
            <w:shd w:val="clear" w:color="auto" w:fill="auto"/>
            <w:noWrap/>
            <w:vAlign w:val="center"/>
            <w:hideMark/>
          </w:tcPr>
          <w:p w14:paraId="3BAF34F5"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72</w:t>
            </w:r>
          </w:p>
        </w:tc>
        <w:tc>
          <w:tcPr>
            <w:tcW w:w="639" w:type="dxa"/>
            <w:tcBorders>
              <w:top w:val="nil"/>
              <w:left w:val="nil"/>
              <w:bottom w:val="single" w:sz="4" w:space="0" w:color="auto"/>
              <w:right w:val="single" w:sz="4" w:space="0" w:color="auto"/>
            </w:tcBorders>
            <w:shd w:val="clear" w:color="auto" w:fill="auto"/>
            <w:noWrap/>
            <w:vAlign w:val="center"/>
            <w:hideMark/>
          </w:tcPr>
          <w:p w14:paraId="4B8F7FB5"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54</w:t>
            </w:r>
          </w:p>
        </w:tc>
      </w:tr>
      <w:tr w:rsidR="00D23AA6" w:rsidRPr="00D23AA6" w14:paraId="150431A1" w14:textId="77777777" w:rsidTr="00D23AA6">
        <w:trPr>
          <w:trHeight w:val="300"/>
          <w:jc w:val="center"/>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6DC4BC9C" w14:textId="77777777" w:rsidR="00D23AA6" w:rsidRPr="00D23AA6" w:rsidRDefault="00D23AA6" w:rsidP="00D23AA6">
            <w:pPr>
              <w:jc w:val="both"/>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Subsidios</w:t>
            </w:r>
          </w:p>
        </w:tc>
        <w:tc>
          <w:tcPr>
            <w:tcW w:w="1403" w:type="dxa"/>
            <w:tcBorders>
              <w:top w:val="nil"/>
              <w:left w:val="nil"/>
              <w:bottom w:val="single" w:sz="4" w:space="0" w:color="auto"/>
              <w:right w:val="single" w:sz="4" w:space="0" w:color="auto"/>
            </w:tcBorders>
            <w:shd w:val="clear" w:color="auto" w:fill="auto"/>
            <w:noWrap/>
            <w:vAlign w:val="center"/>
            <w:hideMark/>
          </w:tcPr>
          <w:p w14:paraId="2F84B139"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134</w:t>
            </w:r>
          </w:p>
        </w:tc>
        <w:tc>
          <w:tcPr>
            <w:tcW w:w="1324" w:type="dxa"/>
            <w:tcBorders>
              <w:top w:val="nil"/>
              <w:left w:val="nil"/>
              <w:bottom w:val="single" w:sz="4" w:space="0" w:color="auto"/>
              <w:right w:val="single" w:sz="4" w:space="0" w:color="auto"/>
            </w:tcBorders>
            <w:shd w:val="clear" w:color="auto" w:fill="auto"/>
            <w:noWrap/>
            <w:vAlign w:val="center"/>
            <w:hideMark/>
          </w:tcPr>
          <w:p w14:paraId="108F97A0"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65</w:t>
            </w:r>
          </w:p>
        </w:tc>
        <w:tc>
          <w:tcPr>
            <w:tcW w:w="639" w:type="dxa"/>
            <w:tcBorders>
              <w:top w:val="nil"/>
              <w:left w:val="nil"/>
              <w:bottom w:val="single" w:sz="4" w:space="0" w:color="auto"/>
              <w:right w:val="single" w:sz="4" w:space="0" w:color="auto"/>
            </w:tcBorders>
            <w:shd w:val="clear" w:color="auto" w:fill="auto"/>
            <w:noWrap/>
            <w:vAlign w:val="center"/>
            <w:hideMark/>
          </w:tcPr>
          <w:p w14:paraId="6FB88646"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47</w:t>
            </w:r>
          </w:p>
        </w:tc>
      </w:tr>
      <w:tr w:rsidR="00D23AA6" w:rsidRPr="00D23AA6" w14:paraId="52F511DD" w14:textId="77777777" w:rsidTr="00D23AA6">
        <w:trPr>
          <w:trHeight w:val="237"/>
          <w:jc w:val="center"/>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5CF0AD40" w14:textId="77777777" w:rsidR="00D23AA6" w:rsidRPr="00D23AA6" w:rsidRDefault="00D23AA6" w:rsidP="00D23AA6">
            <w:pPr>
              <w:jc w:val="both"/>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Formulación, implantación y acciones de fortalecimiento</w:t>
            </w:r>
          </w:p>
        </w:tc>
        <w:tc>
          <w:tcPr>
            <w:tcW w:w="1403" w:type="dxa"/>
            <w:tcBorders>
              <w:top w:val="nil"/>
              <w:left w:val="nil"/>
              <w:bottom w:val="single" w:sz="4" w:space="0" w:color="auto"/>
              <w:right w:val="single" w:sz="4" w:space="0" w:color="auto"/>
            </w:tcBorders>
            <w:shd w:val="clear" w:color="auto" w:fill="auto"/>
            <w:noWrap/>
            <w:vAlign w:val="center"/>
            <w:hideMark/>
          </w:tcPr>
          <w:p w14:paraId="18336032"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550</w:t>
            </w:r>
          </w:p>
        </w:tc>
        <w:tc>
          <w:tcPr>
            <w:tcW w:w="1324" w:type="dxa"/>
            <w:tcBorders>
              <w:top w:val="nil"/>
              <w:left w:val="nil"/>
              <w:bottom w:val="single" w:sz="4" w:space="0" w:color="auto"/>
              <w:right w:val="single" w:sz="4" w:space="0" w:color="auto"/>
            </w:tcBorders>
            <w:shd w:val="clear" w:color="auto" w:fill="auto"/>
            <w:noWrap/>
            <w:vAlign w:val="center"/>
            <w:hideMark/>
          </w:tcPr>
          <w:p w14:paraId="05FE1FE1"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0</w:t>
            </w:r>
          </w:p>
        </w:tc>
        <w:tc>
          <w:tcPr>
            <w:tcW w:w="639" w:type="dxa"/>
            <w:tcBorders>
              <w:top w:val="nil"/>
              <w:left w:val="nil"/>
              <w:bottom w:val="single" w:sz="4" w:space="0" w:color="auto"/>
              <w:right w:val="single" w:sz="4" w:space="0" w:color="auto"/>
            </w:tcBorders>
            <w:shd w:val="clear" w:color="auto" w:fill="auto"/>
            <w:noWrap/>
            <w:vAlign w:val="center"/>
            <w:hideMark/>
          </w:tcPr>
          <w:p w14:paraId="0119B9AF"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0</w:t>
            </w:r>
          </w:p>
        </w:tc>
      </w:tr>
      <w:tr w:rsidR="00D23AA6" w:rsidRPr="00D23AA6" w14:paraId="03778247" w14:textId="77777777" w:rsidTr="00D23AA6">
        <w:trPr>
          <w:trHeight w:val="77"/>
          <w:jc w:val="center"/>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1EBB3A55" w14:textId="77777777" w:rsidR="00D23AA6" w:rsidRPr="00D23AA6" w:rsidRDefault="00D23AA6" w:rsidP="00D23AA6">
            <w:pPr>
              <w:jc w:val="both"/>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Construcción, Ampliación y Mejoramiento</w:t>
            </w:r>
          </w:p>
        </w:tc>
        <w:tc>
          <w:tcPr>
            <w:tcW w:w="1403" w:type="dxa"/>
            <w:tcBorders>
              <w:top w:val="nil"/>
              <w:left w:val="nil"/>
              <w:bottom w:val="single" w:sz="4" w:space="0" w:color="auto"/>
              <w:right w:val="single" w:sz="4" w:space="0" w:color="auto"/>
            </w:tcBorders>
            <w:shd w:val="clear" w:color="auto" w:fill="auto"/>
            <w:noWrap/>
            <w:vAlign w:val="center"/>
            <w:hideMark/>
          </w:tcPr>
          <w:p w14:paraId="0FB9952A"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40</w:t>
            </w:r>
          </w:p>
        </w:tc>
        <w:tc>
          <w:tcPr>
            <w:tcW w:w="1324" w:type="dxa"/>
            <w:tcBorders>
              <w:top w:val="nil"/>
              <w:left w:val="nil"/>
              <w:bottom w:val="single" w:sz="4" w:space="0" w:color="auto"/>
              <w:right w:val="single" w:sz="4" w:space="0" w:color="auto"/>
            </w:tcBorders>
            <w:shd w:val="clear" w:color="auto" w:fill="auto"/>
            <w:noWrap/>
            <w:vAlign w:val="center"/>
            <w:hideMark/>
          </w:tcPr>
          <w:p w14:paraId="5D9C2E45"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7</w:t>
            </w:r>
          </w:p>
        </w:tc>
        <w:tc>
          <w:tcPr>
            <w:tcW w:w="639" w:type="dxa"/>
            <w:tcBorders>
              <w:top w:val="nil"/>
              <w:left w:val="nil"/>
              <w:bottom w:val="single" w:sz="4" w:space="0" w:color="auto"/>
              <w:right w:val="single" w:sz="4" w:space="0" w:color="auto"/>
            </w:tcBorders>
            <w:shd w:val="clear" w:color="auto" w:fill="auto"/>
            <w:noWrap/>
            <w:vAlign w:val="center"/>
            <w:hideMark/>
          </w:tcPr>
          <w:p w14:paraId="4BA7E7E1" w14:textId="77777777" w:rsidR="00D23AA6" w:rsidRPr="00D23AA6" w:rsidRDefault="00D23AA6" w:rsidP="00D23AA6">
            <w:pPr>
              <w:jc w:val="center"/>
              <w:rPr>
                <w:rFonts w:ascii="Verdana" w:eastAsia="Times New Roman" w:hAnsi="Verdana" w:cs="Calibri"/>
                <w:color w:val="000000"/>
                <w:sz w:val="18"/>
                <w:szCs w:val="18"/>
                <w:lang w:val="es-CO" w:eastAsia="es-CO"/>
              </w:rPr>
            </w:pPr>
            <w:r w:rsidRPr="00D23AA6">
              <w:rPr>
                <w:rFonts w:ascii="Verdana" w:eastAsia="Times New Roman" w:hAnsi="Verdana" w:cs="Calibri"/>
                <w:color w:val="000000"/>
                <w:sz w:val="18"/>
                <w:szCs w:val="18"/>
                <w:lang w:val="es-419" w:eastAsia="es-CO"/>
              </w:rPr>
              <w:t>7</w:t>
            </w:r>
          </w:p>
        </w:tc>
      </w:tr>
      <w:tr w:rsidR="00D23AA6" w:rsidRPr="00D23AA6" w14:paraId="116AD6EA" w14:textId="77777777" w:rsidTr="00D23AA6">
        <w:trPr>
          <w:trHeight w:val="404"/>
          <w:jc w:val="center"/>
        </w:trPr>
        <w:tc>
          <w:tcPr>
            <w:tcW w:w="5117" w:type="dxa"/>
            <w:tcBorders>
              <w:top w:val="nil"/>
              <w:left w:val="single" w:sz="4" w:space="0" w:color="auto"/>
              <w:bottom w:val="single" w:sz="4" w:space="0" w:color="auto"/>
              <w:right w:val="single" w:sz="4" w:space="0" w:color="auto"/>
            </w:tcBorders>
            <w:shd w:val="clear" w:color="auto" w:fill="auto"/>
            <w:noWrap/>
            <w:vAlign w:val="center"/>
            <w:hideMark/>
          </w:tcPr>
          <w:p w14:paraId="1ACD819C" w14:textId="77777777" w:rsidR="00D23AA6" w:rsidRPr="00D23AA6" w:rsidRDefault="00D23AA6" w:rsidP="00D23AA6">
            <w:pPr>
              <w:jc w:val="both"/>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Gastos Totales APSB</w:t>
            </w:r>
          </w:p>
        </w:tc>
        <w:tc>
          <w:tcPr>
            <w:tcW w:w="1403" w:type="dxa"/>
            <w:tcBorders>
              <w:top w:val="nil"/>
              <w:left w:val="nil"/>
              <w:bottom w:val="single" w:sz="4" w:space="0" w:color="auto"/>
              <w:right w:val="single" w:sz="4" w:space="0" w:color="auto"/>
            </w:tcBorders>
            <w:shd w:val="clear" w:color="auto" w:fill="auto"/>
            <w:noWrap/>
            <w:vAlign w:val="center"/>
            <w:hideMark/>
          </w:tcPr>
          <w:p w14:paraId="58F210C4"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724</w:t>
            </w:r>
          </w:p>
        </w:tc>
        <w:tc>
          <w:tcPr>
            <w:tcW w:w="1324" w:type="dxa"/>
            <w:tcBorders>
              <w:top w:val="nil"/>
              <w:left w:val="nil"/>
              <w:bottom w:val="single" w:sz="4" w:space="0" w:color="auto"/>
              <w:right w:val="single" w:sz="4" w:space="0" w:color="auto"/>
            </w:tcBorders>
            <w:shd w:val="clear" w:color="auto" w:fill="auto"/>
            <w:noWrap/>
            <w:vAlign w:val="center"/>
            <w:hideMark/>
          </w:tcPr>
          <w:p w14:paraId="597A19E6"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73</w:t>
            </w:r>
          </w:p>
        </w:tc>
        <w:tc>
          <w:tcPr>
            <w:tcW w:w="639" w:type="dxa"/>
            <w:tcBorders>
              <w:top w:val="nil"/>
              <w:left w:val="nil"/>
              <w:bottom w:val="single" w:sz="4" w:space="0" w:color="auto"/>
              <w:right w:val="single" w:sz="4" w:space="0" w:color="auto"/>
            </w:tcBorders>
            <w:shd w:val="clear" w:color="auto" w:fill="auto"/>
            <w:noWrap/>
            <w:vAlign w:val="center"/>
            <w:hideMark/>
          </w:tcPr>
          <w:p w14:paraId="3C407F92" w14:textId="77777777" w:rsidR="00D23AA6" w:rsidRPr="00D23AA6" w:rsidRDefault="00D23AA6" w:rsidP="00D23AA6">
            <w:pPr>
              <w:jc w:val="center"/>
              <w:rPr>
                <w:rFonts w:ascii="Verdana" w:eastAsia="Times New Roman" w:hAnsi="Verdana" w:cs="Calibri"/>
                <w:b/>
                <w:bCs/>
                <w:color w:val="000000"/>
                <w:sz w:val="18"/>
                <w:szCs w:val="18"/>
                <w:lang w:val="es-CO" w:eastAsia="es-CO"/>
              </w:rPr>
            </w:pPr>
            <w:r w:rsidRPr="00D23AA6">
              <w:rPr>
                <w:rFonts w:ascii="Verdana" w:eastAsia="Times New Roman" w:hAnsi="Verdana" w:cs="Calibri"/>
                <w:b/>
                <w:bCs/>
                <w:color w:val="000000"/>
                <w:sz w:val="18"/>
                <w:szCs w:val="18"/>
                <w:lang w:val="es-419" w:eastAsia="es-CO"/>
              </w:rPr>
              <w:t>54</w:t>
            </w:r>
          </w:p>
        </w:tc>
      </w:tr>
    </w:tbl>
    <w:p w14:paraId="4AC37E70" w14:textId="77777777" w:rsidR="00911C69" w:rsidRPr="00433E58" w:rsidRDefault="00911C69" w:rsidP="00911C69">
      <w:pPr>
        <w:contextualSpacing/>
        <w:jc w:val="center"/>
        <w:rPr>
          <w:rFonts w:ascii="Verdana" w:hAnsi="Verdana" w:cs="Arial"/>
          <w:sz w:val="20"/>
          <w:szCs w:val="20"/>
        </w:rPr>
      </w:pPr>
      <w:r w:rsidRPr="00433E58">
        <w:rPr>
          <w:rFonts w:ascii="Verdana" w:hAnsi="Verdana" w:cs="Arial"/>
          <w:sz w:val="16"/>
          <w:szCs w:val="16"/>
        </w:rPr>
        <w:t>Fuente: CUIPO</w:t>
      </w:r>
    </w:p>
    <w:p w14:paraId="48D667B4" w14:textId="77777777" w:rsidR="00911C69" w:rsidRPr="00433E58" w:rsidRDefault="00911C69" w:rsidP="00911C69">
      <w:pPr>
        <w:contextualSpacing/>
        <w:jc w:val="center"/>
        <w:rPr>
          <w:rFonts w:ascii="Verdana" w:hAnsi="Verdana" w:cs="Arial"/>
          <w:sz w:val="22"/>
          <w:szCs w:val="22"/>
        </w:rPr>
      </w:pPr>
    </w:p>
    <w:p w14:paraId="64553623"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color w:val="000000" w:themeColor="text1"/>
          <w:sz w:val="22"/>
          <w:szCs w:val="22"/>
        </w:rPr>
        <w:t>Al comparar los dos cuadros anteriores se puede evidenciar las diferencias existentes entre la información entregada por la Entidad Territorial y la cargada a CUIPO en los valores comprometidos, obligados y pagados por concepto de Construcción, ampliación y mejoramiento.</w:t>
      </w:r>
      <w:r w:rsidRPr="00264E65">
        <w:rPr>
          <w:rFonts w:ascii="Verdana" w:hAnsi="Verdana" w:cs="Arial"/>
          <w:sz w:val="22"/>
          <w:szCs w:val="22"/>
        </w:rPr>
        <w:t xml:space="preserve"> También es necesario mencionar que el Municipio no cargó al FUT la información del Cierre Fiscal de las vigencias 2019 y 2020.</w:t>
      </w:r>
    </w:p>
    <w:p w14:paraId="340ABD13" w14:textId="77777777" w:rsidR="00911C69" w:rsidRPr="00264E65" w:rsidRDefault="00911C69" w:rsidP="00911C69">
      <w:pPr>
        <w:contextualSpacing/>
        <w:jc w:val="both"/>
        <w:rPr>
          <w:rFonts w:ascii="Verdana" w:hAnsi="Verdana" w:cs="Arial"/>
          <w:sz w:val="22"/>
          <w:szCs w:val="22"/>
        </w:rPr>
      </w:pPr>
    </w:p>
    <w:p w14:paraId="1B044C02" w14:textId="77777777" w:rsidR="00911C69" w:rsidRPr="00264E65" w:rsidRDefault="00911C69" w:rsidP="00911C69">
      <w:pPr>
        <w:tabs>
          <w:tab w:val="left" w:pos="8460"/>
        </w:tabs>
        <w:contextualSpacing/>
        <w:jc w:val="both"/>
        <w:rPr>
          <w:rFonts w:ascii="Verdana" w:hAnsi="Verdana" w:cs="Arial"/>
          <w:b/>
          <w:sz w:val="22"/>
          <w:szCs w:val="22"/>
        </w:rPr>
      </w:pPr>
      <w:r w:rsidRPr="00264E65">
        <w:rPr>
          <w:rFonts w:ascii="Verdana" w:hAnsi="Verdana" w:cs="Arial"/>
          <w:b/>
          <w:sz w:val="22"/>
          <w:szCs w:val="22"/>
        </w:rPr>
        <w:t>EVIDENCIA:</w:t>
      </w:r>
    </w:p>
    <w:p w14:paraId="0EE4B4DB" w14:textId="77777777" w:rsidR="00911C69" w:rsidRPr="00264E65" w:rsidRDefault="00911C69" w:rsidP="00911C69">
      <w:pPr>
        <w:tabs>
          <w:tab w:val="left" w:pos="8460"/>
        </w:tabs>
        <w:contextualSpacing/>
        <w:jc w:val="both"/>
        <w:rPr>
          <w:rFonts w:ascii="Verdana" w:hAnsi="Verdana" w:cs="Arial"/>
          <w:b/>
          <w:sz w:val="22"/>
          <w:szCs w:val="22"/>
        </w:rPr>
      </w:pPr>
    </w:p>
    <w:p w14:paraId="76FAFE03"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Obra en el expediente digital en el Sistema de Información Electrónica Documental – SIED del Ministerio de Hacienda y Crédito Público No. 12/2019/D028-PREDI el siguiente material probatorio:</w:t>
      </w:r>
    </w:p>
    <w:p w14:paraId="15EFABBC" w14:textId="77777777" w:rsidR="00911C69" w:rsidRPr="00264E65" w:rsidRDefault="00911C69" w:rsidP="00164C0F">
      <w:pPr>
        <w:rPr>
          <w:rFonts w:ascii="Verdana" w:hAnsi="Verdana" w:cs="Arial"/>
          <w:sz w:val="22"/>
          <w:szCs w:val="22"/>
        </w:rPr>
      </w:pPr>
    </w:p>
    <w:p w14:paraId="269BFB7A"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bookmarkStart w:id="6" w:name="_Hlk116045158"/>
      <w:r w:rsidRPr="00264E65">
        <w:rPr>
          <w:rFonts w:ascii="Verdana" w:hAnsi="Verdana" w:cs="Arial"/>
          <w:sz w:val="22"/>
          <w:szCs w:val="22"/>
        </w:rPr>
        <w:t xml:space="preserve">Ejecución presupuestal de gastos del Municipio de Cota – Cundinamarca de la vigencia 2021.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 xml:space="preserve">Historial de Seguimiento y Control a la </w:t>
      </w:r>
      <w:r w:rsidRPr="00264E65">
        <w:rPr>
          <w:rFonts w:ascii="Verdana" w:hAnsi="Verdana" w:cs="Arial"/>
          <w:i/>
          <w:iCs/>
          <w:sz w:val="22"/>
          <w:szCs w:val="22"/>
          <w:lang w:val="es-CO" w:eastAsia="es-CO"/>
        </w:rPr>
        <w:lastRenderedPageBreak/>
        <w:t>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Enlace: </w:t>
      </w:r>
      <w:hyperlink r:id="rId14" w:history="1">
        <w:r w:rsidRPr="00264E65">
          <w:rPr>
            <w:rStyle w:val="Hipervnculo"/>
            <w:rFonts w:ascii="Verdana" w:hAnsi="Verdana" w:cs="Arial"/>
            <w:sz w:val="22"/>
            <w:szCs w:val="22"/>
            <w:lang w:val="es-CO" w:eastAsia="es-CO"/>
          </w:rPr>
          <w:t>https://bit.ly/3fKU1Q9</w:t>
        </w:r>
      </w:hyperlink>
    </w:p>
    <w:bookmarkEnd w:id="6"/>
    <w:p w14:paraId="490B494B" w14:textId="77777777" w:rsidR="00911C69" w:rsidRPr="00264E65" w:rsidRDefault="00911C69" w:rsidP="00164C0F">
      <w:pPr>
        <w:jc w:val="both"/>
        <w:rPr>
          <w:rFonts w:ascii="Verdana" w:hAnsi="Verdana" w:cs="Arial"/>
          <w:sz w:val="22"/>
          <w:szCs w:val="22"/>
          <w:lang w:val="en-US" w:eastAsia="es-CO"/>
        </w:rPr>
      </w:pPr>
    </w:p>
    <w:p w14:paraId="51079125" w14:textId="77777777" w:rsidR="00911C69" w:rsidRPr="00264E65" w:rsidRDefault="00911C69" w:rsidP="00911C69">
      <w:pPr>
        <w:pStyle w:val="Prrafodelista"/>
        <w:numPr>
          <w:ilvl w:val="0"/>
          <w:numId w:val="8"/>
        </w:numPr>
        <w:jc w:val="both"/>
        <w:rPr>
          <w:rFonts w:ascii="Verdana" w:hAnsi="Verdana" w:cs="Arial"/>
          <w:sz w:val="22"/>
          <w:szCs w:val="22"/>
          <w:lang w:val="en-US"/>
        </w:rPr>
      </w:pPr>
      <w:r w:rsidRPr="00264E65">
        <w:rPr>
          <w:rFonts w:ascii="Verdana" w:hAnsi="Verdana" w:cs="Arial"/>
          <w:sz w:val="22"/>
          <w:szCs w:val="22"/>
        </w:rPr>
        <w:t xml:space="preserve">Reporte al Consolidador de Hacienda e Información Pública – CHIP del Municipio de Cota – Cundinamarca. </w:t>
      </w:r>
      <w:r w:rsidRPr="00264E65">
        <w:rPr>
          <w:rFonts w:ascii="Verdana" w:eastAsia="Times New Roman" w:hAnsi="Verdana" w:cs="Arial"/>
          <w:color w:val="000000" w:themeColor="text1"/>
          <w:sz w:val="22"/>
          <w:szCs w:val="22"/>
        </w:rPr>
        <w:t xml:space="preserve">Formulario Único Territorial – FUT, </w:t>
      </w:r>
      <w:r w:rsidRPr="00264E65">
        <w:rPr>
          <w:rFonts w:ascii="Verdana" w:hAnsi="Verdana" w:cs="Arial"/>
          <w:color w:val="000000" w:themeColor="text1"/>
          <w:sz w:val="22"/>
          <w:szCs w:val="22"/>
          <w:shd w:val="clear" w:color="auto" w:fill="FFFFFF"/>
        </w:rPr>
        <w:t>Categoría Única de Información del Presupuesto Ordinario</w:t>
      </w:r>
      <w:r w:rsidRPr="00264E65">
        <w:rPr>
          <w:rFonts w:ascii="Verdana" w:eastAsia="Times New Roman" w:hAnsi="Verdana" w:cs="Arial"/>
          <w:color w:val="000000" w:themeColor="text1"/>
          <w:sz w:val="22"/>
          <w:szCs w:val="22"/>
        </w:rPr>
        <w:t xml:space="preserve"> - CUIPO. </w:t>
      </w:r>
      <w:r w:rsidRPr="00264E65">
        <w:rPr>
          <w:rFonts w:ascii="Verdana" w:hAnsi="Verdana" w:cs="Arial"/>
          <w:sz w:val="22"/>
          <w:szCs w:val="22"/>
        </w:rPr>
        <w:t xml:space="preserve">Vigencia 2021.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color w:val="000000" w:themeColor="text1"/>
          <w:sz w:val="22"/>
          <w:szCs w:val="22"/>
          <w:lang w:val="es-CO" w:eastAsia="es-CO"/>
        </w:rPr>
        <w:t>Historial de Seguimiento y Control a la Ejecución de los Recursos del Sistema General de Participaciones – Ejecución y Seguimiento</w:t>
      </w:r>
      <w:r w:rsidRPr="00264E65">
        <w:rPr>
          <w:rFonts w:ascii="Verdana" w:hAnsi="Verdana" w:cs="Arial"/>
          <w:color w:val="000000" w:themeColor="text1"/>
          <w:sz w:val="22"/>
          <w:szCs w:val="22"/>
          <w:lang w:val="es-CO" w:eastAsia="es-CO"/>
        </w:rPr>
        <w:t xml:space="preserve">”. Expediente digital No. 12/2019/D028-PREDI. </w:t>
      </w:r>
      <w:r w:rsidRPr="00264E65">
        <w:rPr>
          <w:rFonts w:ascii="Verdana" w:hAnsi="Verdana" w:cs="Arial"/>
          <w:sz w:val="22"/>
          <w:szCs w:val="22"/>
          <w:lang w:val="en-US" w:eastAsia="es-CO"/>
        </w:rPr>
        <w:t xml:space="preserve">Enlace: </w:t>
      </w:r>
      <w:hyperlink r:id="rId15" w:history="1">
        <w:r w:rsidRPr="00264E65">
          <w:rPr>
            <w:rFonts w:ascii="Verdana" w:hAnsi="Verdana" w:cs="Arial"/>
            <w:sz w:val="22"/>
            <w:szCs w:val="22"/>
            <w:u w:val="single"/>
            <w:lang w:val="en-US" w:eastAsia="es-CO"/>
          </w:rPr>
          <w:t>https://bit.ly/3MerC19</w:t>
        </w:r>
      </w:hyperlink>
      <w:r w:rsidRPr="00264E65">
        <w:rPr>
          <w:rFonts w:ascii="Verdana" w:hAnsi="Verdana"/>
          <w:sz w:val="22"/>
          <w:szCs w:val="22"/>
        </w:rPr>
        <w:t xml:space="preserve"> </w:t>
      </w:r>
    </w:p>
    <w:p w14:paraId="2A581C8C" w14:textId="77777777" w:rsidR="00911C69" w:rsidRPr="00264E65" w:rsidRDefault="00911C69" w:rsidP="00911C69">
      <w:pPr>
        <w:pStyle w:val="Prrafodelista"/>
        <w:jc w:val="both"/>
        <w:rPr>
          <w:rFonts w:ascii="Verdana" w:hAnsi="Verdana" w:cs="Arial"/>
          <w:sz w:val="22"/>
          <w:szCs w:val="22"/>
          <w:lang w:val="en-US"/>
        </w:rPr>
      </w:pPr>
    </w:p>
    <w:bookmarkEnd w:id="5"/>
    <w:p w14:paraId="114BF41D" w14:textId="77777777" w:rsidR="00911C69" w:rsidRPr="00264E65" w:rsidRDefault="00911C69" w:rsidP="00911C69">
      <w:pPr>
        <w:pStyle w:val="Sinespaciado"/>
        <w:contextualSpacing/>
        <w:jc w:val="both"/>
        <w:rPr>
          <w:rFonts w:ascii="Verdana" w:hAnsi="Verdana" w:cs="Arial"/>
          <w:b/>
        </w:rPr>
      </w:pPr>
      <w:r w:rsidRPr="00264E65">
        <w:rPr>
          <w:rFonts w:ascii="Verdana" w:hAnsi="Verdana" w:cs="Arial"/>
          <w:b/>
        </w:rPr>
        <w:t>EVENTO DE RIESGO 9.4 “</w:t>
      </w:r>
      <w:r w:rsidRPr="00264E65">
        <w:rPr>
          <w:rFonts w:ascii="Verdana" w:hAnsi="Verdana" w:cs="Arial"/>
          <w:b/>
          <w:i/>
          <w:iCs/>
        </w:rPr>
        <w:t>CAMBIO EN LA DESTINACIÓN DE LOS RECURSOS</w:t>
      </w:r>
      <w:r w:rsidRPr="00264E65">
        <w:rPr>
          <w:rFonts w:ascii="Verdana" w:hAnsi="Verdana" w:cs="Arial"/>
          <w:b/>
        </w:rPr>
        <w:t>”.</w:t>
      </w:r>
    </w:p>
    <w:p w14:paraId="29E0BA6D" w14:textId="77777777" w:rsidR="00911C69" w:rsidRPr="00264E65" w:rsidRDefault="00911C69" w:rsidP="00911C69">
      <w:pPr>
        <w:pStyle w:val="Sinespaciado"/>
        <w:contextualSpacing/>
        <w:jc w:val="both"/>
        <w:rPr>
          <w:rFonts w:ascii="Verdana" w:hAnsi="Verdana" w:cs="Arial"/>
          <w:b/>
        </w:rPr>
      </w:pPr>
    </w:p>
    <w:p w14:paraId="2D5CC2C9"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CONFIGURACIÓN DEL EVENTO DE RIESGO.</w:t>
      </w:r>
    </w:p>
    <w:p w14:paraId="5AA97508" w14:textId="77777777" w:rsidR="00911C69" w:rsidRPr="00264E65" w:rsidRDefault="00911C69" w:rsidP="00911C69">
      <w:pPr>
        <w:contextualSpacing/>
        <w:jc w:val="both"/>
        <w:rPr>
          <w:rFonts w:ascii="Verdana" w:hAnsi="Verdana" w:cs="Arial"/>
          <w:b/>
          <w:sz w:val="22"/>
          <w:szCs w:val="22"/>
        </w:rPr>
      </w:pPr>
    </w:p>
    <w:p w14:paraId="31FB8FD8"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A.  PAGO POR CONCEPTO DE CAPITALIZACIÓN DE LA EMPRESA EMSERCOTA S.A. E.S.P.</w:t>
      </w:r>
    </w:p>
    <w:p w14:paraId="1ACA2671" w14:textId="77777777" w:rsidR="00911C69" w:rsidRPr="00264E65" w:rsidRDefault="00911C69" w:rsidP="00911C69">
      <w:pPr>
        <w:contextualSpacing/>
        <w:jc w:val="both"/>
        <w:rPr>
          <w:rFonts w:ascii="Verdana" w:hAnsi="Verdana" w:cs="Arial"/>
          <w:b/>
          <w:sz w:val="22"/>
          <w:szCs w:val="22"/>
        </w:rPr>
      </w:pPr>
    </w:p>
    <w:p w14:paraId="58316FC7"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En el marco del reconocimiento realizado al Municipio de Cota – Cundinamarca, se encontró para la vigencia 2019, un pago por concepto de “</w:t>
      </w:r>
      <w:r w:rsidRPr="00264E65">
        <w:rPr>
          <w:rFonts w:ascii="Verdana" w:hAnsi="Verdana" w:cs="Arial"/>
          <w:i/>
          <w:iCs/>
          <w:sz w:val="22"/>
          <w:szCs w:val="22"/>
        </w:rPr>
        <w:t>Capitalización de acciones en la Empresa de Servicios Públicos de Cota EMSERCOTA S.A</w:t>
      </w:r>
      <w:r w:rsidRPr="00264E65">
        <w:rPr>
          <w:rFonts w:ascii="Verdana" w:hAnsi="Verdana" w:cs="Arial"/>
          <w:sz w:val="22"/>
          <w:szCs w:val="22"/>
        </w:rPr>
        <w:t>”. Al indagar por este, el Municipio hizo entrega del “</w:t>
      </w:r>
      <w:r w:rsidRPr="00264E65">
        <w:rPr>
          <w:rFonts w:ascii="Verdana" w:hAnsi="Verdana" w:cs="Arial"/>
          <w:i/>
          <w:iCs/>
          <w:sz w:val="22"/>
          <w:szCs w:val="22"/>
        </w:rPr>
        <w:t>Acta de Asamblea General Extraordinaria de Accionistas No. 003 de 2019</w:t>
      </w:r>
      <w:r w:rsidRPr="00264E65">
        <w:rPr>
          <w:rFonts w:ascii="Verdana" w:hAnsi="Verdana" w:cs="Arial"/>
          <w:sz w:val="22"/>
          <w:szCs w:val="22"/>
        </w:rPr>
        <w:t>” de EMSERCOTA S.A. E.S.P., la cual menciona que la Junta Directiva de la Empresa aprobó la propuesta de emisión de acciones e incremento del capital suscrito y pagado a $5.597 millones, para ser sometido a consideración y aprobación de la Junta General de Accionistas, pero que esta última modificó dicho valor a $3.857 millones, de los cuales, $3.512 millones fueron aportados por el Municipio y $345 millones por la Empresa.</w:t>
      </w:r>
    </w:p>
    <w:p w14:paraId="7B99FE01" w14:textId="77777777" w:rsidR="00911C69" w:rsidRPr="00264E65" w:rsidRDefault="00911C69" w:rsidP="00911C69">
      <w:pPr>
        <w:contextualSpacing/>
        <w:jc w:val="both"/>
        <w:rPr>
          <w:rFonts w:ascii="Verdana" w:hAnsi="Verdana" w:cs="Arial"/>
          <w:sz w:val="22"/>
          <w:szCs w:val="22"/>
        </w:rPr>
      </w:pPr>
    </w:p>
    <w:p w14:paraId="5DB26EF6" w14:textId="77777777" w:rsidR="00911C69" w:rsidRPr="00264E65" w:rsidRDefault="00911C69" w:rsidP="00911C69">
      <w:pPr>
        <w:autoSpaceDE w:val="0"/>
        <w:autoSpaceDN w:val="0"/>
        <w:adjustRightInd w:val="0"/>
        <w:contextualSpacing/>
        <w:jc w:val="both"/>
        <w:rPr>
          <w:rFonts w:ascii="Verdana" w:hAnsi="Verdana" w:cs="Arial"/>
          <w:sz w:val="22"/>
          <w:szCs w:val="22"/>
        </w:rPr>
      </w:pPr>
      <w:r w:rsidRPr="00264E65">
        <w:rPr>
          <w:rFonts w:ascii="Verdana" w:hAnsi="Verdana" w:cs="Arial"/>
          <w:sz w:val="22"/>
          <w:szCs w:val="22"/>
        </w:rPr>
        <w:t xml:space="preserve">De igual manera, la Entidad Territorial envió copia del certificado de disponibilidad presupuestal No. 2019000636 del 10 de junio de 2019 y el registro presupuestal No. 2019001305 del 14 de junio de 2019 de la mencionada capitalización, por medio de los cuales, se puede ver que el Municipio realizó un pago por valor de $530 millones con recursos de la Participación para Agua Potable y Saneamiento Básico del Sistema General de Participaciones, desatendiendo </w:t>
      </w:r>
      <w:r w:rsidRPr="00264E65">
        <w:rPr>
          <w:rFonts w:ascii="Verdana" w:eastAsia="Arial Narrow" w:hAnsi="Verdana" w:cs="Arial"/>
          <w:sz w:val="22"/>
          <w:szCs w:val="22"/>
        </w:rPr>
        <w:t>lo contenido en el artículo 11 de la Ley 1176 de 2007 relacionado con las destinaciones de los recursos correspondientes a dicha Participación, por lo tanto, se configura el riesgo asociado al cambio en la destinación de los recursos en virtud del numeral 4 del artículo 9 del Decreto 028 de 2008.</w:t>
      </w:r>
    </w:p>
    <w:p w14:paraId="2157C449" w14:textId="77777777" w:rsidR="00911C69" w:rsidRPr="00264E65" w:rsidRDefault="00911C69" w:rsidP="00911C69">
      <w:pPr>
        <w:contextualSpacing/>
        <w:jc w:val="both"/>
        <w:rPr>
          <w:rFonts w:ascii="Verdana" w:hAnsi="Verdana" w:cs="Arial"/>
          <w:sz w:val="22"/>
          <w:szCs w:val="22"/>
        </w:rPr>
      </w:pPr>
    </w:p>
    <w:p w14:paraId="3F11F418" w14:textId="77777777" w:rsidR="00911C69" w:rsidRPr="00264E65" w:rsidRDefault="00911C69" w:rsidP="00911C69">
      <w:pPr>
        <w:tabs>
          <w:tab w:val="left" w:pos="8460"/>
        </w:tabs>
        <w:contextualSpacing/>
        <w:jc w:val="both"/>
        <w:rPr>
          <w:rFonts w:ascii="Verdana" w:hAnsi="Verdana" w:cs="Arial"/>
          <w:b/>
          <w:sz w:val="22"/>
          <w:szCs w:val="22"/>
        </w:rPr>
      </w:pPr>
      <w:r w:rsidRPr="00264E65">
        <w:rPr>
          <w:rFonts w:ascii="Verdana" w:hAnsi="Verdana" w:cs="Arial"/>
          <w:b/>
          <w:sz w:val="22"/>
          <w:szCs w:val="22"/>
        </w:rPr>
        <w:lastRenderedPageBreak/>
        <w:t>EVIDENCIA:</w:t>
      </w:r>
    </w:p>
    <w:p w14:paraId="2ECE12D0" w14:textId="77777777" w:rsidR="00911C69" w:rsidRPr="00264E65" w:rsidRDefault="00911C69" w:rsidP="00911C69">
      <w:pPr>
        <w:tabs>
          <w:tab w:val="left" w:pos="8460"/>
        </w:tabs>
        <w:contextualSpacing/>
        <w:jc w:val="both"/>
        <w:rPr>
          <w:rFonts w:ascii="Verdana" w:hAnsi="Verdana" w:cs="Arial"/>
          <w:b/>
          <w:sz w:val="22"/>
          <w:szCs w:val="22"/>
        </w:rPr>
      </w:pPr>
    </w:p>
    <w:p w14:paraId="32B48417"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Obra en el expediente digital en el Sistema de Información Electrónica Documental – SIED del Ministerio de Hacienda y Crédito Público No. 12/2019/D028-PREDI el siguiente material probatorio:</w:t>
      </w:r>
    </w:p>
    <w:p w14:paraId="523C279E" w14:textId="77777777" w:rsidR="00911C69" w:rsidRPr="00264E65" w:rsidRDefault="00911C69" w:rsidP="00911C69">
      <w:pPr>
        <w:contextualSpacing/>
        <w:jc w:val="both"/>
        <w:rPr>
          <w:rFonts w:ascii="Verdana" w:hAnsi="Verdana" w:cs="Arial"/>
          <w:sz w:val="22"/>
          <w:szCs w:val="22"/>
        </w:rPr>
      </w:pPr>
    </w:p>
    <w:p w14:paraId="68C8BA41" w14:textId="77777777" w:rsidR="00911C69" w:rsidRPr="00264E65" w:rsidRDefault="00911C69" w:rsidP="00911C69">
      <w:pPr>
        <w:pStyle w:val="Prrafodelista"/>
        <w:numPr>
          <w:ilvl w:val="0"/>
          <w:numId w:val="8"/>
        </w:numPr>
        <w:jc w:val="both"/>
        <w:rPr>
          <w:rStyle w:val="Hipervnculo"/>
          <w:rFonts w:ascii="Verdana" w:hAnsi="Verdana" w:cs="Arial"/>
          <w:sz w:val="22"/>
          <w:szCs w:val="22"/>
          <w:lang w:val="en-US"/>
        </w:rPr>
      </w:pPr>
      <w:r w:rsidRPr="00264E65">
        <w:rPr>
          <w:rFonts w:ascii="Verdana" w:hAnsi="Verdana" w:cs="Arial"/>
          <w:sz w:val="22"/>
          <w:szCs w:val="22"/>
        </w:rPr>
        <w:t xml:space="preserve">Acta de Asamblea General Extraordinaria de Accionistas No. 003 de 2019 de EMSERCOTA S.A. E.S.P.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16" w:history="1">
        <w:r w:rsidRPr="00264E65">
          <w:rPr>
            <w:rStyle w:val="Hipervnculo"/>
            <w:rFonts w:ascii="Verdana" w:hAnsi="Verdana" w:cs="Arial"/>
            <w:sz w:val="22"/>
            <w:szCs w:val="22"/>
            <w:lang w:val="en-US" w:eastAsia="es-CO"/>
          </w:rPr>
          <w:t>https://bit.ly/3P0r8f3</w:t>
        </w:r>
      </w:hyperlink>
      <w:r w:rsidRPr="00264E65">
        <w:rPr>
          <w:rFonts w:ascii="Verdana" w:hAnsi="Verdana" w:cs="Arial"/>
          <w:sz w:val="22"/>
          <w:szCs w:val="22"/>
          <w:lang w:val="en-US" w:eastAsia="es-CO"/>
        </w:rPr>
        <w:t xml:space="preserve"> </w:t>
      </w:r>
    </w:p>
    <w:p w14:paraId="779E31FE" w14:textId="77777777" w:rsidR="00911C69" w:rsidRPr="00264E65" w:rsidRDefault="00911C69" w:rsidP="00911C69">
      <w:pPr>
        <w:pStyle w:val="Prrafodelista"/>
        <w:jc w:val="both"/>
        <w:rPr>
          <w:rStyle w:val="Hipervnculo"/>
          <w:rFonts w:ascii="Verdana" w:hAnsi="Verdana" w:cs="Arial"/>
          <w:sz w:val="22"/>
          <w:szCs w:val="22"/>
          <w:lang w:val="en-US"/>
        </w:rPr>
      </w:pPr>
    </w:p>
    <w:p w14:paraId="0AF0CA13"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n-US"/>
        </w:rPr>
      </w:pPr>
      <w:r w:rsidRPr="00264E65">
        <w:rPr>
          <w:rFonts w:ascii="Verdana" w:hAnsi="Verdana" w:cs="Arial"/>
          <w:sz w:val="22"/>
          <w:szCs w:val="22"/>
        </w:rPr>
        <w:t xml:space="preserve">CDP No. 2019000636 del 10 de junio de 2019 y RP No. 2019001305 del 14 de junio de 2019 con objeto: capitalización de acciones en la Empresa de Servicios Públicos de Cota EMSERCOTA S.A.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bookmarkStart w:id="7" w:name="_Hlk54792586"/>
      <w:r w:rsidRPr="00264E65">
        <w:rPr>
          <w:rFonts w:ascii="Verdana" w:hAnsi="Verdana" w:cs="Arial"/>
          <w:sz w:val="22"/>
          <w:szCs w:val="22"/>
          <w:lang w:val="en-US" w:eastAsia="es-CO"/>
        </w:rPr>
        <w:fldChar w:fldCharType="begin"/>
      </w:r>
      <w:r w:rsidRPr="00264E65">
        <w:rPr>
          <w:rFonts w:ascii="Verdana" w:hAnsi="Verdana" w:cs="Arial"/>
          <w:sz w:val="22"/>
          <w:szCs w:val="22"/>
          <w:lang w:val="en-US" w:eastAsia="es-CO"/>
        </w:rPr>
        <w:instrText xml:space="preserve"> HYPERLINK "https://bit.ly/3NIy8wn" </w:instrText>
      </w:r>
      <w:r w:rsidRPr="00264E65">
        <w:rPr>
          <w:rFonts w:ascii="Verdana" w:hAnsi="Verdana" w:cs="Arial"/>
          <w:sz w:val="22"/>
          <w:szCs w:val="22"/>
          <w:lang w:val="en-US" w:eastAsia="es-CO"/>
        </w:rPr>
      </w:r>
      <w:r w:rsidRPr="00264E65">
        <w:rPr>
          <w:rFonts w:ascii="Verdana" w:hAnsi="Verdana" w:cs="Arial"/>
          <w:sz w:val="22"/>
          <w:szCs w:val="22"/>
          <w:lang w:val="en-US" w:eastAsia="es-CO"/>
        </w:rPr>
        <w:fldChar w:fldCharType="separate"/>
      </w:r>
      <w:r w:rsidRPr="00264E65">
        <w:rPr>
          <w:rStyle w:val="Hipervnculo"/>
          <w:rFonts w:ascii="Verdana" w:hAnsi="Verdana" w:cs="Arial"/>
          <w:sz w:val="22"/>
          <w:szCs w:val="22"/>
          <w:lang w:val="en-US" w:eastAsia="es-CO"/>
        </w:rPr>
        <w:t>https://bit.ly/3NIy8wn</w:t>
      </w:r>
      <w:r w:rsidRPr="00264E65">
        <w:rPr>
          <w:rFonts w:ascii="Verdana" w:hAnsi="Verdana" w:cs="Arial"/>
          <w:sz w:val="22"/>
          <w:szCs w:val="22"/>
          <w:lang w:val="en-US" w:eastAsia="es-CO"/>
        </w:rPr>
        <w:fldChar w:fldCharType="end"/>
      </w:r>
      <w:r w:rsidRPr="00264E65">
        <w:rPr>
          <w:rFonts w:ascii="Verdana" w:hAnsi="Verdana" w:cs="Arial"/>
          <w:sz w:val="22"/>
          <w:szCs w:val="22"/>
          <w:lang w:val="en-US" w:eastAsia="es-CO"/>
        </w:rPr>
        <w:t xml:space="preserve"> </w:t>
      </w:r>
    </w:p>
    <w:p w14:paraId="5284E47D" w14:textId="77777777" w:rsidR="00911C69" w:rsidRPr="00264E65" w:rsidRDefault="00911C69" w:rsidP="00911C69">
      <w:pPr>
        <w:jc w:val="both"/>
        <w:rPr>
          <w:rStyle w:val="Hipervnculo"/>
          <w:rFonts w:ascii="Verdana" w:hAnsi="Verdana" w:cs="Arial"/>
          <w:sz w:val="22"/>
          <w:szCs w:val="22"/>
          <w:lang w:val="en-US"/>
        </w:rPr>
      </w:pPr>
    </w:p>
    <w:p w14:paraId="4F3E61FB" w14:textId="77777777" w:rsidR="00911C69" w:rsidRPr="00264E65" w:rsidRDefault="00911C69" w:rsidP="00911C69">
      <w:pPr>
        <w:jc w:val="both"/>
        <w:rPr>
          <w:rFonts w:ascii="Verdana" w:hAnsi="Verdana" w:cs="Arial"/>
          <w:b/>
          <w:color w:val="000000" w:themeColor="text1"/>
          <w:sz w:val="22"/>
          <w:szCs w:val="22"/>
          <w:lang w:val="es-CO" w:eastAsia="en-US"/>
        </w:rPr>
      </w:pPr>
      <w:r w:rsidRPr="00264E65">
        <w:rPr>
          <w:rFonts w:ascii="Verdana" w:hAnsi="Verdana" w:cs="Arial"/>
          <w:b/>
          <w:color w:val="000000" w:themeColor="text1"/>
          <w:sz w:val="22"/>
          <w:szCs w:val="22"/>
          <w:lang w:val="es-CO" w:eastAsia="en-US"/>
        </w:rPr>
        <w:t xml:space="preserve">B. SUBSIDIOS CONEXIONES DOMICILIARIAS </w:t>
      </w:r>
    </w:p>
    <w:p w14:paraId="2741BA78" w14:textId="77777777" w:rsidR="00911C69" w:rsidRPr="00264E65" w:rsidRDefault="00911C69" w:rsidP="00911C69">
      <w:pPr>
        <w:jc w:val="both"/>
        <w:rPr>
          <w:rFonts w:ascii="Verdana" w:hAnsi="Verdana" w:cs="Arial"/>
          <w:b/>
          <w:color w:val="000000" w:themeColor="text1"/>
          <w:sz w:val="22"/>
          <w:szCs w:val="22"/>
          <w:lang w:val="es-CO" w:eastAsia="en-US"/>
        </w:rPr>
      </w:pPr>
    </w:p>
    <w:p w14:paraId="1F9B50BB" w14:textId="77777777" w:rsidR="00911C69" w:rsidRPr="00264E65" w:rsidRDefault="00911C69" w:rsidP="00911C69">
      <w:pPr>
        <w:jc w:val="both"/>
        <w:rPr>
          <w:rFonts w:ascii="Verdana" w:hAnsi="Verdana" w:cs="Arial"/>
          <w:bCs/>
          <w:i/>
          <w:iCs/>
          <w:color w:val="000000" w:themeColor="text1"/>
          <w:sz w:val="22"/>
          <w:szCs w:val="22"/>
          <w:lang w:val="es-419" w:eastAsia="en-US"/>
        </w:rPr>
      </w:pPr>
      <w:r w:rsidRPr="00264E65">
        <w:rPr>
          <w:rFonts w:ascii="Verdana" w:hAnsi="Verdana" w:cs="Arial"/>
          <w:bCs/>
          <w:color w:val="000000" w:themeColor="text1"/>
          <w:sz w:val="22"/>
          <w:szCs w:val="22"/>
          <w:lang w:val="es-CO" w:eastAsia="en-US"/>
        </w:rPr>
        <w:t xml:space="preserve">Según lo reglamentado en el artículo 3° del Decreto 574 de 2022 del Ministerio de Vivienda, Ciudad y Territorio, las conexiones domiciliarias de acueducto y alcantarillado corresponden a: </w:t>
      </w:r>
      <w:proofErr w:type="gramStart"/>
      <w:r w:rsidRPr="00264E65">
        <w:rPr>
          <w:rFonts w:ascii="Verdana" w:hAnsi="Verdana" w:cs="Arial"/>
          <w:bCs/>
          <w:i/>
          <w:iCs/>
          <w:color w:val="000000" w:themeColor="text1"/>
          <w:sz w:val="22"/>
          <w:szCs w:val="22"/>
          <w:lang w:val="es-CO" w:eastAsia="en-US"/>
        </w:rPr>
        <w:t>“ (</w:t>
      </w:r>
      <w:proofErr w:type="gramEnd"/>
      <w:r w:rsidRPr="00264E65">
        <w:rPr>
          <w:rFonts w:ascii="Verdana" w:hAnsi="Verdana" w:cs="Arial"/>
          <w:bCs/>
          <w:i/>
          <w:iCs/>
          <w:color w:val="000000" w:themeColor="text1"/>
          <w:sz w:val="22"/>
          <w:szCs w:val="22"/>
          <w:lang w:val="es-CO" w:eastAsia="en-US"/>
        </w:rPr>
        <w:t xml:space="preserve">…) </w:t>
      </w:r>
      <w:r w:rsidRPr="00264E65">
        <w:rPr>
          <w:rFonts w:ascii="Verdana" w:hAnsi="Verdana" w:cs="Arial"/>
          <w:b/>
          <w:i/>
          <w:iCs/>
          <w:color w:val="000000" w:themeColor="text1"/>
          <w:sz w:val="22"/>
          <w:szCs w:val="22"/>
          <w:lang w:val="es-CO" w:eastAsia="en-US"/>
        </w:rPr>
        <w:t>3.1.</w:t>
      </w:r>
      <w:r w:rsidRPr="00264E65">
        <w:rPr>
          <w:rFonts w:ascii="Verdana" w:hAnsi="Verdana" w:cs="Arial"/>
          <w:bCs/>
          <w:i/>
          <w:iCs/>
          <w:color w:val="000000" w:themeColor="text1"/>
          <w:sz w:val="22"/>
          <w:szCs w:val="22"/>
          <w:lang w:val="es-CO" w:eastAsia="en-US"/>
        </w:rPr>
        <w:t xml:space="preserve"> </w:t>
      </w:r>
      <w:r w:rsidRPr="00264E65">
        <w:rPr>
          <w:rFonts w:ascii="Verdana" w:hAnsi="Verdana" w:cs="Arial"/>
          <w:b/>
          <w:bCs/>
          <w:i/>
          <w:iCs/>
          <w:color w:val="000000" w:themeColor="text1"/>
          <w:sz w:val="22"/>
          <w:szCs w:val="22"/>
          <w:lang w:val="es-419" w:eastAsia="en-US"/>
        </w:rPr>
        <w:t>Conexión domiciliaria de acueducto: </w:t>
      </w:r>
      <w:r w:rsidRPr="00264E65">
        <w:rPr>
          <w:rFonts w:ascii="Verdana" w:hAnsi="Verdana" w:cs="Arial"/>
          <w:bCs/>
          <w:i/>
          <w:iCs/>
          <w:color w:val="000000" w:themeColor="text1"/>
          <w:sz w:val="22"/>
          <w:szCs w:val="22"/>
          <w:lang w:val="es-419" w:eastAsia="en-US"/>
        </w:rPr>
        <w:t>Comprende la acometida de acueducto del inmueble, constituida por la derivación de la red de distribución que se conecta al registro de corte en el inmueble. Incluye el medidor y su cajilla.</w:t>
      </w:r>
    </w:p>
    <w:p w14:paraId="2474E62F" w14:textId="77777777" w:rsidR="00911C69" w:rsidRPr="00264E65" w:rsidRDefault="00911C69" w:rsidP="00911C69">
      <w:pPr>
        <w:jc w:val="both"/>
        <w:rPr>
          <w:rFonts w:ascii="Verdana" w:hAnsi="Verdana" w:cs="Arial"/>
          <w:bCs/>
          <w:i/>
          <w:iCs/>
          <w:color w:val="000000" w:themeColor="text1"/>
          <w:sz w:val="22"/>
          <w:szCs w:val="22"/>
          <w:lang w:val="es-419" w:eastAsia="en-US"/>
        </w:rPr>
      </w:pPr>
    </w:p>
    <w:p w14:paraId="33AF6128" w14:textId="77777777" w:rsidR="00911C69" w:rsidRPr="00264E65" w:rsidRDefault="00911C69" w:rsidP="00911C69">
      <w:pPr>
        <w:jc w:val="both"/>
        <w:rPr>
          <w:rFonts w:ascii="Verdana" w:hAnsi="Verdana" w:cs="Arial"/>
          <w:bCs/>
          <w:i/>
          <w:iCs/>
          <w:color w:val="000000" w:themeColor="text1"/>
          <w:sz w:val="22"/>
          <w:szCs w:val="22"/>
          <w:lang w:val="es-419" w:eastAsia="en-US"/>
        </w:rPr>
      </w:pPr>
      <w:r w:rsidRPr="00264E65">
        <w:rPr>
          <w:rFonts w:ascii="Verdana" w:hAnsi="Verdana" w:cs="Arial"/>
          <w:b/>
          <w:bCs/>
          <w:i/>
          <w:iCs/>
          <w:color w:val="000000" w:themeColor="text1"/>
          <w:sz w:val="22"/>
          <w:szCs w:val="22"/>
          <w:lang w:val="es-419" w:eastAsia="en-US"/>
        </w:rPr>
        <w:t>3.2. Conexión domiciliaria de alcantarillado: </w:t>
      </w:r>
      <w:r w:rsidRPr="00264E65">
        <w:rPr>
          <w:rFonts w:ascii="Verdana" w:hAnsi="Verdana" w:cs="Arial"/>
          <w:bCs/>
          <w:i/>
          <w:iCs/>
          <w:color w:val="000000" w:themeColor="text1"/>
          <w:sz w:val="22"/>
          <w:szCs w:val="22"/>
          <w:lang w:val="es-419" w:eastAsia="en-US"/>
        </w:rPr>
        <w:t>Comprende la acometida de alcantarillado del inmueble, constituida por la derivación que parte de la caja de inspección domiciliaria y llega hasta la red secundaria de alcantarillado o al colector. Incluye la caja de inspección domiciliaria.”</w:t>
      </w:r>
    </w:p>
    <w:p w14:paraId="6A2F0B54" w14:textId="77777777" w:rsidR="00911C69" w:rsidRPr="00264E65" w:rsidRDefault="00911C69" w:rsidP="00911C69">
      <w:pPr>
        <w:jc w:val="both"/>
        <w:rPr>
          <w:rFonts w:ascii="Verdana" w:hAnsi="Verdana" w:cs="Arial"/>
          <w:bCs/>
          <w:i/>
          <w:iCs/>
          <w:color w:val="000000" w:themeColor="text1"/>
          <w:sz w:val="22"/>
          <w:szCs w:val="22"/>
          <w:lang w:val="es-419" w:eastAsia="en-US"/>
        </w:rPr>
      </w:pPr>
    </w:p>
    <w:p w14:paraId="29D28084" w14:textId="77777777" w:rsidR="00911C69" w:rsidRPr="00264E65" w:rsidRDefault="00911C69" w:rsidP="00911C69">
      <w:pPr>
        <w:jc w:val="both"/>
        <w:rPr>
          <w:rFonts w:ascii="Verdana" w:hAnsi="Verdana" w:cs="Arial"/>
          <w:i/>
          <w:iCs/>
          <w:color w:val="000000" w:themeColor="text1"/>
          <w:sz w:val="22"/>
          <w:szCs w:val="22"/>
          <w:lang w:val="es-CO" w:eastAsia="en-US"/>
        </w:rPr>
      </w:pPr>
      <w:r w:rsidRPr="00264E65">
        <w:rPr>
          <w:rFonts w:ascii="Verdana" w:hAnsi="Verdana" w:cs="Arial"/>
          <w:bCs/>
          <w:color w:val="000000" w:themeColor="text1"/>
          <w:sz w:val="22"/>
          <w:szCs w:val="22"/>
          <w:lang w:val="es-CO" w:eastAsia="en-US"/>
        </w:rPr>
        <w:t xml:space="preserve">Igualmente, conforme a lo establecido en el artículo 1 del </w:t>
      </w:r>
      <w:r w:rsidRPr="00264E65">
        <w:rPr>
          <w:rFonts w:ascii="Verdana" w:hAnsi="Verdana" w:cs="Arial"/>
          <w:color w:val="000000" w:themeColor="text1"/>
          <w:sz w:val="22"/>
          <w:szCs w:val="22"/>
          <w:lang w:val="es-CO" w:eastAsia="en-US"/>
        </w:rPr>
        <w:t>Decreto 229 de 2002, el cual modificó el artículo 3 del Decreto 302 de 2000, la acometida de acueducto y alcantarillado se entiende como</w:t>
      </w:r>
      <w:r w:rsidRPr="00264E65">
        <w:rPr>
          <w:rFonts w:ascii="Verdana" w:hAnsi="Verdana" w:cs="Arial"/>
          <w:i/>
          <w:iCs/>
          <w:color w:val="000000" w:themeColor="text1"/>
          <w:sz w:val="22"/>
          <w:szCs w:val="22"/>
          <w:lang w:val="es-CO" w:eastAsia="en-US"/>
        </w:rPr>
        <w:t xml:space="preserve">: “(…) </w:t>
      </w:r>
      <w:r w:rsidRPr="00264E65">
        <w:rPr>
          <w:rFonts w:ascii="Verdana" w:hAnsi="Verdana" w:cs="Arial"/>
          <w:b/>
          <w:bCs/>
          <w:i/>
          <w:iCs/>
          <w:color w:val="000000" w:themeColor="text1"/>
          <w:sz w:val="22"/>
          <w:szCs w:val="22"/>
          <w:lang w:val="es-CO" w:eastAsia="en-US"/>
        </w:rPr>
        <w:t>3.1. Acometida de acueducto.</w:t>
      </w:r>
      <w:r w:rsidRPr="00264E65">
        <w:rPr>
          <w:rFonts w:ascii="Verdana" w:hAnsi="Verdana" w:cs="Arial"/>
          <w:i/>
          <w:iCs/>
          <w:color w:val="000000" w:themeColor="text1"/>
          <w:sz w:val="22"/>
          <w:szCs w:val="22"/>
          <w:lang w:val="es-CO" w:eastAsia="en-US"/>
        </w:rPr>
        <w:t xml:space="preserve"> Derivación de la red de distribución que se conecta al registro de corte en el inmueble. En edificios de propiedad horizontal o condominios la acometida llega hasta el registro de corte general, incluido éste.</w:t>
      </w:r>
    </w:p>
    <w:p w14:paraId="0B990A1E" w14:textId="77777777" w:rsidR="00911C69" w:rsidRPr="00264E65" w:rsidRDefault="00911C69" w:rsidP="00911C69">
      <w:pPr>
        <w:jc w:val="both"/>
        <w:rPr>
          <w:rFonts w:ascii="Verdana" w:hAnsi="Verdana" w:cs="Arial"/>
          <w:bCs/>
          <w:i/>
          <w:iCs/>
          <w:color w:val="000000" w:themeColor="text1"/>
          <w:sz w:val="22"/>
          <w:szCs w:val="22"/>
          <w:lang w:val="es-CO" w:eastAsia="en-US"/>
        </w:rPr>
      </w:pPr>
    </w:p>
    <w:p w14:paraId="0925E34A" w14:textId="77777777" w:rsidR="00911C69" w:rsidRPr="00264E65" w:rsidRDefault="00911C69" w:rsidP="00911C69">
      <w:pPr>
        <w:spacing w:after="160" w:line="259" w:lineRule="auto"/>
        <w:jc w:val="both"/>
        <w:rPr>
          <w:rFonts w:ascii="Verdana" w:hAnsi="Verdana" w:cs="Arial"/>
          <w:i/>
          <w:iCs/>
          <w:color w:val="000000" w:themeColor="text1"/>
          <w:sz w:val="22"/>
          <w:szCs w:val="22"/>
          <w:lang w:val="es-CO" w:eastAsia="en-US"/>
        </w:rPr>
      </w:pPr>
      <w:r w:rsidRPr="00264E65">
        <w:rPr>
          <w:rFonts w:ascii="Verdana" w:hAnsi="Verdana" w:cs="Arial"/>
          <w:b/>
          <w:bCs/>
          <w:i/>
          <w:iCs/>
          <w:color w:val="000000" w:themeColor="text1"/>
          <w:sz w:val="22"/>
          <w:szCs w:val="22"/>
          <w:lang w:val="es-CO" w:eastAsia="en-US"/>
        </w:rPr>
        <w:t>3.2. Acometida de alcantarillado.</w:t>
      </w:r>
      <w:r w:rsidRPr="00264E65">
        <w:rPr>
          <w:rFonts w:ascii="Verdana" w:hAnsi="Verdana" w:cs="Arial"/>
          <w:i/>
          <w:iCs/>
          <w:color w:val="000000" w:themeColor="text1"/>
          <w:sz w:val="22"/>
          <w:szCs w:val="22"/>
          <w:lang w:val="es-CO" w:eastAsia="en-US"/>
        </w:rPr>
        <w:t xml:space="preserve"> Derivación que parte de la caja de inspección domiciliaria y, llega hasta la red secundaria de alcantarillado o al colector.”</w:t>
      </w:r>
    </w:p>
    <w:p w14:paraId="0D8D3ED0" w14:textId="77777777" w:rsidR="00911C69" w:rsidRPr="00264E65" w:rsidRDefault="00911C69" w:rsidP="00911C69">
      <w:pPr>
        <w:spacing w:after="160" w:line="259" w:lineRule="auto"/>
        <w:jc w:val="both"/>
        <w:rPr>
          <w:rFonts w:ascii="Verdana" w:hAnsi="Verdana" w:cs="Arial"/>
          <w:color w:val="000000" w:themeColor="text1"/>
          <w:sz w:val="22"/>
          <w:szCs w:val="22"/>
          <w:lang w:val="es-CO" w:eastAsia="en-US"/>
        </w:rPr>
      </w:pPr>
      <w:r w:rsidRPr="00264E65">
        <w:rPr>
          <w:rFonts w:ascii="Verdana" w:hAnsi="Verdana" w:cs="Arial"/>
          <w:color w:val="000000" w:themeColor="text1"/>
          <w:sz w:val="22"/>
          <w:szCs w:val="22"/>
          <w:lang w:val="es-CO" w:eastAsia="en-US"/>
        </w:rPr>
        <w:t xml:space="preserve">Adicionalmente, el inciso segundo del artículo 97 de la Ley 142 de 1994, señaló que: “(...) </w:t>
      </w:r>
      <w:r w:rsidRPr="00264E65">
        <w:rPr>
          <w:rFonts w:ascii="Verdana" w:hAnsi="Verdana" w:cs="Arial"/>
          <w:i/>
          <w:iCs/>
          <w:color w:val="000000" w:themeColor="text1"/>
          <w:sz w:val="22"/>
          <w:szCs w:val="22"/>
          <w:lang w:val="es-CO" w:eastAsia="en-US"/>
        </w:rPr>
        <w:t>los costos de conexión domiciliaria, acometida y medidor de los estratos 1, 2 y 3 podrán ser cubiertos por el municipio, el departamento o la nación a través de aportes presupuéstales para financiar los subsidios otorgados a los residentes de estos estratos que se beneficien con el servicio, se aplicarán los plazos establecidos en el inciso anterior, los cuales, para los estratos 1, 2 y 3, por ningún motivo serán inferiores a tres (3) años, salvo por renuncia expresa del usuario.”</w:t>
      </w:r>
    </w:p>
    <w:p w14:paraId="7EAF7C7D" w14:textId="77777777" w:rsidR="00911C69" w:rsidRPr="00264E65" w:rsidRDefault="00911C69" w:rsidP="00911C69">
      <w:pPr>
        <w:spacing w:after="160" w:line="259" w:lineRule="auto"/>
        <w:jc w:val="both"/>
        <w:rPr>
          <w:rFonts w:ascii="Verdana" w:hAnsi="Verdana" w:cs="Arial"/>
          <w:color w:val="000000" w:themeColor="text1"/>
          <w:sz w:val="22"/>
          <w:szCs w:val="22"/>
          <w:lang w:val="es-CO" w:eastAsia="en-US"/>
        </w:rPr>
      </w:pPr>
      <w:r w:rsidRPr="00264E65">
        <w:rPr>
          <w:rFonts w:ascii="Verdana" w:hAnsi="Verdana" w:cs="Arial"/>
          <w:color w:val="000000" w:themeColor="text1"/>
          <w:sz w:val="22"/>
          <w:szCs w:val="22"/>
          <w:lang w:val="es-CO" w:eastAsia="en-US"/>
        </w:rPr>
        <w:t xml:space="preserve">Así mismo, el Ministerio de Vivienda, Ciudad y Territorio en su Guía de orientaciones denominada </w:t>
      </w:r>
      <w:r w:rsidRPr="00264E65">
        <w:rPr>
          <w:rFonts w:ascii="Verdana" w:hAnsi="Verdana" w:cs="Arial"/>
          <w:i/>
          <w:iCs/>
          <w:color w:val="000000" w:themeColor="text1"/>
          <w:sz w:val="22"/>
          <w:szCs w:val="22"/>
          <w:lang w:val="es-CO" w:eastAsia="en-US"/>
        </w:rPr>
        <w:t>“Uso de los recursos del Sistema General de Participaciones en Agua Potable y Saneamiento Básico”</w:t>
      </w:r>
      <w:r w:rsidRPr="00264E65">
        <w:rPr>
          <w:rFonts w:ascii="Verdana" w:hAnsi="Verdana" w:cs="Arial"/>
          <w:color w:val="000000" w:themeColor="text1"/>
          <w:sz w:val="22"/>
          <w:szCs w:val="22"/>
          <w:lang w:val="es-CO" w:eastAsia="en-US"/>
        </w:rPr>
        <w:t xml:space="preserve"> de enero de 2020, recuerda que la compra e instalación de micromedidores se puede realizar por una sola vez de acuerdo con lo señalado en el artículo 97 de la Ley 142 de 1994.</w:t>
      </w:r>
    </w:p>
    <w:p w14:paraId="2D47B9D4" w14:textId="77777777" w:rsidR="00911C69" w:rsidRPr="00264E65" w:rsidRDefault="00911C69" w:rsidP="00911C69">
      <w:pPr>
        <w:spacing w:after="160" w:line="259" w:lineRule="auto"/>
        <w:jc w:val="both"/>
        <w:rPr>
          <w:rFonts w:ascii="Verdana" w:hAnsi="Verdana" w:cs="Arial"/>
          <w:color w:val="000000" w:themeColor="text1"/>
          <w:sz w:val="22"/>
          <w:szCs w:val="22"/>
          <w:lang w:val="es-CO" w:eastAsia="en-US"/>
        </w:rPr>
      </w:pPr>
      <w:r w:rsidRPr="00264E65">
        <w:rPr>
          <w:rFonts w:ascii="Verdana" w:hAnsi="Verdana" w:cs="Arial"/>
          <w:color w:val="000000" w:themeColor="text1"/>
          <w:sz w:val="22"/>
          <w:szCs w:val="22"/>
        </w:rPr>
        <w:t xml:space="preserve">En este orden de ideas, si bien </w:t>
      </w:r>
      <w:r w:rsidRPr="00264E65">
        <w:rPr>
          <w:rFonts w:ascii="Verdana" w:hAnsi="Verdana" w:cs="Arial"/>
          <w:color w:val="000000" w:themeColor="text1"/>
          <w:sz w:val="22"/>
          <w:szCs w:val="22"/>
          <w:lang w:val="es-CO" w:eastAsia="en-US"/>
        </w:rPr>
        <w:t>la Ley 142 de 1994</w:t>
      </w:r>
      <w:r w:rsidRPr="00264E65">
        <w:rPr>
          <w:rFonts w:ascii="Verdana" w:hAnsi="Verdana" w:cs="Arial"/>
          <w:color w:val="000000" w:themeColor="text1"/>
          <w:sz w:val="22"/>
          <w:szCs w:val="22"/>
        </w:rPr>
        <w:t xml:space="preserve"> permitió </w:t>
      </w:r>
      <w:r w:rsidRPr="00264E65">
        <w:rPr>
          <w:rFonts w:ascii="Verdana" w:hAnsi="Verdana" w:cs="Arial"/>
          <w:color w:val="000000" w:themeColor="text1"/>
          <w:sz w:val="22"/>
          <w:szCs w:val="22"/>
          <w:lang w:val="es-CO" w:eastAsia="en-US"/>
        </w:rPr>
        <w:t xml:space="preserve">el subsidio por parte de la entidad territorial con cargo al presupuesto municipal del aporte por conexión por una sola vez, la Ley 1176 de 2007 limitó el uso de la fuente (SGP-APSB) únicamente para el pago de micromedidor en el marco de un programa de </w:t>
      </w:r>
      <w:proofErr w:type="spellStart"/>
      <w:r w:rsidRPr="00264E65">
        <w:rPr>
          <w:rFonts w:ascii="Verdana" w:hAnsi="Verdana" w:cs="Arial"/>
          <w:color w:val="000000" w:themeColor="text1"/>
          <w:sz w:val="22"/>
          <w:szCs w:val="22"/>
          <w:lang w:val="es-CO" w:eastAsia="en-US"/>
        </w:rPr>
        <w:t>micromedición</w:t>
      </w:r>
      <w:proofErr w:type="spellEnd"/>
      <w:r w:rsidRPr="00264E65">
        <w:rPr>
          <w:rFonts w:ascii="Verdana" w:hAnsi="Verdana" w:cs="Arial"/>
          <w:color w:val="000000" w:themeColor="text1"/>
          <w:sz w:val="22"/>
          <w:szCs w:val="22"/>
          <w:lang w:val="es-CO" w:eastAsia="en-US"/>
        </w:rPr>
        <w:t>, teniendo en cuenta varias consideraciones, entre las que se encuentra que la compra e instalación de micromedidores sea por primera vez para los estratos subsidiables de conformidad con lo señalado en el artículo 97 de la Ley 142 de 1994, siempre y cuando la continuidad del servicio de acueducto garantice su funcionamiento y se cumpla con las características técnicas establecidas en la reglamentación para su instalación.</w:t>
      </w:r>
    </w:p>
    <w:p w14:paraId="33B0BB94" w14:textId="77777777" w:rsidR="00911C69" w:rsidRPr="00264E65" w:rsidRDefault="00911C69" w:rsidP="00911C69">
      <w:pPr>
        <w:jc w:val="both"/>
        <w:rPr>
          <w:rFonts w:ascii="Verdana" w:hAnsi="Verdana" w:cs="Arial"/>
          <w:bCs/>
          <w:color w:val="000000" w:themeColor="text1"/>
          <w:sz w:val="22"/>
          <w:szCs w:val="22"/>
          <w:lang w:val="es-419" w:eastAsia="en-US"/>
        </w:rPr>
      </w:pPr>
      <w:r w:rsidRPr="00264E65">
        <w:rPr>
          <w:rFonts w:ascii="Verdana" w:hAnsi="Verdana" w:cs="Arial"/>
          <w:bCs/>
          <w:color w:val="000000" w:themeColor="text1"/>
          <w:sz w:val="22"/>
          <w:szCs w:val="22"/>
          <w:lang w:val="es-CO" w:eastAsia="en-US"/>
        </w:rPr>
        <w:t xml:space="preserve">Por otra parte, entre la información entregada por el Municipio de Cota – Cundinamarca en el marco del reconocimiento se encontró el Convenio No. 747 del 9 de abril de 2019, cuyo objeto es la </w:t>
      </w:r>
      <w:r w:rsidRPr="00264E65">
        <w:rPr>
          <w:rFonts w:ascii="Verdana" w:hAnsi="Verdana" w:cs="Arial"/>
          <w:bCs/>
          <w:i/>
          <w:iCs/>
          <w:color w:val="000000" w:themeColor="text1"/>
          <w:sz w:val="22"/>
          <w:szCs w:val="22"/>
          <w:lang w:val="es-419" w:eastAsia="en-US"/>
        </w:rPr>
        <w:t xml:space="preserve">“Transferencia de los recursos del Municipio de Cota – Cundinamarca a la Empresa de Servicios Públicos de Cota EMSERCOTA S.A. E.S.P., con desembolso de los recursos que se apropien, destinados a subsidiar las conexiones domiciliarias del Servicio de Aseo, Acueducto y Alcantarillado en la cabecera municipal – Fase II”, </w:t>
      </w:r>
      <w:r w:rsidRPr="00264E65">
        <w:rPr>
          <w:rFonts w:ascii="Verdana" w:hAnsi="Verdana" w:cs="Arial"/>
          <w:bCs/>
          <w:color w:val="000000" w:themeColor="text1"/>
          <w:sz w:val="22"/>
          <w:szCs w:val="22"/>
          <w:lang w:val="es-419" w:eastAsia="en-US"/>
        </w:rPr>
        <w:t>por valor de</w:t>
      </w:r>
      <w:r w:rsidRPr="00264E65">
        <w:rPr>
          <w:rFonts w:ascii="Verdana" w:hAnsi="Verdana" w:cs="Arial"/>
          <w:bCs/>
          <w:i/>
          <w:iCs/>
          <w:color w:val="000000" w:themeColor="text1"/>
          <w:sz w:val="22"/>
          <w:szCs w:val="22"/>
          <w:lang w:val="es-419" w:eastAsia="en-US"/>
        </w:rPr>
        <w:t xml:space="preserve"> </w:t>
      </w:r>
      <w:r w:rsidRPr="00264E65">
        <w:rPr>
          <w:rFonts w:ascii="Verdana" w:hAnsi="Verdana" w:cs="Arial"/>
          <w:bCs/>
          <w:color w:val="000000" w:themeColor="text1"/>
          <w:sz w:val="22"/>
          <w:szCs w:val="22"/>
          <w:lang w:val="es-419" w:eastAsia="en-US"/>
        </w:rPr>
        <w:t xml:space="preserve">$9.953 millones, de los cuales $25 millones correspondieron a recursos del SGP – APSB (Según </w:t>
      </w:r>
      <w:r w:rsidRPr="00264E65">
        <w:rPr>
          <w:rFonts w:ascii="Verdana" w:hAnsi="Verdana" w:cs="Arial"/>
          <w:sz w:val="22"/>
          <w:szCs w:val="22"/>
        </w:rPr>
        <w:t xml:space="preserve">certificado de disponibilidad presupuestal No. </w:t>
      </w:r>
      <w:r w:rsidRPr="00264E65">
        <w:rPr>
          <w:rFonts w:ascii="Verdana" w:hAnsi="Verdana" w:cs="Arial"/>
          <w:sz w:val="22"/>
          <w:szCs w:val="22"/>
          <w:lang w:val="es-419"/>
        </w:rPr>
        <w:t>2019000536</w:t>
      </w:r>
      <w:r w:rsidRPr="00264E65">
        <w:rPr>
          <w:rFonts w:ascii="Verdana" w:hAnsi="Verdana" w:cs="Arial"/>
          <w:sz w:val="22"/>
          <w:szCs w:val="22"/>
        </w:rPr>
        <w:t xml:space="preserve"> del 3 de abril de 2019 y el registro presupuestal No. </w:t>
      </w:r>
      <w:r w:rsidRPr="00264E65">
        <w:rPr>
          <w:rFonts w:ascii="Verdana" w:hAnsi="Verdana" w:cs="Arial"/>
          <w:sz w:val="22"/>
          <w:szCs w:val="22"/>
          <w:lang w:val="es-419"/>
        </w:rPr>
        <w:t>2019000932</w:t>
      </w:r>
      <w:r w:rsidRPr="00264E65">
        <w:rPr>
          <w:rFonts w:ascii="Verdana" w:hAnsi="Verdana" w:cs="Arial"/>
          <w:sz w:val="22"/>
          <w:szCs w:val="22"/>
        </w:rPr>
        <w:t xml:space="preserve"> del 10 de abril de 2019)</w:t>
      </w:r>
      <w:r w:rsidRPr="00264E65">
        <w:rPr>
          <w:rFonts w:ascii="Verdana" w:hAnsi="Verdana" w:cs="Arial"/>
          <w:bCs/>
          <w:color w:val="000000" w:themeColor="text1"/>
          <w:sz w:val="22"/>
          <w:szCs w:val="22"/>
          <w:lang w:val="es-419" w:eastAsia="en-US"/>
        </w:rPr>
        <w:t xml:space="preserve">. Dicho convenio tuvo una adición suscrita el 20 de septiembre de 2021 por $4.975 millones, de los cuales $37 correspondieron a la Participación para APSB del SGP (Según </w:t>
      </w:r>
      <w:r w:rsidRPr="00264E65">
        <w:rPr>
          <w:rFonts w:ascii="Verdana" w:hAnsi="Verdana" w:cs="Arial"/>
          <w:sz w:val="22"/>
          <w:szCs w:val="22"/>
        </w:rPr>
        <w:t xml:space="preserve">certificado de </w:t>
      </w:r>
      <w:r w:rsidRPr="00264E65">
        <w:rPr>
          <w:rFonts w:ascii="Verdana" w:hAnsi="Verdana" w:cs="Arial"/>
          <w:sz w:val="22"/>
          <w:szCs w:val="22"/>
        </w:rPr>
        <w:lastRenderedPageBreak/>
        <w:t xml:space="preserve">disponibilidad presupuestal No. </w:t>
      </w:r>
      <w:r w:rsidRPr="00264E65">
        <w:rPr>
          <w:rFonts w:ascii="Verdana" w:hAnsi="Verdana" w:cs="Arial"/>
          <w:sz w:val="22"/>
          <w:szCs w:val="22"/>
          <w:lang w:val="es-419"/>
        </w:rPr>
        <w:t>2021001045</w:t>
      </w:r>
      <w:r w:rsidRPr="00264E65">
        <w:rPr>
          <w:rFonts w:ascii="Verdana" w:hAnsi="Verdana" w:cs="Arial"/>
          <w:sz w:val="22"/>
          <w:szCs w:val="22"/>
        </w:rPr>
        <w:t xml:space="preserve"> del 14 de septiembre de 2021 y el registro presupuestal No. </w:t>
      </w:r>
      <w:r w:rsidRPr="00264E65">
        <w:rPr>
          <w:rFonts w:ascii="Verdana" w:hAnsi="Verdana" w:cs="Arial"/>
          <w:sz w:val="22"/>
          <w:szCs w:val="22"/>
          <w:lang w:val="es-419"/>
        </w:rPr>
        <w:t>2021001363</w:t>
      </w:r>
      <w:r w:rsidRPr="00264E65">
        <w:rPr>
          <w:rFonts w:ascii="Verdana" w:hAnsi="Verdana" w:cs="Arial"/>
          <w:sz w:val="22"/>
          <w:szCs w:val="22"/>
        </w:rPr>
        <w:t xml:space="preserve"> del 20 de septiembre de 2021) </w:t>
      </w:r>
      <w:r w:rsidRPr="00264E65">
        <w:rPr>
          <w:rFonts w:ascii="Verdana" w:hAnsi="Verdana" w:cs="Arial"/>
          <w:bCs/>
          <w:color w:val="000000" w:themeColor="text1"/>
          <w:sz w:val="22"/>
          <w:szCs w:val="22"/>
          <w:lang w:val="es-419" w:eastAsia="en-US"/>
        </w:rPr>
        <w:t>y una prórroga hasta el 31 de diciembre de 2021 o hasta agotar los recursos, sin embargo, el Municipio manifestó que el Convenio No. 747 de 2019 sigue en ejecución.</w:t>
      </w:r>
    </w:p>
    <w:p w14:paraId="1E18F422" w14:textId="77777777" w:rsidR="00911C69" w:rsidRPr="00264E65" w:rsidRDefault="00911C69" w:rsidP="00911C69">
      <w:pPr>
        <w:jc w:val="both"/>
        <w:rPr>
          <w:rFonts w:ascii="Verdana" w:hAnsi="Verdana" w:cs="Arial"/>
          <w:bCs/>
          <w:color w:val="000000" w:themeColor="text1"/>
          <w:sz w:val="22"/>
          <w:szCs w:val="22"/>
          <w:lang w:val="es-419" w:eastAsia="en-US"/>
        </w:rPr>
      </w:pPr>
    </w:p>
    <w:p w14:paraId="3E5A8E40" w14:textId="77777777" w:rsidR="00911C69" w:rsidRPr="00264E65" w:rsidRDefault="00911C69" w:rsidP="00911C69">
      <w:pPr>
        <w:jc w:val="both"/>
        <w:rPr>
          <w:rFonts w:ascii="Verdana" w:hAnsi="Verdana" w:cs="Arial"/>
          <w:bCs/>
          <w:color w:val="000000" w:themeColor="text1"/>
          <w:sz w:val="22"/>
          <w:szCs w:val="22"/>
          <w:lang w:val="es-419" w:eastAsia="en-US"/>
        </w:rPr>
      </w:pPr>
      <w:r w:rsidRPr="00264E65">
        <w:rPr>
          <w:rFonts w:ascii="Verdana" w:hAnsi="Verdana" w:cs="Arial"/>
          <w:color w:val="000000" w:themeColor="text1"/>
          <w:sz w:val="22"/>
          <w:szCs w:val="22"/>
        </w:rPr>
        <w:t>Así mismo, por medio de la información</w:t>
      </w:r>
      <w:r w:rsidRPr="00264E65">
        <w:rPr>
          <w:rFonts w:ascii="Verdana" w:hAnsi="Verdana" w:cs="Arial"/>
          <w:bCs/>
          <w:color w:val="000000" w:themeColor="text1"/>
          <w:sz w:val="22"/>
          <w:szCs w:val="22"/>
          <w:lang w:val="es-CO" w:eastAsia="en-US"/>
        </w:rPr>
        <w:t xml:space="preserve"> consultada a través de internet en la página de SECOP y de </w:t>
      </w:r>
      <w:r w:rsidRPr="00264E65">
        <w:rPr>
          <w:rFonts w:ascii="Verdana" w:hAnsi="Verdana" w:cs="Arial"/>
          <w:bCs/>
          <w:color w:val="000000" w:themeColor="text1"/>
          <w:sz w:val="22"/>
          <w:szCs w:val="22"/>
          <w:lang w:val="es-419" w:eastAsia="en-US"/>
        </w:rPr>
        <w:t xml:space="preserve">EMSERCOTA S.A. E.S.P., </w:t>
      </w:r>
      <w:r w:rsidRPr="00264E65">
        <w:rPr>
          <w:rFonts w:ascii="Verdana" w:hAnsi="Verdana" w:cs="Arial"/>
          <w:bCs/>
          <w:color w:val="000000" w:themeColor="text1"/>
          <w:sz w:val="22"/>
          <w:szCs w:val="22"/>
          <w:lang w:val="es-CO" w:eastAsia="en-US"/>
        </w:rPr>
        <w:t xml:space="preserve">se encontró que en el marco del Convenio No. 747, la empresa </w:t>
      </w:r>
      <w:r w:rsidRPr="00264E65">
        <w:rPr>
          <w:rFonts w:ascii="Verdana" w:hAnsi="Verdana" w:cs="Arial"/>
          <w:bCs/>
          <w:color w:val="000000" w:themeColor="text1"/>
          <w:sz w:val="22"/>
          <w:szCs w:val="22"/>
          <w:lang w:val="es-419" w:eastAsia="en-US"/>
        </w:rPr>
        <w:t xml:space="preserve">suscribió el Contrato No. 109 del 14 de junio de 2019 con la Unión Temporal Medidores COTA 2019 HCC, con el objeto de </w:t>
      </w:r>
      <w:r w:rsidRPr="00264E65">
        <w:rPr>
          <w:rFonts w:ascii="Verdana" w:hAnsi="Verdana" w:cs="Arial"/>
          <w:bCs/>
          <w:i/>
          <w:iCs/>
          <w:color w:val="000000" w:themeColor="text1"/>
          <w:sz w:val="22"/>
          <w:szCs w:val="22"/>
          <w:lang w:val="es-419" w:eastAsia="en-US"/>
        </w:rPr>
        <w:t>“Ejecutar el Plan Masivo para la ejecución de las conexiones domiciliarias del servicio de acueducto, alcantarillado y aseo en el Municipio de Cota – Fase I y II”,</w:t>
      </w:r>
      <w:r w:rsidRPr="00264E65">
        <w:rPr>
          <w:rFonts w:ascii="Verdana" w:hAnsi="Verdana" w:cs="Arial"/>
          <w:bCs/>
          <w:color w:val="000000" w:themeColor="text1"/>
          <w:sz w:val="22"/>
          <w:szCs w:val="22"/>
          <w:lang w:val="es-419" w:eastAsia="en-US"/>
        </w:rPr>
        <w:t xml:space="preserve"> con un plazo de ejecución de ocho meses o hasta agotar presupuesto y por valor de</w:t>
      </w:r>
      <w:r w:rsidRPr="00264E65">
        <w:rPr>
          <w:rFonts w:ascii="Verdana" w:hAnsi="Verdana" w:cs="Arial"/>
          <w:bCs/>
          <w:i/>
          <w:iCs/>
          <w:color w:val="000000" w:themeColor="text1"/>
          <w:sz w:val="22"/>
          <w:szCs w:val="22"/>
          <w:lang w:val="es-419" w:eastAsia="en-US"/>
        </w:rPr>
        <w:t xml:space="preserve"> </w:t>
      </w:r>
      <w:r w:rsidRPr="00264E65">
        <w:rPr>
          <w:rFonts w:ascii="Verdana" w:hAnsi="Verdana" w:cs="Arial"/>
          <w:bCs/>
          <w:color w:val="000000" w:themeColor="text1"/>
          <w:sz w:val="22"/>
          <w:szCs w:val="22"/>
          <w:lang w:val="es-419" w:eastAsia="en-US"/>
        </w:rPr>
        <w:t>$11.368 millones</w:t>
      </w:r>
      <w:r w:rsidRPr="00264E65">
        <w:rPr>
          <w:rFonts w:ascii="Verdana" w:hAnsi="Verdana" w:cs="Arial"/>
          <w:bCs/>
          <w:i/>
          <w:iCs/>
          <w:color w:val="000000" w:themeColor="text1"/>
          <w:sz w:val="22"/>
          <w:szCs w:val="22"/>
          <w:lang w:val="es-419" w:eastAsia="en-US"/>
        </w:rPr>
        <w:t xml:space="preserve">, </w:t>
      </w:r>
      <w:r w:rsidRPr="00264E65">
        <w:rPr>
          <w:rFonts w:ascii="Verdana" w:hAnsi="Verdana" w:cs="Arial"/>
          <w:bCs/>
          <w:color w:val="000000" w:themeColor="text1"/>
          <w:sz w:val="22"/>
          <w:szCs w:val="22"/>
          <w:lang w:val="es-419" w:eastAsia="en-US"/>
        </w:rPr>
        <w:t>provenientes de los Convenios No. 936 de 2018 y 747 de 2019, suscritos entre el Municipio y EMSERCOTA S.A. E.S.P.</w:t>
      </w:r>
    </w:p>
    <w:p w14:paraId="330FF52F" w14:textId="77777777" w:rsidR="00911C69" w:rsidRPr="00264E65" w:rsidRDefault="00911C69" w:rsidP="00911C69">
      <w:pPr>
        <w:jc w:val="both"/>
        <w:rPr>
          <w:rFonts w:ascii="Verdana" w:hAnsi="Verdana" w:cs="Arial"/>
          <w:bCs/>
          <w:color w:val="000000" w:themeColor="text1"/>
          <w:sz w:val="22"/>
          <w:szCs w:val="22"/>
          <w:lang w:val="es-419" w:eastAsia="en-US"/>
        </w:rPr>
      </w:pPr>
    </w:p>
    <w:p w14:paraId="063DCDF1" w14:textId="77777777" w:rsidR="00911C69" w:rsidRPr="00264E65" w:rsidRDefault="00911C69" w:rsidP="00911C69">
      <w:pPr>
        <w:spacing w:after="160" w:line="259" w:lineRule="auto"/>
        <w:jc w:val="both"/>
        <w:rPr>
          <w:rFonts w:ascii="Verdana" w:hAnsi="Verdana" w:cs="Arial"/>
          <w:color w:val="000000" w:themeColor="text1"/>
          <w:sz w:val="22"/>
          <w:szCs w:val="22"/>
          <w:lang w:val="es-CO" w:eastAsia="en-US"/>
        </w:rPr>
      </w:pPr>
      <w:r w:rsidRPr="00264E65">
        <w:rPr>
          <w:rFonts w:ascii="Verdana" w:hAnsi="Verdana" w:cs="Arial"/>
          <w:color w:val="000000" w:themeColor="text1"/>
          <w:sz w:val="22"/>
          <w:szCs w:val="22"/>
          <w:lang w:val="es-CO" w:eastAsia="en-US"/>
        </w:rPr>
        <w:t>Dado lo anterior, cabe indicar que a través del Informe de Gestión 2018 - 2020 presentado por el cambio de Gerencia de EMSERCOTA S.A. E.S.P. (Julio 2020) y encontrado en la página web de la Empresa, se pudo conocer que en el marco del Plan masivo de conexiones domiciliarias de los servicios de acueducto, alcantarillado y aseo en el Municipio de Cota – FASE I y II, “</w:t>
      </w:r>
      <w:r w:rsidRPr="00264E65">
        <w:rPr>
          <w:rFonts w:ascii="Verdana" w:hAnsi="Verdana" w:cs="Arial"/>
          <w:i/>
          <w:iCs/>
          <w:color w:val="000000" w:themeColor="text1"/>
          <w:sz w:val="22"/>
          <w:szCs w:val="22"/>
          <w:lang w:val="es-CO" w:eastAsia="en-US"/>
        </w:rPr>
        <w:t xml:space="preserve">son beneficiados los usuarios residenciales de estratos 1, 2 y 3, con cambio del medidor e instalaciones con nuevas tecnologías (telemetría)”, </w:t>
      </w:r>
      <w:r w:rsidRPr="00264E65">
        <w:rPr>
          <w:rFonts w:ascii="Verdana" w:hAnsi="Verdana" w:cs="Arial"/>
          <w:color w:val="000000" w:themeColor="text1"/>
          <w:sz w:val="22"/>
          <w:szCs w:val="22"/>
          <w:lang w:val="es-CO" w:eastAsia="en-US"/>
        </w:rPr>
        <w:t xml:space="preserve">lo cual evidencia que no hubo una compra e instalación de medidores por primera vez, razón por la cual, estos no podían ser financiados con los recursos de la participación para APSB del Sistema General de Participaciones. </w:t>
      </w:r>
    </w:p>
    <w:p w14:paraId="0C123D11" w14:textId="77777777" w:rsidR="00911C69" w:rsidRPr="00264E65" w:rsidRDefault="00911C69" w:rsidP="00911C69">
      <w:pPr>
        <w:spacing w:after="160" w:line="259" w:lineRule="auto"/>
        <w:jc w:val="both"/>
        <w:rPr>
          <w:rFonts w:ascii="Verdana" w:hAnsi="Verdana" w:cs="Arial"/>
          <w:color w:val="000000" w:themeColor="text1"/>
          <w:sz w:val="22"/>
          <w:szCs w:val="22"/>
        </w:rPr>
      </w:pPr>
      <w:r w:rsidRPr="00264E65">
        <w:rPr>
          <w:rFonts w:ascii="Verdana" w:hAnsi="Verdana" w:cs="Arial"/>
          <w:color w:val="000000" w:themeColor="text1"/>
          <w:sz w:val="22"/>
          <w:szCs w:val="22"/>
          <w:lang w:val="es-CO" w:eastAsia="en-US"/>
        </w:rPr>
        <w:t xml:space="preserve">Igualmente, es importante mencionar que dado que el objeto del Convenio No. 747 de 2019 hace referencia </w:t>
      </w:r>
      <w:r w:rsidRPr="00264E65">
        <w:rPr>
          <w:rFonts w:ascii="Verdana" w:hAnsi="Verdana" w:cs="Arial"/>
          <w:color w:val="000000" w:themeColor="text1"/>
          <w:sz w:val="22"/>
          <w:szCs w:val="22"/>
        </w:rPr>
        <w:t xml:space="preserve">a una transferencia destinada a subsidiar unas conexiones domiciliarias del servicio de aseo y que sólo existen las conexiones domiciliarias para el servicio de acueducto y alcantarillado, se solicitó información al Municipio que permitiera conocer qué se financió con ese rubro, razón por la cual, la Entidad Territorial remitió tres </w:t>
      </w:r>
      <w:r w:rsidRPr="00264E65">
        <w:rPr>
          <w:rFonts w:ascii="Verdana" w:hAnsi="Verdana" w:cs="Arial"/>
          <w:color w:val="000000" w:themeColor="text1"/>
          <w:sz w:val="22"/>
          <w:szCs w:val="22"/>
          <w:lang w:val="es-CO" w:eastAsia="en-US"/>
        </w:rPr>
        <w:t xml:space="preserve">informes de la Empresa EMSERCOTA S.A. E.S.P. realizados en el marco de la supervisión general del contrato del Plan masivo de conexiones domiciliarias de los servicios de acueducto, alcantarillado y aseo en el Municipio de Cota – FASE I y II, correspondiente a los meses de mayo a julio de 2022, los cuales mencionan que </w:t>
      </w:r>
      <w:r w:rsidRPr="00264E65">
        <w:rPr>
          <w:rFonts w:ascii="Verdana" w:hAnsi="Verdana" w:cs="Arial"/>
          <w:i/>
          <w:iCs/>
          <w:color w:val="000000" w:themeColor="text1"/>
          <w:sz w:val="22"/>
          <w:szCs w:val="22"/>
          <w:lang w:val="es-CO" w:eastAsia="en-US"/>
        </w:rPr>
        <w:t xml:space="preserve">“Para las conexiones domiciliarias de aseo, </w:t>
      </w:r>
      <w:r w:rsidRPr="00264E65">
        <w:rPr>
          <w:rFonts w:ascii="Verdana" w:hAnsi="Verdana" w:cs="Arial"/>
          <w:i/>
          <w:iCs/>
          <w:color w:val="000000" w:themeColor="text1"/>
          <w:sz w:val="22"/>
          <w:szCs w:val="22"/>
        </w:rPr>
        <w:t xml:space="preserve">serán entregados contenedores de 35 litros a los usuarios, que les permitirán realizar una adecuada separación en la fuente de los residuos sólidos que producen en cada hogar, al momento de la entrega, el usuario recibe una sensibilización para el adecuado uso de los contenedores.”, </w:t>
      </w:r>
      <w:r w:rsidRPr="00264E65">
        <w:rPr>
          <w:rFonts w:ascii="Verdana" w:hAnsi="Verdana" w:cs="Arial"/>
          <w:color w:val="000000" w:themeColor="text1"/>
          <w:sz w:val="22"/>
          <w:szCs w:val="22"/>
        </w:rPr>
        <w:t>no obstante,</w:t>
      </w:r>
      <w:r w:rsidRPr="00264E65">
        <w:rPr>
          <w:rFonts w:ascii="Verdana" w:hAnsi="Verdana" w:cs="Arial"/>
          <w:i/>
          <w:iCs/>
          <w:color w:val="000000" w:themeColor="text1"/>
          <w:sz w:val="22"/>
          <w:szCs w:val="22"/>
        </w:rPr>
        <w:t xml:space="preserve"> </w:t>
      </w:r>
      <w:r w:rsidRPr="00264E65">
        <w:rPr>
          <w:rFonts w:ascii="Verdana" w:hAnsi="Verdana" w:cs="Arial"/>
          <w:color w:val="000000" w:themeColor="text1"/>
          <w:sz w:val="22"/>
          <w:szCs w:val="22"/>
          <w:lang w:val="es-CO" w:eastAsia="en-US"/>
        </w:rPr>
        <w:t xml:space="preserve">es importante indicar que la compra y entrega de contenedores para la separación de residuos </w:t>
      </w:r>
      <w:proofErr w:type="spellStart"/>
      <w:r w:rsidRPr="00264E65">
        <w:rPr>
          <w:rFonts w:ascii="Verdana" w:hAnsi="Verdana" w:cs="Arial"/>
          <w:color w:val="000000" w:themeColor="text1"/>
          <w:sz w:val="22"/>
          <w:szCs w:val="22"/>
          <w:lang w:val="es-CO" w:eastAsia="en-US"/>
        </w:rPr>
        <w:t>só</w:t>
      </w:r>
      <w:r w:rsidRPr="00264E65">
        <w:rPr>
          <w:rFonts w:ascii="Verdana" w:hAnsi="Verdana" w:cs="Arial"/>
          <w:color w:val="000000" w:themeColor="text1"/>
          <w:sz w:val="22"/>
          <w:szCs w:val="22"/>
        </w:rPr>
        <w:t>lidos</w:t>
      </w:r>
      <w:proofErr w:type="spellEnd"/>
      <w:r w:rsidRPr="00264E65">
        <w:rPr>
          <w:rFonts w:ascii="Verdana" w:hAnsi="Verdana" w:cs="Arial"/>
          <w:color w:val="000000" w:themeColor="text1"/>
          <w:sz w:val="22"/>
          <w:szCs w:val="22"/>
        </w:rPr>
        <w:t xml:space="preserve"> no es una actividad elegible como </w:t>
      </w:r>
      <w:r w:rsidRPr="00264E65">
        <w:rPr>
          <w:rFonts w:ascii="Verdana" w:hAnsi="Verdana" w:cs="Arial"/>
          <w:color w:val="000000" w:themeColor="text1"/>
          <w:sz w:val="22"/>
          <w:szCs w:val="22"/>
        </w:rPr>
        <w:lastRenderedPageBreak/>
        <w:t>objeto de gasto con recursos de la Participación de Agua Potable y Saneamiento Básico del Sistema General de Participaciones de acuerdo al artículo 11 de la Ley 1176 de 2007, por lo tanto, se configura el riesgo asociado al cambio en la destinación de los recursos en virtud del numeral 4 del artículo 9 del Decreto 028 de 2008.</w:t>
      </w:r>
    </w:p>
    <w:p w14:paraId="32BD7697" w14:textId="77777777" w:rsidR="00911C69" w:rsidRPr="00264E65" w:rsidRDefault="00911C69" w:rsidP="00911C69">
      <w:pPr>
        <w:tabs>
          <w:tab w:val="left" w:pos="8460"/>
        </w:tabs>
        <w:contextualSpacing/>
        <w:jc w:val="both"/>
        <w:rPr>
          <w:rFonts w:ascii="Verdana" w:hAnsi="Verdana" w:cs="Arial"/>
          <w:b/>
          <w:sz w:val="22"/>
          <w:szCs w:val="22"/>
        </w:rPr>
      </w:pPr>
      <w:r w:rsidRPr="00264E65">
        <w:rPr>
          <w:rFonts w:ascii="Verdana" w:hAnsi="Verdana" w:cs="Arial"/>
          <w:b/>
          <w:sz w:val="22"/>
          <w:szCs w:val="22"/>
        </w:rPr>
        <w:t>EVIDENCIA:</w:t>
      </w:r>
    </w:p>
    <w:p w14:paraId="297B4849" w14:textId="77777777" w:rsidR="00911C69" w:rsidRPr="00264E65" w:rsidRDefault="00911C69" w:rsidP="00911C69">
      <w:pPr>
        <w:tabs>
          <w:tab w:val="left" w:pos="8460"/>
        </w:tabs>
        <w:contextualSpacing/>
        <w:jc w:val="both"/>
        <w:rPr>
          <w:rFonts w:ascii="Verdana" w:hAnsi="Verdana" w:cs="Arial"/>
          <w:b/>
          <w:sz w:val="22"/>
          <w:szCs w:val="22"/>
        </w:rPr>
      </w:pPr>
    </w:p>
    <w:p w14:paraId="7990F2A8"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Obra en el expediente digital en el Sistema de Información Electrónica Documental – SIED del Ministerio de Hacienda y Crédito Público No. 12/2019/D028-PREDI el siguiente material probatorio:</w:t>
      </w:r>
    </w:p>
    <w:p w14:paraId="48BA0494" w14:textId="77777777" w:rsidR="00911C69" w:rsidRPr="00264E65" w:rsidRDefault="00911C69" w:rsidP="00911C69">
      <w:pPr>
        <w:contextualSpacing/>
        <w:jc w:val="both"/>
        <w:rPr>
          <w:rFonts w:ascii="Verdana" w:hAnsi="Verdana" w:cs="Arial"/>
          <w:sz w:val="22"/>
          <w:szCs w:val="22"/>
        </w:rPr>
      </w:pPr>
    </w:p>
    <w:p w14:paraId="234E6AD3" w14:textId="77777777" w:rsidR="00911C69" w:rsidRPr="00264E65" w:rsidRDefault="00911C69" w:rsidP="00911C69">
      <w:pPr>
        <w:pStyle w:val="Prrafodelista"/>
        <w:numPr>
          <w:ilvl w:val="0"/>
          <w:numId w:val="8"/>
        </w:numPr>
        <w:jc w:val="both"/>
        <w:rPr>
          <w:rStyle w:val="Hipervnculo"/>
          <w:rFonts w:ascii="Verdana" w:hAnsi="Verdana" w:cs="Arial"/>
          <w:sz w:val="22"/>
          <w:szCs w:val="22"/>
          <w:lang w:val="en-US"/>
        </w:rPr>
      </w:pPr>
      <w:r w:rsidRPr="00264E65">
        <w:rPr>
          <w:rFonts w:ascii="Verdana" w:hAnsi="Verdana" w:cs="Arial"/>
          <w:sz w:val="22"/>
          <w:szCs w:val="22"/>
        </w:rPr>
        <w:t xml:space="preserve">Convenio 747 de 2019 con EMSERCOTA S.A E.S.P.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17" w:history="1">
        <w:r w:rsidRPr="00264E65">
          <w:rPr>
            <w:rStyle w:val="Hipervnculo"/>
            <w:rFonts w:ascii="Verdana" w:hAnsi="Verdana" w:cs="Arial"/>
            <w:sz w:val="22"/>
            <w:szCs w:val="22"/>
          </w:rPr>
          <w:t>https://bit.ly/3VOmSUq</w:t>
        </w:r>
      </w:hyperlink>
      <w:r w:rsidRPr="00264E65">
        <w:rPr>
          <w:rFonts w:ascii="Verdana" w:hAnsi="Verdana"/>
          <w:sz w:val="22"/>
          <w:szCs w:val="22"/>
        </w:rPr>
        <w:t xml:space="preserve"> </w:t>
      </w:r>
    </w:p>
    <w:p w14:paraId="1264D7F4" w14:textId="77777777" w:rsidR="00911C69" w:rsidRPr="00264E65" w:rsidRDefault="00911C69" w:rsidP="00911C69">
      <w:pPr>
        <w:pStyle w:val="Prrafodelista"/>
        <w:jc w:val="both"/>
        <w:rPr>
          <w:rStyle w:val="Hipervnculo"/>
          <w:rFonts w:ascii="Verdana" w:hAnsi="Verdana" w:cs="Arial"/>
          <w:sz w:val="22"/>
          <w:szCs w:val="22"/>
          <w:lang w:val="en-US"/>
        </w:rPr>
      </w:pPr>
    </w:p>
    <w:p w14:paraId="41BD6111"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bCs/>
          <w:color w:val="000000" w:themeColor="text1"/>
          <w:sz w:val="22"/>
          <w:szCs w:val="22"/>
          <w:lang w:val="es-419" w:eastAsia="en-US"/>
        </w:rPr>
        <w:t>C</w:t>
      </w:r>
      <w:proofErr w:type="spellStart"/>
      <w:r w:rsidRPr="00264E65">
        <w:rPr>
          <w:rFonts w:ascii="Verdana" w:hAnsi="Verdana" w:cs="Arial"/>
          <w:sz w:val="22"/>
          <w:szCs w:val="22"/>
        </w:rPr>
        <w:t>ertificado</w:t>
      </w:r>
      <w:proofErr w:type="spellEnd"/>
      <w:r w:rsidRPr="00264E65">
        <w:rPr>
          <w:rFonts w:ascii="Verdana" w:hAnsi="Verdana" w:cs="Arial"/>
          <w:sz w:val="22"/>
          <w:szCs w:val="22"/>
        </w:rPr>
        <w:t xml:space="preserve"> de Disponibilidad Presupuestal No. </w:t>
      </w:r>
      <w:r w:rsidRPr="00264E65">
        <w:rPr>
          <w:rFonts w:ascii="Verdana" w:hAnsi="Verdana" w:cs="Arial"/>
          <w:sz w:val="22"/>
          <w:szCs w:val="22"/>
          <w:lang w:val="es-419"/>
        </w:rPr>
        <w:t>2019000536</w:t>
      </w:r>
      <w:r w:rsidRPr="00264E65">
        <w:rPr>
          <w:rFonts w:ascii="Verdana" w:hAnsi="Verdana" w:cs="Arial"/>
          <w:sz w:val="22"/>
          <w:szCs w:val="22"/>
        </w:rPr>
        <w:t xml:space="preserve"> del 3 de abril de 2019 con objeto: </w:t>
      </w:r>
      <w:r w:rsidRPr="00264E65">
        <w:rPr>
          <w:rFonts w:ascii="Verdana" w:hAnsi="Verdana" w:cs="Arial"/>
          <w:sz w:val="22"/>
          <w:szCs w:val="22"/>
          <w:lang w:val="es-CO"/>
        </w:rPr>
        <w:t>Transferencia de los recursos del municipio de Cota a la Empresa de Servicios Públicos de Cota EMSERCOTA S.A. E.S.P con desembolso de los recursos que se apropien, destinados a subsidiar las conexiones domiciliarias del servicio de aseo, acueducto y alcantarillado en la cabecera municipal (Fase II)</w:t>
      </w:r>
      <w:r w:rsidRPr="00264E65">
        <w:rPr>
          <w:rFonts w:ascii="Verdana" w:hAnsi="Verdana" w:cs="Arial"/>
          <w:sz w:val="22"/>
          <w:szCs w:val="22"/>
        </w:rPr>
        <w:t xml:space="preserve">.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18" w:history="1">
        <w:r w:rsidRPr="00264E65">
          <w:rPr>
            <w:rStyle w:val="Hipervnculo"/>
            <w:rFonts w:ascii="Verdana" w:hAnsi="Verdana" w:cs="Arial"/>
            <w:sz w:val="22"/>
            <w:szCs w:val="22"/>
            <w:lang w:val="en-US" w:eastAsia="es-CO"/>
          </w:rPr>
          <w:t>https://bit.ly/3EPY0W2</w:t>
        </w:r>
      </w:hyperlink>
      <w:r w:rsidRPr="00264E65">
        <w:rPr>
          <w:rFonts w:ascii="Verdana" w:hAnsi="Verdana" w:cs="Arial"/>
          <w:sz w:val="22"/>
          <w:szCs w:val="22"/>
          <w:lang w:val="en-US" w:eastAsia="es-CO"/>
        </w:rPr>
        <w:t xml:space="preserve"> </w:t>
      </w:r>
    </w:p>
    <w:p w14:paraId="19419036" w14:textId="77777777" w:rsidR="00911C69" w:rsidRPr="00264E65" w:rsidRDefault="00911C69" w:rsidP="00911C69">
      <w:pPr>
        <w:tabs>
          <w:tab w:val="left" w:pos="8460"/>
        </w:tabs>
        <w:jc w:val="both"/>
        <w:rPr>
          <w:rStyle w:val="Hipervnculo"/>
          <w:rFonts w:ascii="Verdana" w:hAnsi="Verdana" w:cs="Arial"/>
          <w:sz w:val="22"/>
          <w:szCs w:val="22"/>
          <w:lang w:val="es-CO"/>
        </w:rPr>
      </w:pPr>
    </w:p>
    <w:p w14:paraId="03462297"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bCs/>
          <w:color w:val="000000" w:themeColor="text1"/>
          <w:sz w:val="22"/>
          <w:szCs w:val="22"/>
          <w:lang w:val="es-419" w:eastAsia="en-US"/>
        </w:rPr>
        <w:t>Registro</w:t>
      </w:r>
      <w:r w:rsidRPr="00264E65">
        <w:rPr>
          <w:rFonts w:ascii="Verdana" w:hAnsi="Verdana" w:cs="Arial"/>
          <w:sz w:val="22"/>
          <w:szCs w:val="22"/>
        </w:rPr>
        <w:t xml:space="preserve"> Presupuestal No. </w:t>
      </w:r>
      <w:r w:rsidRPr="00264E65">
        <w:rPr>
          <w:rFonts w:ascii="Verdana" w:hAnsi="Verdana" w:cs="Arial"/>
          <w:sz w:val="22"/>
          <w:szCs w:val="22"/>
          <w:lang w:val="es-419"/>
        </w:rPr>
        <w:t>2019000932</w:t>
      </w:r>
      <w:r w:rsidRPr="00264E65">
        <w:rPr>
          <w:rFonts w:ascii="Verdana" w:hAnsi="Verdana" w:cs="Arial"/>
          <w:sz w:val="22"/>
          <w:szCs w:val="22"/>
        </w:rPr>
        <w:t xml:space="preserve"> del 10 de abril de 2019 con objeto: Convenio 747 -19 </w:t>
      </w:r>
      <w:r w:rsidRPr="00264E65">
        <w:rPr>
          <w:rFonts w:ascii="Verdana" w:hAnsi="Verdana" w:cs="Arial"/>
          <w:sz w:val="22"/>
          <w:szCs w:val="22"/>
          <w:lang w:val="es-CO"/>
        </w:rPr>
        <w:t>Transferencia de los recursos del municipio de Cota a la Empresa de Servicios Públicos de Cota EMSERCOTA S.A. E.S.P con desembolso de los recursos que se apropien, destinados a subsidiar las conexiones domiciliarias del servicio de aseo, acueducto y alcantarillado en la cabecera municipal (Fase II)</w:t>
      </w:r>
      <w:r w:rsidRPr="00264E65">
        <w:rPr>
          <w:rFonts w:ascii="Verdana" w:hAnsi="Verdana" w:cs="Arial"/>
          <w:sz w:val="22"/>
          <w:szCs w:val="22"/>
        </w:rPr>
        <w:t xml:space="preserve">.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19" w:history="1">
        <w:r w:rsidRPr="00264E65">
          <w:rPr>
            <w:rStyle w:val="Hipervnculo"/>
            <w:rFonts w:ascii="Verdana" w:hAnsi="Verdana" w:cs="Arial"/>
            <w:sz w:val="22"/>
            <w:szCs w:val="22"/>
            <w:lang w:val="en-US" w:eastAsia="es-CO"/>
          </w:rPr>
          <w:t>https://bit.ly/3CKNMUs</w:t>
        </w:r>
      </w:hyperlink>
      <w:r w:rsidRPr="00264E65">
        <w:rPr>
          <w:rFonts w:ascii="Verdana" w:hAnsi="Verdana" w:cs="Arial"/>
          <w:sz w:val="22"/>
          <w:szCs w:val="22"/>
          <w:lang w:val="en-US" w:eastAsia="es-CO"/>
        </w:rPr>
        <w:t xml:space="preserve">  </w:t>
      </w:r>
    </w:p>
    <w:p w14:paraId="34A9AC76" w14:textId="77777777" w:rsidR="00911C69" w:rsidRPr="00264E65" w:rsidRDefault="00911C69" w:rsidP="00911C69">
      <w:pPr>
        <w:spacing w:after="160" w:line="259" w:lineRule="auto"/>
        <w:jc w:val="both"/>
        <w:rPr>
          <w:rFonts w:ascii="Verdana" w:hAnsi="Verdana" w:cs="Arial"/>
          <w:sz w:val="22"/>
          <w:szCs w:val="22"/>
          <w:lang w:val="es-CO" w:eastAsia="en-US"/>
        </w:rPr>
      </w:pPr>
    </w:p>
    <w:p w14:paraId="6C49E7C9"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bCs/>
          <w:color w:val="000000" w:themeColor="text1"/>
          <w:sz w:val="22"/>
          <w:szCs w:val="22"/>
          <w:lang w:val="es-419" w:eastAsia="en-US"/>
        </w:rPr>
        <w:lastRenderedPageBreak/>
        <w:t>C</w:t>
      </w:r>
      <w:proofErr w:type="spellStart"/>
      <w:r w:rsidRPr="00264E65">
        <w:rPr>
          <w:rFonts w:ascii="Verdana" w:hAnsi="Verdana" w:cs="Arial"/>
          <w:sz w:val="22"/>
          <w:szCs w:val="22"/>
        </w:rPr>
        <w:t>ertificado</w:t>
      </w:r>
      <w:proofErr w:type="spellEnd"/>
      <w:r w:rsidRPr="00264E65">
        <w:rPr>
          <w:rFonts w:ascii="Verdana" w:hAnsi="Verdana" w:cs="Arial"/>
          <w:sz w:val="22"/>
          <w:szCs w:val="22"/>
        </w:rPr>
        <w:t xml:space="preserve"> de Disponibilidad Presupuestal No. </w:t>
      </w:r>
      <w:r w:rsidRPr="00264E65">
        <w:rPr>
          <w:rFonts w:ascii="Verdana" w:hAnsi="Verdana" w:cs="Arial"/>
          <w:sz w:val="22"/>
          <w:szCs w:val="22"/>
          <w:lang w:val="es-419"/>
        </w:rPr>
        <w:t>2021001045</w:t>
      </w:r>
      <w:r w:rsidRPr="00264E65">
        <w:rPr>
          <w:rFonts w:ascii="Verdana" w:hAnsi="Verdana" w:cs="Arial"/>
          <w:sz w:val="22"/>
          <w:szCs w:val="22"/>
        </w:rPr>
        <w:t xml:space="preserve"> del 14 de septiembre de 2021 con objeto: Adición 1 y prórroga 1 Convenio 747 de 2019 </w:t>
      </w:r>
      <w:r w:rsidRPr="00264E65">
        <w:rPr>
          <w:rFonts w:ascii="Verdana" w:hAnsi="Verdana" w:cs="Arial"/>
          <w:sz w:val="22"/>
          <w:szCs w:val="22"/>
          <w:lang w:val="es-CO"/>
        </w:rPr>
        <w:t>Transferencia de los recursos del municipio de Cota a la Empresa de Servicios Públicos de Cota EMSERCOTA S.A. E.S.P con desembolso de los recursos que se apropien, destinados a subsidiar las conexiones domiciliarias del servicio de aseo, acueducto y alcantarillado en la cabecera municipal (Fase II)</w:t>
      </w:r>
      <w:r w:rsidRPr="00264E65">
        <w:rPr>
          <w:rFonts w:ascii="Verdana" w:hAnsi="Verdana" w:cs="Arial"/>
          <w:sz w:val="22"/>
          <w:szCs w:val="22"/>
        </w:rPr>
        <w:t xml:space="preserve">.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20" w:history="1">
        <w:r w:rsidRPr="00264E65">
          <w:rPr>
            <w:rStyle w:val="Hipervnculo"/>
            <w:rFonts w:ascii="Verdana" w:hAnsi="Verdana" w:cs="Arial"/>
            <w:sz w:val="22"/>
            <w:szCs w:val="22"/>
            <w:lang w:val="en-US" w:eastAsia="es-CO"/>
          </w:rPr>
          <w:t>https://bit.ly/3TxGWII</w:t>
        </w:r>
      </w:hyperlink>
      <w:r w:rsidRPr="00264E65">
        <w:rPr>
          <w:rFonts w:ascii="Verdana" w:hAnsi="Verdana" w:cs="Arial"/>
          <w:sz w:val="22"/>
          <w:szCs w:val="22"/>
          <w:lang w:val="en-US" w:eastAsia="es-CO"/>
        </w:rPr>
        <w:t xml:space="preserve"> </w:t>
      </w:r>
    </w:p>
    <w:p w14:paraId="6A4DEE59" w14:textId="77777777" w:rsidR="00911C69" w:rsidRPr="00264E65" w:rsidRDefault="00911C69" w:rsidP="00911C69">
      <w:pPr>
        <w:tabs>
          <w:tab w:val="left" w:pos="8460"/>
        </w:tabs>
        <w:jc w:val="both"/>
        <w:rPr>
          <w:rStyle w:val="Hipervnculo"/>
          <w:rFonts w:ascii="Verdana" w:hAnsi="Verdana" w:cs="Arial"/>
          <w:sz w:val="22"/>
          <w:szCs w:val="22"/>
          <w:lang w:val="es-CO"/>
        </w:rPr>
      </w:pPr>
    </w:p>
    <w:p w14:paraId="4ABDAE90"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bCs/>
          <w:color w:val="000000" w:themeColor="text1"/>
          <w:sz w:val="22"/>
          <w:szCs w:val="22"/>
          <w:lang w:val="es-419" w:eastAsia="en-US"/>
        </w:rPr>
        <w:t>Registro</w:t>
      </w:r>
      <w:r w:rsidRPr="00264E65">
        <w:rPr>
          <w:rFonts w:ascii="Verdana" w:hAnsi="Verdana" w:cs="Arial"/>
          <w:sz w:val="22"/>
          <w:szCs w:val="22"/>
        </w:rPr>
        <w:t xml:space="preserve"> Presupuestal No. </w:t>
      </w:r>
      <w:r w:rsidRPr="00264E65">
        <w:rPr>
          <w:rFonts w:ascii="Verdana" w:hAnsi="Verdana" w:cs="Arial"/>
          <w:sz w:val="22"/>
          <w:szCs w:val="22"/>
          <w:lang w:val="es-419"/>
        </w:rPr>
        <w:t>2021001363</w:t>
      </w:r>
      <w:r w:rsidRPr="00264E65">
        <w:rPr>
          <w:rFonts w:ascii="Verdana" w:hAnsi="Verdana" w:cs="Arial"/>
          <w:sz w:val="22"/>
          <w:szCs w:val="22"/>
        </w:rPr>
        <w:t xml:space="preserve"> del 20 de septiembre de 2021 con objeto: Adición 1 y prórroga 1 Convenio 747 de 2019 </w:t>
      </w:r>
      <w:r w:rsidRPr="00264E65">
        <w:rPr>
          <w:rFonts w:ascii="Verdana" w:hAnsi="Verdana" w:cs="Arial"/>
          <w:sz w:val="22"/>
          <w:szCs w:val="22"/>
          <w:lang w:val="es-CO"/>
        </w:rPr>
        <w:t>Transferencia de los recursos del municipio de Cota a la Empresa de Servicios Públicos de Cota EMSERCOTA S.A. E.S.P con desembolso de los recursos que se apropien, destinados a subsidiar las conexiones domiciliarias del servicio de aseo, acueducto y alcantarillado en la cabecera municipal (Fase II)</w:t>
      </w:r>
      <w:r w:rsidRPr="00264E65">
        <w:rPr>
          <w:rFonts w:ascii="Verdana" w:hAnsi="Verdana" w:cs="Arial"/>
          <w:sz w:val="22"/>
          <w:szCs w:val="22"/>
        </w:rPr>
        <w:t xml:space="preserve">.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21" w:history="1">
        <w:r w:rsidRPr="00264E65">
          <w:rPr>
            <w:rStyle w:val="Hipervnculo"/>
            <w:rFonts w:ascii="Verdana" w:hAnsi="Verdana" w:cs="Arial"/>
            <w:sz w:val="22"/>
            <w:szCs w:val="22"/>
            <w:lang w:val="en-US" w:eastAsia="es-CO"/>
          </w:rPr>
          <w:t>https://bit.ly/3DafOKA</w:t>
        </w:r>
      </w:hyperlink>
      <w:r w:rsidRPr="00264E65">
        <w:rPr>
          <w:rFonts w:ascii="Verdana" w:hAnsi="Verdana" w:cs="Arial"/>
          <w:sz w:val="22"/>
          <w:szCs w:val="22"/>
          <w:lang w:val="en-US" w:eastAsia="es-CO"/>
        </w:rPr>
        <w:t xml:space="preserve"> </w:t>
      </w:r>
    </w:p>
    <w:p w14:paraId="69DEA92B" w14:textId="77777777" w:rsidR="00911C69" w:rsidRPr="00264E65" w:rsidRDefault="00911C69" w:rsidP="00911C69">
      <w:pPr>
        <w:tabs>
          <w:tab w:val="left" w:pos="8460"/>
        </w:tabs>
        <w:jc w:val="both"/>
        <w:rPr>
          <w:rFonts w:ascii="Verdana" w:hAnsi="Verdana" w:cs="Arial"/>
          <w:sz w:val="22"/>
          <w:szCs w:val="22"/>
          <w:lang w:val="es-CO"/>
        </w:rPr>
      </w:pPr>
    </w:p>
    <w:p w14:paraId="1E0CD52D" w14:textId="77777777" w:rsidR="00911C69" w:rsidRPr="00264E65" w:rsidRDefault="00911C69" w:rsidP="00911C69">
      <w:pPr>
        <w:pStyle w:val="Prrafodelista"/>
        <w:numPr>
          <w:ilvl w:val="0"/>
          <w:numId w:val="8"/>
        </w:numPr>
        <w:spacing w:after="160" w:line="259" w:lineRule="auto"/>
        <w:jc w:val="both"/>
        <w:rPr>
          <w:rFonts w:ascii="Verdana" w:hAnsi="Verdana" w:cs="Arial"/>
          <w:sz w:val="22"/>
          <w:szCs w:val="22"/>
          <w:lang w:val="es-CO" w:eastAsia="en-US"/>
        </w:rPr>
      </w:pPr>
      <w:r w:rsidRPr="00264E65">
        <w:rPr>
          <w:rFonts w:ascii="Verdana" w:hAnsi="Verdana" w:cs="Arial"/>
          <w:sz w:val="22"/>
          <w:szCs w:val="22"/>
        </w:rPr>
        <w:t xml:space="preserve">Adición y Prórroga No. 1 al Convenio 747 de 2019 suscrito con EMSERCOTA S.A. E.S.P.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1-2022-081559 del 29 de septiembre de 2022. </w:t>
      </w:r>
      <w:r w:rsidRPr="00264E65">
        <w:rPr>
          <w:rFonts w:ascii="Verdana" w:hAnsi="Verdana" w:cs="Arial"/>
          <w:sz w:val="22"/>
          <w:szCs w:val="22"/>
          <w:lang w:val="en-US" w:eastAsia="es-CO"/>
        </w:rPr>
        <w:t xml:space="preserve">Enlace: </w:t>
      </w:r>
      <w:hyperlink r:id="rId22" w:history="1">
        <w:r w:rsidRPr="00264E65">
          <w:rPr>
            <w:rStyle w:val="Hipervnculo"/>
            <w:rFonts w:ascii="Verdana" w:hAnsi="Verdana" w:cs="Arial"/>
            <w:sz w:val="22"/>
            <w:szCs w:val="22"/>
            <w:lang w:val="es-CO" w:eastAsia="en-US"/>
          </w:rPr>
          <w:t>https://bit.ly/3VDUO5N</w:t>
        </w:r>
      </w:hyperlink>
      <w:r w:rsidRPr="00264E65">
        <w:rPr>
          <w:rFonts w:ascii="Verdana" w:hAnsi="Verdana" w:cs="Arial"/>
          <w:sz w:val="22"/>
          <w:szCs w:val="22"/>
          <w:lang w:val="es-CO" w:eastAsia="en-US"/>
        </w:rPr>
        <w:t xml:space="preserve"> </w:t>
      </w:r>
    </w:p>
    <w:p w14:paraId="6D5AF12B" w14:textId="77777777" w:rsidR="00911C69" w:rsidRPr="00264E65" w:rsidRDefault="00911C69" w:rsidP="00911C69">
      <w:pPr>
        <w:pStyle w:val="Prrafodelista"/>
        <w:rPr>
          <w:rFonts w:ascii="Verdana" w:hAnsi="Verdana" w:cs="Arial"/>
          <w:sz w:val="22"/>
          <w:szCs w:val="22"/>
          <w:lang w:val="es-CO" w:eastAsia="en-US"/>
        </w:rPr>
      </w:pPr>
    </w:p>
    <w:p w14:paraId="54E2E5F2"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bCs/>
          <w:color w:val="000000" w:themeColor="text1"/>
          <w:sz w:val="22"/>
          <w:szCs w:val="22"/>
          <w:lang w:val="es-419" w:eastAsia="en-US"/>
        </w:rPr>
        <w:t xml:space="preserve">Contrato No. 109 del 14 de junio de 2019 suscito entre EMSERCOTA S.A.E.S.P. y la Unión Temporal Medidores COTA 2019 HCC </w:t>
      </w:r>
      <w:r w:rsidRPr="00264E65">
        <w:rPr>
          <w:rFonts w:ascii="Verdana" w:hAnsi="Verdana" w:cs="Arial"/>
          <w:sz w:val="22"/>
          <w:szCs w:val="22"/>
        </w:rPr>
        <w:t>con objeto:</w:t>
      </w:r>
      <w:r w:rsidRPr="00264E65">
        <w:rPr>
          <w:rFonts w:ascii="Verdana" w:hAnsi="Verdana" w:cs="Arial"/>
          <w:bCs/>
          <w:i/>
          <w:iCs/>
          <w:color w:val="000000" w:themeColor="text1"/>
          <w:sz w:val="22"/>
          <w:szCs w:val="22"/>
          <w:lang w:val="es-419" w:eastAsia="en-US"/>
        </w:rPr>
        <w:t xml:space="preserve"> “Ejecutar el Plan Masivo para la ejecución de las conexiones domiciliarias del servicio de acueducto, alcantarillado y aseo en el Municipio de Cota – Fase I y II”.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Obtenido a través de la Página de EMSERCOTA S.A. E.S.P.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w:t>
      </w:r>
      <w:r w:rsidRPr="00264E65">
        <w:rPr>
          <w:rFonts w:ascii="Verdana" w:hAnsi="Verdana" w:cs="Arial"/>
          <w:sz w:val="22"/>
          <w:szCs w:val="22"/>
          <w:lang w:val="en-US" w:eastAsia="es-CO"/>
        </w:rPr>
        <w:t xml:space="preserve">Enlace: </w:t>
      </w:r>
      <w:hyperlink r:id="rId23" w:history="1">
        <w:r w:rsidRPr="00264E65">
          <w:rPr>
            <w:rStyle w:val="Hipervnculo"/>
            <w:rFonts w:ascii="Verdana" w:hAnsi="Verdana" w:cs="Arial"/>
            <w:sz w:val="22"/>
            <w:szCs w:val="22"/>
            <w:lang w:val="en-US" w:eastAsia="es-CO"/>
          </w:rPr>
          <w:t>https://bit.ly/3s5GR3b</w:t>
        </w:r>
      </w:hyperlink>
      <w:r w:rsidRPr="00264E65">
        <w:rPr>
          <w:rFonts w:ascii="Verdana" w:hAnsi="Verdana" w:cs="Arial"/>
          <w:sz w:val="22"/>
          <w:szCs w:val="22"/>
          <w:lang w:val="en-US" w:eastAsia="es-CO"/>
        </w:rPr>
        <w:t xml:space="preserve">  </w:t>
      </w:r>
    </w:p>
    <w:p w14:paraId="1F9C6156" w14:textId="77777777" w:rsidR="00911C69" w:rsidRPr="00264E65" w:rsidRDefault="00911C69" w:rsidP="00911C69">
      <w:pPr>
        <w:pStyle w:val="Prrafodelista"/>
        <w:rPr>
          <w:rFonts w:ascii="Verdana" w:hAnsi="Verdana" w:cs="Arial"/>
          <w:sz w:val="22"/>
          <w:szCs w:val="22"/>
          <w:lang w:val="es-CO"/>
        </w:rPr>
      </w:pPr>
    </w:p>
    <w:p w14:paraId="4D4EF3B6"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color w:val="000000" w:themeColor="text1"/>
          <w:sz w:val="22"/>
          <w:szCs w:val="22"/>
          <w:lang w:val="es-CO" w:eastAsia="en-US"/>
        </w:rPr>
        <w:lastRenderedPageBreak/>
        <w:t xml:space="preserve">Informe de Gestión 2018 - 2020 presentado por el cambio de Gerencia de EMSERCOTA S.A. E.S.P. donde se puede evidenciar que hay cambio de medidor y no compra e instalación por primera vez. Página 101.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Obtenido a través de la Página de EMSERCOTA S.A. E.S.P.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w:t>
      </w:r>
      <w:r w:rsidRPr="00264E65">
        <w:rPr>
          <w:rFonts w:ascii="Verdana" w:hAnsi="Verdana" w:cs="Arial"/>
          <w:sz w:val="22"/>
          <w:szCs w:val="22"/>
          <w:lang w:val="en-US" w:eastAsia="es-CO"/>
        </w:rPr>
        <w:t xml:space="preserve">Enlace: </w:t>
      </w:r>
      <w:hyperlink r:id="rId24" w:history="1">
        <w:r w:rsidRPr="00264E65">
          <w:rPr>
            <w:rStyle w:val="Hipervnculo"/>
            <w:rFonts w:ascii="Verdana" w:hAnsi="Verdana" w:cs="Arial"/>
            <w:sz w:val="22"/>
            <w:szCs w:val="22"/>
            <w:lang w:val="es-CO" w:eastAsia="en-US"/>
          </w:rPr>
          <w:t>https://bit.ly/3s2PYSi</w:t>
        </w:r>
      </w:hyperlink>
      <w:r w:rsidRPr="00264E65">
        <w:rPr>
          <w:rFonts w:ascii="Verdana" w:hAnsi="Verdana" w:cs="Arial"/>
          <w:sz w:val="22"/>
          <w:szCs w:val="22"/>
          <w:lang w:val="es-CO" w:eastAsia="en-US"/>
        </w:rPr>
        <w:t xml:space="preserve"> </w:t>
      </w:r>
    </w:p>
    <w:p w14:paraId="68E8744B" w14:textId="77777777" w:rsidR="00911C69" w:rsidRPr="00264E65" w:rsidRDefault="00911C69" w:rsidP="00911C69">
      <w:pPr>
        <w:pStyle w:val="Prrafodelista"/>
        <w:rPr>
          <w:rFonts w:ascii="Verdana" w:hAnsi="Verdana" w:cs="Arial"/>
          <w:sz w:val="22"/>
          <w:szCs w:val="22"/>
          <w:lang w:val="es-CO"/>
        </w:rPr>
      </w:pPr>
    </w:p>
    <w:p w14:paraId="38C23FA8" w14:textId="77777777" w:rsidR="00911C69" w:rsidRPr="00264E65" w:rsidRDefault="00911C69" w:rsidP="00911C69">
      <w:pPr>
        <w:pStyle w:val="Prrafodelista"/>
        <w:numPr>
          <w:ilvl w:val="0"/>
          <w:numId w:val="8"/>
        </w:numPr>
        <w:tabs>
          <w:tab w:val="left" w:pos="8460"/>
        </w:tabs>
        <w:jc w:val="both"/>
        <w:rPr>
          <w:rStyle w:val="Hipervnculo"/>
          <w:rFonts w:ascii="Verdana" w:hAnsi="Verdana" w:cs="Arial"/>
          <w:sz w:val="22"/>
          <w:szCs w:val="22"/>
          <w:lang w:val="es-CO"/>
        </w:rPr>
      </w:pPr>
      <w:r w:rsidRPr="00264E65">
        <w:rPr>
          <w:rFonts w:ascii="Verdana" w:hAnsi="Verdana" w:cs="Arial"/>
          <w:color w:val="000000" w:themeColor="text1"/>
          <w:sz w:val="22"/>
          <w:szCs w:val="22"/>
        </w:rPr>
        <w:t>I</w:t>
      </w:r>
      <w:proofErr w:type="spellStart"/>
      <w:r w:rsidRPr="00264E65">
        <w:rPr>
          <w:rFonts w:ascii="Verdana" w:hAnsi="Verdana" w:cs="Arial"/>
          <w:color w:val="000000" w:themeColor="text1"/>
          <w:sz w:val="22"/>
          <w:szCs w:val="22"/>
          <w:lang w:val="es-CO" w:eastAsia="en-US"/>
        </w:rPr>
        <w:t>nforme</w:t>
      </w:r>
      <w:proofErr w:type="spellEnd"/>
      <w:r w:rsidRPr="00264E65">
        <w:rPr>
          <w:rFonts w:ascii="Verdana" w:hAnsi="Verdana" w:cs="Arial"/>
          <w:color w:val="000000" w:themeColor="text1"/>
          <w:sz w:val="22"/>
          <w:szCs w:val="22"/>
          <w:lang w:val="es-CO" w:eastAsia="en-US"/>
        </w:rPr>
        <w:t xml:space="preserve"> de la Empresa EMSERCOTA S.A. E.S.P. No. 25 realizado en el marco de la supervisión general del contrato del Plan masivo de conexiones domiciliarias de los servicios de acueducto, alcantarillado y aseo en el Municipio de Cota – FASE I y II, correspondiente al mes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1-2022-081559 del 29 de septiembre de 2022. </w:t>
      </w:r>
      <w:r w:rsidRPr="00264E65">
        <w:rPr>
          <w:rFonts w:ascii="Verdana" w:hAnsi="Verdana" w:cs="Arial"/>
          <w:sz w:val="22"/>
          <w:szCs w:val="22"/>
          <w:lang w:val="en-US" w:eastAsia="es-CO"/>
        </w:rPr>
        <w:t xml:space="preserve">Enlace: </w:t>
      </w:r>
      <w:hyperlink r:id="rId25" w:history="1">
        <w:r w:rsidRPr="00264E65">
          <w:rPr>
            <w:rStyle w:val="Hipervnculo"/>
            <w:rFonts w:ascii="Verdana" w:hAnsi="Verdana" w:cs="Arial"/>
            <w:sz w:val="22"/>
            <w:szCs w:val="22"/>
            <w:lang w:val="en-US" w:eastAsia="es-CO"/>
          </w:rPr>
          <w:t>https://bit.ly/3D7F9o9</w:t>
        </w:r>
      </w:hyperlink>
    </w:p>
    <w:p w14:paraId="0F10E4C7" w14:textId="77777777" w:rsidR="00911C69" w:rsidRPr="00264E65" w:rsidRDefault="00911C69" w:rsidP="00911C69">
      <w:pPr>
        <w:tabs>
          <w:tab w:val="left" w:pos="8460"/>
        </w:tabs>
        <w:contextualSpacing/>
        <w:jc w:val="both"/>
        <w:rPr>
          <w:rStyle w:val="Hipervnculo"/>
          <w:rFonts w:ascii="Verdana" w:hAnsi="Verdana" w:cs="Arial"/>
          <w:sz w:val="22"/>
          <w:szCs w:val="22"/>
          <w:lang w:val="en-US"/>
        </w:rPr>
      </w:pPr>
    </w:p>
    <w:p w14:paraId="16256A7B" w14:textId="77777777" w:rsidR="002200E7" w:rsidRPr="00264E65" w:rsidRDefault="002200E7" w:rsidP="00911C69">
      <w:pPr>
        <w:tabs>
          <w:tab w:val="left" w:pos="8460"/>
        </w:tabs>
        <w:contextualSpacing/>
        <w:jc w:val="both"/>
        <w:rPr>
          <w:rStyle w:val="Hipervnculo"/>
          <w:rFonts w:ascii="Verdana" w:hAnsi="Verdana" w:cs="Arial"/>
          <w:color w:val="auto"/>
          <w:sz w:val="22"/>
          <w:szCs w:val="22"/>
          <w:lang w:val="en-US"/>
        </w:rPr>
      </w:pPr>
    </w:p>
    <w:p w14:paraId="3472AF66" w14:textId="77777777" w:rsidR="00911C69" w:rsidRPr="00264E65" w:rsidRDefault="00911C69" w:rsidP="002200E7">
      <w:pPr>
        <w:pStyle w:val="Prrafodelista"/>
        <w:numPr>
          <w:ilvl w:val="0"/>
          <w:numId w:val="6"/>
        </w:numPr>
        <w:jc w:val="both"/>
        <w:rPr>
          <w:rStyle w:val="Hipervnculo"/>
          <w:rFonts w:ascii="Verdana" w:hAnsi="Verdana" w:cs="Arial"/>
          <w:b/>
          <w:bCs/>
          <w:color w:val="auto"/>
          <w:sz w:val="22"/>
          <w:szCs w:val="22"/>
          <w:lang w:val="es-CO"/>
        </w:rPr>
      </w:pPr>
      <w:r w:rsidRPr="00264E65">
        <w:rPr>
          <w:rFonts w:ascii="Verdana" w:hAnsi="Verdana"/>
          <w:b/>
          <w:bCs/>
          <w:sz w:val="22"/>
          <w:szCs w:val="22"/>
          <w:lang w:eastAsia="en-US"/>
        </w:rPr>
        <w:t>ASIGNACIÓN DE SUBSIDIOS.</w:t>
      </w:r>
    </w:p>
    <w:p w14:paraId="2EBFB72B" w14:textId="77777777" w:rsidR="00911C69" w:rsidRPr="00264E65" w:rsidRDefault="00911C69" w:rsidP="00911C69">
      <w:pPr>
        <w:tabs>
          <w:tab w:val="left" w:pos="8460"/>
        </w:tabs>
        <w:contextualSpacing/>
        <w:jc w:val="both"/>
        <w:rPr>
          <w:rStyle w:val="Hipervnculo"/>
          <w:rFonts w:ascii="Verdana" w:hAnsi="Verdana" w:cs="Arial"/>
          <w:color w:val="auto"/>
          <w:sz w:val="22"/>
          <w:szCs w:val="22"/>
          <w:lang w:val="es-CO"/>
        </w:rPr>
      </w:pPr>
    </w:p>
    <w:p w14:paraId="0BE2C1AB"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De conformidad con lo dispuesto en el numeral 5.3 del artículo 5 de la Ley 142 de 1994, es competencia de los municipios en cuanto a la prestación de los servicios públicos, entre otras, “</w:t>
      </w:r>
      <w:r w:rsidRPr="00264E65">
        <w:rPr>
          <w:rFonts w:ascii="Verdana" w:hAnsi="Verdana" w:cs="Arial"/>
          <w:i/>
          <w:iCs/>
          <w:sz w:val="22"/>
          <w:szCs w:val="22"/>
        </w:rPr>
        <w:t>Disponer el otorgamiento de subsidios a los usuarios de menores ingresos, con cargo al presupuesto del municipio, de acuerdo con lo dispuesto en la Ley 60/93 y la presente Ley</w:t>
      </w:r>
      <w:r w:rsidRPr="00264E65">
        <w:rPr>
          <w:rFonts w:ascii="Verdana" w:hAnsi="Verdana" w:cs="Arial"/>
          <w:sz w:val="22"/>
          <w:szCs w:val="22"/>
        </w:rPr>
        <w:t>”. Así mismo, el literal a) del artículo 11 de la Ley 1176 de 2007 establece dentro de las destinaciones de los recursos de la Participación de Agua Potable y Saneamiento Básico del SGP en los distritos y municipios, “</w:t>
      </w:r>
      <w:r w:rsidRPr="00264E65">
        <w:rPr>
          <w:rFonts w:ascii="Verdana" w:hAnsi="Verdana" w:cs="Arial"/>
          <w:i/>
          <w:iCs/>
          <w:sz w:val="22"/>
          <w:szCs w:val="22"/>
        </w:rPr>
        <w:t>los subsidios que se otorguen a los estratos subsidiables de acuerdo con lo dispuesto en la normatividad vigente</w:t>
      </w:r>
      <w:r w:rsidRPr="00264E65">
        <w:rPr>
          <w:rFonts w:ascii="Verdana" w:hAnsi="Verdana" w:cs="Arial"/>
          <w:sz w:val="22"/>
          <w:szCs w:val="22"/>
        </w:rPr>
        <w:t>”, fijando en el parágrafo 2 que “</w:t>
      </w:r>
      <w:r w:rsidRPr="00264E65">
        <w:rPr>
          <w:rFonts w:ascii="Verdana" w:hAnsi="Verdana" w:cs="Arial"/>
          <w:i/>
          <w:iCs/>
          <w:sz w:val="22"/>
          <w:szCs w:val="22"/>
        </w:rPr>
        <w:t>de los recursos de la participación para agua potable y saneamiento básico de los municipios clasificados en categorías 2ª, 3ª, 4ª, 5ª y 6ª, deberá destinarse mínimo el quince por ciento (15%) de los mismos a la actividad señalada en el literal a) del presente artículo</w:t>
      </w:r>
      <w:r w:rsidRPr="00264E65">
        <w:rPr>
          <w:rFonts w:ascii="Verdana" w:hAnsi="Verdana" w:cs="Arial"/>
          <w:sz w:val="22"/>
          <w:szCs w:val="22"/>
        </w:rPr>
        <w:t>”, la cual hace referencia al pago de subsidios; por lo cual, teniendo en cuenta que el Municipio de Cota – Cundinamarca es de categoría 2 ,está obligado a cumplir con las disposiciones legales consagradas en la Leyes 142 de 1994 y 1176 de 2007, con respecto a la asignación de subsidios.</w:t>
      </w:r>
    </w:p>
    <w:p w14:paraId="152C76D2" w14:textId="77777777" w:rsidR="00911C69" w:rsidRPr="00264E65" w:rsidRDefault="00911C69" w:rsidP="00911C69">
      <w:pPr>
        <w:contextualSpacing/>
        <w:jc w:val="both"/>
        <w:rPr>
          <w:rFonts w:ascii="Verdana" w:hAnsi="Verdana" w:cs="Arial"/>
          <w:sz w:val="22"/>
          <w:szCs w:val="22"/>
        </w:rPr>
      </w:pPr>
    </w:p>
    <w:p w14:paraId="65D70485"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Así mismo, el parágrafo 2 de este artículo dispone que “</w:t>
      </w:r>
      <w:r w:rsidRPr="00264E65">
        <w:rPr>
          <w:rFonts w:ascii="Verdana" w:hAnsi="Verdana" w:cs="Arial"/>
          <w:i/>
          <w:iCs/>
          <w:sz w:val="22"/>
          <w:szCs w:val="22"/>
        </w:rPr>
        <w:t xml:space="preserve">en los eventos en los cuales los municipios de que trata el presente parágrafo hayan logrado el correspondiente equilibrio entre subsidios y contribuciones, podrán destinar un porcentaje menor de </w:t>
      </w:r>
      <w:r w:rsidRPr="00264E65">
        <w:rPr>
          <w:rFonts w:ascii="Verdana" w:hAnsi="Verdana" w:cs="Arial"/>
          <w:i/>
          <w:iCs/>
          <w:sz w:val="22"/>
          <w:szCs w:val="22"/>
        </w:rPr>
        <w:lastRenderedPageBreak/>
        <w:t>los recursos del Sistema General de Participaciones para el sector de agua potable y saneamiento básico para tal actividad, conforme a la reglamentación que para el efecto expida el Gobierno Nacional</w:t>
      </w:r>
      <w:r w:rsidRPr="00264E65">
        <w:rPr>
          <w:rFonts w:ascii="Verdana" w:hAnsi="Verdana" w:cs="Arial"/>
          <w:sz w:val="22"/>
          <w:szCs w:val="22"/>
        </w:rPr>
        <w:t>”.</w:t>
      </w:r>
    </w:p>
    <w:p w14:paraId="04D53EEF" w14:textId="77777777" w:rsidR="00911C69" w:rsidRPr="00264E65" w:rsidRDefault="00911C69" w:rsidP="00911C69">
      <w:pPr>
        <w:contextualSpacing/>
        <w:jc w:val="both"/>
        <w:rPr>
          <w:rFonts w:ascii="Verdana" w:hAnsi="Verdana" w:cs="Arial"/>
          <w:sz w:val="22"/>
          <w:szCs w:val="22"/>
        </w:rPr>
      </w:pPr>
    </w:p>
    <w:p w14:paraId="03DBF76C" w14:textId="77777777" w:rsidR="00AB0D36" w:rsidRDefault="00AB0D36" w:rsidP="00911C69">
      <w:pPr>
        <w:contextualSpacing/>
        <w:jc w:val="both"/>
        <w:rPr>
          <w:rFonts w:ascii="Verdana" w:hAnsi="Verdana" w:cs="Arial"/>
          <w:sz w:val="22"/>
          <w:szCs w:val="22"/>
        </w:rPr>
      </w:pPr>
    </w:p>
    <w:p w14:paraId="28AF9E3D"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Conforme lo anterior, una vez revisadas las ejecuciones presupuestales e incluso los correspondientes CDP y RP de la vigencia 2021, se pudo establecer que el Municipio destinó menos del 15 % de los recursos de la Participación para Agua Potable y Saneamiento Básico del Sistema General de Participaciones al pago de subsidios, tal como se puede observar en el siguiente cuadro:</w:t>
      </w:r>
    </w:p>
    <w:p w14:paraId="74563FE2" w14:textId="77777777" w:rsidR="00911C69" w:rsidRDefault="00911C69" w:rsidP="00911C69">
      <w:pPr>
        <w:contextualSpacing/>
        <w:jc w:val="both"/>
        <w:rPr>
          <w:rFonts w:ascii="Verdana" w:hAnsi="Verdana" w:cs="Arial"/>
          <w:sz w:val="22"/>
          <w:szCs w:val="22"/>
        </w:rPr>
      </w:pPr>
    </w:p>
    <w:p w14:paraId="2BDDA402" w14:textId="77777777" w:rsidR="00AB0D36" w:rsidRPr="00264E65" w:rsidRDefault="00AB0D36" w:rsidP="00911C69">
      <w:pPr>
        <w:contextualSpacing/>
        <w:jc w:val="both"/>
        <w:rPr>
          <w:rFonts w:ascii="Verdana" w:hAnsi="Verdana" w:cs="Arial"/>
          <w:sz w:val="22"/>
          <w:szCs w:val="22"/>
        </w:rPr>
      </w:pPr>
    </w:p>
    <w:p w14:paraId="70E9B192" w14:textId="77777777" w:rsidR="00911C69" w:rsidRPr="00264E65" w:rsidRDefault="00911C69" w:rsidP="00911C69">
      <w:pPr>
        <w:autoSpaceDE w:val="0"/>
        <w:autoSpaceDN w:val="0"/>
        <w:adjustRightInd w:val="0"/>
        <w:contextualSpacing/>
        <w:jc w:val="center"/>
        <w:rPr>
          <w:rFonts w:ascii="Verdana" w:eastAsia="Calibri" w:hAnsi="Verdana" w:cs="Arial"/>
          <w:b/>
          <w:sz w:val="22"/>
          <w:szCs w:val="22"/>
          <w:lang w:val="es-CO" w:eastAsia="en-US"/>
        </w:rPr>
      </w:pPr>
      <w:r w:rsidRPr="00264E65">
        <w:rPr>
          <w:rFonts w:ascii="Verdana" w:hAnsi="Verdana" w:cs="Arial"/>
          <w:b/>
          <w:sz w:val="22"/>
          <w:szCs w:val="22"/>
        </w:rPr>
        <w:t xml:space="preserve">Cuadro 20. </w:t>
      </w:r>
      <w:r w:rsidRPr="00264E65">
        <w:rPr>
          <w:rFonts w:ascii="Verdana" w:hAnsi="Verdana" w:cs="Arial"/>
          <w:sz w:val="22"/>
          <w:szCs w:val="22"/>
        </w:rPr>
        <w:t>Recursos Subsidios Vigencia 2021</w:t>
      </w:r>
      <w:r w:rsidRPr="00264E65">
        <w:rPr>
          <w:rFonts w:ascii="Verdana" w:hAnsi="Verdana" w:cs="Arial"/>
          <w:b/>
          <w:sz w:val="22"/>
          <w:szCs w:val="22"/>
        </w:rPr>
        <w:t xml:space="preserve"> </w:t>
      </w:r>
      <w:r w:rsidRPr="00264E65">
        <w:rPr>
          <w:rFonts w:ascii="Verdana" w:hAnsi="Verdana" w:cs="Arial"/>
          <w:sz w:val="22"/>
          <w:szCs w:val="22"/>
        </w:rPr>
        <w:t>(Cifras en millones de pesos)</w:t>
      </w:r>
    </w:p>
    <w:tbl>
      <w:tblPr>
        <w:tblW w:w="7233" w:type="dxa"/>
        <w:jc w:val="center"/>
        <w:tblCellMar>
          <w:left w:w="70" w:type="dxa"/>
          <w:right w:w="70" w:type="dxa"/>
        </w:tblCellMar>
        <w:tblLook w:val="04A0" w:firstRow="1" w:lastRow="0" w:firstColumn="1" w:lastColumn="0" w:noHBand="0" w:noVBand="1"/>
      </w:tblPr>
      <w:tblGrid>
        <w:gridCol w:w="1200"/>
        <w:gridCol w:w="1398"/>
        <w:gridCol w:w="2432"/>
        <w:gridCol w:w="1223"/>
        <w:gridCol w:w="1200"/>
      </w:tblGrid>
      <w:tr w:rsidR="001E09AC" w:rsidRPr="001E09AC" w14:paraId="6F18AC9B" w14:textId="77777777" w:rsidTr="001E09AC">
        <w:trPr>
          <w:trHeight w:val="255"/>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E2DDE"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Vigencia</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624272FD"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Ingresos</w:t>
            </w:r>
          </w:p>
        </w:tc>
        <w:tc>
          <w:tcPr>
            <w:tcW w:w="2432" w:type="dxa"/>
            <w:tcBorders>
              <w:top w:val="single" w:sz="4" w:space="0" w:color="auto"/>
              <w:left w:val="nil"/>
              <w:bottom w:val="single" w:sz="4" w:space="0" w:color="auto"/>
              <w:right w:val="single" w:sz="4" w:space="0" w:color="auto"/>
            </w:tcBorders>
            <w:shd w:val="clear" w:color="auto" w:fill="auto"/>
            <w:noWrap/>
            <w:vAlign w:val="center"/>
            <w:hideMark/>
          </w:tcPr>
          <w:p w14:paraId="2A424FD8"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Gastos</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DD594"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15 % mínimo sobre asignación</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76CE0"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Diferencia</w:t>
            </w:r>
          </w:p>
        </w:tc>
      </w:tr>
      <w:tr w:rsidR="001E09AC" w:rsidRPr="001E09AC" w14:paraId="6BC2C679" w14:textId="77777777" w:rsidTr="001E09AC">
        <w:trPr>
          <w:trHeight w:val="1125"/>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0A2B158" w14:textId="77777777" w:rsidR="001E09AC" w:rsidRPr="001E09AC" w:rsidRDefault="001E09AC" w:rsidP="001E09AC">
            <w:pPr>
              <w:rPr>
                <w:rFonts w:ascii="Verdana" w:eastAsia="Times New Roman" w:hAnsi="Verdana" w:cs="Calibri"/>
                <w:b/>
                <w:bCs/>
                <w:color w:val="000000"/>
                <w:sz w:val="18"/>
                <w:szCs w:val="18"/>
                <w:lang w:val="es-CO" w:eastAsia="es-CO"/>
              </w:rPr>
            </w:pPr>
          </w:p>
        </w:tc>
        <w:tc>
          <w:tcPr>
            <w:tcW w:w="1288" w:type="dxa"/>
            <w:tcBorders>
              <w:top w:val="nil"/>
              <w:left w:val="nil"/>
              <w:bottom w:val="single" w:sz="4" w:space="0" w:color="auto"/>
              <w:right w:val="single" w:sz="4" w:space="0" w:color="auto"/>
            </w:tcBorders>
            <w:shd w:val="clear" w:color="auto" w:fill="auto"/>
            <w:vAlign w:val="center"/>
            <w:hideMark/>
          </w:tcPr>
          <w:p w14:paraId="1C7A3A56"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Asignación Documentos de Distribución SGP</w:t>
            </w:r>
          </w:p>
        </w:tc>
        <w:tc>
          <w:tcPr>
            <w:tcW w:w="2432" w:type="dxa"/>
            <w:tcBorders>
              <w:top w:val="nil"/>
              <w:left w:val="nil"/>
              <w:bottom w:val="single" w:sz="4" w:space="0" w:color="auto"/>
              <w:right w:val="single" w:sz="4" w:space="0" w:color="auto"/>
            </w:tcBorders>
            <w:shd w:val="clear" w:color="auto" w:fill="auto"/>
            <w:noWrap/>
            <w:vAlign w:val="center"/>
            <w:hideMark/>
          </w:tcPr>
          <w:p w14:paraId="181CC605" w14:textId="77777777" w:rsidR="001E09AC" w:rsidRPr="001E09AC" w:rsidRDefault="001E09AC" w:rsidP="001E09AC">
            <w:pPr>
              <w:jc w:val="center"/>
              <w:rPr>
                <w:rFonts w:ascii="Verdana" w:eastAsia="Times New Roman" w:hAnsi="Verdana" w:cs="Calibri"/>
                <w:b/>
                <w:bCs/>
                <w:color w:val="000000"/>
                <w:sz w:val="18"/>
                <w:szCs w:val="18"/>
                <w:lang w:val="es-CO" w:eastAsia="es-CO"/>
              </w:rPr>
            </w:pPr>
            <w:r w:rsidRPr="001E09AC">
              <w:rPr>
                <w:rFonts w:ascii="Verdana" w:eastAsia="Times New Roman" w:hAnsi="Verdana" w:cs="Calibri"/>
                <w:b/>
                <w:bCs/>
                <w:color w:val="000000"/>
                <w:sz w:val="18"/>
                <w:szCs w:val="18"/>
                <w:lang w:val="es-CO" w:eastAsia="es-CO"/>
              </w:rPr>
              <w:t>Compromisos Subsidios</w:t>
            </w: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22E559F4" w14:textId="77777777" w:rsidR="001E09AC" w:rsidRPr="001E09AC" w:rsidRDefault="001E09AC" w:rsidP="001E09AC">
            <w:pPr>
              <w:rPr>
                <w:rFonts w:ascii="Verdana" w:eastAsia="Times New Roman" w:hAnsi="Verdana" w:cs="Calibri"/>
                <w:b/>
                <w:bCs/>
                <w:color w:val="000000"/>
                <w:sz w:val="18"/>
                <w:szCs w:val="18"/>
                <w:lang w:val="es-CO"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3B89897" w14:textId="77777777" w:rsidR="001E09AC" w:rsidRPr="001E09AC" w:rsidRDefault="001E09AC" w:rsidP="001E09AC">
            <w:pPr>
              <w:rPr>
                <w:rFonts w:ascii="Verdana" w:eastAsia="Times New Roman" w:hAnsi="Verdana" w:cs="Calibri"/>
                <w:b/>
                <w:bCs/>
                <w:color w:val="000000"/>
                <w:sz w:val="18"/>
                <w:szCs w:val="18"/>
                <w:lang w:val="es-CO" w:eastAsia="es-CO"/>
              </w:rPr>
            </w:pPr>
          </w:p>
        </w:tc>
      </w:tr>
      <w:tr w:rsidR="001E09AC" w:rsidRPr="001E09AC" w14:paraId="0C28F326" w14:textId="77777777" w:rsidTr="001E09AC">
        <w:trPr>
          <w:trHeight w:val="25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450632" w14:textId="77777777" w:rsidR="001E09AC" w:rsidRPr="001E09AC" w:rsidRDefault="001E09AC" w:rsidP="001E09AC">
            <w:pPr>
              <w:jc w:val="center"/>
              <w:rPr>
                <w:rFonts w:ascii="Verdana" w:eastAsia="Times New Roman" w:hAnsi="Verdana" w:cs="Calibri"/>
                <w:color w:val="000000"/>
                <w:sz w:val="18"/>
                <w:szCs w:val="18"/>
                <w:lang w:val="es-CO" w:eastAsia="es-CO"/>
              </w:rPr>
            </w:pPr>
            <w:r w:rsidRPr="001E09AC">
              <w:rPr>
                <w:rFonts w:ascii="Verdana" w:eastAsia="Times New Roman" w:hAnsi="Verdana" w:cs="Calibri"/>
                <w:color w:val="000000"/>
                <w:sz w:val="18"/>
                <w:szCs w:val="18"/>
                <w:lang w:val="es-CO" w:eastAsia="es-CO"/>
              </w:rPr>
              <w:t>2021</w:t>
            </w:r>
          </w:p>
        </w:tc>
        <w:tc>
          <w:tcPr>
            <w:tcW w:w="1288" w:type="dxa"/>
            <w:tcBorders>
              <w:top w:val="nil"/>
              <w:left w:val="nil"/>
              <w:bottom w:val="single" w:sz="4" w:space="0" w:color="auto"/>
              <w:right w:val="single" w:sz="4" w:space="0" w:color="auto"/>
            </w:tcBorders>
            <w:shd w:val="clear" w:color="auto" w:fill="auto"/>
            <w:noWrap/>
            <w:vAlign w:val="center"/>
            <w:hideMark/>
          </w:tcPr>
          <w:p w14:paraId="350B77EB" w14:textId="77777777" w:rsidR="001E09AC" w:rsidRPr="001E09AC" w:rsidRDefault="001E09AC" w:rsidP="001E09AC">
            <w:pPr>
              <w:jc w:val="center"/>
              <w:rPr>
                <w:rFonts w:ascii="Verdana" w:eastAsia="Times New Roman" w:hAnsi="Verdana" w:cs="Calibri"/>
                <w:color w:val="000000"/>
                <w:sz w:val="18"/>
                <w:szCs w:val="18"/>
                <w:lang w:val="es-CO" w:eastAsia="es-CO"/>
              </w:rPr>
            </w:pPr>
            <w:r w:rsidRPr="001E09AC">
              <w:rPr>
                <w:rFonts w:ascii="Verdana" w:eastAsia="Times New Roman" w:hAnsi="Verdana" w:cs="Calibri"/>
                <w:color w:val="000000"/>
                <w:sz w:val="18"/>
                <w:szCs w:val="18"/>
                <w:lang w:val="en-US" w:eastAsia="es-CO"/>
              </w:rPr>
              <w:t>1,046</w:t>
            </w:r>
          </w:p>
        </w:tc>
        <w:tc>
          <w:tcPr>
            <w:tcW w:w="2432" w:type="dxa"/>
            <w:tcBorders>
              <w:top w:val="nil"/>
              <w:left w:val="nil"/>
              <w:bottom w:val="single" w:sz="4" w:space="0" w:color="auto"/>
              <w:right w:val="single" w:sz="4" w:space="0" w:color="auto"/>
            </w:tcBorders>
            <w:shd w:val="clear" w:color="auto" w:fill="auto"/>
            <w:noWrap/>
            <w:vAlign w:val="center"/>
            <w:hideMark/>
          </w:tcPr>
          <w:p w14:paraId="14043E5A" w14:textId="77777777" w:rsidR="001E09AC" w:rsidRPr="001E09AC" w:rsidRDefault="001E09AC" w:rsidP="001E09AC">
            <w:pPr>
              <w:jc w:val="center"/>
              <w:rPr>
                <w:rFonts w:ascii="Verdana" w:eastAsia="Times New Roman" w:hAnsi="Verdana" w:cs="Calibri"/>
                <w:color w:val="000000"/>
                <w:sz w:val="18"/>
                <w:szCs w:val="18"/>
                <w:lang w:val="es-CO" w:eastAsia="es-CO"/>
              </w:rPr>
            </w:pPr>
            <w:r w:rsidRPr="001E09AC">
              <w:rPr>
                <w:rFonts w:ascii="Verdana" w:eastAsia="Times New Roman" w:hAnsi="Verdana" w:cs="Calibri"/>
                <w:color w:val="000000"/>
                <w:sz w:val="18"/>
                <w:szCs w:val="18"/>
                <w:lang w:val="es-CO" w:eastAsia="es-CO"/>
              </w:rPr>
              <w:t>134</w:t>
            </w:r>
          </w:p>
        </w:tc>
        <w:tc>
          <w:tcPr>
            <w:tcW w:w="1113" w:type="dxa"/>
            <w:tcBorders>
              <w:top w:val="nil"/>
              <w:left w:val="nil"/>
              <w:bottom w:val="single" w:sz="4" w:space="0" w:color="auto"/>
              <w:right w:val="single" w:sz="4" w:space="0" w:color="auto"/>
            </w:tcBorders>
            <w:shd w:val="clear" w:color="auto" w:fill="auto"/>
            <w:noWrap/>
            <w:vAlign w:val="center"/>
            <w:hideMark/>
          </w:tcPr>
          <w:p w14:paraId="01D8BD38" w14:textId="77777777" w:rsidR="001E09AC" w:rsidRPr="001E09AC" w:rsidRDefault="001E09AC" w:rsidP="001E09AC">
            <w:pPr>
              <w:jc w:val="center"/>
              <w:rPr>
                <w:rFonts w:ascii="Verdana" w:eastAsia="Times New Roman" w:hAnsi="Verdana" w:cs="Calibri"/>
                <w:color w:val="000000"/>
                <w:sz w:val="18"/>
                <w:szCs w:val="18"/>
                <w:lang w:val="es-CO" w:eastAsia="es-CO"/>
              </w:rPr>
            </w:pPr>
            <w:r w:rsidRPr="001E09AC">
              <w:rPr>
                <w:rFonts w:ascii="Verdana" w:eastAsia="Times New Roman" w:hAnsi="Verdana" w:cs="Calibri"/>
                <w:color w:val="000000"/>
                <w:sz w:val="18"/>
                <w:szCs w:val="18"/>
                <w:lang w:val="es-CO" w:eastAsia="es-CO"/>
              </w:rPr>
              <w:t>157</w:t>
            </w:r>
          </w:p>
        </w:tc>
        <w:tc>
          <w:tcPr>
            <w:tcW w:w="1200" w:type="dxa"/>
            <w:tcBorders>
              <w:top w:val="nil"/>
              <w:left w:val="nil"/>
              <w:bottom w:val="single" w:sz="4" w:space="0" w:color="auto"/>
              <w:right w:val="single" w:sz="4" w:space="0" w:color="auto"/>
            </w:tcBorders>
            <w:shd w:val="clear" w:color="auto" w:fill="auto"/>
            <w:noWrap/>
            <w:vAlign w:val="center"/>
            <w:hideMark/>
          </w:tcPr>
          <w:p w14:paraId="72DFBB7F" w14:textId="77777777" w:rsidR="001E09AC" w:rsidRPr="001E09AC" w:rsidRDefault="001E09AC" w:rsidP="001E09AC">
            <w:pPr>
              <w:jc w:val="center"/>
              <w:rPr>
                <w:rFonts w:ascii="Verdana" w:eastAsia="Times New Roman" w:hAnsi="Verdana" w:cs="Calibri"/>
                <w:color w:val="000000"/>
                <w:sz w:val="18"/>
                <w:szCs w:val="18"/>
                <w:lang w:val="es-CO" w:eastAsia="es-CO"/>
              </w:rPr>
            </w:pPr>
            <w:r w:rsidRPr="001E09AC">
              <w:rPr>
                <w:rFonts w:ascii="Verdana" w:eastAsia="Times New Roman" w:hAnsi="Verdana" w:cs="Calibri"/>
                <w:color w:val="000000"/>
                <w:sz w:val="18"/>
                <w:szCs w:val="18"/>
                <w:lang w:val="es-CO" w:eastAsia="es-CO"/>
              </w:rPr>
              <w:t>23</w:t>
            </w:r>
          </w:p>
        </w:tc>
      </w:tr>
    </w:tbl>
    <w:p w14:paraId="1A04B486" w14:textId="77777777" w:rsidR="00911C69" w:rsidRPr="00433E58" w:rsidRDefault="00911C69" w:rsidP="001E09AC">
      <w:pPr>
        <w:contextualSpacing/>
        <w:jc w:val="center"/>
        <w:rPr>
          <w:rFonts w:ascii="Verdana" w:hAnsi="Verdana" w:cs="Arial"/>
          <w:sz w:val="16"/>
          <w:szCs w:val="16"/>
        </w:rPr>
      </w:pPr>
      <w:r w:rsidRPr="00433E58">
        <w:rPr>
          <w:rFonts w:ascii="Verdana" w:hAnsi="Verdana" w:cs="Arial"/>
          <w:sz w:val="16"/>
          <w:szCs w:val="16"/>
        </w:rPr>
        <w:t xml:space="preserve">Fuente: </w:t>
      </w:r>
      <w:r w:rsidRPr="00433E58">
        <w:rPr>
          <w:rFonts w:ascii="Verdana" w:hAnsi="Verdana" w:cs="Arial"/>
          <w:bCs/>
          <w:sz w:val="16"/>
          <w:szCs w:val="16"/>
        </w:rPr>
        <w:t>Cálculos propios DAF según información presupuestal suministrada por la Entidad.</w:t>
      </w:r>
    </w:p>
    <w:p w14:paraId="418E499A" w14:textId="77777777" w:rsidR="00911C69" w:rsidRPr="00433E58" w:rsidRDefault="00911C69" w:rsidP="00911C69">
      <w:pPr>
        <w:contextualSpacing/>
        <w:jc w:val="both"/>
        <w:rPr>
          <w:rFonts w:ascii="Verdana" w:hAnsi="Verdana" w:cs="Arial"/>
          <w:sz w:val="22"/>
          <w:szCs w:val="22"/>
        </w:rPr>
      </w:pPr>
    </w:p>
    <w:p w14:paraId="0AAA7962" w14:textId="77777777" w:rsidR="00911C69" w:rsidRPr="00264E65" w:rsidRDefault="00911C69" w:rsidP="00911C69">
      <w:pPr>
        <w:contextualSpacing/>
        <w:jc w:val="both"/>
        <w:rPr>
          <w:rFonts w:ascii="Verdana" w:hAnsi="Verdana" w:cs="Arial"/>
          <w:bCs/>
          <w:sz w:val="22"/>
          <w:szCs w:val="22"/>
        </w:rPr>
      </w:pPr>
      <w:r w:rsidRPr="00264E65">
        <w:rPr>
          <w:rFonts w:ascii="Verdana" w:hAnsi="Verdana" w:cs="Arial"/>
          <w:sz w:val="22"/>
          <w:szCs w:val="22"/>
        </w:rPr>
        <w:t xml:space="preserve">Así mismo, considerando que, tal como se vio a través del informe de diagnóstico, el Municipio de Cota tiene un Fondo de Solidaridad y Redistribución del Ingreso que presenta superávit, se contempló la ocurrencia de lo establecido en el parágrafo 2 del artículo 1176 de 2007 </w:t>
      </w:r>
      <w:r w:rsidRPr="00264E65">
        <w:rPr>
          <w:rFonts w:ascii="Verdana" w:hAnsi="Verdana" w:cs="Arial"/>
          <w:bCs/>
          <w:sz w:val="22"/>
          <w:szCs w:val="22"/>
        </w:rPr>
        <w:t>sobre los municipios que hayan logrado el correspondiente equilibrio entre subsidios y contribuciones y la posibilidad de destinar un porcentaje menor de recursos SGP – APSB a la financiación de subsidios.</w:t>
      </w:r>
    </w:p>
    <w:p w14:paraId="48FF4F4F" w14:textId="77777777" w:rsidR="00911C69" w:rsidRPr="00264E65" w:rsidRDefault="00911C69" w:rsidP="00911C69">
      <w:pPr>
        <w:contextualSpacing/>
        <w:jc w:val="both"/>
        <w:rPr>
          <w:rFonts w:ascii="Verdana" w:hAnsi="Verdana" w:cs="Arial"/>
          <w:bCs/>
          <w:sz w:val="22"/>
          <w:szCs w:val="22"/>
        </w:rPr>
      </w:pPr>
    </w:p>
    <w:p w14:paraId="05927813" w14:textId="77777777" w:rsidR="00911C69" w:rsidRPr="00264E65" w:rsidRDefault="00911C69" w:rsidP="00911C69">
      <w:pPr>
        <w:contextualSpacing/>
        <w:jc w:val="both"/>
        <w:rPr>
          <w:rFonts w:ascii="Verdana" w:hAnsi="Verdana" w:cs="Arial"/>
          <w:bCs/>
          <w:sz w:val="22"/>
          <w:szCs w:val="22"/>
          <w:lang w:val="es-CO"/>
        </w:rPr>
      </w:pPr>
      <w:r w:rsidRPr="00264E65">
        <w:rPr>
          <w:rFonts w:ascii="Verdana" w:hAnsi="Verdana" w:cs="Arial"/>
          <w:bCs/>
          <w:sz w:val="22"/>
          <w:szCs w:val="22"/>
        </w:rPr>
        <w:t xml:space="preserve">Por lo anterior, teniendo en cuenta que el </w:t>
      </w:r>
      <w:r w:rsidRPr="00264E65">
        <w:rPr>
          <w:rFonts w:ascii="Verdana" w:hAnsi="Verdana" w:cs="Arial"/>
          <w:sz w:val="22"/>
          <w:szCs w:val="22"/>
        </w:rPr>
        <w:t xml:space="preserve">artículo </w:t>
      </w:r>
      <w:r w:rsidRPr="00264E65">
        <w:rPr>
          <w:rFonts w:ascii="Verdana" w:hAnsi="Verdana" w:cs="Arial"/>
          <w:bCs/>
          <w:sz w:val="22"/>
          <w:szCs w:val="22"/>
        </w:rPr>
        <w:t>2.3.5.1.3.24 del Decreto 1077 de 2015 estableció para los municipios que deseen destinar menos del 15 % de la Participación del SGP – APSB al otorgamiento de subsidios, la obligación de expedir una certificación que indique el monto a apropiar de dichos recursos destinado al otorgamiento de estos, manifestando que cumple con una serie de requisitos y que dicha certificación deberá ser cargada a través del Sistema Único de Información - SUI de acuerdo con lo establecido por la Superintendencia de Servicios Públicos Domiciliarios - SSPD, se revisó la Resolución 20151300054195 del 15 de diciembre de 2015 de dicha Entidad</w:t>
      </w:r>
      <w:r w:rsidRPr="00264E65">
        <w:rPr>
          <w:rFonts w:ascii="Verdana" w:hAnsi="Verdana" w:cs="Arial"/>
          <w:bCs/>
          <w:noProof/>
          <w:sz w:val="22"/>
          <w:szCs w:val="22"/>
          <w:lang w:val="es-CO" w:eastAsia="en-US"/>
        </w:rPr>
        <w:t xml:space="preserve"> “</w:t>
      </w:r>
      <w:r w:rsidRPr="00264E65">
        <w:rPr>
          <w:rFonts w:ascii="Verdana" w:hAnsi="Verdana" w:cs="Arial"/>
          <w:bCs/>
          <w:i/>
          <w:iCs/>
          <w:noProof/>
          <w:sz w:val="22"/>
          <w:szCs w:val="22"/>
          <w:lang w:val="es-CO" w:eastAsia="en-US"/>
        </w:rPr>
        <w:t>Por medio de la cual se modifica parcialmente la resolución SSPD 20101300048765 del 14 de diciembre de 2010, respecto de la información a cargar en el Sistema Único de Información – SUI, por parte de las alcaldías municipales y distritales, y autoridades ambientales, y se derogan los cargues de información de gobernaciones y gestores departamentales</w:t>
      </w:r>
      <w:r w:rsidRPr="00264E65">
        <w:rPr>
          <w:rFonts w:ascii="Verdana" w:hAnsi="Verdana" w:cs="Arial"/>
          <w:bCs/>
          <w:noProof/>
          <w:sz w:val="22"/>
          <w:szCs w:val="22"/>
          <w:lang w:val="es-CO" w:eastAsia="en-US"/>
        </w:rPr>
        <w:t xml:space="preserve">”. </w:t>
      </w:r>
      <w:r w:rsidRPr="00264E65">
        <w:rPr>
          <w:rFonts w:ascii="Verdana" w:hAnsi="Verdana" w:cs="Arial"/>
          <w:bCs/>
          <w:sz w:val="22"/>
          <w:szCs w:val="22"/>
          <w:lang w:val="es-CO"/>
        </w:rPr>
        <w:t xml:space="preserve">Dicha Resolución establece en su anexo a través del título I, capítulo 2, la obligación a los alcaldes </w:t>
      </w:r>
      <w:r w:rsidRPr="00264E65">
        <w:rPr>
          <w:rFonts w:ascii="Verdana" w:hAnsi="Verdana" w:cs="Arial"/>
          <w:bCs/>
          <w:sz w:val="22"/>
          <w:szCs w:val="22"/>
          <w:lang w:val="es-CO"/>
        </w:rPr>
        <w:lastRenderedPageBreak/>
        <w:t>municipales y distritales de cargar a través del aplicativo Inspector del SUI, una serie de documentos que soportan el cumplimiento de las obligaciones legales vigentes, los cuales aplican de acuerdo con la condición de si el municipio es prestador directo o no de los servicios públicos domiciliarios registrado en el RUPS de la SSPD.</w:t>
      </w:r>
    </w:p>
    <w:p w14:paraId="5F15135E" w14:textId="77777777" w:rsidR="00911C69" w:rsidRPr="00264E65" w:rsidRDefault="00911C69" w:rsidP="00911C69">
      <w:pPr>
        <w:contextualSpacing/>
        <w:jc w:val="both"/>
        <w:rPr>
          <w:rFonts w:ascii="Verdana" w:hAnsi="Verdana" w:cs="Arial"/>
          <w:bCs/>
          <w:sz w:val="22"/>
          <w:szCs w:val="22"/>
          <w:lang w:val="es-CO"/>
        </w:rPr>
      </w:pPr>
    </w:p>
    <w:p w14:paraId="4694EC44" w14:textId="77777777" w:rsidR="00911C69" w:rsidRPr="00264E65" w:rsidRDefault="00911C69" w:rsidP="00911C69">
      <w:pPr>
        <w:contextualSpacing/>
        <w:jc w:val="both"/>
        <w:rPr>
          <w:rFonts w:ascii="Verdana" w:hAnsi="Verdana" w:cs="Arial"/>
          <w:bCs/>
          <w:sz w:val="22"/>
          <w:szCs w:val="22"/>
          <w:lang w:val="es-CO"/>
        </w:rPr>
      </w:pPr>
      <w:r w:rsidRPr="00264E65">
        <w:rPr>
          <w:rFonts w:ascii="Verdana" w:hAnsi="Verdana" w:cs="Arial"/>
          <w:bCs/>
          <w:sz w:val="22"/>
          <w:szCs w:val="22"/>
          <w:lang w:val="es-CO"/>
        </w:rPr>
        <w:t>Entre dicha serie de documentos se encuentra en el No. 12, la certificación del monto a apropiar de los recursos SGP, la cual se carga anualmente (vigencia vencida) y establece como condición para todos los casos, que sea a petición de las alcaldías (Decreto 1077 artículo 2.3.5.1.3.24). Adicionalmente, cabe indicar que según el título III, capítulo 1 de la mencionada Resolución SSPD, los documentos de Inspector tienen como fecha límite de cargue el 30 de abril de cada año.</w:t>
      </w:r>
    </w:p>
    <w:p w14:paraId="5A38D4DA" w14:textId="77777777" w:rsidR="00911C69" w:rsidRPr="00264E65" w:rsidRDefault="00911C69" w:rsidP="00911C69">
      <w:pPr>
        <w:contextualSpacing/>
        <w:jc w:val="both"/>
        <w:rPr>
          <w:rFonts w:ascii="Verdana" w:hAnsi="Verdana" w:cs="Arial"/>
          <w:bCs/>
          <w:sz w:val="22"/>
          <w:szCs w:val="22"/>
          <w:lang w:val="es-CO"/>
        </w:rPr>
      </w:pPr>
    </w:p>
    <w:p w14:paraId="514A9B77"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bCs/>
          <w:sz w:val="22"/>
          <w:szCs w:val="22"/>
          <w:lang w:val="es-CO"/>
        </w:rPr>
        <w:t xml:space="preserve">Teniendo en cuenta todo lo anterior, el 15 de julio de 2022 se consultó el cargue de información realizado por el Municipio para la vigencia 2021 en el Inspector del SUI, por medio de este se pudo ver que el Municipio de Cota – Cundinamarca no realizó el reporte del numeral 12, lo cual indica, considerando lo establecido en el </w:t>
      </w:r>
      <w:r w:rsidRPr="00264E65">
        <w:rPr>
          <w:rFonts w:ascii="Verdana" w:hAnsi="Verdana" w:cs="Arial"/>
          <w:sz w:val="22"/>
          <w:szCs w:val="22"/>
        </w:rPr>
        <w:t xml:space="preserve">artículo </w:t>
      </w:r>
      <w:r w:rsidRPr="00264E65">
        <w:rPr>
          <w:rFonts w:ascii="Verdana" w:hAnsi="Verdana" w:cs="Arial"/>
          <w:bCs/>
          <w:sz w:val="22"/>
          <w:szCs w:val="22"/>
        </w:rPr>
        <w:t xml:space="preserve">2.3.5.1.3.24 del Decreto 1077 de 2015, que en el caso en que hayan logrado el correspondiente equilibrio entre subsidios y contribuciones, no deseaba destinar menos del 15 % de la Participación del SGP – APSB al otorgamiento de subsidios durante la vigencia 2021, razón por la cual, es evidente el incumplimiento de lo establecido en el parágrafo 2 del artículo 11 de la Ley 1176 de 2007 sobre la destinación de mínimo el 15 % de los recursos de la Participación para APSB del SGP </w:t>
      </w:r>
      <w:r w:rsidRPr="00264E65">
        <w:rPr>
          <w:rFonts w:ascii="Verdana" w:hAnsi="Verdana" w:cs="Arial"/>
          <w:sz w:val="22"/>
          <w:szCs w:val="22"/>
        </w:rPr>
        <w:t>en la financiación de subsidios para los Servicios de Acueducto, Alcantarillado y Aseo.</w:t>
      </w:r>
    </w:p>
    <w:p w14:paraId="363B1021" w14:textId="77777777" w:rsidR="00911C69" w:rsidRPr="00264E65" w:rsidRDefault="00911C69" w:rsidP="00911C69">
      <w:pPr>
        <w:contextualSpacing/>
        <w:jc w:val="both"/>
        <w:rPr>
          <w:rFonts w:ascii="Verdana" w:hAnsi="Verdana" w:cs="Arial"/>
          <w:bCs/>
          <w:sz w:val="22"/>
          <w:szCs w:val="22"/>
        </w:rPr>
      </w:pPr>
    </w:p>
    <w:p w14:paraId="12E68B0C" w14:textId="77777777" w:rsidR="00911C69" w:rsidRPr="00264E65" w:rsidRDefault="00911C69" w:rsidP="00911C69">
      <w:pPr>
        <w:contextualSpacing/>
        <w:jc w:val="both"/>
        <w:rPr>
          <w:rStyle w:val="Hipervnculo"/>
          <w:rFonts w:ascii="Verdana" w:hAnsi="Verdana" w:cs="Arial"/>
          <w:sz w:val="22"/>
          <w:szCs w:val="22"/>
        </w:rPr>
      </w:pPr>
      <w:r w:rsidRPr="00264E65">
        <w:rPr>
          <w:rFonts w:ascii="Verdana" w:hAnsi="Verdana" w:cs="Arial"/>
          <w:sz w:val="22"/>
          <w:szCs w:val="22"/>
        </w:rPr>
        <w:t>Finalmente, es importante señalar que el artículo 2.3.5.1.6.3.41 del Decreto 1077 de 2015, estableció que el indicador “</w:t>
      </w:r>
      <w:r w:rsidRPr="00264E65">
        <w:rPr>
          <w:rFonts w:ascii="Verdana" w:hAnsi="Verdana" w:cs="Arial"/>
          <w:i/>
          <w:iCs/>
          <w:sz w:val="22"/>
          <w:szCs w:val="22"/>
        </w:rPr>
        <w:t>Giro menor al 15% del SGP-APSB o del porcentaje mínimo que establezca la reglamentación del parágrafo segundo del artículo 11 de la Ley 1176 de 2007</w:t>
      </w:r>
      <w:r w:rsidRPr="00264E65">
        <w:rPr>
          <w:rFonts w:ascii="Verdana" w:hAnsi="Verdana" w:cs="Arial"/>
          <w:sz w:val="22"/>
          <w:szCs w:val="22"/>
        </w:rPr>
        <w:t>” corresponde al criterio “</w:t>
      </w:r>
      <w:r w:rsidRPr="00264E65">
        <w:rPr>
          <w:rFonts w:ascii="Verdana" w:hAnsi="Verdana" w:cs="Arial"/>
          <w:i/>
          <w:iCs/>
          <w:sz w:val="22"/>
          <w:szCs w:val="22"/>
          <w:shd w:val="clear" w:color="auto" w:fill="FFFFFF"/>
        </w:rPr>
        <w:t>Ejecución del presupuesto para el sector de Agua Potable y Saneamiento Básico atendiendo el pago de subsidios a estratos subsidiables cumpliendo el porcentaje mínimo establecido en la ley para los municipios de categoría 2, 3, 4, 5 y 6</w:t>
      </w:r>
      <w:r w:rsidRPr="00264E65">
        <w:rPr>
          <w:rFonts w:ascii="Verdana" w:hAnsi="Verdana" w:cs="Arial"/>
          <w:sz w:val="22"/>
          <w:szCs w:val="22"/>
          <w:shd w:val="clear" w:color="auto" w:fill="FFFFFF"/>
        </w:rPr>
        <w:t>” del evento de riesgo “</w:t>
      </w:r>
      <w:r w:rsidRPr="00264E65">
        <w:rPr>
          <w:rFonts w:ascii="Verdana" w:hAnsi="Verdana" w:cs="Arial"/>
          <w:i/>
          <w:iCs/>
          <w:sz w:val="22"/>
          <w:szCs w:val="22"/>
          <w:shd w:val="clear" w:color="auto" w:fill="FFFFFF"/>
        </w:rPr>
        <w:t>Cambio en la destinación de los recursos</w:t>
      </w:r>
      <w:r w:rsidRPr="00264E65">
        <w:rPr>
          <w:rFonts w:ascii="Verdana" w:hAnsi="Verdana" w:cs="Arial"/>
          <w:sz w:val="22"/>
          <w:szCs w:val="22"/>
          <w:shd w:val="clear" w:color="auto" w:fill="FFFFFF"/>
        </w:rPr>
        <w:t>”.</w:t>
      </w:r>
    </w:p>
    <w:p w14:paraId="317102A8" w14:textId="77777777" w:rsidR="00911C69" w:rsidRPr="00264E65" w:rsidRDefault="00911C69" w:rsidP="00911C69">
      <w:pPr>
        <w:tabs>
          <w:tab w:val="left" w:pos="8460"/>
        </w:tabs>
        <w:contextualSpacing/>
        <w:jc w:val="both"/>
        <w:rPr>
          <w:rStyle w:val="Hipervnculo"/>
          <w:rFonts w:ascii="Verdana" w:hAnsi="Verdana" w:cs="Arial"/>
          <w:sz w:val="22"/>
          <w:szCs w:val="22"/>
        </w:rPr>
      </w:pPr>
    </w:p>
    <w:p w14:paraId="577FC2D1" w14:textId="77777777" w:rsidR="00911C69" w:rsidRPr="00264E65" w:rsidRDefault="00911C69" w:rsidP="00911C69">
      <w:pPr>
        <w:tabs>
          <w:tab w:val="left" w:pos="8460"/>
        </w:tabs>
        <w:contextualSpacing/>
        <w:jc w:val="both"/>
        <w:rPr>
          <w:rFonts w:ascii="Verdana" w:hAnsi="Verdana" w:cs="Arial"/>
          <w:b/>
          <w:sz w:val="22"/>
          <w:szCs w:val="22"/>
        </w:rPr>
      </w:pPr>
      <w:r w:rsidRPr="00264E65">
        <w:rPr>
          <w:rFonts w:ascii="Verdana" w:hAnsi="Verdana" w:cs="Arial"/>
          <w:b/>
          <w:sz w:val="22"/>
          <w:szCs w:val="22"/>
        </w:rPr>
        <w:t>EVIDENCIA:</w:t>
      </w:r>
    </w:p>
    <w:p w14:paraId="5B61B952" w14:textId="77777777" w:rsidR="00911C69" w:rsidRPr="00264E65" w:rsidRDefault="00911C69" w:rsidP="00911C69">
      <w:pPr>
        <w:tabs>
          <w:tab w:val="left" w:pos="8460"/>
        </w:tabs>
        <w:contextualSpacing/>
        <w:jc w:val="both"/>
        <w:rPr>
          <w:rFonts w:ascii="Verdana" w:hAnsi="Verdana" w:cs="Arial"/>
          <w:b/>
          <w:sz w:val="22"/>
          <w:szCs w:val="22"/>
        </w:rPr>
      </w:pPr>
    </w:p>
    <w:p w14:paraId="4F0F601F"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Obra en el expediente digital en el Sistema de Información Electrónica Documental – SIED del Ministerio de Hacienda y Crédito Público No. 12/2019/D028-PREDI el siguiente material probatorio:</w:t>
      </w:r>
    </w:p>
    <w:p w14:paraId="1BE75D3B" w14:textId="77777777" w:rsidR="00911C69" w:rsidRPr="00264E65" w:rsidRDefault="00911C69" w:rsidP="00911C69">
      <w:pPr>
        <w:contextualSpacing/>
        <w:jc w:val="both"/>
        <w:rPr>
          <w:rFonts w:ascii="Verdana" w:hAnsi="Verdana" w:cs="Arial"/>
          <w:sz w:val="22"/>
          <w:szCs w:val="22"/>
        </w:rPr>
      </w:pPr>
    </w:p>
    <w:p w14:paraId="15F05D5A"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s-CO"/>
        </w:rPr>
      </w:pPr>
      <w:r w:rsidRPr="00264E65">
        <w:rPr>
          <w:rFonts w:ascii="Verdana" w:hAnsi="Verdana" w:cs="Arial"/>
          <w:sz w:val="22"/>
          <w:szCs w:val="22"/>
        </w:rPr>
        <w:t xml:space="preserve">Ejecución presupuestal de gastos del Municipio de Cota – Cundinamarca de la vigencia 2021.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 xml:space="preserve">Historial de Seguimiento y Control a la </w:t>
      </w:r>
      <w:r w:rsidRPr="00264E65">
        <w:rPr>
          <w:rFonts w:ascii="Verdana" w:hAnsi="Verdana" w:cs="Arial"/>
          <w:i/>
          <w:iCs/>
          <w:sz w:val="22"/>
          <w:szCs w:val="22"/>
          <w:lang w:val="es-CO" w:eastAsia="es-CO"/>
        </w:rPr>
        <w:lastRenderedPageBreak/>
        <w:t>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Enlace: </w:t>
      </w:r>
      <w:hyperlink r:id="rId26" w:history="1">
        <w:r w:rsidRPr="00264E65">
          <w:rPr>
            <w:rStyle w:val="Hipervnculo"/>
            <w:rFonts w:ascii="Verdana" w:hAnsi="Verdana" w:cs="Arial"/>
            <w:sz w:val="22"/>
            <w:szCs w:val="22"/>
            <w:lang w:val="es-CO" w:eastAsia="es-CO"/>
          </w:rPr>
          <w:t>https://bit.ly/3yHcnr3</w:t>
        </w:r>
      </w:hyperlink>
      <w:r w:rsidRPr="00264E65">
        <w:rPr>
          <w:rFonts w:ascii="Verdana" w:hAnsi="Verdana" w:cs="Arial"/>
          <w:sz w:val="22"/>
          <w:szCs w:val="22"/>
          <w:lang w:val="es-CO" w:eastAsia="es-CO"/>
        </w:rPr>
        <w:t xml:space="preserve"> </w:t>
      </w:r>
    </w:p>
    <w:p w14:paraId="413A1306" w14:textId="77777777" w:rsidR="00911C69" w:rsidRPr="00264E65" w:rsidRDefault="00911C69" w:rsidP="00911C69">
      <w:pPr>
        <w:pStyle w:val="Prrafodelista"/>
        <w:jc w:val="both"/>
        <w:rPr>
          <w:rStyle w:val="Hipervnculo"/>
          <w:rFonts w:ascii="Verdana" w:hAnsi="Verdana" w:cs="Arial"/>
          <w:sz w:val="22"/>
          <w:szCs w:val="22"/>
          <w:highlight w:val="yellow"/>
          <w:lang w:val="es-CO"/>
        </w:rPr>
      </w:pPr>
    </w:p>
    <w:p w14:paraId="6BF89209"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n-US"/>
        </w:rPr>
      </w:pPr>
      <w:r w:rsidRPr="00264E65">
        <w:rPr>
          <w:rFonts w:ascii="Verdana" w:hAnsi="Verdana" w:cs="Arial"/>
          <w:sz w:val="22"/>
          <w:szCs w:val="22"/>
        </w:rPr>
        <w:t xml:space="preserve">CDP No. 2021001045 del 14 de septiembre de 2021 y CDP No. 2021001362 del 4 de noviembre de 2021.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27" w:history="1">
        <w:r w:rsidRPr="00264E65">
          <w:rPr>
            <w:rStyle w:val="Hipervnculo"/>
            <w:rFonts w:ascii="Verdana" w:hAnsi="Verdana" w:cs="Arial"/>
            <w:sz w:val="22"/>
            <w:szCs w:val="22"/>
            <w:lang w:val="en-US" w:eastAsia="es-CO"/>
          </w:rPr>
          <w:t>https://bit.ly/3z6C9Xg</w:t>
        </w:r>
      </w:hyperlink>
      <w:r w:rsidRPr="00264E65">
        <w:rPr>
          <w:rFonts w:ascii="Verdana" w:hAnsi="Verdana" w:cs="Arial"/>
          <w:sz w:val="22"/>
          <w:szCs w:val="22"/>
          <w:lang w:val="en-US" w:eastAsia="es-CO"/>
        </w:rPr>
        <w:t xml:space="preserve"> </w:t>
      </w:r>
    </w:p>
    <w:p w14:paraId="3A0760B3" w14:textId="77777777" w:rsidR="00911C69" w:rsidRPr="00264E65" w:rsidRDefault="00911C69" w:rsidP="00911C69">
      <w:pPr>
        <w:pStyle w:val="Prrafodelista"/>
        <w:rPr>
          <w:rFonts w:ascii="Verdana" w:hAnsi="Verdana" w:cs="Arial"/>
          <w:sz w:val="22"/>
          <w:szCs w:val="22"/>
          <w:lang w:val="en-US"/>
        </w:rPr>
      </w:pPr>
    </w:p>
    <w:p w14:paraId="48158F90" w14:textId="77777777" w:rsidR="00911C69" w:rsidRPr="00264E65" w:rsidRDefault="00911C69" w:rsidP="00911C69">
      <w:pPr>
        <w:pStyle w:val="Prrafodelista"/>
        <w:numPr>
          <w:ilvl w:val="0"/>
          <w:numId w:val="8"/>
        </w:numPr>
        <w:tabs>
          <w:tab w:val="left" w:pos="8460"/>
        </w:tabs>
        <w:jc w:val="both"/>
        <w:rPr>
          <w:rFonts w:ascii="Verdana" w:hAnsi="Verdana" w:cs="Arial"/>
          <w:sz w:val="22"/>
          <w:szCs w:val="22"/>
          <w:lang w:val="en-US"/>
        </w:rPr>
      </w:pPr>
      <w:r w:rsidRPr="00264E65">
        <w:rPr>
          <w:rFonts w:ascii="Verdana" w:hAnsi="Verdana" w:cs="Arial"/>
          <w:sz w:val="22"/>
          <w:szCs w:val="22"/>
          <w:lang w:val="es-CO"/>
        </w:rPr>
        <w:t>R</w:t>
      </w:r>
      <w:r w:rsidRPr="00264E65">
        <w:rPr>
          <w:rFonts w:ascii="Verdana" w:hAnsi="Verdana" w:cs="Arial"/>
          <w:sz w:val="22"/>
          <w:szCs w:val="22"/>
        </w:rPr>
        <w:t xml:space="preserve">P No. 2021001363 del 20 de septiembre de 2021 y CDP No. 2021001644 del 4 de noviembre de 2021.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w:t>
      </w:r>
      <w:r w:rsidRPr="00264E65">
        <w:rPr>
          <w:rFonts w:ascii="Verdana" w:hAnsi="Verdana" w:cs="Arial"/>
          <w:sz w:val="22"/>
          <w:szCs w:val="22"/>
        </w:rPr>
        <w:t>12/2019/D028-PREDI</w:t>
      </w:r>
      <w:r w:rsidRPr="00264E65">
        <w:rPr>
          <w:rFonts w:ascii="Verdana" w:hAnsi="Verdana" w:cs="Arial"/>
          <w:sz w:val="22"/>
          <w:szCs w:val="22"/>
          <w:lang w:val="es-CO" w:eastAsia="es-CO"/>
        </w:rPr>
        <w:t xml:space="preserve">. Radicado No. 1-2022-030600 del 22 de abril de 2022. </w:t>
      </w:r>
      <w:r w:rsidRPr="00264E65">
        <w:rPr>
          <w:rFonts w:ascii="Verdana" w:hAnsi="Verdana" w:cs="Arial"/>
          <w:sz w:val="22"/>
          <w:szCs w:val="22"/>
          <w:lang w:val="en-US" w:eastAsia="es-CO"/>
        </w:rPr>
        <w:t xml:space="preserve">Enlace: </w:t>
      </w:r>
      <w:hyperlink r:id="rId28" w:history="1">
        <w:r w:rsidRPr="00264E65">
          <w:rPr>
            <w:rStyle w:val="Hipervnculo"/>
            <w:rFonts w:ascii="Verdana" w:hAnsi="Verdana" w:cs="Arial"/>
            <w:sz w:val="22"/>
            <w:szCs w:val="22"/>
            <w:lang w:val="en-US" w:eastAsia="es-CO"/>
          </w:rPr>
          <w:t>https://bit.ly/3PxaSm9</w:t>
        </w:r>
      </w:hyperlink>
      <w:r w:rsidRPr="00264E65">
        <w:rPr>
          <w:rFonts w:ascii="Verdana" w:hAnsi="Verdana" w:cs="Arial"/>
          <w:sz w:val="22"/>
          <w:szCs w:val="22"/>
          <w:lang w:val="en-US" w:eastAsia="es-CO"/>
        </w:rPr>
        <w:t xml:space="preserve"> </w:t>
      </w:r>
    </w:p>
    <w:p w14:paraId="7E316DA9" w14:textId="77777777" w:rsidR="00911C69" w:rsidRPr="00264E65" w:rsidRDefault="00911C69" w:rsidP="00911C69">
      <w:pPr>
        <w:pStyle w:val="Prrafodelista"/>
        <w:rPr>
          <w:rFonts w:ascii="Verdana" w:hAnsi="Verdana" w:cs="Arial"/>
          <w:sz w:val="22"/>
          <w:szCs w:val="22"/>
          <w:lang w:val="en-US"/>
        </w:rPr>
      </w:pPr>
    </w:p>
    <w:p w14:paraId="4948F13E"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 xml:space="preserve">Pantallazo Inspector del SUI de la Superintendencia de Servicios Públicos Domiciliarios. Cumplimiento de indicadores, porcentajes de cargue y cumplimiento de Cota – Cundinamarca (Consultado el 15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12/2019/D028-PREDI. </w:t>
      </w:r>
      <w:r w:rsidRPr="00264E65">
        <w:rPr>
          <w:rFonts w:ascii="Verdana" w:hAnsi="Verdana" w:cs="Arial"/>
          <w:sz w:val="22"/>
          <w:szCs w:val="22"/>
          <w:lang w:val="en-US" w:eastAsia="es-CO"/>
        </w:rPr>
        <w:t xml:space="preserve">Enlace: </w:t>
      </w:r>
      <w:hyperlink r:id="rId29" w:history="1">
        <w:r w:rsidRPr="00264E65">
          <w:rPr>
            <w:rStyle w:val="Hipervnculo"/>
            <w:rFonts w:ascii="Verdana" w:hAnsi="Verdana" w:cs="Arial"/>
            <w:sz w:val="22"/>
            <w:szCs w:val="22"/>
            <w:lang w:val="en-US" w:eastAsia="es-CO"/>
          </w:rPr>
          <w:t>https://bit.ly/3RELiO8</w:t>
        </w:r>
      </w:hyperlink>
      <w:r w:rsidRPr="00264E65">
        <w:rPr>
          <w:rFonts w:ascii="Verdana" w:hAnsi="Verdana" w:cs="Arial"/>
          <w:sz w:val="22"/>
          <w:szCs w:val="22"/>
          <w:lang w:val="en-US" w:eastAsia="es-CO"/>
        </w:rPr>
        <w:t xml:space="preserve"> </w:t>
      </w:r>
    </w:p>
    <w:p w14:paraId="0E5BB350" w14:textId="77777777" w:rsidR="00911C69" w:rsidRPr="00264E65" w:rsidRDefault="00911C69" w:rsidP="00911C69">
      <w:pPr>
        <w:contextualSpacing/>
        <w:jc w:val="both"/>
        <w:rPr>
          <w:rFonts w:ascii="Verdana" w:eastAsiaTheme="minorHAnsi" w:hAnsi="Verdana" w:cs="Arial"/>
          <w:b/>
          <w:sz w:val="22"/>
          <w:szCs w:val="22"/>
          <w:lang w:val="es-CO" w:eastAsia="en-US"/>
        </w:rPr>
      </w:pPr>
    </w:p>
    <w:p w14:paraId="6EFACB18" w14:textId="77777777" w:rsidR="00911C69" w:rsidRPr="00264E65" w:rsidRDefault="00911C69" w:rsidP="00911C69">
      <w:pPr>
        <w:pStyle w:val="Sinespaciado"/>
        <w:contextualSpacing/>
        <w:jc w:val="both"/>
        <w:rPr>
          <w:rFonts w:ascii="Verdana" w:hAnsi="Verdana" w:cs="Arial"/>
          <w:b/>
        </w:rPr>
      </w:pPr>
      <w:r w:rsidRPr="00264E65">
        <w:rPr>
          <w:rFonts w:ascii="Verdana" w:hAnsi="Verdana" w:cs="Arial"/>
          <w:b/>
        </w:rPr>
        <w:t>EVENTO DE RIESGO 9.10 “</w:t>
      </w:r>
      <w:r w:rsidRPr="00264E65">
        <w:rPr>
          <w:rFonts w:ascii="Verdana" w:hAnsi="Verdana" w:cs="Arial"/>
          <w:b/>
          <w:i/>
          <w:iCs/>
        </w:rPr>
        <w:t>NO PUBLICAR LOS ACTOS ADMINISTRATIVOS, CONTRATOS, CONVENIOS E INFORMES, CUANDO LA LEY LO EXIJA</w:t>
      </w:r>
      <w:r w:rsidRPr="00264E65">
        <w:rPr>
          <w:rFonts w:ascii="Verdana" w:hAnsi="Verdana" w:cs="Arial"/>
          <w:b/>
        </w:rPr>
        <w:t>”.</w:t>
      </w:r>
    </w:p>
    <w:p w14:paraId="264E390D" w14:textId="77777777" w:rsidR="00911C69" w:rsidRPr="00264E65" w:rsidRDefault="00911C69" w:rsidP="00911C69">
      <w:pPr>
        <w:pStyle w:val="Sinespaciado"/>
        <w:contextualSpacing/>
        <w:jc w:val="both"/>
        <w:rPr>
          <w:rFonts w:ascii="Verdana" w:hAnsi="Verdana" w:cs="Arial"/>
          <w:b/>
        </w:rPr>
      </w:pPr>
    </w:p>
    <w:p w14:paraId="21EF7FC4" w14:textId="77777777" w:rsidR="00911C69" w:rsidRPr="00264E65" w:rsidRDefault="00911C69" w:rsidP="00911C69">
      <w:pPr>
        <w:contextualSpacing/>
        <w:jc w:val="both"/>
        <w:rPr>
          <w:rFonts w:ascii="Verdana" w:hAnsi="Verdana" w:cs="Arial"/>
          <w:b/>
          <w:sz w:val="22"/>
          <w:szCs w:val="22"/>
        </w:rPr>
      </w:pPr>
      <w:r w:rsidRPr="00264E65">
        <w:rPr>
          <w:rFonts w:ascii="Verdana" w:hAnsi="Verdana" w:cs="Arial"/>
          <w:b/>
          <w:sz w:val="22"/>
          <w:szCs w:val="22"/>
        </w:rPr>
        <w:t>CONFIGURACIÓN DEL EVENTO DE RIESGO.</w:t>
      </w:r>
    </w:p>
    <w:p w14:paraId="7C054616" w14:textId="77777777" w:rsidR="00911C69" w:rsidRPr="00264E65" w:rsidRDefault="00911C69" w:rsidP="00911C69">
      <w:pPr>
        <w:contextualSpacing/>
        <w:jc w:val="both"/>
        <w:rPr>
          <w:rFonts w:ascii="Verdana" w:hAnsi="Verdana" w:cs="Arial"/>
          <w:sz w:val="22"/>
          <w:szCs w:val="22"/>
        </w:rPr>
      </w:pPr>
    </w:p>
    <w:p w14:paraId="715EA98F"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El artículo 2.2.1.1.1.7.1 del Decreto 1082 de 2015, determinó que “</w:t>
      </w:r>
      <w:r w:rsidRPr="00264E65">
        <w:rPr>
          <w:rFonts w:ascii="Verdana" w:hAnsi="Verdana" w:cs="Arial"/>
          <w:i/>
          <w:iCs/>
          <w:sz w:val="22"/>
          <w:szCs w:val="22"/>
        </w:rPr>
        <w:t>La Entidad Estatal está obligada a publicar en el SECOP los Documentos del Proceso y los actos administrativos del Proceso de Contratación, dentro de los tres (3) días siguientes a su expedición. [...]</w:t>
      </w:r>
      <w:r w:rsidRPr="00264E65">
        <w:rPr>
          <w:rFonts w:ascii="Verdana" w:hAnsi="Verdana" w:cs="Arial"/>
          <w:sz w:val="22"/>
          <w:szCs w:val="22"/>
        </w:rPr>
        <w:t>”.</w:t>
      </w:r>
    </w:p>
    <w:p w14:paraId="579BBE9F" w14:textId="77777777" w:rsidR="00911C69" w:rsidRPr="00264E65" w:rsidRDefault="00911C69" w:rsidP="00911C69">
      <w:pPr>
        <w:contextualSpacing/>
        <w:jc w:val="both"/>
        <w:rPr>
          <w:rFonts w:ascii="Verdana" w:hAnsi="Verdana" w:cs="Arial"/>
          <w:sz w:val="22"/>
          <w:szCs w:val="22"/>
        </w:rPr>
      </w:pPr>
    </w:p>
    <w:p w14:paraId="0CECB45A"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Al respecto ha manifestado la Agencia Nacional de Contratación Pública – Colombia Compra Eficiente a través de la Circular Externa No. 1 del 21 de junio de 2013 que “</w:t>
      </w:r>
      <w:r w:rsidRPr="00264E65">
        <w:rPr>
          <w:rFonts w:ascii="Verdana" w:hAnsi="Verdana" w:cs="Arial"/>
          <w:i/>
          <w:iCs/>
          <w:sz w:val="22"/>
          <w:szCs w:val="22"/>
        </w:rPr>
        <w:t xml:space="preserve">[…] Las entidades que contratan con cargo a recursos públicos están obligadas a publicar oportunamente su actividad contractual en el SECOP, sin que sea relevante para la exigencia de esta obligación su régimen jurídico, naturaleza de público o </w:t>
      </w:r>
      <w:r w:rsidRPr="00264E65">
        <w:rPr>
          <w:rFonts w:ascii="Verdana" w:hAnsi="Verdana" w:cs="Arial"/>
          <w:i/>
          <w:iCs/>
          <w:sz w:val="22"/>
          <w:szCs w:val="22"/>
        </w:rPr>
        <w:lastRenderedPageBreak/>
        <w:t>privado o la pertenencia a una u otra rama del poder público. Las instituciones que ejecutan recursos públicos sin ser entidades del Estado están obligadas a publicar en el SECOP su actividad contractual que se ejecute con cargo a recursos públicos. […]</w:t>
      </w:r>
      <w:r w:rsidRPr="00264E65">
        <w:rPr>
          <w:rFonts w:ascii="Verdana" w:hAnsi="Verdana" w:cs="Arial"/>
          <w:sz w:val="22"/>
          <w:szCs w:val="22"/>
        </w:rPr>
        <w:t>”.</w:t>
      </w:r>
    </w:p>
    <w:p w14:paraId="6FCFAB52" w14:textId="77777777" w:rsidR="00911C69" w:rsidRPr="00264E65" w:rsidRDefault="00911C69" w:rsidP="00911C69">
      <w:pPr>
        <w:contextualSpacing/>
        <w:jc w:val="both"/>
        <w:rPr>
          <w:rFonts w:ascii="Verdana" w:hAnsi="Verdana" w:cs="Arial"/>
          <w:sz w:val="22"/>
          <w:szCs w:val="22"/>
        </w:rPr>
      </w:pPr>
    </w:p>
    <w:p w14:paraId="0CEC65B3"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Teniendo en cuenta lo anterior y la relación de contratos celebrados por el Municipio de Cota - Cundinamarca, se realizó la verificación del cumplimiento de la obligación de publicar en el SECOP los documentos y los actos administrativos del proceso de contratación de las vigencias 2019 – 2021, evidenciándose lo siguiente:</w:t>
      </w:r>
    </w:p>
    <w:p w14:paraId="64062FB5" w14:textId="77777777" w:rsidR="00911C69" w:rsidRPr="00264E65" w:rsidRDefault="00911C69" w:rsidP="00911C69">
      <w:pPr>
        <w:contextualSpacing/>
        <w:jc w:val="both"/>
        <w:rPr>
          <w:rFonts w:ascii="Verdana" w:hAnsi="Verdana" w:cs="Arial"/>
          <w:sz w:val="22"/>
          <w:szCs w:val="22"/>
        </w:rPr>
      </w:pPr>
    </w:p>
    <w:p w14:paraId="5C612EFC" w14:textId="77777777" w:rsidR="00AB0D36" w:rsidRDefault="00AB0D36" w:rsidP="00911C69">
      <w:pPr>
        <w:autoSpaceDE w:val="0"/>
        <w:autoSpaceDN w:val="0"/>
        <w:adjustRightInd w:val="0"/>
        <w:contextualSpacing/>
        <w:jc w:val="center"/>
        <w:rPr>
          <w:rFonts w:ascii="Verdana" w:hAnsi="Verdana" w:cs="Arial"/>
          <w:b/>
          <w:sz w:val="22"/>
          <w:szCs w:val="22"/>
        </w:rPr>
      </w:pPr>
    </w:p>
    <w:p w14:paraId="17545988" w14:textId="77777777" w:rsidR="00AB0D36" w:rsidRDefault="00AB0D36" w:rsidP="00911C69">
      <w:pPr>
        <w:autoSpaceDE w:val="0"/>
        <w:autoSpaceDN w:val="0"/>
        <w:adjustRightInd w:val="0"/>
        <w:contextualSpacing/>
        <w:jc w:val="center"/>
        <w:rPr>
          <w:rFonts w:ascii="Verdana" w:hAnsi="Verdana" w:cs="Arial"/>
          <w:b/>
          <w:sz w:val="22"/>
          <w:szCs w:val="22"/>
        </w:rPr>
      </w:pPr>
    </w:p>
    <w:p w14:paraId="19FB8409" w14:textId="77777777" w:rsidR="00AB0D36" w:rsidRDefault="00AB0D36" w:rsidP="00911C69">
      <w:pPr>
        <w:autoSpaceDE w:val="0"/>
        <w:autoSpaceDN w:val="0"/>
        <w:adjustRightInd w:val="0"/>
        <w:contextualSpacing/>
        <w:jc w:val="center"/>
        <w:rPr>
          <w:rFonts w:ascii="Verdana" w:hAnsi="Verdana" w:cs="Arial"/>
          <w:b/>
          <w:sz w:val="22"/>
          <w:szCs w:val="22"/>
        </w:rPr>
      </w:pPr>
    </w:p>
    <w:p w14:paraId="610507A3" w14:textId="77777777" w:rsidR="00AB0D36" w:rsidRDefault="00AB0D36" w:rsidP="00911C69">
      <w:pPr>
        <w:autoSpaceDE w:val="0"/>
        <w:autoSpaceDN w:val="0"/>
        <w:adjustRightInd w:val="0"/>
        <w:contextualSpacing/>
        <w:jc w:val="center"/>
        <w:rPr>
          <w:rFonts w:ascii="Verdana" w:hAnsi="Verdana" w:cs="Arial"/>
          <w:b/>
          <w:sz w:val="22"/>
          <w:szCs w:val="22"/>
        </w:rPr>
      </w:pPr>
    </w:p>
    <w:p w14:paraId="1902E52A" w14:textId="77777777" w:rsidR="00911C69" w:rsidRPr="00264E65" w:rsidRDefault="00911C69" w:rsidP="00911C69">
      <w:pPr>
        <w:autoSpaceDE w:val="0"/>
        <w:autoSpaceDN w:val="0"/>
        <w:adjustRightInd w:val="0"/>
        <w:contextualSpacing/>
        <w:jc w:val="center"/>
        <w:rPr>
          <w:rFonts w:ascii="Verdana" w:eastAsia="Calibri" w:hAnsi="Verdana" w:cs="Arial"/>
          <w:b/>
          <w:sz w:val="22"/>
          <w:szCs w:val="22"/>
          <w:lang w:val="es-CO" w:eastAsia="en-US"/>
        </w:rPr>
      </w:pPr>
      <w:r w:rsidRPr="00264E65">
        <w:rPr>
          <w:rFonts w:ascii="Verdana" w:hAnsi="Verdana" w:cs="Arial"/>
          <w:b/>
          <w:sz w:val="22"/>
          <w:szCs w:val="22"/>
        </w:rPr>
        <w:t xml:space="preserve">Cuadro 21. </w:t>
      </w:r>
      <w:r w:rsidRPr="00264E65">
        <w:rPr>
          <w:rFonts w:ascii="Verdana" w:hAnsi="Verdana" w:cs="Arial"/>
          <w:sz w:val="22"/>
          <w:szCs w:val="22"/>
        </w:rPr>
        <w:t>Estado cargue SECOP contratación vigencias 2019 – 2021.</w:t>
      </w:r>
    </w:p>
    <w:tbl>
      <w:tblPr>
        <w:tblW w:w="8876" w:type="dxa"/>
        <w:jc w:val="center"/>
        <w:tblCellMar>
          <w:left w:w="70" w:type="dxa"/>
          <w:right w:w="70" w:type="dxa"/>
        </w:tblCellMar>
        <w:tblLook w:val="04A0" w:firstRow="1" w:lastRow="0" w:firstColumn="1" w:lastColumn="0" w:noHBand="0" w:noVBand="1"/>
      </w:tblPr>
      <w:tblGrid>
        <w:gridCol w:w="1554"/>
        <w:gridCol w:w="2472"/>
        <w:gridCol w:w="4850"/>
      </w:tblGrid>
      <w:tr w:rsidR="00911C69" w:rsidRPr="00264E65" w14:paraId="611BF538" w14:textId="77777777" w:rsidTr="004C358C">
        <w:trPr>
          <w:trHeight w:val="286"/>
          <w:jc w:val="center"/>
        </w:trPr>
        <w:tc>
          <w:tcPr>
            <w:tcW w:w="1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E33C8" w14:textId="77777777" w:rsidR="00911C69" w:rsidRPr="00264E65" w:rsidRDefault="00911C69" w:rsidP="00640C2F">
            <w:pPr>
              <w:jc w:val="center"/>
              <w:rPr>
                <w:rFonts w:ascii="Verdana" w:eastAsia="Times New Roman" w:hAnsi="Verdana" w:cs="Calibri"/>
                <w:b/>
                <w:bCs/>
                <w:color w:val="000000"/>
                <w:sz w:val="18"/>
                <w:szCs w:val="18"/>
                <w:lang w:val="es-419" w:eastAsia="es-419"/>
              </w:rPr>
            </w:pPr>
            <w:r w:rsidRPr="00264E65">
              <w:rPr>
                <w:rFonts w:ascii="Verdana" w:eastAsia="Times New Roman" w:hAnsi="Verdana" w:cs="Calibri"/>
                <w:b/>
                <w:bCs/>
                <w:color w:val="000000"/>
                <w:sz w:val="18"/>
                <w:szCs w:val="18"/>
                <w:lang w:val="es-419" w:eastAsia="es-419"/>
              </w:rPr>
              <w:t>No de Contrato</w:t>
            </w:r>
          </w:p>
        </w:tc>
        <w:tc>
          <w:tcPr>
            <w:tcW w:w="2472" w:type="dxa"/>
            <w:tcBorders>
              <w:top w:val="single" w:sz="4" w:space="0" w:color="auto"/>
              <w:left w:val="nil"/>
              <w:bottom w:val="single" w:sz="4" w:space="0" w:color="auto"/>
              <w:right w:val="single" w:sz="4" w:space="0" w:color="auto"/>
            </w:tcBorders>
            <w:shd w:val="clear" w:color="000000" w:fill="FFFFFF"/>
            <w:vAlign w:val="center"/>
            <w:hideMark/>
          </w:tcPr>
          <w:p w14:paraId="64B549FC" w14:textId="77777777" w:rsidR="00911C69" w:rsidRPr="00264E65" w:rsidRDefault="00911C69" w:rsidP="00640C2F">
            <w:pPr>
              <w:jc w:val="center"/>
              <w:rPr>
                <w:rFonts w:ascii="Verdana" w:eastAsia="Times New Roman" w:hAnsi="Verdana" w:cs="Calibri"/>
                <w:b/>
                <w:bCs/>
                <w:color w:val="000000"/>
                <w:sz w:val="18"/>
                <w:szCs w:val="18"/>
                <w:lang w:val="es-419" w:eastAsia="es-419"/>
              </w:rPr>
            </w:pPr>
            <w:r w:rsidRPr="00264E65">
              <w:rPr>
                <w:rFonts w:ascii="Verdana" w:eastAsia="Times New Roman" w:hAnsi="Verdana" w:cs="Calibri"/>
                <w:b/>
                <w:bCs/>
                <w:color w:val="000000"/>
                <w:sz w:val="18"/>
                <w:szCs w:val="18"/>
                <w:lang w:val="es-419" w:eastAsia="es-419"/>
              </w:rPr>
              <w:t>Contratista</w:t>
            </w:r>
          </w:p>
        </w:tc>
        <w:tc>
          <w:tcPr>
            <w:tcW w:w="4850" w:type="dxa"/>
            <w:tcBorders>
              <w:top w:val="single" w:sz="4" w:space="0" w:color="auto"/>
              <w:left w:val="nil"/>
              <w:bottom w:val="single" w:sz="4" w:space="0" w:color="auto"/>
              <w:right w:val="single" w:sz="4" w:space="0" w:color="auto"/>
            </w:tcBorders>
            <w:shd w:val="clear" w:color="000000" w:fill="FFFFFF"/>
            <w:vAlign w:val="center"/>
            <w:hideMark/>
          </w:tcPr>
          <w:p w14:paraId="19E42995" w14:textId="77777777" w:rsidR="00911C69" w:rsidRPr="00264E65" w:rsidRDefault="00911C69" w:rsidP="00640C2F">
            <w:pPr>
              <w:jc w:val="center"/>
              <w:rPr>
                <w:rFonts w:ascii="Verdana" w:eastAsia="Times New Roman" w:hAnsi="Verdana" w:cs="Calibri"/>
                <w:b/>
                <w:bCs/>
                <w:color w:val="000000"/>
                <w:sz w:val="18"/>
                <w:szCs w:val="18"/>
                <w:lang w:val="es-419" w:eastAsia="es-419"/>
              </w:rPr>
            </w:pPr>
            <w:r w:rsidRPr="00264E65">
              <w:rPr>
                <w:rFonts w:ascii="Verdana" w:eastAsia="Times New Roman" w:hAnsi="Verdana" w:cs="Calibri"/>
                <w:b/>
                <w:bCs/>
                <w:color w:val="000000"/>
                <w:sz w:val="18"/>
                <w:szCs w:val="18"/>
                <w:lang w:val="es-419" w:eastAsia="es-419"/>
              </w:rPr>
              <w:t>Observaciones cargue SECOP</w:t>
            </w:r>
          </w:p>
        </w:tc>
      </w:tr>
      <w:tr w:rsidR="00911C69" w:rsidRPr="00264E65" w14:paraId="077395AE" w14:textId="77777777" w:rsidTr="004C358C">
        <w:trPr>
          <w:trHeight w:val="730"/>
          <w:jc w:val="center"/>
        </w:trPr>
        <w:tc>
          <w:tcPr>
            <w:tcW w:w="1554" w:type="dxa"/>
            <w:tcBorders>
              <w:top w:val="nil"/>
              <w:left w:val="single" w:sz="4" w:space="0" w:color="auto"/>
              <w:bottom w:val="single" w:sz="4" w:space="0" w:color="auto"/>
              <w:right w:val="single" w:sz="4" w:space="0" w:color="auto"/>
            </w:tcBorders>
            <w:shd w:val="clear" w:color="000000" w:fill="FFFFFF"/>
            <w:vAlign w:val="center"/>
            <w:hideMark/>
          </w:tcPr>
          <w:p w14:paraId="089B591D"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Convenio No. 722 de 2019</w:t>
            </w:r>
          </w:p>
        </w:tc>
        <w:tc>
          <w:tcPr>
            <w:tcW w:w="2472" w:type="dxa"/>
            <w:tcBorders>
              <w:top w:val="nil"/>
              <w:left w:val="nil"/>
              <w:bottom w:val="single" w:sz="4" w:space="0" w:color="auto"/>
              <w:right w:val="single" w:sz="4" w:space="0" w:color="auto"/>
            </w:tcBorders>
            <w:shd w:val="clear" w:color="000000" w:fill="FFFFFF"/>
            <w:vAlign w:val="center"/>
            <w:hideMark/>
          </w:tcPr>
          <w:p w14:paraId="4AB65300"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EMPRESA DE SERVICIOS PÚBLICOS DE COTA – “EMSERCOTA S.A. ESP</w:t>
            </w:r>
          </w:p>
        </w:tc>
        <w:tc>
          <w:tcPr>
            <w:tcW w:w="4850" w:type="dxa"/>
            <w:tcBorders>
              <w:top w:val="nil"/>
              <w:left w:val="nil"/>
              <w:bottom w:val="single" w:sz="4" w:space="0" w:color="auto"/>
              <w:right w:val="single" w:sz="4" w:space="0" w:color="auto"/>
            </w:tcBorders>
            <w:shd w:val="clear" w:color="000000" w:fill="FFFFFF"/>
            <w:vAlign w:val="center"/>
            <w:hideMark/>
          </w:tcPr>
          <w:p w14:paraId="4F9AF9F2"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El único documento cargado es el Convenio y su fecha de cargue fue el 27 de marzo de 2019.</w:t>
            </w:r>
          </w:p>
        </w:tc>
      </w:tr>
      <w:tr w:rsidR="00911C69" w:rsidRPr="00264E65" w14:paraId="08DB94A9" w14:textId="77777777" w:rsidTr="004C358C">
        <w:trPr>
          <w:trHeight w:val="1703"/>
          <w:jc w:val="center"/>
        </w:trPr>
        <w:tc>
          <w:tcPr>
            <w:tcW w:w="1554" w:type="dxa"/>
            <w:tcBorders>
              <w:top w:val="nil"/>
              <w:left w:val="single" w:sz="4" w:space="0" w:color="auto"/>
              <w:bottom w:val="single" w:sz="4" w:space="0" w:color="auto"/>
              <w:right w:val="single" w:sz="4" w:space="0" w:color="auto"/>
            </w:tcBorders>
            <w:shd w:val="clear" w:color="000000" w:fill="FFFFFF"/>
            <w:vAlign w:val="center"/>
            <w:hideMark/>
          </w:tcPr>
          <w:p w14:paraId="7841E2BD"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Contrato de Obra Pública No. 009 de 2016</w:t>
            </w:r>
          </w:p>
        </w:tc>
        <w:tc>
          <w:tcPr>
            <w:tcW w:w="2472" w:type="dxa"/>
            <w:tcBorders>
              <w:top w:val="nil"/>
              <w:left w:val="nil"/>
              <w:bottom w:val="single" w:sz="4" w:space="0" w:color="auto"/>
              <w:right w:val="single" w:sz="4" w:space="0" w:color="auto"/>
            </w:tcBorders>
            <w:shd w:val="clear" w:color="000000" w:fill="FFFFFF"/>
            <w:vAlign w:val="center"/>
            <w:hideMark/>
          </w:tcPr>
          <w:p w14:paraId="12A46526"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CONSORCIO COLECTOR SUR</w:t>
            </w:r>
          </w:p>
        </w:tc>
        <w:tc>
          <w:tcPr>
            <w:tcW w:w="4850" w:type="dxa"/>
            <w:tcBorders>
              <w:top w:val="nil"/>
              <w:left w:val="nil"/>
              <w:bottom w:val="single" w:sz="4" w:space="0" w:color="auto"/>
              <w:right w:val="single" w:sz="4" w:space="0" w:color="auto"/>
            </w:tcBorders>
            <w:shd w:val="clear" w:color="000000" w:fill="FFFFFF"/>
            <w:vAlign w:val="center"/>
            <w:hideMark/>
          </w:tcPr>
          <w:p w14:paraId="47C91947"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Se han venido cargando los documentos como los Modificatorios y las Prórrogas al contrato oportunamente, sin embargo, la última Prórroga menciona que la fecha de terminación del contrato era el 25 de junio de 2022, pero el último documento cargado, aunque dice que es el informe de Interventoría no. 20, realmente es el informe de interventoría No. 19 (que da cuenta de lo realizado en febrero de 2019), el cual fue cargado al SECOP el 16 de junio de 2022.</w:t>
            </w:r>
          </w:p>
        </w:tc>
      </w:tr>
      <w:tr w:rsidR="00911C69" w:rsidRPr="00264E65" w14:paraId="3BCCE9EB" w14:textId="77777777" w:rsidTr="004C358C">
        <w:trPr>
          <w:trHeight w:val="730"/>
          <w:jc w:val="center"/>
        </w:trPr>
        <w:tc>
          <w:tcPr>
            <w:tcW w:w="1554" w:type="dxa"/>
            <w:tcBorders>
              <w:top w:val="nil"/>
              <w:left w:val="single" w:sz="4" w:space="0" w:color="auto"/>
              <w:bottom w:val="single" w:sz="4" w:space="0" w:color="auto"/>
              <w:right w:val="single" w:sz="4" w:space="0" w:color="auto"/>
            </w:tcBorders>
            <w:shd w:val="clear" w:color="000000" w:fill="FFFFFF"/>
            <w:vAlign w:val="center"/>
            <w:hideMark/>
          </w:tcPr>
          <w:p w14:paraId="6AE2BF08"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Convenio No. 747 de 2019</w:t>
            </w:r>
          </w:p>
        </w:tc>
        <w:tc>
          <w:tcPr>
            <w:tcW w:w="2472" w:type="dxa"/>
            <w:tcBorders>
              <w:top w:val="nil"/>
              <w:left w:val="nil"/>
              <w:bottom w:val="single" w:sz="4" w:space="0" w:color="auto"/>
              <w:right w:val="single" w:sz="4" w:space="0" w:color="auto"/>
            </w:tcBorders>
            <w:shd w:val="clear" w:color="000000" w:fill="FFFFFF"/>
            <w:vAlign w:val="center"/>
            <w:hideMark/>
          </w:tcPr>
          <w:p w14:paraId="17C7731F"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EMPRESA DE SERVICIOS PÚBLICOS DE COTA – “EMSERCOTA S.A. ESP</w:t>
            </w:r>
          </w:p>
        </w:tc>
        <w:tc>
          <w:tcPr>
            <w:tcW w:w="4850" w:type="dxa"/>
            <w:tcBorders>
              <w:top w:val="nil"/>
              <w:left w:val="nil"/>
              <w:bottom w:val="single" w:sz="4" w:space="0" w:color="auto"/>
              <w:right w:val="single" w:sz="4" w:space="0" w:color="auto"/>
            </w:tcBorders>
            <w:shd w:val="clear" w:color="000000" w:fill="FFFFFF"/>
            <w:vAlign w:val="center"/>
            <w:hideMark/>
          </w:tcPr>
          <w:p w14:paraId="59981E3D"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El último documento cargado es la Adición y prórroga No. 1 celebrada en septiembre de 2021, la cual fue cargada el 12 de noviembre de 2021, no hay información de la liquidación.</w:t>
            </w:r>
          </w:p>
        </w:tc>
      </w:tr>
      <w:tr w:rsidR="00911C69" w:rsidRPr="00264E65" w14:paraId="6DF8E8D9" w14:textId="77777777" w:rsidTr="004C358C">
        <w:trPr>
          <w:trHeight w:val="973"/>
          <w:jc w:val="center"/>
        </w:trPr>
        <w:tc>
          <w:tcPr>
            <w:tcW w:w="1554" w:type="dxa"/>
            <w:tcBorders>
              <w:top w:val="nil"/>
              <w:left w:val="single" w:sz="4" w:space="0" w:color="auto"/>
              <w:bottom w:val="single" w:sz="4" w:space="0" w:color="auto"/>
              <w:right w:val="single" w:sz="4" w:space="0" w:color="auto"/>
            </w:tcBorders>
            <w:shd w:val="clear" w:color="000000" w:fill="FFFFFF"/>
            <w:vAlign w:val="center"/>
            <w:hideMark/>
          </w:tcPr>
          <w:p w14:paraId="3F36BB75"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Convenio No. 022 de 2020</w:t>
            </w:r>
          </w:p>
        </w:tc>
        <w:tc>
          <w:tcPr>
            <w:tcW w:w="2472" w:type="dxa"/>
            <w:tcBorders>
              <w:top w:val="nil"/>
              <w:left w:val="nil"/>
              <w:bottom w:val="single" w:sz="4" w:space="0" w:color="auto"/>
              <w:right w:val="single" w:sz="4" w:space="0" w:color="auto"/>
            </w:tcBorders>
            <w:shd w:val="clear" w:color="000000" w:fill="FFFFFF"/>
            <w:vAlign w:val="center"/>
            <w:hideMark/>
          </w:tcPr>
          <w:p w14:paraId="31C23E3D"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EMPRESA DE SERVICIOS PÚBLICOS DE COTA – “EMSERCOTA S.A. ESP</w:t>
            </w:r>
          </w:p>
        </w:tc>
        <w:tc>
          <w:tcPr>
            <w:tcW w:w="4850" w:type="dxa"/>
            <w:tcBorders>
              <w:top w:val="nil"/>
              <w:left w:val="nil"/>
              <w:bottom w:val="single" w:sz="4" w:space="0" w:color="auto"/>
              <w:right w:val="single" w:sz="4" w:space="0" w:color="auto"/>
            </w:tcBorders>
            <w:shd w:val="clear" w:color="000000" w:fill="FFFFFF"/>
            <w:vAlign w:val="center"/>
            <w:hideMark/>
          </w:tcPr>
          <w:p w14:paraId="03DA6F9F"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El último documento cargado al SECOP es el RP de la adición, subido el 5 de abril de 2022, sin embargo, teniendo en cuenta que la última prórroga fue suscrita en febrero por tres meses más, es evidente que la información está desactualizada.</w:t>
            </w:r>
          </w:p>
        </w:tc>
      </w:tr>
      <w:tr w:rsidR="00911C69" w:rsidRPr="00264E65" w14:paraId="213787E2" w14:textId="77777777" w:rsidTr="004C358C">
        <w:trPr>
          <w:trHeight w:val="730"/>
          <w:jc w:val="center"/>
        </w:trPr>
        <w:tc>
          <w:tcPr>
            <w:tcW w:w="1554" w:type="dxa"/>
            <w:tcBorders>
              <w:top w:val="nil"/>
              <w:left w:val="single" w:sz="4" w:space="0" w:color="auto"/>
              <w:bottom w:val="single" w:sz="4" w:space="0" w:color="auto"/>
              <w:right w:val="single" w:sz="4" w:space="0" w:color="auto"/>
            </w:tcBorders>
            <w:shd w:val="clear" w:color="000000" w:fill="FFFFFF"/>
            <w:vAlign w:val="center"/>
            <w:hideMark/>
          </w:tcPr>
          <w:p w14:paraId="0109AE9E"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Convenio No. 30 de 2021</w:t>
            </w:r>
          </w:p>
        </w:tc>
        <w:tc>
          <w:tcPr>
            <w:tcW w:w="2472" w:type="dxa"/>
            <w:tcBorders>
              <w:top w:val="nil"/>
              <w:left w:val="nil"/>
              <w:bottom w:val="single" w:sz="4" w:space="0" w:color="auto"/>
              <w:right w:val="single" w:sz="4" w:space="0" w:color="auto"/>
            </w:tcBorders>
            <w:shd w:val="clear" w:color="000000" w:fill="FFFFFF"/>
            <w:vAlign w:val="center"/>
            <w:hideMark/>
          </w:tcPr>
          <w:p w14:paraId="6B7C9885"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EMPRESA DE SERVICIOS PÚBLICOS DE COTA – “EMSERCOTA S.A. ESP</w:t>
            </w:r>
          </w:p>
        </w:tc>
        <w:tc>
          <w:tcPr>
            <w:tcW w:w="4850" w:type="dxa"/>
            <w:tcBorders>
              <w:top w:val="nil"/>
              <w:left w:val="nil"/>
              <w:bottom w:val="single" w:sz="4" w:space="0" w:color="auto"/>
              <w:right w:val="single" w:sz="4" w:space="0" w:color="auto"/>
            </w:tcBorders>
            <w:shd w:val="clear" w:color="000000" w:fill="FFFFFF"/>
            <w:vAlign w:val="center"/>
            <w:hideMark/>
          </w:tcPr>
          <w:p w14:paraId="25F41E34"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No se encontró información en SECOP I ni en SECOP II del Convenio 030 de 2021.</w:t>
            </w:r>
          </w:p>
        </w:tc>
      </w:tr>
      <w:tr w:rsidR="00911C69" w:rsidRPr="00264E65" w14:paraId="587DD658" w14:textId="77777777" w:rsidTr="004C358C">
        <w:trPr>
          <w:trHeight w:val="1460"/>
          <w:jc w:val="center"/>
        </w:trPr>
        <w:tc>
          <w:tcPr>
            <w:tcW w:w="1554" w:type="dxa"/>
            <w:tcBorders>
              <w:top w:val="nil"/>
              <w:left w:val="single" w:sz="4" w:space="0" w:color="auto"/>
              <w:bottom w:val="single" w:sz="4" w:space="0" w:color="auto"/>
              <w:right w:val="single" w:sz="4" w:space="0" w:color="auto"/>
            </w:tcBorders>
            <w:shd w:val="clear" w:color="000000" w:fill="FFFFFF"/>
            <w:vAlign w:val="center"/>
            <w:hideMark/>
          </w:tcPr>
          <w:p w14:paraId="6A64BE84"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lastRenderedPageBreak/>
              <w:t>Contrato de Obra Pública No. 849 de 2018</w:t>
            </w:r>
          </w:p>
        </w:tc>
        <w:tc>
          <w:tcPr>
            <w:tcW w:w="2472" w:type="dxa"/>
            <w:tcBorders>
              <w:top w:val="nil"/>
              <w:left w:val="nil"/>
              <w:bottom w:val="single" w:sz="4" w:space="0" w:color="auto"/>
              <w:right w:val="single" w:sz="4" w:space="0" w:color="auto"/>
            </w:tcBorders>
            <w:shd w:val="clear" w:color="000000" w:fill="FFFFFF"/>
            <w:vAlign w:val="center"/>
            <w:hideMark/>
          </w:tcPr>
          <w:p w14:paraId="35EDD0DB"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UNION TEMPORAL COLECTOR CENTRAL 2018</w:t>
            </w:r>
          </w:p>
        </w:tc>
        <w:tc>
          <w:tcPr>
            <w:tcW w:w="4850" w:type="dxa"/>
            <w:tcBorders>
              <w:top w:val="nil"/>
              <w:left w:val="nil"/>
              <w:bottom w:val="single" w:sz="4" w:space="0" w:color="auto"/>
              <w:right w:val="single" w:sz="4" w:space="0" w:color="auto"/>
            </w:tcBorders>
            <w:shd w:val="clear" w:color="000000" w:fill="FFFFFF"/>
            <w:vAlign w:val="center"/>
            <w:hideMark/>
          </w:tcPr>
          <w:p w14:paraId="7F72218B" w14:textId="77777777" w:rsidR="00911C69" w:rsidRPr="00264E65" w:rsidRDefault="00911C69" w:rsidP="00640C2F">
            <w:pPr>
              <w:jc w:val="center"/>
              <w:rPr>
                <w:rFonts w:ascii="Verdana" w:eastAsia="Times New Roman" w:hAnsi="Verdana" w:cs="Calibri"/>
                <w:color w:val="000000"/>
                <w:sz w:val="18"/>
                <w:szCs w:val="18"/>
                <w:lang w:val="es-419" w:eastAsia="es-419"/>
              </w:rPr>
            </w:pPr>
            <w:r w:rsidRPr="00264E65">
              <w:rPr>
                <w:rFonts w:ascii="Verdana" w:eastAsia="Times New Roman" w:hAnsi="Verdana" w:cs="Calibri"/>
                <w:color w:val="000000"/>
                <w:sz w:val="18"/>
                <w:szCs w:val="18"/>
                <w:lang w:val="es-419" w:eastAsia="es-419"/>
              </w:rPr>
              <w:t>El último documento se cargó el 25 de marzo de 2022 y es una autorización de cesión de participación dentro de la Unión Temporal Colector Central 2018 con fecha del 15 de marzo de 2022 y si bien se pueden ver varios documentos contractuales, no hay cargada información actualizada que dé cuenta del estado de ejecución del Contrato</w:t>
            </w:r>
          </w:p>
        </w:tc>
      </w:tr>
    </w:tbl>
    <w:p w14:paraId="6E94C9C1" w14:textId="77777777" w:rsidR="00911C69" w:rsidRPr="00433E58" w:rsidRDefault="00911C69" w:rsidP="00911C69">
      <w:pPr>
        <w:contextualSpacing/>
        <w:jc w:val="center"/>
        <w:rPr>
          <w:rFonts w:ascii="Verdana" w:hAnsi="Verdana" w:cs="Arial"/>
          <w:sz w:val="20"/>
          <w:szCs w:val="20"/>
          <w:lang w:val="es-CO"/>
        </w:rPr>
      </w:pPr>
      <w:r w:rsidRPr="00433E58">
        <w:rPr>
          <w:rFonts w:ascii="Verdana" w:hAnsi="Verdana" w:cs="Arial"/>
          <w:sz w:val="16"/>
          <w:szCs w:val="16"/>
        </w:rPr>
        <w:t>Fuente: Alcaldía de Cota – Cundinamarca y SECOP.</w:t>
      </w:r>
    </w:p>
    <w:p w14:paraId="5D0CDE82" w14:textId="77777777" w:rsidR="00911C69" w:rsidRPr="00433E58" w:rsidRDefault="00911C69" w:rsidP="00911C69">
      <w:pPr>
        <w:contextualSpacing/>
        <w:jc w:val="both"/>
        <w:rPr>
          <w:rFonts w:ascii="Verdana" w:hAnsi="Verdana" w:cs="Arial"/>
          <w:sz w:val="22"/>
          <w:szCs w:val="22"/>
        </w:rPr>
      </w:pPr>
    </w:p>
    <w:p w14:paraId="51C1028F" w14:textId="77777777" w:rsidR="00911C69" w:rsidRPr="00264E65" w:rsidRDefault="00911C69" w:rsidP="00911C69">
      <w:pPr>
        <w:jc w:val="both"/>
        <w:rPr>
          <w:rFonts w:ascii="Verdana" w:hAnsi="Verdana" w:cs="Arial"/>
          <w:sz w:val="22"/>
          <w:szCs w:val="22"/>
        </w:rPr>
      </w:pPr>
      <w:r w:rsidRPr="00264E65">
        <w:rPr>
          <w:rFonts w:ascii="Verdana" w:hAnsi="Verdana" w:cs="Arial"/>
          <w:sz w:val="22"/>
          <w:szCs w:val="22"/>
        </w:rPr>
        <w:t>En este orden de ideas, se evidencia que el Municipio de Cota - Cundinamarca infringe el artículo 2.2.1.1.1.7.1 del Decreto 1082 de 2015 y los artículos 2.1.1.2.1.7 y 2.1.1.2.1.8 del Decreto 1081 de 2015, en los cuales se establece la obligatoriedad que tienen las entidades estatales de publicar en el Sistema Electrónico de Contratación Pública todos los documentos y actos administrativos del proceso contractual, poniendo en riesgo la transparencia en la planeación y ejecución de los recursos del SGP APSB.</w:t>
      </w:r>
    </w:p>
    <w:p w14:paraId="748BFFEA" w14:textId="77777777" w:rsidR="00911C69" w:rsidRPr="00264E65" w:rsidRDefault="00911C69" w:rsidP="00911C69">
      <w:pPr>
        <w:contextualSpacing/>
        <w:jc w:val="both"/>
        <w:rPr>
          <w:rFonts w:ascii="Verdana" w:hAnsi="Verdana" w:cs="Arial"/>
          <w:sz w:val="22"/>
          <w:szCs w:val="22"/>
        </w:rPr>
      </w:pPr>
    </w:p>
    <w:p w14:paraId="39E5974A" w14:textId="77777777" w:rsidR="00911C69" w:rsidRPr="00264E65" w:rsidRDefault="00911C69" w:rsidP="00911C69">
      <w:pPr>
        <w:tabs>
          <w:tab w:val="left" w:pos="8460"/>
        </w:tabs>
        <w:contextualSpacing/>
        <w:jc w:val="both"/>
        <w:rPr>
          <w:rFonts w:ascii="Verdana" w:hAnsi="Verdana" w:cs="Arial"/>
          <w:b/>
          <w:sz w:val="22"/>
          <w:szCs w:val="22"/>
        </w:rPr>
      </w:pPr>
      <w:r w:rsidRPr="00264E65">
        <w:rPr>
          <w:rFonts w:ascii="Verdana" w:hAnsi="Verdana" w:cs="Arial"/>
          <w:b/>
          <w:sz w:val="22"/>
          <w:szCs w:val="22"/>
        </w:rPr>
        <w:t>EVIDENCIA:</w:t>
      </w:r>
    </w:p>
    <w:p w14:paraId="37E9BF49" w14:textId="77777777" w:rsidR="00911C69" w:rsidRPr="00264E65" w:rsidRDefault="00911C69" w:rsidP="00911C69">
      <w:pPr>
        <w:tabs>
          <w:tab w:val="left" w:pos="8460"/>
        </w:tabs>
        <w:contextualSpacing/>
        <w:jc w:val="both"/>
        <w:rPr>
          <w:rFonts w:ascii="Verdana" w:hAnsi="Verdana" w:cs="Arial"/>
          <w:b/>
          <w:sz w:val="22"/>
          <w:szCs w:val="22"/>
        </w:rPr>
      </w:pPr>
    </w:p>
    <w:p w14:paraId="1D5C1F59" w14:textId="77777777" w:rsidR="00911C69" w:rsidRPr="00264E65" w:rsidRDefault="00911C69" w:rsidP="00911C69">
      <w:pPr>
        <w:contextualSpacing/>
        <w:jc w:val="both"/>
        <w:rPr>
          <w:rFonts w:ascii="Verdana" w:hAnsi="Verdana" w:cs="Arial"/>
          <w:sz w:val="22"/>
          <w:szCs w:val="22"/>
        </w:rPr>
      </w:pPr>
      <w:r w:rsidRPr="00264E65">
        <w:rPr>
          <w:rFonts w:ascii="Verdana" w:hAnsi="Verdana" w:cs="Arial"/>
          <w:sz w:val="22"/>
          <w:szCs w:val="22"/>
        </w:rPr>
        <w:t>Obra en el expediente digital en el Sistema de Información Electrónica Documental – SIED del Ministerio de Hacienda y Crédito Público No. 12/2019/D028-PREDI el siguiente material probatorio:</w:t>
      </w:r>
    </w:p>
    <w:p w14:paraId="722B6C46" w14:textId="77777777" w:rsidR="00911C69" w:rsidRPr="00264E65" w:rsidRDefault="00911C69" w:rsidP="00911C69">
      <w:pPr>
        <w:contextualSpacing/>
        <w:jc w:val="both"/>
        <w:rPr>
          <w:rFonts w:ascii="Verdana" w:hAnsi="Verdana" w:cs="Arial"/>
          <w:sz w:val="22"/>
          <w:szCs w:val="22"/>
        </w:rPr>
      </w:pPr>
    </w:p>
    <w:p w14:paraId="06E5BC8F"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 xml:space="preserve">Pantallazo Sistema Electrónico de Contratación Pública SECOP I del Convenio No. 722 de 2019 (Consultado el 4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12/2019/D028-PREDI. Enlace: </w:t>
      </w:r>
      <w:hyperlink r:id="rId30" w:history="1">
        <w:r w:rsidRPr="00264E65">
          <w:rPr>
            <w:rStyle w:val="Hipervnculo"/>
            <w:rFonts w:ascii="Verdana" w:hAnsi="Verdana" w:cs="Arial"/>
            <w:sz w:val="22"/>
            <w:szCs w:val="22"/>
            <w:lang w:val="es-CO" w:eastAsia="es-CO"/>
          </w:rPr>
          <w:t>https://bit.ly/3NLHHKE</w:t>
        </w:r>
      </w:hyperlink>
      <w:r w:rsidRPr="00264E65">
        <w:rPr>
          <w:rFonts w:ascii="Verdana" w:hAnsi="Verdana" w:cs="Arial"/>
          <w:sz w:val="22"/>
          <w:szCs w:val="22"/>
          <w:lang w:val="es-CO" w:eastAsia="es-CO"/>
        </w:rPr>
        <w:t xml:space="preserve"> </w:t>
      </w:r>
    </w:p>
    <w:p w14:paraId="367F68A1" w14:textId="77777777" w:rsidR="00911C69" w:rsidRPr="00264E65" w:rsidRDefault="00911C69" w:rsidP="00911C69">
      <w:pPr>
        <w:contextualSpacing/>
        <w:jc w:val="both"/>
        <w:rPr>
          <w:rFonts w:ascii="Verdana" w:hAnsi="Verdana" w:cs="Arial"/>
          <w:sz w:val="22"/>
          <w:szCs w:val="22"/>
        </w:rPr>
      </w:pPr>
    </w:p>
    <w:p w14:paraId="50DDC88C"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 xml:space="preserve">Pantallazo Sistema Electrónico de Contratación Pública SECOP I del Contrato de Obra Pública No. 009 de 2016 (Consultado el 4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12/2019/D028-PREDI. </w:t>
      </w:r>
      <w:r w:rsidRPr="00264E65">
        <w:rPr>
          <w:rFonts w:ascii="Verdana" w:hAnsi="Verdana" w:cs="Arial"/>
          <w:sz w:val="22"/>
          <w:szCs w:val="22"/>
          <w:lang w:val="en-US" w:eastAsia="es-CO"/>
        </w:rPr>
        <w:t xml:space="preserve">Enlace: </w:t>
      </w:r>
      <w:hyperlink r:id="rId31" w:history="1">
        <w:r w:rsidRPr="00264E65">
          <w:rPr>
            <w:rStyle w:val="Hipervnculo"/>
            <w:rFonts w:ascii="Verdana" w:hAnsi="Verdana" w:cs="Arial"/>
            <w:sz w:val="22"/>
            <w:szCs w:val="22"/>
            <w:lang w:val="en-US" w:eastAsia="es-CO"/>
          </w:rPr>
          <w:t>https://bit.ly/3nLA508</w:t>
        </w:r>
      </w:hyperlink>
      <w:r w:rsidRPr="00264E65">
        <w:rPr>
          <w:rFonts w:ascii="Verdana" w:hAnsi="Verdana" w:cs="Arial"/>
          <w:sz w:val="22"/>
          <w:szCs w:val="22"/>
          <w:lang w:val="en-US" w:eastAsia="es-CO"/>
        </w:rPr>
        <w:t xml:space="preserve"> </w:t>
      </w:r>
    </w:p>
    <w:p w14:paraId="67637774" w14:textId="77777777" w:rsidR="00911C69" w:rsidRPr="00264E65" w:rsidRDefault="00911C69" w:rsidP="00911C69">
      <w:pPr>
        <w:pStyle w:val="Prrafodelista"/>
        <w:rPr>
          <w:rFonts w:ascii="Verdana" w:hAnsi="Verdana" w:cs="Arial"/>
          <w:sz w:val="22"/>
          <w:szCs w:val="22"/>
        </w:rPr>
      </w:pPr>
    </w:p>
    <w:p w14:paraId="6DEA79C0"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 xml:space="preserve">Pantallazo Sistema Electrónico de Contratación Pública SECOP I del Convenio No. 747 de 2019 (Consultado el 4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 xml:space="preserve">Historial de Seguimiento y Control a la Ejecución de los Recursos del Sistema </w:t>
      </w:r>
      <w:r w:rsidRPr="00264E65">
        <w:rPr>
          <w:rFonts w:ascii="Verdana" w:hAnsi="Verdana" w:cs="Arial"/>
          <w:i/>
          <w:iCs/>
          <w:sz w:val="22"/>
          <w:szCs w:val="22"/>
          <w:lang w:val="es-CO" w:eastAsia="es-CO"/>
        </w:rPr>
        <w:lastRenderedPageBreak/>
        <w:t>General de Participaciones – Ejecución y Seguimiento</w:t>
      </w:r>
      <w:r w:rsidRPr="00264E65">
        <w:rPr>
          <w:rFonts w:ascii="Verdana" w:hAnsi="Verdana" w:cs="Arial"/>
          <w:sz w:val="22"/>
          <w:szCs w:val="22"/>
          <w:lang w:val="es-CO" w:eastAsia="es-CO"/>
        </w:rPr>
        <w:t xml:space="preserve">”. Expediente digital No. 12/2019/D028-PREDI. Enlace: </w:t>
      </w:r>
      <w:hyperlink r:id="rId32" w:history="1">
        <w:r w:rsidRPr="00264E65">
          <w:rPr>
            <w:rStyle w:val="Hipervnculo"/>
            <w:rFonts w:ascii="Verdana" w:hAnsi="Verdana" w:cs="Arial"/>
            <w:sz w:val="22"/>
            <w:szCs w:val="22"/>
            <w:lang w:val="es-CO" w:eastAsia="es-CO"/>
          </w:rPr>
          <w:t>https://bit.ly/3yJ5lDn</w:t>
        </w:r>
      </w:hyperlink>
      <w:r w:rsidRPr="00264E65">
        <w:rPr>
          <w:rFonts w:ascii="Verdana" w:hAnsi="Verdana" w:cs="Arial"/>
          <w:sz w:val="22"/>
          <w:szCs w:val="22"/>
          <w:lang w:val="es-CO" w:eastAsia="es-CO"/>
        </w:rPr>
        <w:t xml:space="preserve"> </w:t>
      </w:r>
    </w:p>
    <w:p w14:paraId="574DA812" w14:textId="77777777" w:rsidR="00911C69" w:rsidRPr="00264E65" w:rsidRDefault="00911C69" w:rsidP="00911C69">
      <w:pPr>
        <w:contextualSpacing/>
        <w:jc w:val="both"/>
        <w:rPr>
          <w:rFonts w:ascii="Verdana" w:hAnsi="Verdana" w:cs="Arial"/>
          <w:sz w:val="22"/>
          <w:szCs w:val="22"/>
        </w:rPr>
      </w:pPr>
    </w:p>
    <w:p w14:paraId="593594FA"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 xml:space="preserve">Pantallazo Sistema Electrónico de Contratación Pública SECOP I del Convenio No. 022 de 2020 (Consultado el 4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12/2019/D028-PREDI. Enlace: </w:t>
      </w:r>
      <w:hyperlink r:id="rId33" w:history="1">
        <w:r w:rsidRPr="00264E65">
          <w:rPr>
            <w:rStyle w:val="Hipervnculo"/>
            <w:rFonts w:ascii="Verdana" w:hAnsi="Verdana" w:cs="Arial"/>
            <w:sz w:val="22"/>
            <w:szCs w:val="22"/>
            <w:lang w:val="es-CO" w:eastAsia="es-CO"/>
          </w:rPr>
          <w:t>https://bit.ly/3AtYeA1</w:t>
        </w:r>
      </w:hyperlink>
      <w:r w:rsidRPr="00264E65">
        <w:rPr>
          <w:rFonts w:ascii="Verdana" w:hAnsi="Verdana" w:cs="Arial"/>
          <w:sz w:val="22"/>
          <w:szCs w:val="22"/>
          <w:lang w:val="es-CO" w:eastAsia="es-CO"/>
        </w:rPr>
        <w:t xml:space="preserve"> </w:t>
      </w:r>
    </w:p>
    <w:p w14:paraId="77A11DDF" w14:textId="77777777" w:rsidR="00911C69" w:rsidRPr="00264E65" w:rsidRDefault="00911C69" w:rsidP="00911C69">
      <w:pPr>
        <w:contextualSpacing/>
        <w:jc w:val="both"/>
        <w:rPr>
          <w:rFonts w:ascii="Verdana" w:hAnsi="Verdana" w:cs="Arial"/>
          <w:b/>
          <w:sz w:val="22"/>
          <w:szCs w:val="22"/>
        </w:rPr>
      </w:pPr>
    </w:p>
    <w:p w14:paraId="7B03F928" w14:textId="77777777" w:rsidR="00911C69" w:rsidRPr="00264E65" w:rsidRDefault="00911C69" w:rsidP="00911C69">
      <w:pPr>
        <w:pStyle w:val="Prrafodelista"/>
        <w:numPr>
          <w:ilvl w:val="0"/>
          <w:numId w:val="8"/>
        </w:numPr>
        <w:jc w:val="both"/>
        <w:rPr>
          <w:rFonts w:ascii="Verdana" w:hAnsi="Verdana" w:cs="Arial"/>
          <w:sz w:val="22"/>
          <w:szCs w:val="22"/>
          <w:lang w:val="en-US"/>
        </w:rPr>
      </w:pPr>
      <w:r w:rsidRPr="00264E65">
        <w:rPr>
          <w:rFonts w:ascii="Verdana" w:hAnsi="Verdana" w:cs="Arial"/>
          <w:sz w:val="22"/>
          <w:szCs w:val="22"/>
        </w:rPr>
        <w:t xml:space="preserve">Pantallazo de búsqueda en Sistema Electrónico de Contratación Pública SECOP I de Actividad Contractual del Convenio 030 de 2021 en periodo comprendido entre el 1 de julio de 2021 al 4 de julio de 2022 (Consultado el 4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12/2019/D028-PREDI. </w:t>
      </w:r>
      <w:r w:rsidRPr="00264E65">
        <w:rPr>
          <w:rFonts w:ascii="Verdana" w:hAnsi="Verdana" w:cs="Arial"/>
          <w:sz w:val="22"/>
          <w:szCs w:val="22"/>
          <w:lang w:val="en-US" w:eastAsia="es-CO"/>
        </w:rPr>
        <w:t xml:space="preserve">Enlace: </w:t>
      </w:r>
      <w:hyperlink r:id="rId34" w:history="1">
        <w:r w:rsidRPr="00264E65">
          <w:rPr>
            <w:rStyle w:val="Hipervnculo"/>
            <w:rFonts w:ascii="Verdana" w:hAnsi="Verdana" w:cs="Arial"/>
            <w:sz w:val="22"/>
            <w:szCs w:val="22"/>
            <w:lang w:val="en-US" w:eastAsia="es-CO"/>
          </w:rPr>
          <w:t>https://bit.ly/3yGl7Pn</w:t>
        </w:r>
      </w:hyperlink>
      <w:r w:rsidRPr="00264E65">
        <w:rPr>
          <w:rFonts w:ascii="Verdana" w:hAnsi="Verdana" w:cs="Arial"/>
          <w:sz w:val="22"/>
          <w:szCs w:val="22"/>
          <w:lang w:val="en-US" w:eastAsia="es-CO"/>
        </w:rPr>
        <w:t xml:space="preserve"> </w:t>
      </w:r>
    </w:p>
    <w:p w14:paraId="627A6B31" w14:textId="77777777" w:rsidR="00911C69" w:rsidRPr="00264E65" w:rsidRDefault="00911C69" w:rsidP="00911C69">
      <w:pPr>
        <w:pStyle w:val="Prrafodelista"/>
        <w:jc w:val="both"/>
        <w:rPr>
          <w:rFonts w:ascii="Verdana" w:hAnsi="Verdana" w:cs="Arial"/>
          <w:b/>
          <w:sz w:val="22"/>
          <w:szCs w:val="22"/>
        </w:rPr>
      </w:pPr>
    </w:p>
    <w:p w14:paraId="0D6F13CA" w14:textId="77777777" w:rsidR="00911C69" w:rsidRPr="00264E65" w:rsidRDefault="00911C69" w:rsidP="00911C69">
      <w:pPr>
        <w:pStyle w:val="Prrafodelista"/>
        <w:numPr>
          <w:ilvl w:val="0"/>
          <w:numId w:val="8"/>
        </w:numPr>
        <w:jc w:val="both"/>
        <w:rPr>
          <w:rFonts w:ascii="Verdana" w:hAnsi="Verdana" w:cs="Arial"/>
          <w:sz w:val="22"/>
          <w:szCs w:val="22"/>
          <w:lang w:val="es-CO"/>
        </w:rPr>
      </w:pPr>
      <w:r w:rsidRPr="00264E65">
        <w:rPr>
          <w:rFonts w:ascii="Verdana" w:hAnsi="Verdana" w:cs="Arial"/>
          <w:sz w:val="22"/>
          <w:szCs w:val="22"/>
        </w:rPr>
        <w:t xml:space="preserve">Pantallazo de búsqueda en Sistema Electrónico de Contratación Pública SECOP II de Actividad Contractual del Convenio 030 de 2021 en periodo comprendido entre el 1 de julio de 2021 al 4 de julio de 2022 (Consultado el 4 de julio de 2022). </w:t>
      </w:r>
      <w:r w:rsidRPr="00264E65">
        <w:rPr>
          <w:rFonts w:ascii="Verdana" w:hAnsi="Verdana" w:cs="Arial"/>
          <w:sz w:val="22"/>
          <w:szCs w:val="22"/>
          <w:lang w:val="es-CO" w:eastAsia="es-CO"/>
        </w:rPr>
        <w:t>Participación de Agua Potable y Saneamiento Básico.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w:t>
      </w:r>
      <w:r w:rsidRPr="00264E65">
        <w:rPr>
          <w:rFonts w:ascii="Verdana" w:hAnsi="Verdana" w:cs="Arial"/>
          <w:sz w:val="22"/>
          <w:szCs w:val="22"/>
          <w:lang w:val="es-CO" w:eastAsia="es-CO"/>
        </w:rPr>
        <w:t xml:space="preserve">to”. Expediente digital No. 12/2019/D028-PREDI. Enlace: </w:t>
      </w:r>
      <w:hyperlink r:id="rId35" w:history="1">
        <w:r w:rsidRPr="00264E65">
          <w:rPr>
            <w:rStyle w:val="Hipervnculo"/>
            <w:rFonts w:ascii="Verdana" w:hAnsi="Verdana" w:cs="Arial"/>
            <w:sz w:val="22"/>
            <w:szCs w:val="22"/>
            <w:lang w:val="es-CO" w:eastAsia="es-CO"/>
          </w:rPr>
          <w:t>https://bit.ly/3ycYhxz</w:t>
        </w:r>
      </w:hyperlink>
      <w:r w:rsidRPr="00264E65">
        <w:rPr>
          <w:rFonts w:ascii="Verdana" w:hAnsi="Verdana" w:cs="Arial"/>
          <w:sz w:val="22"/>
          <w:szCs w:val="22"/>
          <w:lang w:val="es-CO" w:eastAsia="es-CO"/>
        </w:rPr>
        <w:t xml:space="preserve"> </w:t>
      </w:r>
    </w:p>
    <w:p w14:paraId="7956EFD1" w14:textId="77777777" w:rsidR="00911C69" w:rsidRPr="00264E65" w:rsidRDefault="00911C69" w:rsidP="00911C69">
      <w:pPr>
        <w:pStyle w:val="Prrafodelista"/>
        <w:jc w:val="both"/>
        <w:rPr>
          <w:rFonts w:ascii="Verdana" w:hAnsi="Verdana" w:cs="Arial"/>
          <w:b/>
          <w:sz w:val="22"/>
          <w:szCs w:val="22"/>
        </w:rPr>
      </w:pPr>
    </w:p>
    <w:p w14:paraId="173B110D" w14:textId="77777777" w:rsidR="00911C69" w:rsidRPr="00264E65" w:rsidRDefault="00911C69" w:rsidP="00911C69">
      <w:pPr>
        <w:pStyle w:val="Prrafodelista"/>
        <w:numPr>
          <w:ilvl w:val="0"/>
          <w:numId w:val="8"/>
        </w:numPr>
        <w:jc w:val="both"/>
        <w:rPr>
          <w:rFonts w:ascii="Verdana" w:hAnsi="Verdana" w:cs="Arial"/>
          <w:sz w:val="22"/>
          <w:szCs w:val="22"/>
        </w:rPr>
      </w:pPr>
      <w:r w:rsidRPr="00264E65">
        <w:rPr>
          <w:rFonts w:ascii="Verdana" w:hAnsi="Verdana" w:cs="Arial"/>
          <w:sz w:val="22"/>
          <w:szCs w:val="22"/>
        </w:rPr>
        <w:t>Pantallazo Sistema Electrónico de Contratación Pública SECOP I del Contrato de Obra Pública No. 849 de 2018 (Consultado el 4 de julio de 2022). Participación de Agua Potable y Saneamiento Básico</w:t>
      </w:r>
      <w:r w:rsidRPr="00264E65">
        <w:rPr>
          <w:rFonts w:ascii="Verdana" w:hAnsi="Verdana" w:cs="Arial"/>
          <w:sz w:val="22"/>
          <w:szCs w:val="22"/>
          <w:lang w:val="es-CO" w:eastAsia="es-CO"/>
        </w:rPr>
        <w:t>. Municipio de Cota – Cundinamarca. Serie “</w:t>
      </w:r>
      <w:r w:rsidRPr="00264E65">
        <w:rPr>
          <w:rFonts w:ascii="Verdana" w:hAnsi="Verdana" w:cs="Arial"/>
          <w:i/>
          <w:iCs/>
          <w:sz w:val="22"/>
          <w:szCs w:val="22"/>
          <w:lang w:val="es-CO" w:eastAsia="es-CO"/>
        </w:rPr>
        <w:t>Historial de Seguimiento y Control a la Ejecución de los Recursos del Sistema General de Participaciones – Ejecución y Seguimiento</w:t>
      </w:r>
      <w:r w:rsidRPr="00264E65">
        <w:rPr>
          <w:rFonts w:ascii="Verdana" w:hAnsi="Verdana" w:cs="Arial"/>
          <w:sz w:val="22"/>
          <w:szCs w:val="22"/>
          <w:lang w:val="es-CO" w:eastAsia="es-CO"/>
        </w:rPr>
        <w:t xml:space="preserve">”. Expediente digital No. 12/2019/D028-PREDI. Enlace: </w:t>
      </w:r>
      <w:hyperlink r:id="rId36" w:history="1">
        <w:r w:rsidRPr="00264E65">
          <w:rPr>
            <w:rStyle w:val="Hipervnculo"/>
            <w:rFonts w:ascii="Verdana" w:hAnsi="Verdana" w:cs="Arial"/>
            <w:sz w:val="22"/>
            <w:szCs w:val="22"/>
            <w:lang w:val="es-CO" w:eastAsia="es-CO"/>
          </w:rPr>
          <w:t>https://bit.ly/3altgzC</w:t>
        </w:r>
      </w:hyperlink>
      <w:r w:rsidRPr="00264E65">
        <w:rPr>
          <w:rFonts w:ascii="Verdana" w:hAnsi="Verdana" w:cs="Arial"/>
          <w:sz w:val="22"/>
          <w:szCs w:val="22"/>
          <w:lang w:val="es-CO" w:eastAsia="es-CO"/>
        </w:rPr>
        <w:t xml:space="preserve"> </w:t>
      </w:r>
    </w:p>
    <w:bookmarkEnd w:id="7"/>
    <w:p w14:paraId="5009D765" w14:textId="77777777" w:rsidR="00911C69" w:rsidRPr="00264E65" w:rsidRDefault="00911C69" w:rsidP="00911C69">
      <w:pPr>
        <w:contextualSpacing/>
        <w:jc w:val="both"/>
        <w:rPr>
          <w:rFonts w:ascii="Verdana" w:hAnsi="Verdana" w:cs="Arial"/>
          <w:sz w:val="22"/>
          <w:szCs w:val="22"/>
          <w:lang w:val="es-CO"/>
        </w:rPr>
      </w:pPr>
    </w:p>
    <w:p w14:paraId="249915F5" w14:textId="77777777" w:rsidR="00911C69" w:rsidRPr="009A0489" w:rsidRDefault="00911C69" w:rsidP="00911C69">
      <w:pPr>
        <w:contextualSpacing/>
        <w:jc w:val="both"/>
        <w:rPr>
          <w:rFonts w:ascii="Verdana" w:hAnsi="Verdana" w:cs="Arial"/>
          <w:sz w:val="20"/>
          <w:szCs w:val="20"/>
          <w:lang w:val="es-CO"/>
        </w:rPr>
      </w:pPr>
    </w:p>
    <w:p w14:paraId="1FEC30CC" w14:textId="77777777" w:rsidR="00911C69" w:rsidRPr="009A0489" w:rsidRDefault="00911C69" w:rsidP="00911C69">
      <w:pPr>
        <w:contextualSpacing/>
        <w:jc w:val="both"/>
        <w:rPr>
          <w:rFonts w:ascii="Verdana" w:hAnsi="Verdana" w:cs="Arial"/>
          <w:bCs/>
          <w:sz w:val="16"/>
          <w:szCs w:val="16"/>
        </w:rPr>
      </w:pPr>
      <w:r w:rsidRPr="009A0489">
        <w:rPr>
          <w:rFonts w:ascii="Verdana" w:hAnsi="Verdana" w:cs="Arial"/>
          <w:bCs/>
          <w:sz w:val="16"/>
          <w:szCs w:val="16"/>
        </w:rPr>
        <w:t>APROBÓ: Fernando Olivera</w:t>
      </w:r>
    </w:p>
    <w:p w14:paraId="4318BEF4" w14:textId="77777777" w:rsidR="00911C69" w:rsidRPr="009A0489" w:rsidRDefault="00911C69" w:rsidP="00911C69">
      <w:pPr>
        <w:contextualSpacing/>
        <w:jc w:val="both"/>
        <w:rPr>
          <w:rFonts w:ascii="Verdana" w:hAnsi="Verdana" w:cs="Arial"/>
          <w:bCs/>
          <w:sz w:val="16"/>
          <w:szCs w:val="16"/>
        </w:rPr>
      </w:pPr>
      <w:r w:rsidRPr="009A0489">
        <w:rPr>
          <w:rFonts w:ascii="Verdana" w:hAnsi="Verdana" w:cs="Arial"/>
          <w:bCs/>
          <w:sz w:val="16"/>
          <w:szCs w:val="16"/>
        </w:rPr>
        <w:t xml:space="preserve">REVISIÓN JURÍDICA: </w:t>
      </w:r>
      <w:r w:rsidR="00780280">
        <w:rPr>
          <w:rFonts w:ascii="Verdana" w:hAnsi="Verdana" w:cs="Arial"/>
          <w:bCs/>
          <w:sz w:val="16"/>
          <w:szCs w:val="16"/>
        </w:rPr>
        <w:t>Carlos Ariza</w:t>
      </w:r>
    </w:p>
    <w:p w14:paraId="27625D00" w14:textId="77777777" w:rsidR="00911C69" w:rsidRPr="009A0489" w:rsidRDefault="00911C69" w:rsidP="00911C69">
      <w:pPr>
        <w:contextualSpacing/>
        <w:jc w:val="both"/>
        <w:rPr>
          <w:rFonts w:ascii="Verdana" w:hAnsi="Verdana" w:cs="Arial"/>
          <w:bCs/>
          <w:sz w:val="16"/>
          <w:szCs w:val="16"/>
        </w:rPr>
      </w:pPr>
      <w:r w:rsidRPr="009A0489">
        <w:rPr>
          <w:rFonts w:ascii="Verdana" w:hAnsi="Verdana" w:cs="Arial"/>
          <w:bCs/>
          <w:sz w:val="16"/>
          <w:szCs w:val="16"/>
        </w:rPr>
        <w:t xml:space="preserve">REVISIÓN TÉCNICA: Mauricio Mendoza </w:t>
      </w:r>
    </w:p>
    <w:p w14:paraId="039691FC" w14:textId="77777777" w:rsidR="00911C69" w:rsidRPr="009A0489" w:rsidRDefault="00911C69" w:rsidP="00911C69">
      <w:pPr>
        <w:contextualSpacing/>
        <w:jc w:val="both"/>
        <w:rPr>
          <w:rFonts w:ascii="Verdana" w:hAnsi="Verdana"/>
          <w:sz w:val="16"/>
          <w:szCs w:val="16"/>
        </w:rPr>
      </w:pPr>
      <w:r w:rsidRPr="009A0489">
        <w:rPr>
          <w:rFonts w:ascii="Verdana" w:hAnsi="Verdana" w:cs="Arial"/>
          <w:bCs/>
          <w:sz w:val="16"/>
          <w:szCs w:val="16"/>
        </w:rPr>
        <w:t>ELABORÓ: Dalia Parrado</w:t>
      </w:r>
    </w:p>
    <w:p w14:paraId="426B20E0" w14:textId="77777777" w:rsidR="009D7B4C" w:rsidRPr="009A0489" w:rsidRDefault="009D7B4C" w:rsidP="00911C69">
      <w:pPr>
        <w:rPr>
          <w:rFonts w:ascii="Verdana" w:hAnsi="Verdana"/>
          <w:sz w:val="20"/>
          <w:szCs w:val="20"/>
        </w:rPr>
      </w:pPr>
    </w:p>
    <w:sectPr w:rsidR="009D7B4C" w:rsidRPr="009A0489" w:rsidSect="00BD4031">
      <w:headerReference w:type="even" r:id="rId37"/>
      <w:headerReference w:type="default" r:id="rId38"/>
      <w:footerReference w:type="even" r:id="rId39"/>
      <w:footerReference w:type="default" r:id="rId40"/>
      <w:headerReference w:type="first" r:id="rId41"/>
      <w:footerReference w:type="first" r:id="rId42"/>
      <w:pgSz w:w="12240" w:h="15840" w:code="127"/>
      <w:pgMar w:top="1701" w:right="1134" w:bottom="2552"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493A" w14:textId="77777777" w:rsidR="00B11AC5" w:rsidRDefault="00B11AC5">
      <w:r>
        <w:separator/>
      </w:r>
    </w:p>
  </w:endnote>
  <w:endnote w:type="continuationSeparator" w:id="0">
    <w:p w14:paraId="12135CD8" w14:textId="77777777" w:rsidR="00B11AC5" w:rsidRDefault="00B1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5465" w14:textId="77777777" w:rsidR="001B0518" w:rsidRDefault="001B05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6889" w14:textId="77777777" w:rsidR="001B0518" w:rsidRPr="00250B2B" w:rsidRDefault="001B0518" w:rsidP="00511883">
    <w:pPr>
      <w:pStyle w:val="Piedepgina"/>
    </w:pPr>
    <w:r>
      <w:rPr>
        <w:rFonts w:ascii="Times New Roman" w:eastAsiaTheme="minorHAnsi" w:hAnsi="Times New Roman" w:cs="Times New Roman"/>
        <w:noProof/>
        <w:sz w:val="24"/>
        <w:szCs w:val="24"/>
        <w:lang w:eastAsia="es-CO"/>
      </w:rPr>
      <w:pict w14:anchorId="50E131CA">
        <v:shapetype id="_x0000_t202" coordsize="21600,21600" o:spt="202" path="m,l,21600r21600,l21600,xe">
          <v:stroke joinstyle="miter"/>
          <v:path gradientshapeok="t" o:connecttype="rect"/>
        </v:shapetype>
        <v:shape id="Cuadro de texto 2" o:spid="_x0000_s1026" type="#_x0000_t202" style="position:absolute;margin-left:3980.4pt;margin-top:-69.7pt;width:548.75pt;height:96.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" filled="f" stroked="f" strokeweight=".5pt">
          <v:textbox>
            <w:txbxContent>
              <w:p w14:paraId="628FE74A" w14:textId="77777777" w:rsidR="001B0518" w:rsidRPr="00DB4471" w:rsidRDefault="009D7B4C" w:rsidP="00250B2B">
                <w:pPr>
                  <w:spacing w:line="276" w:lineRule="auto"/>
                  <w:jc w:val="both"/>
                  <w:rPr>
                    <w:rFonts w:ascii="Helvetica" w:hAnsi="Helvetica" w:cs="Helvetica"/>
                    <w:sz w:val="18"/>
                    <w:szCs w:val="18"/>
                  </w:rPr>
                </w:pPr>
                <w:r w:rsidRPr="00DB4471">
                  <w:rPr>
                    <w:rFonts w:ascii="Helvetica" w:hAnsi="Helvetica" w:cs="Helvetica"/>
                    <w:sz w:val="18"/>
                    <w:szCs w:val="18"/>
                  </w:rPr>
                  <w:t xml:space="preserve">________________________________________________________________________ </w:t>
                </w:r>
              </w:p>
              <w:sdt>
                <w:sdtPr>
                  <w:rPr>
                    <w:rFonts w:ascii="Helvetica" w:hAnsi="Helvetica" w:cs="Helvetica"/>
                    <w:sz w:val="18"/>
                    <w:szCs w:val="18"/>
                  </w:rPr>
                  <w:id w:val="285781665"/>
                  <w:docPartObj>
                    <w:docPartGallery w:val="Page Numbers (Bottom of Page)"/>
                    <w:docPartUnique/>
                  </w:docPartObj>
                </w:sdtPr>
                <w:sdtEndPr/>
                <w:sdtContent>
                  <w:p w14:paraId="45A8E9F5" w14:textId="77777777" w:rsidR="001B0518" w:rsidRPr="00DB4471" w:rsidRDefault="009D7B4C" w:rsidP="00250B2B">
                    <w:pPr>
                      <w:ind w:left="2661" w:firstLine="4419"/>
                      <w:jc w:val="center"/>
                      <w:rPr>
                        <w:rFonts w:ascii="Helvetica" w:eastAsiaTheme="minorHAnsi" w:hAnsi="Helvetica" w:cs="Helvetica"/>
                        <w:sz w:val="18"/>
                        <w:szCs w:val="18"/>
                      </w:rPr>
                    </w:pPr>
                    <w:r w:rsidRPr="00DB4471">
                      <w:rPr>
                        <w:rFonts w:ascii="Helvetica" w:hAnsi="Helvetica" w:cs="Helvetica"/>
                        <w:sz w:val="18"/>
                        <w:szCs w:val="18"/>
                      </w:rPr>
                      <w:t xml:space="preserve">Página | </w:t>
                    </w:r>
                    <w:r w:rsidRPr="00DB4471">
                      <w:rPr>
                        <w:rFonts w:ascii="Helvetica" w:hAnsi="Helvetica" w:cs="Helvetica"/>
                        <w:sz w:val="18"/>
                        <w:szCs w:val="18"/>
                      </w:rPr>
                      <w:fldChar w:fldCharType="begin"/>
                    </w:r>
                    <w:r w:rsidRPr="00DB4471">
                      <w:rPr>
                        <w:rFonts w:ascii="Helvetica" w:hAnsi="Helvetica" w:cs="Helvetica"/>
                        <w:sz w:val="18"/>
                        <w:szCs w:val="18"/>
                      </w:rPr>
                      <w:instrText>PAGE   \* MERGEFORMAT</w:instrText>
                    </w:r>
                    <w:r w:rsidRPr="00DB4471">
                      <w:rPr>
                        <w:rFonts w:ascii="Helvetica" w:hAnsi="Helvetica" w:cs="Helvetica"/>
                        <w:sz w:val="18"/>
                        <w:szCs w:val="18"/>
                      </w:rPr>
                      <w:fldChar w:fldCharType="separate"/>
                    </w:r>
                    <w:r w:rsidR="00AB0D36">
                      <w:rPr>
                        <w:rFonts w:ascii="Helvetica" w:hAnsi="Helvetica" w:cs="Helvetica"/>
                        <w:noProof/>
                        <w:sz w:val="18"/>
                        <w:szCs w:val="18"/>
                      </w:rPr>
                      <w:t>52</w:t>
                    </w:r>
                    <w:r w:rsidRPr="00DB4471">
                      <w:rPr>
                        <w:rFonts w:ascii="Helvetica" w:hAnsi="Helvetica" w:cs="Helvetica"/>
                        <w:sz w:val="18"/>
                        <w:szCs w:val="18"/>
                      </w:rPr>
                      <w:fldChar w:fldCharType="end"/>
                    </w:r>
                    <w:r w:rsidRPr="00DB4471">
                      <w:rPr>
                        <w:rFonts w:ascii="Helvetica" w:hAnsi="Helvetica" w:cs="Helvetica"/>
                        <w:sz w:val="18"/>
                        <w:szCs w:val="18"/>
                      </w:rPr>
                      <w:t xml:space="preserve"> </w:t>
                    </w:r>
                  </w:p>
                </w:sdtContent>
              </w:sdt>
              <w:p w14:paraId="7C24414E" w14:textId="77777777" w:rsidR="001B0518" w:rsidRPr="00C622A8" w:rsidRDefault="009D7B4C" w:rsidP="00250B2B">
                <w:pPr>
                  <w:rPr>
                    <w:rFonts w:ascii="Helvetica" w:hAnsi="Helvetica" w:cs="Helvetica"/>
                    <w:b/>
                    <w:sz w:val="20"/>
                    <w:szCs w:val="20"/>
                  </w:rPr>
                </w:pPr>
                <w:r w:rsidRPr="00C622A8">
                  <w:rPr>
                    <w:rFonts w:ascii="Helvetica" w:hAnsi="Helvetica" w:cs="Helvetica"/>
                    <w:b/>
                    <w:sz w:val="20"/>
                    <w:szCs w:val="20"/>
                  </w:rPr>
                  <w:t>Ministerio de Hacienda y Crédito Público</w:t>
                </w:r>
              </w:p>
              <w:p w14:paraId="15EA3D5B" w14:textId="77777777" w:rsidR="001B0518" w:rsidRPr="00C622A8" w:rsidRDefault="009D7B4C" w:rsidP="00250B2B">
                <w:pPr>
                  <w:rPr>
                    <w:rFonts w:ascii="Helvetica" w:hAnsi="Helvetica" w:cs="Helvetica"/>
                    <w:bCs/>
                    <w:sz w:val="20"/>
                    <w:szCs w:val="20"/>
                  </w:rPr>
                </w:pPr>
                <w:r w:rsidRPr="00C622A8">
                  <w:rPr>
                    <w:rFonts w:ascii="Helvetica" w:hAnsi="Helvetica" w:cs="Helvetica"/>
                    <w:bCs/>
                    <w:sz w:val="20"/>
                    <w:szCs w:val="20"/>
                  </w:rPr>
                  <w:t>Dirección: Carrera 8 No. 6 C 38 Bogotá D.C. Colombia</w:t>
                </w:r>
              </w:p>
              <w:p w14:paraId="564094D0" w14:textId="77777777" w:rsidR="001B0518" w:rsidRPr="00C622A8" w:rsidRDefault="009D7B4C" w:rsidP="00250B2B">
                <w:pPr>
                  <w:rPr>
                    <w:rFonts w:ascii="Helvetica" w:hAnsi="Helvetica" w:cs="Helvetica"/>
                    <w:sz w:val="20"/>
                    <w:szCs w:val="20"/>
                  </w:rPr>
                </w:pPr>
                <w:r w:rsidRPr="00C622A8">
                  <w:rPr>
                    <w:rFonts w:ascii="Helvetica" w:hAnsi="Helvetica" w:cs="Helvetica"/>
                    <w:sz w:val="20"/>
                    <w:szCs w:val="20"/>
                  </w:rPr>
                  <w:t>Conmutador (57) 601 3811700 Fuera de Bogotá 01-8000-910071</w:t>
                </w:r>
              </w:p>
              <w:p w14:paraId="0699D7B7" w14:textId="77777777" w:rsidR="001B0518" w:rsidRPr="00C622A8" w:rsidRDefault="009D7B4C" w:rsidP="00250B2B">
                <w:pPr>
                  <w:rPr>
                    <w:rFonts w:ascii="Helvetica" w:hAnsi="Helvetica" w:cs="Helvetica"/>
                    <w:sz w:val="20"/>
                    <w:szCs w:val="20"/>
                  </w:rPr>
                </w:pPr>
                <w:r w:rsidRPr="00C622A8">
                  <w:rPr>
                    <w:rFonts w:ascii="Helvetica" w:hAnsi="Helvetica" w:cs="Helvetica"/>
                    <w:sz w:val="20"/>
                    <w:szCs w:val="20"/>
                  </w:rPr>
                  <w:t>relacionciudadano@minhacienda.gov.co</w:t>
                </w:r>
              </w:p>
              <w:p w14:paraId="56F54D63" w14:textId="77777777" w:rsidR="001B0518" w:rsidRPr="00C622A8" w:rsidRDefault="009D7B4C" w:rsidP="00250B2B">
                <w:pPr>
                  <w:rPr>
                    <w:rFonts w:ascii="Helvetica" w:hAnsi="Helvetica" w:cs="Helvetica"/>
                    <w:sz w:val="20"/>
                    <w:szCs w:val="20"/>
                  </w:rPr>
                </w:pPr>
                <w:r w:rsidRPr="00C622A8">
                  <w:rPr>
                    <w:rFonts w:ascii="Helvetica" w:hAnsi="Helvetica" w:cs="Helvetica"/>
                    <w:sz w:val="20"/>
                    <w:szCs w:val="20"/>
                  </w:rPr>
                  <w:t>www.minhacienda.gov.co</w:t>
                </w:r>
              </w:p>
              <w:p w14:paraId="1BA6BADD" w14:textId="77777777" w:rsidR="001B0518" w:rsidRDefault="001B0518" w:rsidP="00250B2B">
                <w:pPr>
                  <w:rPr>
                    <w:rFonts w:asciiTheme="minorHAnsi" w:hAnsiTheme="minorHAnsi" w:cstheme="minorBidi"/>
                    <w:sz w:val="22"/>
                    <w:szCs w:val="22"/>
                  </w:rPr>
                </w:pPr>
              </w:p>
            </w:txbxContent>
          </v:textbox>
          <w10:wrap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0858" w14:textId="77777777" w:rsidR="001B0518" w:rsidRDefault="001B0518" w:rsidP="00D71FA2">
    <w:pPr>
      <w:pStyle w:val="Piedepgina"/>
      <w:rPr>
        <w:b/>
      </w:rPr>
    </w:pPr>
  </w:p>
  <w:p w14:paraId="209CEC44" w14:textId="77777777" w:rsidR="001B0518" w:rsidRDefault="001B0518" w:rsidP="00D71FA2">
    <w:pPr>
      <w:pStyle w:val="Piedepgina"/>
    </w:pPr>
    <w:r>
      <w:rPr>
        <w:rFonts w:ascii="Times New Roman" w:eastAsiaTheme="minorHAnsi" w:hAnsi="Times New Roman" w:cs="Times New Roman"/>
        <w:noProof/>
        <w:sz w:val="24"/>
        <w:szCs w:val="24"/>
        <w:lang w:eastAsia="es-CO"/>
      </w:rPr>
      <w:pict w14:anchorId="05A869B4">
        <v:shapetype id="_x0000_t202" coordsize="21600,21600" o:spt="202" path="m,l,21600r21600,l21600,xe">
          <v:stroke joinstyle="miter"/>
          <v:path gradientshapeok="t" o:connecttype="rect"/>
        </v:shapetype>
        <v:shape id="Cuadro de texto 1" o:spid="_x0000_s1027" type="#_x0000_t202" style="position:absolute;margin-left:51.9pt;margin-top:5.9pt;width:548.75pt;height:9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" filled="f" stroked="f" strokeweight=".5pt">
          <v:textbox>
            <w:txbxContent>
              <w:p w14:paraId="5E4ADC44" w14:textId="77777777" w:rsidR="001B0518" w:rsidRPr="00DB4471" w:rsidRDefault="009D7B4C" w:rsidP="00511883">
                <w:pPr>
                  <w:spacing w:line="276" w:lineRule="auto"/>
                  <w:jc w:val="both"/>
                  <w:rPr>
                    <w:rFonts w:ascii="Helvetica" w:hAnsi="Helvetica" w:cs="Helvetica"/>
                    <w:sz w:val="18"/>
                    <w:szCs w:val="18"/>
                  </w:rPr>
                </w:pPr>
                <w:r w:rsidRPr="00DB4471">
                  <w:rPr>
                    <w:rFonts w:ascii="Helvetica" w:hAnsi="Helvetica" w:cs="Helvetica"/>
                    <w:sz w:val="18"/>
                    <w:szCs w:val="18"/>
                  </w:rPr>
                  <w:t xml:space="preserve">________________________________________________________________________ </w:t>
                </w:r>
              </w:p>
              <w:sdt>
                <w:sdtPr>
                  <w:rPr>
                    <w:rFonts w:ascii="Helvetica" w:hAnsi="Helvetica" w:cs="Helvetica"/>
                    <w:sz w:val="18"/>
                    <w:szCs w:val="18"/>
                    <w:lang w:val="es-ES"/>
                  </w:rPr>
                  <w:id w:val="-1071572585"/>
                  <w:docPartObj>
                    <w:docPartGallery w:val="Page Numbers (Bottom of Page)"/>
                    <w:docPartUnique/>
                  </w:docPartObj>
                </w:sdtPr>
                <w:sdtEndPr/>
                <w:sdtContent>
                  <w:p w14:paraId="78F0F87D" w14:textId="77777777" w:rsidR="001B0518" w:rsidRPr="00DB4471" w:rsidRDefault="009D7B4C" w:rsidP="00511883">
                    <w:pPr>
                      <w:pStyle w:val="Piedepgina"/>
                      <w:ind w:left="2661" w:firstLine="4419"/>
                      <w:jc w:val="center"/>
                      <w:rPr>
                        <w:rFonts w:ascii="Helvetica" w:eastAsiaTheme="minorHAnsi" w:hAnsi="Helvetica" w:cs="Helvetica"/>
                        <w:sz w:val="18"/>
                        <w:szCs w:val="18"/>
                        <w:lang w:val="es-ES"/>
                      </w:rPr>
                    </w:pPr>
                    <w:r w:rsidRPr="00DB4471">
                      <w:rPr>
                        <w:rFonts w:ascii="Helvetica" w:hAnsi="Helvetica" w:cs="Helvetica"/>
                        <w:sz w:val="18"/>
                        <w:szCs w:val="18"/>
                        <w:lang w:val="es-ES"/>
                      </w:rPr>
                      <w:t xml:space="preserve">Página | </w:t>
                    </w:r>
                    <w:r w:rsidRPr="00DB4471">
                      <w:rPr>
                        <w:rFonts w:ascii="Helvetica" w:hAnsi="Helvetica" w:cs="Helvetica"/>
                        <w:sz w:val="18"/>
                        <w:szCs w:val="18"/>
                      </w:rPr>
                      <w:fldChar w:fldCharType="begin"/>
                    </w:r>
                    <w:r w:rsidRPr="00DB4471">
                      <w:rPr>
                        <w:rFonts w:ascii="Helvetica" w:hAnsi="Helvetica" w:cs="Helvetica"/>
                        <w:sz w:val="18"/>
                        <w:szCs w:val="18"/>
                      </w:rPr>
                      <w:instrText>PAGE   \* MERGEFORMAT</w:instrText>
                    </w:r>
                    <w:r w:rsidRPr="00DB4471">
                      <w:rPr>
                        <w:rFonts w:ascii="Helvetica" w:hAnsi="Helvetica" w:cs="Helvetica"/>
                        <w:sz w:val="18"/>
                        <w:szCs w:val="18"/>
                      </w:rPr>
                      <w:fldChar w:fldCharType="separate"/>
                    </w:r>
                    <w:r w:rsidR="00AB0D36">
                      <w:rPr>
                        <w:rFonts w:ascii="Helvetica" w:hAnsi="Helvetica" w:cs="Helvetica"/>
                        <w:noProof/>
                        <w:sz w:val="18"/>
                        <w:szCs w:val="18"/>
                      </w:rPr>
                      <w:t>1</w:t>
                    </w:r>
                    <w:r w:rsidRPr="00DB4471">
                      <w:rPr>
                        <w:rFonts w:ascii="Helvetica" w:hAnsi="Helvetica" w:cs="Helvetica"/>
                        <w:sz w:val="18"/>
                        <w:szCs w:val="18"/>
                      </w:rPr>
                      <w:fldChar w:fldCharType="end"/>
                    </w:r>
                    <w:r w:rsidRPr="00DB4471">
                      <w:rPr>
                        <w:rFonts w:ascii="Helvetica" w:hAnsi="Helvetica" w:cs="Helvetica"/>
                        <w:sz w:val="18"/>
                        <w:szCs w:val="18"/>
                        <w:lang w:val="es-ES"/>
                      </w:rPr>
                      <w:t xml:space="preserve"> </w:t>
                    </w:r>
                  </w:p>
                </w:sdtContent>
              </w:sdt>
              <w:p w14:paraId="4F79C0CE" w14:textId="77777777" w:rsidR="001B0518" w:rsidRPr="00BD761F" w:rsidRDefault="009D7B4C" w:rsidP="00511883">
                <w:pPr>
                  <w:pStyle w:val="Piedepgina"/>
                  <w:rPr>
                    <w:rFonts w:ascii="Helvetica" w:hAnsi="Helvetica" w:cs="Helvetica"/>
                    <w:b/>
                    <w:sz w:val="20"/>
                    <w:szCs w:val="20"/>
                  </w:rPr>
                </w:pPr>
                <w:r w:rsidRPr="00BD761F">
                  <w:rPr>
                    <w:rFonts w:ascii="Helvetica" w:hAnsi="Helvetica" w:cs="Helvetica"/>
                    <w:b/>
                    <w:sz w:val="20"/>
                    <w:szCs w:val="20"/>
                  </w:rPr>
                  <w:t>Ministerio de Hacienda y Crédito Público</w:t>
                </w:r>
              </w:p>
              <w:p w14:paraId="0CE6802C" w14:textId="77777777" w:rsidR="001B0518" w:rsidRPr="00BD761F" w:rsidRDefault="009D7B4C" w:rsidP="00511883">
                <w:pPr>
                  <w:pStyle w:val="Piedepgina"/>
                  <w:rPr>
                    <w:rFonts w:ascii="Helvetica" w:hAnsi="Helvetica" w:cs="Helvetica"/>
                    <w:bCs/>
                    <w:sz w:val="20"/>
                    <w:szCs w:val="20"/>
                  </w:rPr>
                </w:pPr>
                <w:r w:rsidRPr="00BD761F">
                  <w:rPr>
                    <w:rFonts w:ascii="Helvetica" w:hAnsi="Helvetica" w:cs="Helvetica"/>
                    <w:bCs/>
                    <w:sz w:val="20"/>
                    <w:szCs w:val="20"/>
                  </w:rPr>
                  <w:t>Dirección: Carrera 8 No. 6 C 38 Bogotá D.C. Colombia</w:t>
                </w:r>
              </w:p>
              <w:p w14:paraId="01CFC997" w14:textId="77777777" w:rsidR="001B0518" w:rsidRPr="00BD761F" w:rsidRDefault="009D7B4C" w:rsidP="00511883">
                <w:pPr>
                  <w:pStyle w:val="Piedepgina"/>
                  <w:rPr>
                    <w:rFonts w:ascii="Helvetica" w:hAnsi="Helvetica" w:cs="Helvetica"/>
                    <w:sz w:val="20"/>
                    <w:szCs w:val="20"/>
                  </w:rPr>
                </w:pPr>
                <w:r w:rsidRPr="00BD761F">
                  <w:rPr>
                    <w:rFonts w:ascii="Helvetica" w:hAnsi="Helvetica" w:cs="Helvetica"/>
                    <w:sz w:val="20"/>
                    <w:szCs w:val="20"/>
                  </w:rPr>
                  <w:t>Conmutador (57) 601 3811700 Fuera de Bogotá 01-8000-910071</w:t>
                </w:r>
              </w:p>
              <w:p w14:paraId="1B7562C6" w14:textId="77777777" w:rsidR="001B0518" w:rsidRPr="00BD761F" w:rsidRDefault="009D7B4C" w:rsidP="00511883">
                <w:pPr>
                  <w:pStyle w:val="Piedepgina"/>
                  <w:rPr>
                    <w:rFonts w:ascii="Helvetica" w:hAnsi="Helvetica" w:cs="Helvetica"/>
                    <w:sz w:val="20"/>
                    <w:szCs w:val="20"/>
                  </w:rPr>
                </w:pPr>
                <w:r w:rsidRPr="00BD761F">
                  <w:rPr>
                    <w:rFonts w:ascii="Helvetica" w:hAnsi="Helvetica" w:cs="Helvetica"/>
                    <w:sz w:val="20"/>
                    <w:szCs w:val="20"/>
                  </w:rPr>
                  <w:t>relacionciudadano@minhacienda.gov.co</w:t>
                </w:r>
              </w:p>
              <w:p w14:paraId="015B1343" w14:textId="77777777" w:rsidR="001B0518" w:rsidRPr="00BD761F" w:rsidRDefault="009D7B4C" w:rsidP="00511883">
                <w:pPr>
                  <w:pStyle w:val="Piedepgina"/>
                  <w:rPr>
                    <w:rFonts w:ascii="Helvetica" w:hAnsi="Helvetica" w:cs="Helvetica"/>
                    <w:sz w:val="20"/>
                    <w:szCs w:val="20"/>
                  </w:rPr>
                </w:pPr>
                <w:r w:rsidRPr="00BD761F">
                  <w:rPr>
                    <w:rFonts w:ascii="Helvetica" w:hAnsi="Helvetica" w:cs="Helvetica"/>
                    <w:sz w:val="20"/>
                    <w:szCs w:val="20"/>
                  </w:rPr>
                  <w:t>www.minhacienda.gov.co</w:t>
                </w:r>
              </w:p>
              <w:p w14:paraId="1DFEA6D7" w14:textId="77777777" w:rsidR="001B0518" w:rsidRDefault="001B0518" w:rsidP="00511883">
                <w:pPr>
                  <w:rPr>
                    <w:rFonts w:asciiTheme="minorHAnsi" w:hAnsiTheme="minorHAnsi" w:cstheme="minorBidi"/>
                    <w:sz w:val="22"/>
                    <w:szCs w:val="22"/>
                  </w:rPr>
                </w:pPr>
              </w:p>
            </w:txbxContent>
          </v:textbox>
          <w10:wrap anchorx="page"/>
        </v:shape>
      </w:pict>
    </w:r>
  </w:p>
  <w:p w14:paraId="3F20AD71" w14:textId="77777777" w:rsidR="001B0518" w:rsidRDefault="001B0518" w:rsidP="00D71FA2">
    <w:pPr>
      <w:pStyle w:val="Piedepgina"/>
    </w:pPr>
  </w:p>
  <w:p w14:paraId="63AA9F7E" w14:textId="77777777" w:rsidR="001B0518" w:rsidRPr="002A34A1" w:rsidRDefault="001B0518" w:rsidP="00511883">
    <w:pPr>
      <w:pStyle w:val="Piedepgina"/>
      <w:rPr>
        <w:b/>
      </w:rPr>
    </w:pPr>
  </w:p>
  <w:p w14:paraId="23B57DA4" w14:textId="77777777" w:rsidR="001B0518" w:rsidRDefault="001B0518" w:rsidP="00511883">
    <w:pPr>
      <w:pStyle w:val="Piedepgina"/>
    </w:pPr>
  </w:p>
  <w:p w14:paraId="04A1C064" w14:textId="77777777" w:rsidR="001B0518" w:rsidRDefault="001B0518" w:rsidP="00511883">
    <w:pPr>
      <w:pStyle w:val="Piedepgina"/>
    </w:pPr>
  </w:p>
  <w:p w14:paraId="4C5E7E90" w14:textId="77777777" w:rsidR="001B0518" w:rsidRDefault="001B0518" w:rsidP="00511883">
    <w:pPr>
      <w:pStyle w:val="Piedepgina"/>
    </w:pPr>
  </w:p>
  <w:p w14:paraId="602A4A07" w14:textId="77777777" w:rsidR="001B0518" w:rsidRPr="00D71FA2" w:rsidRDefault="001B0518" w:rsidP="00D7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15DB" w14:textId="77777777" w:rsidR="00B11AC5" w:rsidRDefault="00B11AC5">
      <w:r>
        <w:separator/>
      </w:r>
    </w:p>
  </w:footnote>
  <w:footnote w:type="continuationSeparator" w:id="0">
    <w:p w14:paraId="3521228D" w14:textId="77777777" w:rsidR="00B11AC5" w:rsidRDefault="00B11AC5">
      <w:r>
        <w:continuationSeparator/>
      </w:r>
    </w:p>
  </w:footnote>
  <w:footnote w:id="1">
    <w:p w14:paraId="28EBCEF2" w14:textId="77777777" w:rsidR="00911C69" w:rsidRPr="00362266" w:rsidRDefault="00911C69" w:rsidP="00911C69">
      <w:pPr>
        <w:pStyle w:val="Textonotapie"/>
        <w:jc w:val="both"/>
        <w:rPr>
          <w:rFonts w:ascii="Arial" w:hAnsi="Arial" w:cs="Arial"/>
          <w:sz w:val="16"/>
          <w:szCs w:val="16"/>
        </w:rPr>
      </w:pPr>
      <w:r w:rsidRPr="00362266">
        <w:rPr>
          <w:rStyle w:val="Refdenotaalpie"/>
          <w:rFonts w:ascii="Arial" w:hAnsi="Arial" w:cs="Arial"/>
          <w:sz w:val="16"/>
          <w:szCs w:val="16"/>
        </w:rPr>
        <w:footnoteRef/>
      </w:r>
      <w:r w:rsidRPr="00362266">
        <w:rPr>
          <w:rFonts w:ascii="Arial" w:hAnsi="Arial" w:cs="Arial"/>
          <w:sz w:val="16"/>
          <w:szCs w:val="16"/>
        </w:rPr>
        <w:t xml:space="preserve"> Plan de Desarrollo 2020-2023 </w:t>
      </w:r>
      <w:r w:rsidRPr="00362266">
        <w:rPr>
          <w:rFonts w:ascii="Arial" w:eastAsia="Calibri" w:hAnsi="Arial" w:cs="Arial"/>
          <w:i/>
          <w:sz w:val="16"/>
          <w:szCs w:val="16"/>
          <w:lang w:val="es-CO"/>
        </w:rPr>
        <w:t>“Por Amor a Cota, sí podemos 2020-2023”</w:t>
      </w:r>
      <w:r w:rsidRPr="00362266">
        <w:rPr>
          <w:rFonts w:ascii="Arial" w:eastAsiaTheme="minorHAnsi" w:hAnsi="Arial" w:cs="Arial"/>
          <w:bCs/>
          <w:i/>
          <w:iCs/>
          <w:sz w:val="16"/>
          <w:szCs w:val="16"/>
        </w:rPr>
        <w:t xml:space="preserve">. </w:t>
      </w:r>
      <w:r w:rsidRPr="00362266">
        <w:rPr>
          <w:rFonts w:ascii="Arial" w:eastAsiaTheme="minorHAnsi" w:hAnsi="Arial" w:cs="Arial"/>
          <w:bCs/>
          <w:iCs/>
          <w:sz w:val="16"/>
          <w:szCs w:val="16"/>
        </w:rPr>
        <w:t>Pág.17.</w:t>
      </w:r>
    </w:p>
  </w:footnote>
  <w:footnote w:id="2">
    <w:p w14:paraId="796EE85C" w14:textId="77777777" w:rsidR="00911C69" w:rsidRPr="00362266" w:rsidRDefault="00911C69" w:rsidP="00911C69">
      <w:pPr>
        <w:pStyle w:val="Textonotapie"/>
        <w:jc w:val="both"/>
        <w:rPr>
          <w:rFonts w:ascii="Arial" w:hAnsi="Arial" w:cs="Arial"/>
          <w:sz w:val="16"/>
          <w:szCs w:val="16"/>
        </w:rPr>
      </w:pPr>
      <w:r w:rsidRPr="00362266">
        <w:rPr>
          <w:rFonts w:ascii="Arial" w:hAnsi="Arial" w:cs="Arial"/>
          <w:sz w:val="16"/>
          <w:szCs w:val="16"/>
          <w:vertAlign w:val="superscript"/>
        </w:rPr>
        <w:footnoteRef/>
      </w:r>
      <w:r w:rsidRPr="00362266">
        <w:rPr>
          <w:rFonts w:ascii="Arial" w:hAnsi="Arial" w:cs="Arial"/>
          <w:sz w:val="16"/>
          <w:szCs w:val="16"/>
        </w:rPr>
        <w:t xml:space="preserve"> El artículo 89 de la Ley 142 de 1994 estableció la obligación de crear los FSRI con contabilidad y presupuesto separados.</w:t>
      </w:r>
    </w:p>
  </w:footnote>
  <w:footnote w:id="3">
    <w:p w14:paraId="2ED51872" w14:textId="77777777" w:rsidR="00911C69" w:rsidRPr="00D56008" w:rsidRDefault="00911C69" w:rsidP="00911C69">
      <w:pPr>
        <w:pStyle w:val="Textonotapie"/>
        <w:jc w:val="both"/>
        <w:rPr>
          <w:rStyle w:val="Refdenotaalpie"/>
          <w:rFonts w:ascii="Arial" w:hAnsi="Arial" w:cs="Arial"/>
        </w:rPr>
      </w:pPr>
      <w:r w:rsidRPr="00362266">
        <w:rPr>
          <w:rStyle w:val="Refdenotaalpie"/>
          <w:rFonts w:ascii="Arial" w:hAnsi="Arial" w:cs="Arial"/>
          <w:sz w:val="16"/>
          <w:szCs w:val="16"/>
        </w:rPr>
        <w:footnoteRef/>
      </w:r>
      <w:r w:rsidRPr="00362266">
        <w:rPr>
          <w:rFonts w:ascii="Arial" w:hAnsi="Arial" w:cs="Arial"/>
          <w:sz w:val="16"/>
          <w:szCs w:val="16"/>
        </w:rPr>
        <w:t xml:space="preserve"> Artículo 2.3.4.1.2.4., Decreto 1077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4BC7" w14:textId="77777777" w:rsidR="001B0518" w:rsidRDefault="001B05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CCA4" w14:textId="77777777" w:rsidR="001B0518" w:rsidRDefault="001B0518" w:rsidP="00F14025">
    <w:pPr>
      <w:pStyle w:val="Encabezado"/>
      <w:jc w:val="both"/>
      <w:rPr>
        <w:noProof/>
        <w:lang w:eastAsia="es-CO"/>
      </w:rPr>
    </w:pPr>
    <w:bookmarkStart w:id="8" w:name="_Hlk502904560"/>
  </w:p>
  <w:p w14:paraId="30FEAFC8" w14:textId="77777777" w:rsidR="001B0518" w:rsidRDefault="009D7B4C" w:rsidP="00F14025">
    <w:pPr>
      <w:pStyle w:val="Encabezado"/>
      <w:jc w:val="both"/>
      <w:rPr>
        <w:noProof/>
        <w:lang w:eastAsia="es-CO"/>
      </w:rPr>
    </w:pPr>
    <w:r>
      <w:rPr>
        <w:noProof/>
        <w:lang w:eastAsia="es-CO"/>
      </w:rPr>
      <w:drawing>
        <wp:inline distT="0" distB="0" distL="0" distR="0" wp14:anchorId="42EF3392" wp14:editId="6D9A3B48">
          <wp:extent cx="5972175" cy="817880"/>
          <wp:effectExtent l="0" t="0" r="0" b="0"/>
          <wp:docPr id="5"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1615993281"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5972175" cy="817880"/>
                  </a:xfrm>
                  <a:prstGeom prst="rect">
                    <a:avLst/>
                  </a:prstGeom>
                  <a:noFill/>
                  <a:ln>
                    <a:noFill/>
                  </a:ln>
                  <a:extLst>
                    <a:ext uri="{53640926-AAD7-44D8-BBD7-CCE9431645EC}">
                      <a14:shadowObscured xmlns:a14="http://schemas.microsoft.com/office/drawing/2010/main"/>
                    </a:ext>
                  </a:extLst>
                </pic:spPr>
              </pic:pic>
            </a:graphicData>
          </a:graphic>
        </wp:inline>
      </w:drawing>
    </w:r>
  </w:p>
  <w:p w14:paraId="35AA5D67" w14:textId="77777777" w:rsidR="001B0518" w:rsidRPr="00F14025" w:rsidRDefault="009D7B4C" w:rsidP="00F14025">
    <w:pPr>
      <w:pStyle w:val="Encabezado"/>
      <w:jc w:val="both"/>
    </w:pPr>
    <w:r w:rsidRPr="00F01F75">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10F7" w14:textId="77777777" w:rsidR="001B0518" w:rsidRDefault="001B0518">
    <w:pPr>
      <w:pStyle w:val="Encabezado"/>
    </w:pPr>
  </w:p>
  <w:p w14:paraId="421FBE21" w14:textId="77777777" w:rsidR="001B0518" w:rsidRDefault="009D7B4C">
    <w:pPr>
      <w:pStyle w:val="Encabezado"/>
    </w:pPr>
    <w:r>
      <w:rPr>
        <w:noProof/>
        <w:lang w:eastAsia="es-CO"/>
      </w:rPr>
      <w:drawing>
        <wp:inline distT="0" distB="0" distL="0" distR="0" wp14:anchorId="6A3FFD4E" wp14:editId="33E57AE5">
          <wp:extent cx="5972175" cy="817880"/>
          <wp:effectExtent l="0" t="0" r="0" b="0"/>
          <wp:docPr id="1615993281"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1615993281"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5972175" cy="8178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1627" w:firstLine="357"/>
      </w:pPr>
      <w:rPr>
        <w:rFonts w:hint="default"/>
        <w:color w:val="000000"/>
        <w:position w:val="0"/>
        <w:sz w:val="24"/>
      </w:rPr>
    </w:lvl>
    <w:lvl w:ilvl="1">
      <w:start w:val="1"/>
      <w:numFmt w:val="lowerLetter"/>
      <w:suff w:val="nothing"/>
      <w:lvlText w:val="%2."/>
      <w:lvlJc w:val="left"/>
      <w:pPr>
        <w:ind w:left="2642" w:firstLine="357"/>
      </w:pPr>
      <w:rPr>
        <w:rFonts w:hint="default"/>
        <w:color w:val="000000"/>
        <w:position w:val="0"/>
        <w:sz w:val="24"/>
      </w:rPr>
    </w:lvl>
    <w:lvl w:ilvl="2">
      <w:start w:val="1"/>
      <w:numFmt w:val="lowerRoman"/>
      <w:suff w:val="nothing"/>
      <w:lvlText w:val="%3."/>
      <w:lvlJc w:val="left"/>
      <w:pPr>
        <w:ind w:left="3657" w:firstLine="357"/>
      </w:pPr>
      <w:rPr>
        <w:rFonts w:hint="default"/>
        <w:color w:val="000000"/>
        <w:position w:val="0"/>
        <w:sz w:val="24"/>
      </w:rPr>
    </w:lvl>
    <w:lvl w:ilvl="3">
      <w:start w:val="1"/>
      <w:numFmt w:val="decimal"/>
      <w:isLgl/>
      <w:suff w:val="nothing"/>
      <w:lvlText w:val="%4."/>
      <w:lvlJc w:val="left"/>
      <w:pPr>
        <w:ind w:left="4672" w:firstLine="357"/>
      </w:pPr>
      <w:rPr>
        <w:rFonts w:hint="default"/>
        <w:color w:val="000000"/>
        <w:position w:val="0"/>
        <w:sz w:val="24"/>
      </w:rPr>
    </w:lvl>
    <w:lvl w:ilvl="4">
      <w:start w:val="1"/>
      <w:numFmt w:val="lowerLetter"/>
      <w:suff w:val="nothing"/>
      <w:lvlText w:val="%5."/>
      <w:lvlJc w:val="left"/>
      <w:pPr>
        <w:ind w:left="5687" w:firstLine="357"/>
      </w:pPr>
      <w:rPr>
        <w:rFonts w:hint="default"/>
        <w:color w:val="000000"/>
        <w:position w:val="0"/>
        <w:sz w:val="24"/>
      </w:rPr>
    </w:lvl>
    <w:lvl w:ilvl="5">
      <w:start w:val="1"/>
      <w:numFmt w:val="lowerRoman"/>
      <w:suff w:val="nothing"/>
      <w:lvlText w:val="%6."/>
      <w:lvlJc w:val="left"/>
      <w:pPr>
        <w:ind w:left="6702" w:firstLine="357"/>
      </w:pPr>
      <w:rPr>
        <w:rFonts w:hint="default"/>
        <w:color w:val="000000"/>
        <w:position w:val="0"/>
        <w:sz w:val="24"/>
      </w:rPr>
    </w:lvl>
    <w:lvl w:ilvl="6">
      <w:start w:val="1"/>
      <w:numFmt w:val="decimal"/>
      <w:isLgl/>
      <w:suff w:val="nothing"/>
      <w:lvlText w:val="%7."/>
      <w:lvlJc w:val="left"/>
      <w:pPr>
        <w:ind w:left="7717" w:firstLine="357"/>
      </w:pPr>
      <w:rPr>
        <w:rFonts w:hint="default"/>
        <w:color w:val="000000"/>
        <w:position w:val="0"/>
        <w:sz w:val="24"/>
      </w:rPr>
    </w:lvl>
    <w:lvl w:ilvl="7">
      <w:start w:val="1"/>
      <w:numFmt w:val="lowerLetter"/>
      <w:suff w:val="nothing"/>
      <w:lvlText w:val="%8."/>
      <w:lvlJc w:val="left"/>
      <w:pPr>
        <w:ind w:left="8732" w:firstLine="357"/>
      </w:pPr>
      <w:rPr>
        <w:rFonts w:hint="default"/>
        <w:color w:val="000000"/>
        <w:position w:val="0"/>
        <w:sz w:val="24"/>
      </w:rPr>
    </w:lvl>
    <w:lvl w:ilvl="8">
      <w:start w:val="1"/>
      <w:numFmt w:val="lowerRoman"/>
      <w:suff w:val="nothing"/>
      <w:lvlText w:val="%9."/>
      <w:lvlJc w:val="left"/>
      <w:pPr>
        <w:ind w:left="9747" w:firstLine="357"/>
      </w:pPr>
      <w:rPr>
        <w:rFonts w:hint="default"/>
        <w:color w:val="000000"/>
        <w:position w:val="0"/>
        <w:sz w:val="24"/>
      </w:rPr>
    </w:lvl>
  </w:abstractNum>
  <w:abstractNum w:abstractNumId="1" w15:restartNumberingAfterBreak="0">
    <w:nsid w:val="026C2058"/>
    <w:multiLevelType w:val="multilevel"/>
    <w:tmpl w:val="17D22AAA"/>
    <w:lvl w:ilvl="0">
      <w:start w:val="3"/>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65378"/>
    <w:multiLevelType w:val="hybridMultilevel"/>
    <w:tmpl w:val="354CF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024DC"/>
    <w:multiLevelType w:val="hybridMultilevel"/>
    <w:tmpl w:val="EE98F684"/>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C0819"/>
    <w:multiLevelType w:val="hybridMultilevel"/>
    <w:tmpl w:val="B48CF99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F4CCC"/>
    <w:multiLevelType w:val="hybridMultilevel"/>
    <w:tmpl w:val="A984AB6E"/>
    <w:lvl w:ilvl="0" w:tplc="84E23996">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4752B"/>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7" w15:restartNumberingAfterBreak="0">
    <w:nsid w:val="2A762713"/>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8" w15:restartNumberingAfterBreak="0">
    <w:nsid w:val="2AC15B90"/>
    <w:multiLevelType w:val="hybridMultilevel"/>
    <w:tmpl w:val="354CF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01C92"/>
    <w:multiLevelType w:val="hybridMultilevel"/>
    <w:tmpl w:val="0F463B02"/>
    <w:lvl w:ilvl="0" w:tplc="394C86C0">
      <w:start w:val="2"/>
      <w:numFmt w:val="bullet"/>
      <w:lvlText w:val="-"/>
      <w:lvlJc w:val="left"/>
      <w:pPr>
        <w:ind w:left="720" w:hanging="360"/>
      </w:pPr>
      <w:rPr>
        <w:rFonts w:ascii="Arial" w:eastAsia="MS Mincho"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433FC"/>
    <w:multiLevelType w:val="hybridMultilevel"/>
    <w:tmpl w:val="9EC6B9F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2A3AB7"/>
    <w:multiLevelType w:val="hybridMultilevel"/>
    <w:tmpl w:val="896C8EBA"/>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75210CD"/>
    <w:multiLevelType w:val="hybridMultilevel"/>
    <w:tmpl w:val="9DEE49E2"/>
    <w:lvl w:ilvl="0" w:tplc="06D2F578">
      <w:start w:val="1"/>
      <w:numFmt w:val="bullet"/>
      <w:lvlText w:val="-"/>
      <w:lvlJc w:val="left"/>
      <w:pPr>
        <w:ind w:left="720" w:hanging="360"/>
      </w:pPr>
      <w:rPr>
        <w:rFonts w:ascii="Arial Narrow" w:eastAsia="MS Mincho"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D10AC2"/>
    <w:multiLevelType w:val="multilevel"/>
    <w:tmpl w:val="BBD4522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C03946"/>
    <w:multiLevelType w:val="multilevel"/>
    <w:tmpl w:val="9BDA7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6" w15:restartNumberingAfterBreak="0">
    <w:nsid w:val="56AE2B79"/>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7" w15:restartNumberingAfterBreak="0">
    <w:nsid w:val="618C74FD"/>
    <w:multiLevelType w:val="hybridMultilevel"/>
    <w:tmpl w:val="5080C778"/>
    <w:lvl w:ilvl="0" w:tplc="032E498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98E2F96"/>
    <w:multiLevelType w:val="hybridMultilevel"/>
    <w:tmpl w:val="FB7EBFC0"/>
    <w:lvl w:ilvl="0" w:tplc="FFFFFFFF">
      <w:start w:val="1"/>
      <w:numFmt w:val="upp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6C413D14"/>
    <w:multiLevelType w:val="hybridMultilevel"/>
    <w:tmpl w:val="9D9E2046"/>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19E113A"/>
    <w:multiLevelType w:val="multilevel"/>
    <w:tmpl w:val="0FEA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EC2906"/>
    <w:multiLevelType w:val="hybridMultilevel"/>
    <w:tmpl w:val="EAAEAAC8"/>
    <w:lvl w:ilvl="0" w:tplc="23F01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696543">
    <w:abstractNumId w:val="0"/>
  </w:num>
  <w:num w:numId="2" w16cid:durableId="1172572963">
    <w:abstractNumId w:val="15"/>
  </w:num>
  <w:num w:numId="3" w16cid:durableId="1453935135">
    <w:abstractNumId w:val="20"/>
  </w:num>
  <w:num w:numId="4" w16cid:durableId="722950215">
    <w:abstractNumId w:val="16"/>
  </w:num>
  <w:num w:numId="5" w16cid:durableId="1600673985">
    <w:abstractNumId w:val="10"/>
  </w:num>
  <w:num w:numId="6" w16cid:durableId="1275939556">
    <w:abstractNumId w:val="2"/>
  </w:num>
  <w:num w:numId="7" w16cid:durableId="1407453730">
    <w:abstractNumId w:val="7"/>
  </w:num>
  <w:num w:numId="8" w16cid:durableId="1393843226">
    <w:abstractNumId w:val="17"/>
  </w:num>
  <w:num w:numId="9" w16cid:durableId="1219243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665710">
    <w:abstractNumId w:val="14"/>
  </w:num>
  <w:num w:numId="11" w16cid:durableId="1979720262">
    <w:abstractNumId w:val="12"/>
  </w:num>
  <w:num w:numId="12" w16cid:durableId="1000541980">
    <w:abstractNumId w:val="6"/>
  </w:num>
  <w:num w:numId="13" w16cid:durableId="1467355530">
    <w:abstractNumId w:val="8"/>
  </w:num>
  <w:num w:numId="14" w16cid:durableId="2025668046">
    <w:abstractNumId w:val="5"/>
  </w:num>
  <w:num w:numId="15" w16cid:durableId="1688097928">
    <w:abstractNumId w:val="1"/>
  </w:num>
  <w:num w:numId="16" w16cid:durableId="851990716">
    <w:abstractNumId w:val="13"/>
  </w:num>
  <w:num w:numId="17" w16cid:durableId="1583955853">
    <w:abstractNumId w:val="3"/>
  </w:num>
  <w:num w:numId="18" w16cid:durableId="801655732">
    <w:abstractNumId w:val="21"/>
  </w:num>
  <w:num w:numId="19" w16cid:durableId="2019652866">
    <w:abstractNumId w:val="4"/>
  </w:num>
  <w:num w:numId="20" w16cid:durableId="720708798">
    <w:abstractNumId w:val="9"/>
  </w:num>
  <w:num w:numId="21" w16cid:durableId="394163896">
    <w:abstractNumId w:val="11"/>
  </w:num>
  <w:num w:numId="22" w16cid:durableId="527065023">
    <w:abstractNumId w:val="19"/>
  </w:num>
  <w:num w:numId="23" w16cid:durableId="1940720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BF"/>
    <w:rsid w:val="0003611D"/>
    <w:rsid w:val="00052C04"/>
    <w:rsid w:val="00065F2C"/>
    <w:rsid w:val="00135B9D"/>
    <w:rsid w:val="00150ECF"/>
    <w:rsid w:val="0015627E"/>
    <w:rsid w:val="00164C0F"/>
    <w:rsid w:val="0016550B"/>
    <w:rsid w:val="001B0518"/>
    <w:rsid w:val="001E09AC"/>
    <w:rsid w:val="00214382"/>
    <w:rsid w:val="002200E7"/>
    <w:rsid w:val="00235509"/>
    <w:rsid w:val="00247CAD"/>
    <w:rsid w:val="00264E65"/>
    <w:rsid w:val="002674B8"/>
    <w:rsid w:val="00282879"/>
    <w:rsid w:val="00294792"/>
    <w:rsid w:val="002A4562"/>
    <w:rsid w:val="002A7A67"/>
    <w:rsid w:val="002B0FC7"/>
    <w:rsid w:val="002F55A5"/>
    <w:rsid w:val="00302097"/>
    <w:rsid w:val="0033033A"/>
    <w:rsid w:val="00365CCD"/>
    <w:rsid w:val="003932F2"/>
    <w:rsid w:val="003A1DE6"/>
    <w:rsid w:val="003C410E"/>
    <w:rsid w:val="003C54A7"/>
    <w:rsid w:val="00433E58"/>
    <w:rsid w:val="00481FEF"/>
    <w:rsid w:val="00484C7C"/>
    <w:rsid w:val="004C358C"/>
    <w:rsid w:val="004D72B8"/>
    <w:rsid w:val="004F6CD8"/>
    <w:rsid w:val="00502A7D"/>
    <w:rsid w:val="0052468D"/>
    <w:rsid w:val="00570786"/>
    <w:rsid w:val="005716A7"/>
    <w:rsid w:val="00572630"/>
    <w:rsid w:val="005815B1"/>
    <w:rsid w:val="005A547F"/>
    <w:rsid w:val="005F03E3"/>
    <w:rsid w:val="006764D4"/>
    <w:rsid w:val="00747E97"/>
    <w:rsid w:val="00780280"/>
    <w:rsid w:val="00791D91"/>
    <w:rsid w:val="007F74F2"/>
    <w:rsid w:val="00820A10"/>
    <w:rsid w:val="008245C2"/>
    <w:rsid w:val="00830754"/>
    <w:rsid w:val="00864079"/>
    <w:rsid w:val="008946B0"/>
    <w:rsid w:val="008C4414"/>
    <w:rsid w:val="008C58CE"/>
    <w:rsid w:val="008C58DF"/>
    <w:rsid w:val="00911C69"/>
    <w:rsid w:val="009445D9"/>
    <w:rsid w:val="009524C1"/>
    <w:rsid w:val="0097436D"/>
    <w:rsid w:val="009A0489"/>
    <w:rsid w:val="009A7545"/>
    <w:rsid w:val="009B65DE"/>
    <w:rsid w:val="009D7B4C"/>
    <w:rsid w:val="00A23DC5"/>
    <w:rsid w:val="00A523F5"/>
    <w:rsid w:val="00AA7C02"/>
    <w:rsid w:val="00AB0D36"/>
    <w:rsid w:val="00AD7C3E"/>
    <w:rsid w:val="00B11AC5"/>
    <w:rsid w:val="00B15A34"/>
    <w:rsid w:val="00B455A6"/>
    <w:rsid w:val="00BA3ABE"/>
    <w:rsid w:val="00BD6127"/>
    <w:rsid w:val="00C43D2A"/>
    <w:rsid w:val="00CD090D"/>
    <w:rsid w:val="00CD0F5C"/>
    <w:rsid w:val="00D054C1"/>
    <w:rsid w:val="00D13B9B"/>
    <w:rsid w:val="00D23AA6"/>
    <w:rsid w:val="00D51909"/>
    <w:rsid w:val="00D74DBF"/>
    <w:rsid w:val="00D866E7"/>
    <w:rsid w:val="00E233C0"/>
    <w:rsid w:val="00E737DC"/>
    <w:rsid w:val="00E74A35"/>
    <w:rsid w:val="00EF04C8"/>
    <w:rsid w:val="00EF5DAD"/>
    <w:rsid w:val="00F10560"/>
    <w:rsid w:val="00F31CC2"/>
    <w:rsid w:val="00FA138F"/>
    <w:rsid w:val="00FA584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B991"/>
  <w15:docId w15:val="{397175DD-3688-4D27-B2A4-0D6AC0E8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BF"/>
    <w:pPr>
      <w:spacing w:after="0" w:line="240" w:lineRule="auto"/>
    </w:pPr>
    <w:rPr>
      <w:rFonts w:ascii="Times New Roman" w:eastAsia="MS Mincho" w:hAnsi="Times New Roman" w:cs="Times New Roman"/>
      <w:kern w:val="0"/>
      <w:sz w:val="24"/>
      <w:szCs w:val="24"/>
      <w:lang w:val="es-ES" w:eastAsia="es-ES"/>
    </w:rPr>
  </w:style>
  <w:style w:type="paragraph" w:styleId="Ttulo2">
    <w:name w:val="heading 2"/>
    <w:basedOn w:val="Normal"/>
    <w:next w:val="Normal"/>
    <w:link w:val="Ttulo2Car"/>
    <w:uiPriority w:val="9"/>
    <w:unhideWhenUsed/>
    <w:qFormat/>
    <w:rsid w:val="008C58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4DBF"/>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rsid w:val="00D74DBF"/>
    <w:rPr>
      <w:rFonts w:ascii="Calibri" w:eastAsia="Calibri" w:hAnsi="Calibri" w:cs="Calibri"/>
      <w:kern w:val="0"/>
    </w:rPr>
  </w:style>
  <w:style w:type="paragraph" w:styleId="Piedepgina">
    <w:name w:val="footer"/>
    <w:basedOn w:val="Normal"/>
    <w:link w:val="PiedepginaCar"/>
    <w:uiPriority w:val="99"/>
    <w:rsid w:val="00D74DBF"/>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rsid w:val="00D74DBF"/>
    <w:rPr>
      <w:rFonts w:ascii="Calibri" w:eastAsia="Calibri" w:hAnsi="Calibri" w:cs="Calibri"/>
      <w:kern w:val="0"/>
    </w:rPr>
  </w:style>
  <w:style w:type="character" w:styleId="Hipervnculo">
    <w:name w:val="Hyperlink"/>
    <w:basedOn w:val="Fuentedeprrafopredeter"/>
    <w:uiPriority w:val="99"/>
    <w:rsid w:val="00D74DBF"/>
    <w:rPr>
      <w:rFonts w:cs="Times New Roman"/>
      <w:color w:val="0000FF"/>
      <w:u w:val="single"/>
    </w:rPr>
  </w:style>
  <w:style w:type="paragraph" w:styleId="Textodeglobo">
    <w:name w:val="Balloon Text"/>
    <w:basedOn w:val="Normal"/>
    <w:link w:val="TextodegloboCar"/>
    <w:uiPriority w:val="99"/>
    <w:semiHidden/>
    <w:rsid w:val="00911C69"/>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911C69"/>
    <w:rPr>
      <w:rFonts w:ascii="Tahoma" w:eastAsia="Calibri" w:hAnsi="Tahoma" w:cs="Tahoma"/>
      <w:kern w:val="0"/>
      <w:sz w:val="16"/>
      <w:szCs w:val="16"/>
    </w:rPr>
  </w:style>
  <w:style w:type="table" w:styleId="Tablaconcuadrcula">
    <w:name w:val="Table Grid"/>
    <w:basedOn w:val="Tablanormal"/>
    <w:uiPriority w:val="59"/>
    <w:rsid w:val="00911C69"/>
    <w:pPr>
      <w:spacing w:after="0" w:line="240" w:lineRule="auto"/>
    </w:pPr>
    <w:rPr>
      <w:rFonts w:ascii="Calibri" w:eastAsia="Calibri" w:hAnsi="Calibri" w:cs="Calibri"/>
      <w:kern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911C69"/>
    <w:rPr>
      <w:rFonts w:cs="Times New Roman"/>
    </w:rPr>
  </w:style>
  <w:style w:type="paragraph" w:customStyle="1" w:styleId="Body">
    <w:name w:val="Body"/>
    <w:rsid w:val="00911C69"/>
    <w:pPr>
      <w:spacing w:after="0" w:line="240" w:lineRule="auto"/>
    </w:pPr>
    <w:rPr>
      <w:rFonts w:ascii="Helvetica" w:eastAsia="ヒラギノ角ゴ Pro W3" w:hAnsi="Helvetica" w:cs="Times New Roman"/>
      <w:color w:val="000000"/>
      <w:kern w:val="0"/>
      <w:sz w:val="24"/>
      <w:szCs w:val="20"/>
      <w:lang w:val="en-US" w:eastAsia="es-CO"/>
    </w:rPr>
  </w:style>
  <w:style w:type="paragraph" w:styleId="NormalWeb">
    <w:name w:val="Normal (Web)"/>
    <w:basedOn w:val="Normal"/>
    <w:uiPriority w:val="99"/>
    <w:unhideWhenUsed/>
    <w:rsid w:val="00911C69"/>
    <w:pPr>
      <w:spacing w:before="100" w:beforeAutospacing="1" w:after="100" w:afterAutospacing="1"/>
    </w:pPr>
    <w:rPr>
      <w:rFonts w:eastAsia="Times New Roman"/>
      <w:lang w:val="es-CO" w:eastAsia="es-CO"/>
    </w:rPr>
  </w:style>
  <w:style w:type="table" w:customStyle="1" w:styleId="Tablaconcuadrcula1">
    <w:name w:val="Tabla con cuadrícula1"/>
    <w:basedOn w:val="Tablanormal"/>
    <w:uiPriority w:val="59"/>
    <w:rsid w:val="00911C69"/>
    <w:pPr>
      <w:spacing w:after="0" w:line="240" w:lineRule="auto"/>
    </w:pPr>
    <w:rPr>
      <w:rFonts w:eastAsia="Times New Roman" w:cs="Times New Roman"/>
      <w:kern w:val="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911C69"/>
    <w:pPr>
      <w:ind w:left="720"/>
      <w:contextualSpacing/>
    </w:pPr>
  </w:style>
  <w:style w:type="paragraph" w:styleId="Sinespaciado">
    <w:name w:val="No Spacing"/>
    <w:link w:val="SinespaciadoCar"/>
    <w:uiPriority w:val="1"/>
    <w:qFormat/>
    <w:rsid w:val="00911C69"/>
    <w:pPr>
      <w:spacing w:after="0" w:line="240" w:lineRule="auto"/>
    </w:pPr>
    <w:rPr>
      <w:kern w:val="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TextonotapieCar"/>
    <w:uiPriority w:val="99"/>
    <w:unhideWhenUsed/>
    <w:qFormat/>
    <w:rsid w:val="00911C69"/>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uiPriority w:val="99"/>
    <w:rsid w:val="00911C69"/>
    <w:rPr>
      <w:rFonts w:ascii="Times New Roman" w:eastAsia="MS Mincho" w:hAnsi="Times New Roman" w:cs="Times New Roman"/>
      <w:kern w:val="0"/>
      <w:sz w:val="20"/>
      <w:szCs w:val="20"/>
      <w:lang w:val="es-ES" w:eastAsia="es-ES"/>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basedOn w:val="Fuentedeprrafopredeter"/>
    <w:uiPriority w:val="99"/>
    <w:semiHidden/>
    <w:unhideWhenUsed/>
    <w:rsid w:val="00911C69"/>
    <w:rPr>
      <w:vertAlign w:val="superscript"/>
    </w:rPr>
  </w:style>
  <w:style w:type="paragraph" w:customStyle="1" w:styleId="paragraph">
    <w:name w:val="paragraph"/>
    <w:basedOn w:val="Normal"/>
    <w:rsid w:val="00911C69"/>
    <w:pPr>
      <w:spacing w:before="100" w:beforeAutospacing="1" w:after="100" w:afterAutospacing="1"/>
    </w:pPr>
    <w:rPr>
      <w:rFonts w:eastAsia="Times New Roman"/>
      <w:lang w:val="es-CO" w:eastAsia="es-CO"/>
    </w:rPr>
  </w:style>
  <w:style w:type="character" w:styleId="Textoennegrita">
    <w:name w:val="Strong"/>
    <w:basedOn w:val="Fuentedeprrafopredeter"/>
    <w:uiPriority w:val="22"/>
    <w:qFormat/>
    <w:rsid w:val="00911C69"/>
    <w:rPr>
      <w:b/>
      <w:bCs/>
    </w:rPr>
  </w:style>
  <w:style w:type="paragraph" w:customStyle="1" w:styleId="Default">
    <w:name w:val="Default"/>
    <w:rsid w:val="00911C69"/>
    <w:pPr>
      <w:autoSpaceDE w:val="0"/>
      <w:autoSpaceDN w:val="0"/>
      <w:adjustRightInd w:val="0"/>
      <w:spacing w:after="0" w:line="240" w:lineRule="auto"/>
    </w:pPr>
    <w:rPr>
      <w:rFonts w:ascii="Arial" w:eastAsia="Calibri" w:hAnsi="Arial" w:cs="Arial"/>
      <w:color w:val="000000"/>
      <w:kern w:val="0"/>
      <w:sz w:val="24"/>
      <w:szCs w:val="24"/>
      <w:lang w:eastAsia="es-ES"/>
    </w:rPr>
  </w:style>
  <w:style w:type="character" w:customStyle="1" w:styleId="normaltextrun">
    <w:name w:val="normaltextrun"/>
    <w:basedOn w:val="Fuentedeprrafopredeter"/>
    <w:rsid w:val="00911C69"/>
  </w:style>
  <w:style w:type="character" w:customStyle="1" w:styleId="eop">
    <w:name w:val="eop"/>
    <w:basedOn w:val="Fuentedeprrafopredeter"/>
    <w:rsid w:val="00911C69"/>
  </w:style>
  <w:style w:type="character" w:customStyle="1" w:styleId="textrun">
    <w:name w:val="textrun"/>
    <w:basedOn w:val="Fuentedeprrafopredeter"/>
    <w:rsid w:val="00911C69"/>
  </w:style>
  <w:style w:type="character" w:customStyle="1" w:styleId="superscript">
    <w:name w:val="superscript"/>
    <w:basedOn w:val="Fuentedeprrafopredeter"/>
    <w:rsid w:val="00911C69"/>
  </w:style>
  <w:style w:type="character" w:customStyle="1" w:styleId="Cuerpodeltexto">
    <w:name w:val="Cuerpo del texto_"/>
    <w:basedOn w:val="Fuentedeprrafopredeter"/>
    <w:link w:val="Cuerpodeltexto0"/>
    <w:rsid w:val="00911C69"/>
    <w:rPr>
      <w:rFonts w:ascii="Century Gothic" w:eastAsia="Century Gothic" w:hAnsi="Century Gothic" w:cs="Century Gothic"/>
      <w:shd w:val="clear" w:color="auto" w:fill="FFFFFF"/>
    </w:rPr>
  </w:style>
  <w:style w:type="character" w:customStyle="1" w:styleId="Ttulo20">
    <w:name w:val="Título #2_"/>
    <w:basedOn w:val="Fuentedeprrafopredeter"/>
    <w:link w:val="Ttulo21"/>
    <w:rsid w:val="00911C69"/>
    <w:rPr>
      <w:rFonts w:ascii="Century Gothic" w:eastAsia="Century Gothic" w:hAnsi="Century Gothic" w:cs="Century Gothic"/>
      <w:b/>
      <w:bCs/>
      <w:shd w:val="clear" w:color="auto" w:fill="FFFFFF"/>
    </w:rPr>
  </w:style>
  <w:style w:type="paragraph" w:customStyle="1" w:styleId="Cuerpodeltexto0">
    <w:name w:val="Cuerpo del texto"/>
    <w:basedOn w:val="Normal"/>
    <w:link w:val="Cuerpodeltexto"/>
    <w:rsid w:val="00911C69"/>
    <w:pPr>
      <w:widowControl w:val="0"/>
      <w:shd w:val="clear" w:color="auto" w:fill="FFFFFF"/>
      <w:spacing w:after="280"/>
    </w:pPr>
    <w:rPr>
      <w:rFonts w:ascii="Century Gothic" w:eastAsia="Century Gothic" w:hAnsi="Century Gothic" w:cs="Century Gothic"/>
      <w:kern w:val="2"/>
      <w:sz w:val="22"/>
      <w:szCs w:val="22"/>
      <w:lang w:val="es-CO" w:eastAsia="en-US"/>
    </w:rPr>
  </w:style>
  <w:style w:type="paragraph" w:customStyle="1" w:styleId="Ttulo21">
    <w:name w:val="Título #2"/>
    <w:basedOn w:val="Normal"/>
    <w:link w:val="Ttulo20"/>
    <w:rsid w:val="00911C69"/>
    <w:pPr>
      <w:widowControl w:val="0"/>
      <w:shd w:val="clear" w:color="auto" w:fill="FFFFFF"/>
      <w:spacing w:after="280"/>
      <w:outlineLvl w:val="1"/>
    </w:pPr>
    <w:rPr>
      <w:rFonts w:ascii="Century Gothic" w:eastAsia="Century Gothic" w:hAnsi="Century Gothic" w:cs="Century Gothic"/>
      <w:b/>
      <w:bCs/>
      <w:kern w:val="2"/>
      <w:sz w:val="22"/>
      <w:szCs w:val="22"/>
      <w:lang w:val="es-CO" w:eastAsia="en-US"/>
    </w:rPr>
  </w:style>
  <w:style w:type="character" w:customStyle="1" w:styleId="letra8pt">
    <w:name w:val="letra8pt"/>
    <w:basedOn w:val="Fuentedeprrafopredeter"/>
    <w:rsid w:val="00911C69"/>
  </w:style>
  <w:style w:type="character" w:customStyle="1" w:styleId="PrrafodelistaCar">
    <w:name w:val="Párrafo de lista Car"/>
    <w:basedOn w:val="Fuentedeprrafopredeter"/>
    <w:link w:val="Prrafodelista"/>
    <w:uiPriority w:val="34"/>
    <w:locked/>
    <w:rsid w:val="00911C69"/>
    <w:rPr>
      <w:rFonts w:ascii="Times New Roman" w:eastAsia="MS Mincho" w:hAnsi="Times New Roman" w:cs="Times New Roman"/>
      <w:kern w:val="0"/>
      <w:sz w:val="24"/>
      <w:szCs w:val="24"/>
      <w:lang w:val="es-ES" w:eastAsia="es-ES"/>
    </w:rPr>
  </w:style>
  <w:style w:type="character" w:customStyle="1" w:styleId="Mencinsinresolver1">
    <w:name w:val="Mención sin resolver1"/>
    <w:basedOn w:val="Fuentedeprrafopredeter"/>
    <w:uiPriority w:val="99"/>
    <w:semiHidden/>
    <w:unhideWhenUsed/>
    <w:rsid w:val="00911C69"/>
    <w:rPr>
      <w:color w:val="605E5C"/>
      <w:shd w:val="clear" w:color="auto" w:fill="E1DFDD"/>
    </w:rPr>
  </w:style>
  <w:style w:type="character" w:styleId="Hipervnculovisitado">
    <w:name w:val="FollowedHyperlink"/>
    <w:basedOn w:val="Fuentedeprrafopredeter"/>
    <w:uiPriority w:val="99"/>
    <w:semiHidden/>
    <w:unhideWhenUsed/>
    <w:rsid w:val="00911C69"/>
    <w:rPr>
      <w:color w:val="954F72" w:themeColor="followedHyperlink"/>
      <w:u w:val="single"/>
    </w:rPr>
  </w:style>
  <w:style w:type="character" w:styleId="nfasis">
    <w:name w:val="Emphasis"/>
    <w:basedOn w:val="Fuentedeprrafopredeter"/>
    <w:uiPriority w:val="20"/>
    <w:qFormat/>
    <w:rsid w:val="00911C69"/>
    <w:rPr>
      <w:i/>
      <w:iCs/>
    </w:rPr>
  </w:style>
  <w:style w:type="paragraph" w:styleId="Subttulo">
    <w:name w:val="Subtitle"/>
    <w:basedOn w:val="Normal"/>
    <w:next w:val="Normal"/>
    <w:link w:val="SubttuloCar"/>
    <w:qFormat/>
    <w:rsid w:val="00911C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911C69"/>
    <w:rPr>
      <w:rFonts w:eastAsiaTheme="minorEastAsia"/>
      <w:color w:val="5A5A5A" w:themeColor="text1" w:themeTint="A5"/>
      <w:spacing w:val="15"/>
      <w:kern w:val="0"/>
      <w:lang w:val="es-ES" w:eastAsia="es-ES"/>
    </w:rPr>
  </w:style>
  <w:style w:type="character" w:customStyle="1" w:styleId="SinespaciadoCar">
    <w:name w:val="Sin espaciado Car"/>
    <w:basedOn w:val="Fuentedeprrafopredeter"/>
    <w:link w:val="Sinespaciado"/>
    <w:uiPriority w:val="1"/>
    <w:locked/>
    <w:rsid w:val="00911C69"/>
    <w:rPr>
      <w:kern w:val="0"/>
    </w:rPr>
  </w:style>
  <w:style w:type="paragraph" w:styleId="Textocomentario">
    <w:name w:val="annotation text"/>
    <w:basedOn w:val="Normal"/>
    <w:link w:val="TextocomentarioCar"/>
    <w:uiPriority w:val="99"/>
    <w:unhideWhenUsed/>
    <w:rsid w:val="00911C69"/>
    <w:rPr>
      <w:sz w:val="20"/>
      <w:szCs w:val="20"/>
    </w:rPr>
  </w:style>
  <w:style w:type="character" w:customStyle="1" w:styleId="TextocomentarioCar">
    <w:name w:val="Texto comentario Car"/>
    <w:basedOn w:val="Fuentedeprrafopredeter"/>
    <w:link w:val="Textocomentario"/>
    <w:uiPriority w:val="99"/>
    <w:rsid w:val="00911C69"/>
    <w:rPr>
      <w:rFonts w:ascii="Times New Roman" w:eastAsia="MS Mincho" w:hAnsi="Times New Roman" w:cs="Times New Roman"/>
      <w:kern w:val="0"/>
      <w:sz w:val="20"/>
      <w:szCs w:val="20"/>
      <w:lang w:val="es-ES" w:eastAsia="es-ES"/>
    </w:rPr>
  </w:style>
  <w:style w:type="character" w:styleId="Refdecomentario">
    <w:name w:val="annotation reference"/>
    <w:basedOn w:val="Fuentedeprrafopredeter"/>
    <w:uiPriority w:val="99"/>
    <w:semiHidden/>
    <w:unhideWhenUsed/>
    <w:rsid w:val="00911C69"/>
    <w:rPr>
      <w:sz w:val="16"/>
      <w:szCs w:val="16"/>
    </w:rPr>
  </w:style>
  <w:style w:type="paragraph" w:styleId="Asuntodelcomentario">
    <w:name w:val="annotation subject"/>
    <w:basedOn w:val="Textocomentario"/>
    <w:next w:val="Textocomentario"/>
    <w:link w:val="AsuntodelcomentarioCar"/>
    <w:uiPriority w:val="99"/>
    <w:semiHidden/>
    <w:unhideWhenUsed/>
    <w:rsid w:val="00911C69"/>
    <w:rPr>
      <w:b/>
      <w:bCs/>
    </w:rPr>
  </w:style>
  <w:style w:type="character" w:customStyle="1" w:styleId="AsuntodelcomentarioCar">
    <w:name w:val="Asunto del comentario Car"/>
    <w:basedOn w:val="TextocomentarioCar"/>
    <w:link w:val="Asuntodelcomentario"/>
    <w:uiPriority w:val="99"/>
    <w:semiHidden/>
    <w:rsid w:val="00911C69"/>
    <w:rPr>
      <w:rFonts w:ascii="Times New Roman" w:eastAsia="MS Mincho" w:hAnsi="Times New Roman" w:cs="Times New Roman"/>
      <w:b/>
      <w:bCs/>
      <w:kern w:val="0"/>
      <w:sz w:val="20"/>
      <w:szCs w:val="20"/>
      <w:lang w:val="es-ES" w:eastAsia="es-ES"/>
    </w:rPr>
  </w:style>
  <w:style w:type="paragraph" w:styleId="Revisin">
    <w:name w:val="Revision"/>
    <w:hidden/>
    <w:uiPriority w:val="99"/>
    <w:semiHidden/>
    <w:rsid w:val="00911C69"/>
    <w:pPr>
      <w:spacing w:after="0" w:line="240" w:lineRule="auto"/>
    </w:pPr>
    <w:rPr>
      <w:rFonts w:ascii="Times New Roman" w:eastAsia="MS Mincho" w:hAnsi="Times New Roman" w:cs="Times New Roman"/>
      <w:kern w:val="0"/>
      <w:sz w:val="24"/>
      <w:szCs w:val="24"/>
      <w:lang w:val="es-ES" w:eastAsia="es-ES"/>
    </w:rPr>
  </w:style>
  <w:style w:type="character" w:customStyle="1" w:styleId="cf01">
    <w:name w:val="cf01"/>
    <w:basedOn w:val="Fuentedeprrafopredeter"/>
    <w:rsid w:val="00911C69"/>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911C69"/>
    <w:rPr>
      <w:color w:val="605E5C"/>
      <w:shd w:val="clear" w:color="auto" w:fill="E1DFDD"/>
    </w:rPr>
  </w:style>
  <w:style w:type="paragraph" w:customStyle="1" w:styleId="pf0">
    <w:name w:val="pf0"/>
    <w:basedOn w:val="Normal"/>
    <w:rsid w:val="00911C69"/>
    <w:pPr>
      <w:spacing w:before="100" w:beforeAutospacing="1" w:after="100" w:afterAutospacing="1"/>
    </w:pPr>
    <w:rPr>
      <w:rFonts w:eastAsia="Times New Roman"/>
      <w:lang w:val="es-CO" w:eastAsia="es-CO"/>
    </w:rPr>
  </w:style>
  <w:style w:type="character" w:customStyle="1" w:styleId="Mencinsinresolver3">
    <w:name w:val="Mención sin resolver3"/>
    <w:basedOn w:val="Fuentedeprrafopredeter"/>
    <w:uiPriority w:val="99"/>
    <w:semiHidden/>
    <w:unhideWhenUsed/>
    <w:rsid w:val="00052C04"/>
    <w:rPr>
      <w:color w:val="605E5C"/>
      <w:shd w:val="clear" w:color="auto" w:fill="E1DFDD"/>
    </w:rPr>
  </w:style>
  <w:style w:type="character" w:customStyle="1" w:styleId="Ttulo2Car">
    <w:name w:val="Título 2 Car"/>
    <w:basedOn w:val="Fuentedeprrafopredeter"/>
    <w:link w:val="Ttulo2"/>
    <w:uiPriority w:val="9"/>
    <w:rsid w:val="008C58DF"/>
    <w:rPr>
      <w:rFonts w:asciiTheme="majorHAnsi" w:eastAsiaTheme="majorEastAsia" w:hAnsiTheme="majorHAnsi" w:cstheme="majorBidi"/>
      <w:color w:val="2F5496" w:themeColor="accent1" w:themeShade="BF"/>
      <w:kern w:val="0"/>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478">
      <w:bodyDiv w:val="1"/>
      <w:marLeft w:val="0"/>
      <w:marRight w:val="0"/>
      <w:marTop w:val="0"/>
      <w:marBottom w:val="0"/>
      <w:divBdr>
        <w:top w:val="none" w:sz="0" w:space="0" w:color="auto"/>
        <w:left w:val="none" w:sz="0" w:space="0" w:color="auto"/>
        <w:bottom w:val="none" w:sz="0" w:space="0" w:color="auto"/>
        <w:right w:val="none" w:sz="0" w:space="0" w:color="auto"/>
      </w:divBdr>
    </w:div>
    <w:div w:id="58751954">
      <w:bodyDiv w:val="1"/>
      <w:marLeft w:val="0"/>
      <w:marRight w:val="0"/>
      <w:marTop w:val="0"/>
      <w:marBottom w:val="0"/>
      <w:divBdr>
        <w:top w:val="none" w:sz="0" w:space="0" w:color="auto"/>
        <w:left w:val="none" w:sz="0" w:space="0" w:color="auto"/>
        <w:bottom w:val="none" w:sz="0" w:space="0" w:color="auto"/>
        <w:right w:val="none" w:sz="0" w:space="0" w:color="auto"/>
      </w:divBdr>
    </w:div>
    <w:div w:id="87963694">
      <w:bodyDiv w:val="1"/>
      <w:marLeft w:val="0"/>
      <w:marRight w:val="0"/>
      <w:marTop w:val="0"/>
      <w:marBottom w:val="0"/>
      <w:divBdr>
        <w:top w:val="none" w:sz="0" w:space="0" w:color="auto"/>
        <w:left w:val="none" w:sz="0" w:space="0" w:color="auto"/>
        <w:bottom w:val="none" w:sz="0" w:space="0" w:color="auto"/>
        <w:right w:val="none" w:sz="0" w:space="0" w:color="auto"/>
      </w:divBdr>
    </w:div>
    <w:div w:id="148136960">
      <w:bodyDiv w:val="1"/>
      <w:marLeft w:val="0"/>
      <w:marRight w:val="0"/>
      <w:marTop w:val="0"/>
      <w:marBottom w:val="0"/>
      <w:divBdr>
        <w:top w:val="none" w:sz="0" w:space="0" w:color="auto"/>
        <w:left w:val="none" w:sz="0" w:space="0" w:color="auto"/>
        <w:bottom w:val="none" w:sz="0" w:space="0" w:color="auto"/>
        <w:right w:val="none" w:sz="0" w:space="0" w:color="auto"/>
      </w:divBdr>
    </w:div>
    <w:div w:id="173349988">
      <w:bodyDiv w:val="1"/>
      <w:marLeft w:val="0"/>
      <w:marRight w:val="0"/>
      <w:marTop w:val="0"/>
      <w:marBottom w:val="0"/>
      <w:divBdr>
        <w:top w:val="none" w:sz="0" w:space="0" w:color="auto"/>
        <w:left w:val="none" w:sz="0" w:space="0" w:color="auto"/>
        <w:bottom w:val="none" w:sz="0" w:space="0" w:color="auto"/>
        <w:right w:val="none" w:sz="0" w:space="0" w:color="auto"/>
      </w:divBdr>
    </w:div>
    <w:div w:id="212086924">
      <w:bodyDiv w:val="1"/>
      <w:marLeft w:val="0"/>
      <w:marRight w:val="0"/>
      <w:marTop w:val="0"/>
      <w:marBottom w:val="0"/>
      <w:divBdr>
        <w:top w:val="none" w:sz="0" w:space="0" w:color="auto"/>
        <w:left w:val="none" w:sz="0" w:space="0" w:color="auto"/>
        <w:bottom w:val="none" w:sz="0" w:space="0" w:color="auto"/>
        <w:right w:val="none" w:sz="0" w:space="0" w:color="auto"/>
      </w:divBdr>
    </w:div>
    <w:div w:id="292833518">
      <w:bodyDiv w:val="1"/>
      <w:marLeft w:val="0"/>
      <w:marRight w:val="0"/>
      <w:marTop w:val="0"/>
      <w:marBottom w:val="0"/>
      <w:divBdr>
        <w:top w:val="none" w:sz="0" w:space="0" w:color="auto"/>
        <w:left w:val="none" w:sz="0" w:space="0" w:color="auto"/>
        <w:bottom w:val="none" w:sz="0" w:space="0" w:color="auto"/>
        <w:right w:val="none" w:sz="0" w:space="0" w:color="auto"/>
      </w:divBdr>
    </w:div>
    <w:div w:id="315652292">
      <w:bodyDiv w:val="1"/>
      <w:marLeft w:val="0"/>
      <w:marRight w:val="0"/>
      <w:marTop w:val="0"/>
      <w:marBottom w:val="0"/>
      <w:divBdr>
        <w:top w:val="none" w:sz="0" w:space="0" w:color="auto"/>
        <w:left w:val="none" w:sz="0" w:space="0" w:color="auto"/>
        <w:bottom w:val="none" w:sz="0" w:space="0" w:color="auto"/>
        <w:right w:val="none" w:sz="0" w:space="0" w:color="auto"/>
      </w:divBdr>
    </w:div>
    <w:div w:id="578561817">
      <w:bodyDiv w:val="1"/>
      <w:marLeft w:val="0"/>
      <w:marRight w:val="0"/>
      <w:marTop w:val="0"/>
      <w:marBottom w:val="0"/>
      <w:divBdr>
        <w:top w:val="none" w:sz="0" w:space="0" w:color="auto"/>
        <w:left w:val="none" w:sz="0" w:space="0" w:color="auto"/>
        <w:bottom w:val="none" w:sz="0" w:space="0" w:color="auto"/>
        <w:right w:val="none" w:sz="0" w:space="0" w:color="auto"/>
      </w:divBdr>
    </w:div>
    <w:div w:id="600138890">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840389013">
      <w:bodyDiv w:val="1"/>
      <w:marLeft w:val="0"/>
      <w:marRight w:val="0"/>
      <w:marTop w:val="0"/>
      <w:marBottom w:val="0"/>
      <w:divBdr>
        <w:top w:val="none" w:sz="0" w:space="0" w:color="auto"/>
        <w:left w:val="none" w:sz="0" w:space="0" w:color="auto"/>
        <w:bottom w:val="none" w:sz="0" w:space="0" w:color="auto"/>
        <w:right w:val="none" w:sz="0" w:space="0" w:color="auto"/>
      </w:divBdr>
    </w:div>
    <w:div w:id="917445353">
      <w:bodyDiv w:val="1"/>
      <w:marLeft w:val="0"/>
      <w:marRight w:val="0"/>
      <w:marTop w:val="0"/>
      <w:marBottom w:val="0"/>
      <w:divBdr>
        <w:top w:val="none" w:sz="0" w:space="0" w:color="auto"/>
        <w:left w:val="none" w:sz="0" w:space="0" w:color="auto"/>
        <w:bottom w:val="none" w:sz="0" w:space="0" w:color="auto"/>
        <w:right w:val="none" w:sz="0" w:space="0" w:color="auto"/>
      </w:divBdr>
    </w:div>
    <w:div w:id="919174618">
      <w:bodyDiv w:val="1"/>
      <w:marLeft w:val="0"/>
      <w:marRight w:val="0"/>
      <w:marTop w:val="0"/>
      <w:marBottom w:val="0"/>
      <w:divBdr>
        <w:top w:val="none" w:sz="0" w:space="0" w:color="auto"/>
        <w:left w:val="none" w:sz="0" w:space="0" w:color="auto"/>
        <w:bottom w:val="none" w:sz="0" w:space="0" w:color="auto"/>
        <w:right w:val="none" w:sz="0" w:space="0" w:color="auto"/>
      </w:divBdr>
    </w:div>
    <w:div w:id="946044559">
      <w:bodyDiv w:val="1"/>
      <w:marLeft w:val="0"/>
      <w:marRight w:val="0"/>
      <w:marTop w:val="0"/>
      <w:marBottom w:val="0"/>
      <w:divBdr>
        <w:top w:val="none" w:sz="0" w:space="0" w:color="auto"/>
        <w:left w:val="none" w:sz="0" w:space="0" w:color="auto"/>
        <w:bottom w:val="none" w:sz="0" w:space="0" w:color="auto"/>
        <w:right w:val="none" w:sz="0" w:space="0" w:color="auto"/>
      </w:divBdr>
    </w:div>
    <w:div w:id="968315577">
      <w:bodyDiv w:val="1"/>
      <w:marLeft w:val="0"/>
      <w:marRight w:val="0"/>
      <w:marTop w:val="0"/>
      <w:marBottom w:val="0"/>
      <w:divBdr>
        <w:top w:val="none" w:sz="0" w:space="0" w:color="auto"/>
        <w:left w:val="none" w:sz="0" w:space="0" w:color="auto"/>
        <w:bottom w:val="none" w:sz="0" w:space="0" w:color="auto"/>
        <w:right w:val="none" w:sz="0" w:space="0" w:color="auto"/>
      </w:divBdr>
    </w:div>
    <w:div w:id="1018314375">
      <w:bodyDiv w:val="1"/>
      <w:marLeft w:val="0"/>
      <w:marRight w:val="0"/>
      <w:marTop w:val="0"/>
      <w:marBottom w:val="0"/>
      <w:divBdr>
        <w:top w:val="none" w:sz="0" w:space="0" w:color="auto"/>
        <w:left w:val="none" w:sz="0" w:space="0" w:color="auto"/>
        <w:bottom w:val="none" w:sz="0" w:space="0" w:color="auto"/>
        <w:right w:val="none" w:sz="0" w:space="0" w:color="auto"/>
      </w:divBdr>
    </w:div>
    <w:div w:id="1131168136">
      <w:bodyDiv w:val="1"/>
      <w:marLeft w:val="0"/>
      <w:marRight w:val="0"/>
      <w:marTop w:val="0"/>
      <w:marBottom w:val="0"/>
      <w:divBdr>
        <w:top w:val="none" w:sz="0" w:space="0" w:color="auto"/>
        <w:left w:val="none" w:sz="0" w:space="0" w:color="auto"/>
        <w:bottom w:val="none" w:sz="0" w:space="0" w:color="auto"/>
        <w:right w:val="none" w:sz="0" w:space="0" w:color="auto"/>
      </w:divBdr>
    </w:div>
    <w:div w:id="1237207866">
      <w:bodyDiv w:val="1"/>
      <w:marLeft w:val="0"/>
      <w:marRight w:val="0"/>
      <w:marTop w:val="0"/>
      <w:marBottom w:val="0"/>
      <w:divBdr>
        <w:top w:val="none" w:sz="0" w:space="0" w:color="auto"/>
        <w:left w:val="none" w:sz="0" w:space="0" w:color="auto"/>
        <w:bottom w:val="none" w:sz="0" w:space="0" w:color="auto"/>
        <w:right w:val="none" w:sz="0" w:space="0" w:color="auto"/>
      </w:divBdr>
    </w:div>
    <w:div w:id="1445344405">
      <w:bodyDiv w:val="1"/>
      <w:marLeft w:val="0"/>
      <w:marRight w:val="0"/>
      <w:marTop w:val="0"/>
      <w:marBottom w:val="0"/>
      <w:divBdr>
        <w:top w:val="none" w:sz="0" w:space="0" w:color="auto"/>
        <w:left w:val="none" w:sz="0" w:space="0" w:color="auto"/>
        <w:bottom w:val="none" w:sz="0" w:space="0" w:color="auto"/>
        <w:right w:val="none" w:sz="0" w:space="0" w:color="auto"/>
      </w:divBdr>
    </w:div>
    <w:div w:id="1523665008">
      <w:bodyDiv w:val="1"/>
      <w:marLeft w:val="0"/>
      <w:marRight w:val="0"/>
      <w:marTop w:val="0"/>
      <w:marBottom w:val="0"/>
      <w:divBdr>
        <w:top w:val="none" w:sz="0" w:space="0" w:color="auto"/>
        <w:left w:val="none" w:sz="0" w:space="0" w:color="auto"/>
        <w:bottom w:val="none" w:sz="0" w:space="0" w:color="auto"/>
        <w:right w:val="none" w:sz="0" w:space="0" w:color="auto"/>
      </w:divBdr>
    </w:div>
    <w:div w:id="1604874146">
      <w:bodyDiv w:val="1"/>
      <w:marLeft w:val="0"/>
      <w:marRight w:val="0"/>
      <w:marTop w:val="0"/>
      <w:marBottom w:val="0"/>
      <w:divBdr>
        <w:top w:val="none" w:sz="0" w:space="0" w:color="auto"/>
        <w:left w:val="none" w:sz="0" w:space="0" w:color="auto"/>
        <w:bottom w:val="none" w:sz="0" w:space="0" w:color="auto"/>
        <w:right w:val="none" w:sz="0" w:space="0" w:color="auto"/>
      </w:divBdr>
    </w:div>
    <w:div w:id="1696954536">
      <w:bodyDiv w:val="1"/>
      <w:marLeft w:val="0"/>
      <w:marRight w:val="0"/>
      <w:marTop w:val="0"/>
      <w:marBottom w:val="0"/>
      <w:divBdr>
        <w:top w:val="none" w:sz="0" w:space="0" w:color="auto"/>
        <w:left w:val="none" w:sz="0" w:space="0" w:color="auto"/>
        <w:bottom w:val="none" w:sz="0" w:space="0" w:color="auto"/>
        <w:right w:val="none" w:sz="0" w:space="0" w:color="auto"/>
      </w:divBdr>
    </w:div>
    <w:div w:id="1698697207">
      <w:bodyDiv w:val="1"/>
      <w:marLeft w:val="0"/>
      <w:marRight w:val="0"/>
      <w:marTop w:val="0"/>
      <w:marBottom w:val="0"/>
      <w:divBdr>
        <w:top w:val="none" w:sz="0" w:space="0" w:color="auto"/>
        <w:left w:val="none" w:sz="0" w:space="0" w:color="auto"/>
        <w:bottom w:val="none" w:sz="0" w:space="0" w:color="auto"/>
        <w:right w:val="none" w:sz="0" w:space="0" w:color="auto"/>
      </w:divBdr>
    </w:div>
    <w:div w:id="1710185377">
      <w:bodyDiv w:val="1"/>
      <w:marLeft w:val="0"/>
      <w:marRight w:val="0"/>
      <w:marTop w:val="0"/>
      <w:marBottom w:val="0"/>
      <w:divBdr>
        <w:top w:val="none" w:sz="0" w:space="0" w:color="auto"/>
        <w:left w:val="none" w:sz="0" w:space="0" w:color="auto"/>
        <w:bottom w:val="none" w:sz="0" w:space="0" w:color="auto"/>
        <w:right w:val="none" w:sz="0" w:space="0" w:color="auto"/>
      </w:divBdr>
    </w:div>
    <w:div w:id="1822766012">
      <w:bodyDiv w:val="1"/>
      <w:marLeft w:val="0"/>
      <w:marRight w:val="0"/>
      <w:marTop w:val="0"/>
      <w:marBottom w:val="0"/>
      <w:divBdr>
        <w:top w:val="none" w:sz="0" w:space="0" w:color="auto"/>
        <w:left w:val="none" w:sz="0" w:space="0" w:color="auto"/>
        <w:bottom w:val="none" w:sz="0" w:space="0" w:color="auto"/>
        <w:right w:val="none" w:sz="0" w:space="0" w:color="auto"/>
      </w:divBdr>
    </w:div>
    <w:div w:id="1963263117">
      <w:bodyDiv w:val="1"/>
      <w:marLeft w:val="0"/>
      <w:marRight w:val="0"/>
      <w:marTop w:val="0"/>
      <w:marBottom w:val="0"/>
      <w:divBdr>
        <w:top w:val="none" w:sz="0" w:space="0" w:color="auto"/>
        <w:left w:val="none" w:sz="0" w:space="0" w:color="auto"/>
        <w:bottom w:val="none" w:sz="0" w:space="0" w:color="auto"/>
        <w:right w:val="none" w:sz="0" w:space="0" w:color="auto"/>
      </w:divBdr>
    </w:div>
    <w:div w:id="20698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440tkux" TargetMode="External"/><Relationship Id="rId18" Type="http://schemas.openxmlformats.org/officeDocument/2006/relationships/hyperlink" Target="https://bit.ly/3EPY0W2" TargetMode="External"/><Relationship Id="rId26" Type="http://schemas.openxmlformats.org/officeDocument/2006/relationships/hyperlink" Target="https://bit.ly/3yHcnr3" TargetMode="External"/><Relationship Id="rId39" Type="http://schemas.openxmlformats.org/officeDocument/2006/relationships/footer" Target="footer1.xml"/><Relationship Id="rId21" Type="http://schemas.openxmlformats.org/officeDocument/2006/relationships/hyperlink" Target="https://bit.ly/3DafOKA" TargetMode="External"/><Relationship Id="rId34" Type="http://schemas.openxmlformats.org/officeDocument/2006/relationships/hyperlink" Target="https://bit.ly/3yGl7Pn" TargetMode="External"/><Relationship Id="rId42" Type="http://schemas.openxmlformats.org/officeDocument/2006/relationships/footer" Target="footer3.xml"/><Relationship Id="rId47"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it.ly/3P0r8f3" TargetMode="External"/><Relationship Id="rId29" Type="http://schemas.openxmlformats.org/officeDocument/2006/relationships/hyperlink" Target="https://bit.ly/3RELiO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ypqFx7" TargetMode="External"/><Relationship Id="rId24" Type="http://schemas.openxmlformats.org/officeDocument/2006/relationships/hyperlink" Target="https://bit.ly/3s2PYSi" TargetMode="External"/><Relationship Id="rId32" Type="http://schemas.openxmlformats.org/officeDocument/2006/relationships/hyperlink" Target="https://bit.ly/3yJ5lDn"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bit.ly/3MerC19" TargetMode="External"/><Relationship Id="rId23" Type="http://schemas.openxmlformats.org/officeDocument/2006/relationships/hyperlink" Target="https://bit.ly/3s5GR3b" TargetMode="External"/><Relationship Id="rId28" Type="http://schemas.openxmlformats.org/officeDocument/2006/relationships/hyperlink" Target="https://bit.ly/3PxaSm9" TargetMode="External"/><Relationship Id="rId36" Type="http://schemas.openxmlformats.org/officeDocument/2006/relationships/hyperlink" Target="https://bit.ly/3altgzC" TargetMode="External"/><Relationship Id="rId10" Type="http://schemas.openxmlformats.org/officeDocument/2006/relationships/image" Target="media/image4.emf"/><Relationship Id="rId19" Type="http://schemas.openxmlformats.org/officeDocument/2006/relationships/hyperlink" Target="https://bit.ly/3CKNMUs" TargetMode="External"/><Relationship Id="rId31" Type="http://schemas.openxmlformats.org/officeDocument/2006/relationships/hyperlink" Target="https://bit.ly/3nLA5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bit.ly/3fKU1Q9" TargetMode="External"/><Relationship Id="rId22" Type="http://schemas.openxmlformats.org/officeDocument/2006/relationships/hyperlink" Target="https://bit.ly/3VDUO5N" TargetMode="External"/><Relationship Id="rId27" Type="http://schemas.openxmlformats.org/officeDocument/2006/relationships/hyperlink" Target="https://bit.ly/3z6C9Xg" TargetMode="External"/><Relationship Id="rId30" Type="http://schemas.openxmlformats.org/officeDocument/2006/relationships/hyperlink" Target="https://bit.ly/3NLHHKE" TargetMode="External"/><Relationship Id="rId35" Type="http://schemas.openxmlformats.org/officeDocument/2006/relationships/hyperlink" Target="https://bit.ly/3ycYhxz"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bit.ly/3MerC19" TargetMode="External"/><Relationship Id="rId17" Type="http://schemas.openxmlformats.org/officeDocument/2006/relationships/hyperlink" Target="https://bit.ly/3VOmSUq" TargetMode="External"/><Relationship Id="rId25" Type="http://schemas.openxmlformats.org/officeDocument/2006/relationships/hyperlink" Target="https://bit.ly/3D7F9o9" TargetMode="External"/><Relationship Id="rId33" Type="http://schemas.openxmlformats.org/officeDocument/2006/relationships/hyperlink" Target="https://bit.ly/3AtYeA1" TargetMode="External"/><Relationship Id="rId38" Type="http://schemas.openxmlformats.org/officeDocument/2006/relationships/header" Target="header2.xml"/><Relationship Id="rId46" Type="http://schemas.openxmlformats.org/officeDocument/2006/relationships/customXml" Target="../customXml/item2.xml"/><Relationship Id="rId20" Type="http://schemas.openxmlformats.org/officeDocument/2006/relationships/hyperlink" Target="https://bit.ly/3TxGWII" TargetMode="External"/><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1" ma:contentTypeDescription="Crear nuevo documento." ma:contentTypeScope="" ma:versionID="95c742ab715e99821918e1f63b0b25f8">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d5835e5f055d4bd16bc0795399cb00c2"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CCEE5D9A-F069-4622-BE5D-C9FE91E695B0}"/>
</file>

<file path=customXml/itemProps2.xml><?xml version="1.0" encoding="utf-8"?>
<ds:datastoreItem xmlns:ds="http://schemas.openxmlformats.org/officeDocument/2006/customXml" ds:itemID="{05129672-3CA4-436C-BA54-151DB979265B}"/>
</file>

<file path=customXml/itemProps3.xml><?xml version="1.0" encoding="utf-8"?>
<ds:datastoreItem xmlns:ds="http://schemas.openxmlformats.org/officeDocument/2006/customXml" ds:itemID="{667A2688-77EC-42E9-BE69-5E7CD2C794A8}"/>
</file>

<file path=docProps/app.xml><?xml version="1.0" encoding="utf-8"?>
<Properties xmlns="http://schemas.openxmlformats.org/officeDocument/2006/extended-properties" xmlns:vt="http://schemas.openxmlformats.org/officeDocument/2006/docPropsVTypes">
  <Template>Normal</Template>
  <TotalTime>0</TotalTime>
  <Pages>54</Pages>
  <Words>19448</Words>
  <Characters>106966</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Credito Publico</Company>
  <LinksUpToDate>false</LinksUpToDate>
  <CharactersWithSpaces>126162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Ariza Macias</dc:creator>
  <cp:keywords/>
  <dc:description/>
  <cp:lastModifiedBy>Pablo Andres Parra Cubides</cp:lastModifiedBy>
  <cp:revision>2</cp:revision>
  <dcterms:created xsi:type="dcterms:W3CDTF">2023-10-14T00:41:00Z</dcterms:created>
  <dcterms:modified xsi:type="dcterms:W3CDTF">2023-10-14T00:41:00Z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