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Override1.xml" ContentType="application/vnd.openxmlformats-officedocument.themeOverride+xml"/>
  <Override PartName="/word/charts/colors1.xml" ContentType="application/vnd.ms-office.chartcolorstyle+xml"/>
  <Override PartName="/word/charts/chart1.xml" ContentType="application/vnd.openxmlformats-officedocument.drawingml.chart+xml"/>
  <Override PartName="/word/charts/style1.xml" ContentType="application/vnd.ms-office.chartstyle+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36C" w:rsidRPr="0011236C" w:rsidRDefault="0011236C" w:rsidP="0011236C">
      <w:pPr>
        <w:ind w:firstLine="708"/>
        <w:jc w:val="center"/>
        <w:rPr>
          <w:rFonts w:ascii="Arial" w:eastAsiaTheme="minorHAnsi" w:hAnsi="Arial" w:cs="Arial"/>
          <w:b/>
          <w:sz w:val="21"/>
          <w:szCs w:val="21"/>
          <w:lang w:val="es-CO" w:eastAsia="en-US"/>
        </w:rPr>
      </w:pPr>
      <w:bookmarkStart w:id="0" w:name="_GoBack"/>
      <w:bookmarkEnd w:id="0"/>
      <w:r w:rsidRPr="0011236C">
        <w:rPr>
          <w:rFonts w:ascii="Arial" w:eastAsiaTheme="minorHAnsi" w:hAnsi="Arial" w:cs="Arial"/>
          <w:b/>
          <w:sz w:val="21"/>
          <w:szCs w:val="21"/>
          <w:lang w:val="es-CO" w:eastAsia="en-US"/>
        </w:rPr>
        <w:t xml:space="preserve">INFORME DE PREDIAGNÓSTICO </w:t>
      </w:r>
    </w:p>
    <w:p w:rsidR="0011236C" w:rsidRPr="0011236C" w:rsidRDefault="0011236C" w:rsidP="0011236C">
      <w:pPr>
        <w:ind w:firstLine="708"/>
        <w:jc w:val="center"/>
        <w:rPr>
          <w:rFonts w:ascii="Arial" w:eastAsiaTheme="minorHAnsi" w:hAnsi="Arial" w:cs="Arial"/>
          <w:b/>
          <w:sz w:val="21"/>
          <w:szCs w:val="21"/>
          <w:lang w:val="es-CO" w:eastAsia="en-US"/>
        </w:rPr>
      </w:pPr>
    </w:p>
    <w:tbl>
      <w:tblPr>
        <w:tblStyle w:val="Tablaconcuadrcula"/>
        <w:tblW w:w="8955" w:type="dxa"/>
        <w:jc w:val="center"/>
        <w:tblBorders>
          <w:insideH w:val="single" w:sz="6" w:space="0" w:color="auto"/>
          <w:insideV w:val="single" w:sz="6" w:space="0" w:color="auto"/>
        </w:tblBorders>
        <w:shd w:val="clear" w:color="auto" w:fill="DBE5F1" w:themeFill="accent1" w:themeFillTint="33"/>
        <w:tblLook w:val="04A0" w:firstRow="1" w:lastRow="0" w:firstColumn="1" w:lastColumn="0" w:noHBand="0" w:noVBand="1"/>
      </w:tblPr>
      <w:tblGrid>
        <w:gridCol w:w="2689"/>
        <w:gridCol w:w="6266"/>
      </w:tblGrid>
      <w:tr w:rsidR="0011236C" w:rsidRPr="0011236C" w:rsidTr="00F76962">
        <w:trPr>
          <w:jc w:val="center"/>
        </w:trPr>
        <w:tc>
          <w:tcPr>
            <w:tcW w:w="2689" w:type="dxa"/>
            <w:tcBorders>
              <w:top w:val="single" w:sz="4" w:space="0" w:color="auto"/>
              <w:left w:val="single" w:sz="4" w:space="0" w:color="auto"/>
              <w:bottom w:val="single" w:sz="6" w:space="0" w:color="auto"/>
              <w:right w:val="single" w:sz="6" w:space="0" w:color="auto"/>
            </w:tcBorders>
            <w:shd w:val="clear" w:color="auto" w:fill="DBE5F1" w:themeFill="accent1" w:themeFillTint="33"/>
            <w:hideMark/>
          </w:tcPr>
          <w:p w:rsidR="0011236C" w:rsidRPr="0011236C" w:rsidRDefault="0011236C" w:rsidP="0011236C">
            <w:pPr>
              <w:rPr>
                <w:rFonts w:ascii="Arial" w:eastAsia="Calibri" w:hAnsi="Arial" w:cs="Arial"/>
                <w:i/>
                <w:sz w:val="21"/>
                <w:szCs w:val="21"/>
              </w:rPr>
            </w:pPr>
            <w:r w:rsidRPr="0011236C">
              <w:rPr>
                <w:rFonts w:ascii="Arial" w:eastAsia="Calibri" w:hAnsi="Arial" w:cs="Arial"/>
                <w:bCs/>
                <w:i/>
                <w:sz w:val="21"/>
                <w:szCs w:val="21"/>
              </w:rPr>
              <w:t>Número de Expediente</w:t>
            </w:r>
          </w:p>
        </w:tc>
        <w:tc>
          <w:tcPr>
            <w:tcW w:w="6266" w:type="dxa"/>
            <w:tcBorders>
              <w:top w:val="single" w:sz="4" w:space="0" w:color="auto"/>
              <w:left w:val="single" w:sz="6" w:space="0" w:color="auto"/>
              <w:bottom w:val="single" w:sz="6" w:space="0" w:color="auto"/>
              <w:right w:val="single" w:sz="4" w:space="0" w:color="auto"/>
            </w:tcBorders>
            <w:shd w:val="clear" w:color="auto" w:fill="DBE5F1" w:themeFill="accent1" w:themeFillTint="33"/>
            <w:hideMark/>
          </w:tcPr>
          <w:p w:rsidR="0011236C" w:rsidRPr="0011236C" w:rsidRDefault="0011236C" w:rsidP="0011236C">
            <w:pPr>
              <w:jc w:val="both"/>
              <w:rPr>
                <w:rFonts w:ascii="Arial" w:hAnsi="Arial" w:cs="Arial"/>
                <w:b/>
                <w:bCs/>
                <w:sz w:val="21"/>
                <w:szCs w:val="21"/>
              </w:rPr>
            </w:pPr>
            <w:r w:rsidRPr="0011236C">
              <w:rPr>
                <w:rFonts w:ascii="Arial" w:hAnsi="Arial" w:cs="Arial"/>
                <w:sz w:val="21"/>
                <w:szCs w:val="21"/>
              </w:rPr>
              <w:t>26/2021/D028-PREDI</w:t>
            </w:r>
          </w:p>
        </w:tc>
      </w:tr>
      <w:tr w:rsidR="0011236C" w:rsidRPr="0011236C" w:rsidTr="00F76962">
        <w:trPr>
          <w:jc w:val="center"/>
        </w:trPr>
        <w:tc>
          <w:tcPr>
            <w:tcW w:w="2689" w:type="dxa"/>
            <w:tcBorders>
              <w:top w:val="single" w:sz="6" w:space="0" w:color="auto"/>
              <w:left w:val="single" w:sz="4" w:space="0" w:color="auto"/>
              <w:bottom w:val="single" w:sz="6" w:space="0" w:color="auto"/>
              <w:right w:val="single" w:sz="6" w:space="0" w:color="auto"/>
            </w:tcBorders>
            <w:shd w:val="clear" w:color="auto" w:fill="DBE5F1" w:themeFill="accent1" w:themeFillTint="33"/>
            <w:hideMark/>
          </w:tcPr>
          <w:p w:rsidR="0011236C" w:rsidRPr="0011236C" w:rsidRDefault="0011236C" w:rsidP="0011236C">
            <w:pPr>
              <w:rPr>
                <w:rFonts w:ascii="Arial" w:eastAsia="Calibri" w:hAnsi="Arial" w:cs="Arial"/>
                <w:bCs/>
                <w:i/>
                <w:sz w:val="21"/>
                <w:szCs w:val="21"/>
              </w:rPr>
            </w:pPr>
            <w:r w:rsidRPr="0011236C">
              <w:rPr>
                <w:rFonts w:ascii="Arial" w:eastAsia="Calibri" w:hAnsi="Arial" w:cs="Arial"/>
                <w:bCs/>
                <w:i/>
                <w:sz w:val="21"/>
                <w:szCs w:val="21"/>
              </w:rPr>
              <w:t>Sector</w:t>
            </w:r>
          </w:p>
        </w:tc>
        <w:tc>
          <w:tcPr>
            <w:tcW w:w="6266" w:type="dxa"/>
            <w:tcBorders>
              <w:top w:val="single" w:sz="6" w:space="0" w:color="auto"/>
              <w:left w:val="single" w:sz="6" w:space="0" w:color="auto"/>
              <w:bottom w:val="single" w:sz="6" w:space="0" w:color="auto"/>
              <w:right w:val="single" w:sz="4" w:space="0" w:color="auto"/>
            </w:tcBorders>
            <w:shd w:val="clear" w:color="auto" w:fill="DBE5F1" w:themeFill="accent1" w:themeFillTint="33"/>
            <w:hideMark/>
          </w:tcPr>
          <w:p w:rsidR="0011236C" w:rsidRPr="0011236C" w:rsidRDefault="0011236C" w:rsidP="0011236C">
            <w:pPr>
              <w:rPr>
                <w:rFonts w:ascii="Arial" w:eastAsia="Calibri" w:hAnsi="Arial" w:cs="Arial"/>
                <w:b/>
                <w:bCs/>
                <w:sz w:val="21"/>
                <w:szCs w:val="21"/>
              </w:rPr>
            </w:pPr>
            <w:r w:rsidRPr="0011236C">
              <w:rPr>
                <w:rFonts w:ascii="Arial" w:eastAsia="Calibri" w:hAnsi="Arial" w:cs="Arial"/>
                <w:b/>
                <w:bCs/>
                <w:sz w:val="21"/>
                <w:szCs w:val="21"/>
              </w:rPr>
              <w:t xml:space="preserve">Salud </w:t>
            </w:r>
          </w:p>
        </w:tc>
      </w:tr>
      <w:tr w:rsidR="0011236C" w:rsidRPr="0011236C" w:rsidTr="00F76962">
        <w:trPr>
          <w:jc w:val="center"/>
        </w:trPr>
        <w:tc>
          <w:tcPr>
            <w:tcW w:w="2689" w:type="dxa"/>
            <w:tcBorders>
              <w:top w:val="single" w:sz="6" w:space="0" w:color="auto"/>
              <w:left w:val="single" w:sz="4" w:space="0" w:color="auto"/>
              <w:bottom w:val="single" w:sz="6" w:space="0" w:color="auto"/>
              <w:right w:val="single" w:sz="6" w:space="0" w:color="auto"/>
            </w:tcBorders>
            <w:shd w:val="clear" w:color="auto" w:fill="DBE5F1" w:themeFill="accent1" w:themeFillTint="33"/>
            <w:hideMark/>
          </w:tcPr>
          <w:p w:rsidR="0011236C" w:rsidRPr="0011236C" w:rsidRDefault="0011236C" w:rsidP="0011236C">
            <w:pPr>
              <w:rPr>
                <w:rFonts w:ascii="Arial" w:eastAsia="Calibri" w:hAnsi="Arial" w:cs="Arial"/>
                <w:bCs/>
                <w:i/>
                <w:sz w:val="21"/>
                <w:szCs w:val="21"/>
              </w:rPr>
            </w:pPr>
            <w:r w:rsidRPr="0011236C">
              <w:rPr>
                <w:rFonts w:ascii="Arial" w:eastAsia="Calibri" w:hAnsi="Arial" w:cs="Arial"/>
                <w:bCs/>
                <w:i/>
                <w:sz w:val="21"/>
                <w:szCs w:val="21"/>
              </w:rPr>
              <w:t>Tipo de Entidad</w:t>
            </w:r>
          </w:p>
        </w:tc>
        <w:tc>
          <w:tcPr>
            <w:tcW w:w="6266" w:type="dxa"/>
            <w:tcBorders>
              <w:top w:val="single" w:sz="6" w:space="0" w:color="auto"/>
              <w:left w:val="single" w:sz="6" w:space="0" w:color="auto"/>
              <w:bottom w:val="single" w:sz="6" w:space="0" w:color="auto"/>
              <w:right w:val="single" w:sz="4" w:space="0" w:color="auto"/>
            </w:tcBorders>
            <w:shd w:val="clear" w:color="auto" w:fill="DBE5F1" w:themeFill="accent1" w:themeFillTint="33"/>
            <w:hideMark/>
          </w:tcPr>
          <w:p w:rsidR="0011236C" w:rsidRPr="0011236C" w:rsidRDefault="0011236C" w:rsidP="0011236C">
            <w:pPr>
              <w:jc w:val="both"/>
              <w:rPr>
                <w:rFonts w:ascii="Arial" w:hAnsi="Arial" w:cs="Arial"/>
                <w:sz w:val="21"/>
                <w:szCs w:val="21"/>
              </w:rPr>
            </w:pPr>
            <w:r w:rsidRPr="0011236C">
              <w:rPr>
                <w:rFonts w:ascii="Arial" w:hAnsi="Arial" w:cs="Arial"/>
                <w:sz w:val="21"/>
                <w:szCs w:val="21"/>
              </w:rPr>
              <w:t>Departamento</w:t>
            </w:r>
          </w:p>
        </w:tc>
      </w:tr>
      <w:tr w:rsidR="0011236C" w:rsidRPr="0011236C" w:rsidTr="00F76962">
        <w:trPr>
          <w:trHeight w:val="65"/>
          <w:jc w:val="center"/>
        </w:trPr>
        <w:tc>
          <w:tcPr>
            <w:tcW w:w="2689" w:type="dxa"/>
            <w:tcBorders>
              <w:top w:val="single" w:sz="6" w:space="0" w:color="auto"/>
              <w:left w:val="single" w:sz="4" w:space="0" w:color="auto"/>
              <w:bottom w:val="single" w:sz="4" w:space="0" w:color="auto"/>
              <w:right w:val="single" w:sz="6" w:space="0" w:color="auto"/>
            </w:tcBorders>
            <w:shd w:val="clear" w:color="auto" w:fill="DBE5F1" w:themeFill="accent1" w:themeFillTint="33"/>
            <w:hideMark/>
          </w:tcPr>
          <w:p w:rsidR="0011236C" w:rsidRPr="0011236C" w:rsidRDefault="0011236C" w:rsidP="0011236C">
            <w:pPr>
              <w:rPr>
                <w:rFonts w:ascii="Arial" w:eastAsia="Calibri" w:hAnsi="Arial" w:cs="Arial"/>
                <w:bCs/>
                <w:i/>
                <w:sz w:val="21"/>
                <w:szCs w:val="21"/>
              </w:rPr>
            </w:pPr>
            <w:r w:rsidRPr="0011236C">
              <w:rPr>
                <w:rFonts w:ascii="Arial" w:eastAsia="Calibri" w:hAnsi="Arial" w:cs="Arial"/>
                <w:bCs/>
                <w:i/>
                <w:sz w:val="21"/>
                <w:szCs w:val="21"/>
              </w:rPr>
              <w:t>Entidad</w:t>
            </w:r>
          </w:p>
        </w:tc>
        <w:tc>
          <w:tcPr>
            <w:tcW w:w="6266" w:type="dxa"/>
            <w:tcBorders>
              <w:top w:val="single" w:sz="6" w:space="0" w:color="auto"/>
              <w:left w:val="single" w:sz="6" w:space="0" w:color="auto"/>
              <w:bottom w:val="single" w:sz="4" w:space="0" w:color="auto"/>
              <w:right w:val="single" w:sz="4" w:space="0" w:color="auto"/>
            </w:tcBorders>
            <w:shd w:val="clear" w:color="auto" w:fill="DBE5F1" w:themeFill="accent1" w:themeFillTint="33"/>
            <w:hideMark/>
          </w:tcPr>
          <w:p w:rsidR="0011236C" w:rsidRPr="0011236C" w:rsidRDefault="0011236C" w:rsidP="0011236C">
            <w:pPr>
              <w:jc w:val="both"/>
              <w:rPr>
                <w:rFonts w:ascii="Arial" w:hAnsi="Arial" w:cs="Arial"/>
                <w:sz w:val="21"/>
                <w:szCs w:val="21"/>
              </w:rPr>
            </w:pPr>
            <w:bookmarkStart w:id="1" w:name="deptoymuni"/>
            <w:bookmarkEnd w:id="1"/>
            <w:r w:rsidRPr="0011236C">
              <w:rPr>
                <w:rFonts w:ascii="Arial" w:hAnsi="Arial" w:cs="Arial"/>
                <w:sz w:val="21"/>
                <w:szCs w:val="21"/>
              </w:rPr>
              <w:t>MAGDALENA</w:t>
            </w:r>
          </w:p>
        </w:tc>
      </w:tr>
    </w:tbl>
    <w:p w:rsidR="0011236C" w:rsidRPr="0011236C" w:rsidRDefault="0011236C" w:rsidP="0011236C">
      <w:pPr>
        <w:jc w:val="both"/>
        <w:rPr>
          <w:rFonts w:ascii="Arial" w:hAnsi="Arial" w:cs="Arial"/>
          <w:sz w:val="21"/>
          <w:szCs w:val="21"/>
        </w:rPr>
      </w:pPr>
    </w:p>
    <w:p w:rsidR="0011236C" w:rsidRPr="0011236C" w:rsidRDefault="0011236C" w:rsidP="0011236C">
      <w:pPr>
        <w:jc w:val="both"/>
        <w:rPr>
          <w:rFonts w:ascii="Arial" w:eastAsia="Calibri" w:hAnsi="Arial" w:cs="Arial"/>
          <w:b/>
          <w:sz w:val="21"/>
          <w:szCs w:val="21"/>
          <w:lang w:eastAsia="en-US"/>
        </w:rPr>
      </w:pPr>
      <w:r w:rsidRPr="0011236C">
        <w:rPr>
          <w:rFonts w:ascii="Arial" w:eastAsia="Calibri" w:hAnsi="Arial" w:cs="Arial"/>
          <w:b/>
          <w:sz w:val="21"/>
          <w:szCs w:val="21"/>
          <w:lang w:eastAsia="en-US"/>
        </w:rPr>
        <w:t>I. ANTECEDENTES</w:t>
      </w:r>
    </w:p>
    <w:p w:rsidR="0011236C" w:rsidRPr="0011236C" w:rsidRDefault="0011236C" w:rsidP="0011236C">
      <w:pPr>
        <w:ind w:hanging="696"/>
        <w:contextualSpacing/>
        <w:jc w:val="both"/>
        <w:rPr>
          <w:rFonts w:ascii="Arial" w:eastAsia="Calibri" w:hAnsi="Arial" w:cs="Arial"/>
          <w:b/>
          <w:sz w:val="21"/>
          <w:szCs w:val="21"/>
          <w:highlight w:val="yellow"/>
          <w:lang w:eastAsia="en-US"/>
        </w:rPr>
      </w:pPr>
    </w:p>
    <w:p w:rsidR="0011236C" w:rsidRPr="0011236C" w:rsidRDefault="0011236C" w:rsidP="0011236C">
      <w:pPr>
        <w:jc w:val="both"/>
        <w:rPr>
          <w:rFonts w:ascii="Arial" w:eastAsia="Calibri" w:hAnsi="Arial" w:cs="Arial"/>
          <w:sz w:val="21"/>
          <w:szCs w:val="21"/>
          <w:lang w:eastAsia="en-US"/>
        </w:rPr>
      </w:pPr>
      <w:r w:rsidRPr="0011236C">
        <w:rPr>
          <w:rFonts w:ascii="Arial" w:eastAsia="Calibri" w:hAnsi="Arial" w:cs="Arial"/>
          <w:sz w:val="21"/>
          <w:szCs w:val="21"/>
          <w:lang w:eastAsia="en-US"/>
        </w:rPr>
        <w:t>El Decreto 028 de 2008 fijó los objetivos de la Estrategia de Monitoreo, Seguimiento y Control integral al gasto que se realice con cargo a los recursos del Sistema General de Participaciones; los sectores sobre los cuales recae su ejercicio; el contenido de cada una de las actividades que la integran; así como sus responsables institucionales, con el propósito de asegurar el cumplimiento de las metas de continuidad, cobertura y calidad en los servicios financiados con cargo a tales recursos.</w:t>
      </w:r>
    </w:p>
    <w:p w:rsidR="0011236C" w:rsidRPr="0011236C" w:rsidRDefault="0011236C" w:rsidP="0011236C">
      <w:pPr>
        <w:jc w:val="both"/>
        <w:rPr>
          <w:rFonts w:ascii="Arial" w:eastAsia="Calibri" w:hAnsi="Arial" w:cs="Arial"/>
          <w:sz w:val="21"/>
          <w:szCs w:val="21"/>
          <w:highlight w:val="yellow"/>
          <w:lang w:eastAsia="en-US"/>
        </w:rPr>
      </w:pPr>
    </w:p>
    <w:p w:rsidR="0011236C" w:rsidRPr="0011236C" w:rsidRDefault="0011236C" w:rsidP="0011236C">
      <w:pPr>
        <w:jc w:val="both"/>
        <w:rPr>
          <w:rFonts w:ascii="Arial" w:eastAsia="Calibri" w:hAnsi="Arial" w:cs="Arial"/>
          <w:sz w:val="21"/>
          <w:szCs w:val="21"/>
          <w:lang w:eastAsia="en-US"/>
        </w:rPr>
      </w:pPr>
      <w:r w:rsidRPr="0011236C">
        <w:rPr>
          <w:rFonts w:ascii="Arial" w:eastAsia="Calibri" w:hAnsi="Arial" w:cs="Arial"/>
          <w:sz w:val="21"/>
          <w:szCs w:val="21"/>
          <w:lang w:eastAsia="en-US"/>
        </w:rPr>
        <w:t xml:space="preserve">En ese sentido, en aplicación de la Estrategia, en 2021 se recibió del Ministerio de Salud y Protección Social un informe de monitoreo de la vigencia 2020, indicando para el Departamento un alto riesgo en el Sector Salud respecto al componente de Salud Pública, y riesgo alto en el componente de Fondo Local de Salud. Con relación al componente de Salud pública, el alto riesgo se fundamenta en los bajos resultados en la ejecución de recursos SGP - SP para la vigencia 2020 del 77%.  </w:t>
      </w:r>
    </w:p>
    <w:p w:rsidR="0011236C" w:rsidRPr="0011236C" w:rsidRDefault="0011236C" w:rsidP="0011236C">
      <w:pPr>
        <w:jc w:val="both"/>
        <w:rPr>
          <w:rFonts w:ascii="Arial" w:hAnsi="Arial" w:cs="Arial"/>
          <w:sz w:val="21"/>
          <w:szCs w:val="21"/>
        </w:rPr>
      </w:pPr>
    </w:p>
    <w:p w:rsidR="0011236C" w:rsidRPr="0011236C" w:rsidRDefault="0011236C" w:rsidP="0011236C">
      <w:pPr>
        <w:jc w:val="both"/>
        <w:rPr>
          <w:rFonts w:ascii="Arial" w:eastAsia="Calibri" w:hAnsi="Arial" w:cs="Arial"/>
          <w:sz w:val="21"/>
          <w:szCs w:val="21"/>
        </w:rPr>
      </w:pPr>
      <w:r w:rsidRPr="0011236C">
        <w:rPr>
          <w:rFonts w:ascii="Arial" w:eastAsia="Calibri" w:hAnsi="Arial" w:cs="Arial"/>
          <w:sz w:val="21"/>
          <w:szCs w:val="21"/>
        </w:rPr>
        <w:t>En consecuencia, conforme a lo definido en el Acto Legislativo 04 de 2007 y el mencionado Decreto 028 de 2008, reglamentado por el Decreto 1068 de 2015, siendo el Ministerio de Hacienda y Crédito Público el responsable de llevar a cabo la coordinación de la Estrategia de Monitoreo, Seguimiento y Control Integral al gasto ejecutado por las entidades territoriales con recursos del Sistema General de Participaciones, la Dirección General de Apoyo Fiscal solicitó información a la entidad territorial mediante oficio con radicado 2-2021-044625 del 31 de agosto de 2021, con el fin de establecer si existen posibles situaciones riesgo en la prestación del servicio que sugieran la realización de un reconocimiento institucional para su validación. Los resultados se presentan a continuación. Adicional a esto, la entidad solicitó una prórroga la cual fue autorizada mediante oficio No 2-2021-048222.</w:t>
      </w:r>
    </w:p>
    <w:p w:rsidR="0011236C" w:rsidRPr="0011236C" w:rsidRDefault="0011236C" w:rsidP="0011236C">
      <w:pPr>
        <w:jc w:val="both"/>
        <w:rPr>
          <w:rFonts w:ascii="Arial" w:eastAsia="Calibri" w:hAnsi="Arial" w:cs="Arial"/>
          <w:sz w:val="21"/>
          <w:szCs w:val="21"/>
          <w:highlight w:val="yellow"/>
          <w:lang w:eastAsia="en-US"/>
        </w:rPr>
      </w:pPr>
    </w:p>
    <w:p w:rsidR="0011236C" w:rsidRPr="0011236C" w:rsidRDefault="0011236C" w:rsidP="0011236C">
      <w:pPr>
        <w:jc w:val="both"/>
        <w:rPr>
          <w:rFonts w:ascii="Arial" w:eastAsia="Calibri" w:hAnsi="Arial" w:cs="Arial"/>
          <w:sz w:val="21"/>
          <w:szCs w:val="21"/>
          <w:lang w:eastAsia="en-US"/>
        </w:rPr>
      </w:pPr>
      <w:r w:rsidRPr="0011236C">
        <w:rPr>
          <w:rFonts w:ascii="Arial" w:eastAsia="Calibri" w:hAnsi="Arial" w:cs="Arial"/>
          <w:sz w:val="21"/>
          <w:szCs w:val="21"/>
          <w:lang w:eastAsia="en-US"/>
        </w:rPr>
        <w:t>Finalmente, es preciso indicar que para la elaboración del presente informe se dispuso de información institucional aportada por las autoridades departamentales y sectoriales, así como fuentes de información consistentes en documentos o publicaciones de carácter oficial, disposiciones normativas y publicaciones particulares, cada una de las cuales es citada cuando ello es requerido.</w:t>
      </w:r>
    </w:p>
    <w:p w:rsidR="0011236C" w:rsidRPr="0011236C" w:rsidRDefault="0011236C" w:rsidP="0011236C">
      <w:pPr>
        <w:rPr>
          <w:rFonts w:ascii="Arial" w:eastAsia="Calibri" w:hAnsi="Arial" w:cs="Arial"/>
          <w:sz w:val="21"/>
          <w:szCs w:val="21"/>
          <w:lang w:eastAsia="en-US"/>
        </w:rPr>
      </w:pPr>
      <w:r w:rsidRPr="0011236C">
        <w:rPr>
          <w:rFonts w:ascii="Arial" w:eastAsia="Calibri" w:hAnsi="Arial" w:cs="Arial"/>
          <w:sz w:val="21"/>
          <w:szCs w:val="21"/>
          <w:lang w:eastAsia="en-US"/>
        </w:rPr>
        <w:br w:type="page"/>
      </w:r>
    </w:p>
    <w:p w:rsidR="0011236C" w:rsidRPr="0011236C" w:rsidRDefault="0011236C" w:rsidP="0011236C">
      <w:pPr>
        <w:jc w:val="both"/>
        <w:rPr>
          <w:rFonts w:ascii="Arial" w:eastAsia="Calibri" w:hAnsi="Arial" w:cs="Arial"/>
          <w:b/>
          <w:sz w:val="21"/>
          <w:szCs w:val="21"/>
          <w:lang w:eastAsia="en-US"/>
        </w:rPr>
      </w:pPr>
      <w:r w:rsidRPr="0011236C">
        <w:rPr>
          <w:rFonts w:ascii="Arial" w:eastAsia="Calibri" w:hAnsi="Arial" w:cs="Arial"/>
          <w:b/>
          <w:sz w:val="21"/>
          <w:szCs w:val="21"/>
          <w:lang w:eastAsia="en-US"/>
        </w:rPr>
        <w:lastRenderedPageBreak/>
        <w:t xml:space="preserve">II. CARACTERIZACIÓN </w:t>
      </w:r>
    </w:p>
    <w:p w:rsidR="0011236C" w:rsidRPr="0011236C" w:rsidRDefault="0011236C" w:rsidP="0011236C">
      <w:pPr>
        <w:jc w:val="both"/>
        <w:rPr>
          <w:rFonts w:ascii="Arial" w:eastAsia="Calibri" w:hAnsi="Arial" w:cs="Arial"/>
          <w:b/>
          <w:sz w:val="21"/>
          <w:szCs w:val="21"/>
          <w:lang w:eastAsia="en-US"/>
        </w:rPr>
      </w:pPr>
    </w:p>
    <w:p w:rsidR="0011236C" w:rsidRPr="0011236C" w:rsidRDefault="0011236C" w:rsidP="0011236C">
      <w:pPr>
        <w:numPr>
          <w:ilvl w:val="0"/>
          <w:numId w:val="24"/>
        </w:numPr>
        <w:contextualSpacing/>
        <w:rPr>
          <w:rFonts w:ascii="Arial" w:hAnsi="Arial" w:cs="Arial"/>
          <w:noProof/>
          <w:sz w:val="21"/>
          <w:szCs w:val="21"/>
          <w:lang w:val="es-CO" w:eastAsia="es-CO"/>
        </w:rPr>
      </w:pPr>
      <w:r w:rsidRPr="0011236C">
        <w:rPr>
          <w:rFonts w:ascii="Arial" w:eastAsia="Calibri" w:hAnsi="Arial" w:cs="Arial"/>
          <w:b/>
          <w:sz w:val="21"/>
          <w:szCs w:val="21"/>
          <w:lang w:eastAsia="en-US"/>
        </w:rPr>
        <w:t>Infografía</w:t>
      </w:r>
    </w:p>
    <w:p w:rsidR="0011236C" w:rsidRPr="0011236C" w:rsidRDefault="0011236C" w:rsidP="0011236C">
      <w:pPr>
        <w:rPr>
          <w:rFonts w:ascii="Arial" w:hAnsi="Arial" w:cs="Arial"/>
          <w:noProof/>
          <w:sz w:val="21"/>
          <w:szCs w:val="21"/>
          <w:lang w:val="es-CO" w:eastAsia="es-CO"/>
        </w:rPr>
      </w:pPr>
      <w:r w:rsidRPr="0011236C">
        <w:rPr>
          <w:rFonts w:ascii="Arial" w:hAnsi="Arial" w:cs="Arial"/>
          <w:noProof/>
          <w:sz w:val="21"/>
          <w:szCs w:val="21"/>
          <w:lang w:val="es-CO" w:eastAsia="es-CO"/>
        </w:rPr>
        <w:drawing>
          <wp:inline distT="0" distB="0" distL="0" distR="0">
            <wp:extent cx="5611495" cy="6038850"/>
            <wp:effectExtent l="0" t="0" r="825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3578" cy="6041092"/>
                    </a:xfrm>
                    <a:prstGeom prst="rect">
                      <a:avLst/>
                    </a:prstGeom>
                    <a:noFill/>
                    <a:ln>
                      <a:noFill/>
                    </a:ln>
                  </pic:spPr>
                </pic:pic>
              </a:graphicData>
            </a:graphic>
          </wp:inline>
        </w:drawing>
      </w:r>
    </w:p>
    <w:p w:rsidR="0011236C" w:rsidRPr="0011236C" w:rsidRDefault="0011236C" w:rsidP="0011236C">
      <w:pPr>
        <w:rPr>
          <w:rFonts w:ascii="Arial" w:hAnsi="Arial" w:cs="Arial"/>
          <w:noProof/>
          <w:sz w:val="21"/>
          <w:szCs w:val="21"/>
          <w:lang w:val="es-CO" w:eastAsia="es-CO"/>
        </w:rPr>
      </w:pPr>
    </w:p>
    <w:p w:rsidR="0011236C" w:rsidRPr="0011236C" w:rsidRDefault="0011236C" w:rsidP="0011236C">
      <w:pPr>
        <w:ind w:left="360"/>
        <w:contextualSpacing/>
        <w:rPr>
          <w:rFonts w:ascii="Arial" w:eastAsia="Times New Roman" w:hAnsi="Arial" w:cs="Arial"/>
          <w:i/>
          <w:snapToGrid w:val="0"/>
          <w:color w:val="000000"/>
          <w:w w:val="1"/>
          <w:sz w:val="21"/>
          <w:szCs w:val="21"/>
          <w:bdr w:val="none" w:sz="0" w:space="0" w:color="auto" w:frame="1"/>
          <w:shd w:val="clear" w:color="auto" w:fill="000000"/>
          <w:lang w:val="x-none" w:eastAsia="x-none" w:bidi="x-none"/>
        </w:rPr>
      </w:pPr>
      <w:r w:rsidRPr="0011236C">
        <w:rPr>
          <w:rFonts w:ascii="Arial" w:eastAsia="Times New Roman" w:hAnsi="Arial" w:cs="Arial"/>
          <w:i/>
          <w:snapToGrid w:val="0"/>
          <w:color w:val="000000"/>
          <w:w w:val="1"/>
          <w:sz w:val="21"/>
          <w:szCs w:val="21"/>
          <w:highlight w:val="yellow"/>
          <w:bdr w:val="none" w:sz="0" w:space="0" w:color="auto" w:frame="1"/>
          <w:shd w:val="clear" w:color="auto" w:fill="000000"/>
          <w:lang w:val="es-CO" w:eastAsia="x-none" w:bidi="x-none"/>
        </w:rPr>
        <w:t>…..</w:t>
      </w:r>
      <w:r w:rsidRPr="0011236C">
        <w:rPr>
          <w:rFonts w:ascii="Arial" w:eastAsia="Times New Roman" w:hAnsi="Arial" w:cs="Arial"/>
          <w:i/>
          <w:snapToGrid w:val="0"/>
          <w:color w:val="000000"/>
          <w:w w:val="1"/>
          <w:sz w:val="21"/>
          <w:szCs w:val="21"/>
          <w:bdr w:val="none" w:sz="0" w:space="0" w:color="auto" w:frame="1"/>
          <w:shd w:val="clear" w:color="auto" w:fill="000000"/>
          <w:lang w:val="es-CO" w:eastAsia="x-none" w:bidi="x-none"/>
        </w:rPr>
        <w:t>xxx</w:t>
      </w:r>
      <w:r w:rsidRPr="0011236C">
        <w:rPr>
          <w:rFonts w:ascii="Arial" w:eastAsia="Times New Roman" w:hAnsi="Arial" w:cs="Arial"/>
          <w:i/>
          <w:snapToGrid w:val="0"/>
          <w:color w:val="000000"/>
          <w:w w:val="1"/>
          <w:sz w:val="21"/>
          <w:szCs w:val="21"/>
          <w:bdr w:val="none" w:sz="0" w:space="0" w:color="auto" w:frame="1"/>
          <w:shd w:val="clear" w:color="auto" w:fill="000000"/>
          <w:lang w:val="x-none" w:eastAsia="x-none" w:bidi="x-none"/>
        </w:rPr>
        <w:t xml:space="preserve"> </w:t>
      </w:r>
    </w:p>
    <w:p w:rsidR="0011236C" w:rsidRPr="0011236C" w:rsidRDefault="0011236C" w:rsidP="0011236C">
      <w:pPr>
        <w:contextualSpacing/>
        <w:jc w:val="center"/>
        <w:rPr>
          <w:rFonts w:ascii="Arial" w:eastAsia="Times New Roman" w:hAnsi="Arial" w:cs="Arial"/>
          <w:i/>
          <w:snapToGrid w:val="0"/>
          <w:color w:val="000000"/>
          <w:w w:val="1"/>
          <w:sz w:val="21"/>
          <w:szCs w:val="21"/>
          <w:bdr w:val="none" w:sz="0" w:space="0" w:color="auto" w:frame="1"/>
          <w:shd w:val="clear" w:color="auto" w:fill="000000"/>
          <w:lang w:val="x-none" w:eastAsia="x-none" w:bidi="x-none"/>
        </w:rPr>
      </w:pPr>
    </w:p>
    <w:p w:rsidR="0011236C" w:rsidRPr="0011236C" w:rsidRDefault="0011236C" w:rsidP="0011236C">
      <w:pPr>
        <w:contextualSpacing/>
        <w:jc w:val="center"/>
        <w:rPr>
          <w:rFonts w:ascii="Arial" w:eastAsia="Times New Roman" w:hAnsi="Arial" w:cs="Arial"/>
          <w:i/>
          <w:snapToGrid w:val="0"/>
          <w:color w:val="000000"/>
          <w:w w:val="1"/>
          <w:sz w:val="21"/>
          <w:szCs w:val="21"/>
          <w:bdr w:val="none" w:sz="0" w:space="0" w:color="auto" w:frame="1"/>
          <w:shd w:val="clear" w:color="auto" w:fill="000000"/>
          <w:lang w:val="x-none" w:eastAsia="x-none" w:bidi="x-none"/>
        </w:rPr>
      </w:pPr>
    </w:p>
    <w:p w:rsidR="0011236C" w:rsidRPr="0011236C" w:rsidRDefault="0011236C" w:rsidP="0011236C">
      <w:pPr>
        <w:numPr>
          <w:ilvl w:val="0"/>
          <w:numId w:val="24"/>
        </w:numPr>
        <w:contextualSpacing/>
        <w:jc w:val="both"/>
        <w:rPr>
          <w:rFonts w:ascii="Arial" w:eastAsia="Calibri" w:hAnsi="Arial" w:cs="Arial"/>
          <w:b/>
          <w:sz w:val="21"/>
          <w:szCs w:val="21"/>
          <w:lang w:eastAsia="en-US"/>
        </w:rPr>
      </w:pPr>
      <w:r w:rsidRPr="0011236C">
        <w:rPr>
          <w:rFonts w:ascii="Arial" w:eastAsia="Calibri" w:hAnsi="Arial" w:cs="Arial"/>
          <w:b/>
          <w:sz w:val="21"/>
          <w:szCs w:val="21"/>
          <w:lang w:eastAsia="en-US"/>
        </w:rPr>
        <w:lastRenderedPageBreak/>
        <w:t>Contexto Regional</w:t>
      </w:r>
    </w:p>
    <w:p w:rsidR="0011236C" w:rsidRPr="0011236C" w:rsidRDefault="0011236C" w:rsidP="0011236C">
      <w:pPr>
        <w:ind w:left="720"/>
        <w:contextualSpacing/>
        <w:jc w:val="both"/>
        <w:rPr>
          <w:rFonts w:ascii="Arial" w:eastAsia="Calibri" w:hAnsi="Arial" w:cs="Arial"/>
          <w:sz w:val="21"/>
          <w:szCs w:val="21"/>
          <w:lang w:eastAsia="en-US"/>
        </w:rPr>
      </w:pPr>
    </w:p>
    <w:p w:rsidR="0011236C" w:rsidRPr="0011236C" w:rsidRDefault="0011236C" w:rsidP="0011236C">
      <w:pPr>
        <w:contextualSpacing/>
        <w:jc w:val="both"/>
        <w:rPr>
          <w:rFonts w:ascii="Arial" w:hAnsi="Arial" w:cs="Arial"/>
          <w:bCs/>
          <w:sz w:val="21"/>
          <w:szCs w:val="21"/>
        </w:rPr>
      </w:pPr>
      <w:r w:rsidRPr="0011236C">
        <w:rPr>
          <w:rFonts w:ascii="Arial" w:hAnsi="Arial" w:cs="Arial"/>
          <w:bCs/>
          <w:sz w:val="21"/>
          <w:szCs w:val="21"/>
        </w:rPr>
        <w:t>El Departamento del Magdalena hace parte de las regiones naturales de la </w:t>
      </w:r>
      <w:hyperlink r:id="rId12" w:tooltip="Sierra Nevada de Santa Marta" w:history="1">
        <w:r w:rsidRPr="0011236C">
          <w:rPr>
            <w:rFonts w:ascii="Arial" w:hAnsi="Arial" w:cs="Arial"/>
            <w:bCs/>
            <w:sz w:val="21"/>
            <w:szCs w:val="21"/>
          </w:rPr>
          <w:t>Sierra Nevada de Santa Marta</w:t>
        </w:r>
      </w:hyperlink>
      <w:r w:rsidRPr="0011236C">
        <w:rPr>
          <w:rFonts w:ascii="Arial" w:hAnsi="Arial" w:cs="Arial"/>
          <w:bCs/>
          <w:sz w:val="21"/>
          <w:szCs w:val="21"/>
        </w:rPr>
        <w:t> y Valle del Bajo Magdalena. Posee una extensión de 23 188 km², que representa el 2.03 % al compararla con el territorio nacional y el 11.5 % en relación a la Llanura del Caribe. El territorio del Magdalena limita con el </w:t>
      </w:r>
      <w:hyperlink r:id="rId13" w:tooltip="Mar Caribe" w:history="1">
        <w:r w:rsidRPr="0011236C">
          <w:rPr>
            <w:rFonts w:ascii="Arial" w:hAnsi="Arial" w:cs="Arial"/>
            <w:bCs/>
            <w:sz w:val="21"/>
            <w:szCs w:val="21"/>
          </w:rPr>
          <w:t>Mar Caribe</w:t>
        </w:r>
      </w:hyperlink>
      <w:r w:rsidRPr="0011236C">
        <w:rPr>
          <w:rFonts w:ascii="Arial" w:hAnsi="Arial" w:cs="Arial"/>
          <w:bCs/>
          <w:sz w:val="21"/>
          <w:szCs w:val="21"/>
        </w:rPr>
        <w:t> y los departamentos de </w:t>
      </w:r>
      <w:hyperlink r:id="rId14" w:tooltip="La Guajira" w:history="1">
        <w:r w:rsidRPr="0011236C">
          <w:rPr>
            <w:rFonts w:ascii="Arial" w:hAnsi="Arial" w:cs="Arial"/>
            <w:bCs/>
            <w:sz w:val="21"/>
            <w:szCs w:val="21"/>
          </w:rPr>
          <w:t>La Guajira</w:t>
        </w:r>
      </w:hyperlink>
      <w:r w:rsidRPr="0011236C">
        <w:rPr>
          <w:rFonts w:ascii="Arial" w:hAnsi="Arial" w:cs="Arial"/>
          <w:bCs/>
          <w:sz w:val="21"/>
          <w:szCs w:val="21"/>
        </w:rPr>
        <w:t>, </w:t>
      </w:r>
      <w:hyperlink r:id="rId15" w:tooltip="Cesar" w:history="1">
        <w:r w:rsidRPr="0011236C">
          <w:rPr>
            <w:rFonts w:ascii="Arial" w:hAnsi="Arial" w:cs="Arial"/>
            <w:bCs/>
            <w:sz w:val="21"/>
            <w:szCs w:val="21"/>
          </w:rPr>
          <w:t>Cesar</w:t>
        </w:r>
      </w:hyperlink>
      <w:r w:rsidRPr="0011236C">
        <w:rPr>
          <w:rFonts w:ascii="Arial" w:hAnsi="Arial" w:cs="Arial"/>
          <w:bCs/>
          <w:sz w:val="21"/>
          <w:szCs w:val="21"/>
        </w:rPr>
        <w:t>, </w:t>
      </w:r>
      <w:hyperlink r:id="rId16" w:tooltip="Bolívar (Colombia)" w:history="1">
        <w:r w:rsidRPr="0011236C">
          <w:rPr>
            <w:rFonts w:ascii="Arial" w:hAnsi="Arial" w:cs="Arial"/>
            <w:bCs/>
            <w:sz w:val="21"/>
            <w:szCs w:val="21"/>
          </w:rPr>
          <w:t>Bolívar</w:t>
        </w:r>
      </w:hyperlink>
      <w:r w:rsidRPr="0011236C">
        <w:rPr>
          <w:rFonts w:ascii="Arial" w:hAnsi="Arial" w:cs="Arial"/>
          <w:bCs/>
          <w:sz w:val="21"/>
          <w:szCs w:val="21"/>
        </w:rPr>
        <w:t> y </w:t>
      </w:r>
      <w:hyperlink r:id="rId17" w:tooltip="Atlántico (Colombia)" w:history="1">
        <w:r w:rsidRPr="0011236C">
          <w:rPr>
            <w:rFonts w:ascii="Arial" w:hAnsi="Arial" w:cs="Arial"/>
            <w:bCs/>
            <w:sz w:val="21"/>
            <w:szCs w:val="21"/>
          </w:rPr>
          <w:t>Atlántico</w:t>
        </w:r>
      </w:hyperlink>
      <w:r w:rsidRPr="0011236C">
        <w:rPr>
          <w:rFonts w:ascii="Arial" w:hAnsi="Arial" w:cs="Arial"/>
          <w:bCs/>
          <w:sz w:val="21"/>
          <w:szCs w:val="21"/>
        </w:rPr>
        <w:t>, con perímetro de 1065 km.</w:t>
      </w:r>
    </w:p>
    <w:p w:rsidR="0011236C" w:rsidRPr="0011236C" w:rsidRDefault="0011236C" w:rsidP="0011236C">
      <w:pPr>
        <w:contextualSpacing/>
        <w:jc w:val="both"/>
        <w:rPr>
          <w:rFonts w:ascii="Arial" w:hAnsi="Arial" w:cs="Arial"/>
          <w:bCs/>
          <w:sz w:val="21"/>
          <w:szCs w:val="21"/>
        </w:rPr>
      </w:pPr>
    </w:p>
    <w:p w:rsidR="0011236C" w:rsidRPr="0011236C" w:rsidRDefault="0011236C" w:rsidP="0011236C">
      <w:pPr>
        <w:contextualSpacing/>
        <w:jc w:val="both"/>
        <w:rPr>
          <w:rFonts w:ascii="Arial" w:hAnsi="Arial" w:cs="Arial"/>
          <w:bCs/>
          <w:sz w:val="21"/>
          <w:szCs w:val="21"/>
        </w:rPr>
      </w:pPr>
      <w:r w:rsidRPr="0011236C">
        <w:rPr>
          <w:rFonts w:ascii="Arial" w:hAnsi="Arial" w:cs="Arial"/>
          <w:bCs/>
          <w:sz w:val="21"/>
          <w:szCs w:val="21"/>
        </w:rPr>
        <w:t>El departamento de Magdalena está conformado política y administrativamente por 29 municipios y 1 distrito, al igual que 198 corregimientos, 54 caseríos y 8 centros poblados. Estos 30 municipios están agrupados en </w:t>
      </w:r>
      <w:hyperlink r:id="rId18" w:tooltip="Provincias de Magdalena" w:history="1">
        <w:r w:rsidRPr="0011236C">
          <w:rPr>
            <w:rFonts w:ascii="Arial" w:hAnsi="Arial" w:cs="Arial"/>
            <w:bCs/>
            <w:sz w:val="21"/>
            <w:szCs w:val="21"/>
          </w:rPr>
          <w:t>5 provincias</w:t>
        </w:r>
      </w:hyperlink>
      <w:r w:rsidRPr="0011236C">
        <w:rPr>
          <w:rFonts w:ascii="Arial" w:hAnsi="Arial" w:cs="Arial"/>
          <w:bCs/>
          <w:sz w:val="21"/>
          <w:szCs w:val="21"/>
        </w:rPr>
        <w:t>: Santa Marta, Norte, Centro, Sur y Río. Para 2021 se registra 321.607 predios urbanos y 82.095 rurales.</w:t>
      </w:r>
    </w:p>
    <w:p w:rsidR="0011236C" w:rsidRPr="0011236C" w:rsidRDefault="0011236C" w:rsidP="0011236C">
      <w:pPr>
        <w:contextualSpacing/>
        <w:jc w:val="both"/>
        <w:rPr>
          <w:rFonts w:ascii="Arial" w:hAnsi="Arial" w:cs="Arial"/>
          <w:bCs/>
          <w:sz w:val="21"/>
          <w:szCs w:val="21"/>
        </w:rPr>
      </w:pPr>
    </w:p>
    <w:p w:rsidR="0011236C" w:rsidRPr="0011236C" w:rsidRDefault="0011236C" w:rsidP="0011236C">
      <w:pPr>
        <w:shd w:val="clear" w:color="auto" w:fill="FFFFFF"/>
        <w:jc w:val="both"/>
        <w:rPr>
          <w:rFonts w:ascii="Arial" w:hAnsi="Arial" w:cs="Arial"/>
          <w:bCs/>
          <w:sz w:val="21"/>
          <w:szCs w:val="21"/>
        </w:rPr>
      </w:pPr>
      <w:r w:rsidRPr="0011236C">
        <w:rPr>
          <w:rFonts w:ascii="Arial" w:hAnsi="Arial" w:cs="Arial"/>
          <w:bCs/>
          <w:sz w:val="21"/>
          <w:szCs w:val="21"/>
        </w:rPr>
        <w:t>Magdalena está conformado por cuatro cuencas hidrográficas: La primera corresponde a los ríos que nacen en la ladera septentrional de la </w:t>
      </w:r>
      <w:hyperlink r:id="rId19" w:tooltip="Parque nacional natural Sierra Nevada de Santa Marta" w:history="1">
        <w:r w:rsidRPr="0011236C">
          <w:rPr>
            <w:rFonts w:ascii="Arial" w:hAnsi="Arial" w:cs="Arial"/>
            <w:bCs/>
            <w:sz w:val="21"/>
            <w:szCs w:val="21"/>
          </w:rPr>
          <w:t>Sierra Nevada</w:t>
        </w:r>
      </w:hyperlink>
      <w:r w:rsidRPr="0011236C">
        <w:rPr>
          <w:rFonts w:ascii="Arial" w:hAnsi="Arial" w:cs="Arial"/>
          <w:bCs/>
          <w:sz w:val="21"/>
          <w:szCs w:val="21"/>
        </w:rPr>
        <w:t>, la segunda cuenca está compuesta por los ríos que nacen y corren por la ladera sur y suroccidental de la Sierra Nevada, la tercera cuenca está formada por los caños y arroyos que vierten sus aguas a la </w:t>
      </w:r>
      <w:hyperlink r:id="rId20" w:tooltip="Ciénaga Grande de Santa Marta" w:history="1">
        <w:r w:rsidRPr="0011236C">
          <w:rPr>
            <w:rFonts w:ascii="Arial" w:hAnsi="Arial" w:cs="Arial"/>
            <w:bCs/>
            <w:sz w:val="21"/>
            <w:szCs w:val="21"/>
          </w:rPr>
          <w:t>Ciénaga Grande</w:t>
        </w:r>
      </w:hyperlink>
      <w:r w:rsidRPr="0011236C">
        <w:rPr>
          <w:rFonts w:ascii="Arial" w:hAnsi="Arial" w:cs="Arial"/>
          <w:bCs/>
          <w:sz w:val="21"/>
          <w:szCs w:val="21"/>
        </w:rPr>
        <w:t> y esta a su vez al río Magdalena, la cuarta cuenca corresponde al río Ariguaní. La ladera septentrional de la Sierra Nevada: Está compuesta por los ríos Palomino, Don Diego, Buritaca, Guachaca, Mendiguaca, río Piedras, Manzanares y Gaira. Estos ríos desembocan en </w:t>
      </w:r>
      <w:hyperlink r:id="rId21" w:tooltip="Mar Caribe" w:history="1">
        <w:r w:rsidRPr="0011236C">
          <w:rPr>
            <w:rFonts w:ascii="Arial" w:hAnsi="Arial" w:cs="Arial"/>
            <w:bCs/>
            <w:sz w:val="21"/>
            <w:szCs w:val="21"/>
          </w:rPr>
          <w:t>mar Caribe</w:t>
        </w:r>
      </w:hyperlink>
      <w:r w:rsidRPr="0011236C">
        <w:rPr>
          <w:rFonts w:ascii="Arial" w:hAnsi="Arial" w:cs="Arial"/>
          <w:bCs/>
          <w:sz w:val="21"/>
          <w:szCs w:val="21"/>
        </w:rPr>
        <w:t> por las principales bahías y ensenadas que se encuentran en esta parte del departamento. Ladera sur y occidental de la Sierra Nevada: Los ríos que nacen en esta cuenca desembocan en la Ciénaga Grande. Esta cuenca irriga grandes extensiones de la Zona Bananera, además abastece los acueductos de los municipios de </w:t>
      </w:r>
      <w:hyperlink r:id="rId22" w:tooltip="Fundación (Magdalena)" w:history="1">
        <w:r w:rsidRPr="0011236C">
          <w:rPr>
            <w:rFonts w:ascii="Arial" w:hAnsi="Arial" w:cs="Arial"/>
            <w:bCs/>
            <w:sz w:val="21"/>
            <w:szCs w:val="21"/>
          </w:rPr>
          <w:t>Fundación</w:t>
        </w:r>
      </w:hyperlink>
      <w:r w:rsidRPr="0011236C">
        <w:rPr>
          <w:rFonts w:ascii="Arial" w:hAnsi="Arial" w:cs="Arial"/>
          <w:bCs/>
          <w:sz w:val="21"/>
          <w:szCs w:val="21"/>
        </w:rPr>
        <w:t>, </w:t>
      </w:r>
      <w:hyperlink r:id="rId23" w:tooltip="Aracataca" w:history="1">
        <w:r w:rsidRPr="0011236C">
          <w:rPr>
            <w:rFonts w:ascii="Arial" w:hAnsi="Arial" w:cs="Arial"/>
            <w:bCs/>
            <w:sz w:val="21"/>
            <w:szCs w:val="21"/>
          </w:rPr>
          <w:t>Aracataca</w:t>
        </w:r>
      </w:hyperlink>
      <w:r w:rsidRPr="0011236C">
        <w:rPr>
          <w:rFonts w:ascii="Arial" w:hAnsi="Arial" w:cs="Arial"/>
          <w:bCs/>
          <w:sz w:val="21"/>
          <w:szCs w:val="21"/>
        </w:rPr>
        <w:t>, </w:t>
      </w:r>
      <w:hyperlink r:id="rId24" w:tooltip="Ciénaga (Magdalena)" w:history="1">
        <w:r w:rsidRPr="0011236C">
          <w:rPr>
            <w:rFonts w:ascii="Arial" w:hAnsi="Arial" w:cs="Arial"/>
            <w:bCs/>
            <w:sz w:val="21"/>
            <w:szCs w:val="21"/>
          </w:rPr>
          <w:t>Ciénaga</w:t>
        </w:r>
      </w:hyperlink>
      <w:r w:rsidRPr="0011236C">
        <w:rPr>
          <w:rFonts w:ascii="Arial" w:hAnsi="Arial" w:cs="Arial"/>
          <w:bCs/>
          <w:sz w:val="21"/>
          <w:szCs w:val="21"/>
        </w:rPr>
        <w:t>, </w:t>
      </w:r>
      <w:hyperlink r:id="rId25" w:tooltip="El Retén" w:history="1">
        <w:r w:rsidRPr="0011236C">
          <w:rPr>
            <w:rFonts w:ascii="Arial" w:hAnsi="Arial" w:cs="Arial"/>
            <w:bCs/>
            <w:sz w:val="21"/>
            <w:szCs w:val="21"/>
          </w:rPr>
          <w:t>El Retén</w:t>
        </w:r>
      </w:hyperlink>
      <w:r w:rsidRPr="0011236C">
        <w:rPr>
          <w:rFonts w:ascii="Arial" w:hAnsi="Arial" w:cs="Arial"/>
          <w:bCs/>
          <w:sz w:val="21"/>
          <w:szCs w:val="21"/>
        </w:rPr>
        <w:t> y </w:t>
      </w:r>
      <w:hyperlink r:id="rId26" w:tooltip="Zona Bananera" w:history="1">
        <w:r w:rsidRPr="0011236C">
          <w:rPr>
            <w:rFonts w:ascii="Arial" w:hAnsi="Arial" w:cs="Arial"/>
            <w:bCs/>
            <w:sz w:val="21"/>
            <w:szCs w:val="21"/>
          </w:rPr>
          <w:t>Zona Bananera</w:t>
        </w:r>
      </w:hyperlink>
      <w:r w:rsidRPr="0011236C">
        <w:rPr>
          <w:rFonts w:ascii="Arial" w:hAnsi="Arial" w:cs="Arial"/>
          <w:bCs/>
          <w:sz w:val="21"/>
          <w:szCs w:val="21"/>
        </w:rPr>
        <w:t>. A esta cuenca pertenecen los siguientes ríos: río Frío, Sevilla, Tucurinca, Manancana, el cual se une al Duraimena para formar el Aracataca, Fundación, la quebrada Rosa y un gran número de caños que también desembocan en la Ciénaga Grande y solo son aprovechados en épocas de lluvia.</w:t>
      </w:r>
    </w:p>
    <w:p w:rsidR="0011236C" w:rsidRPr="0011236C" w:rsidRDefault="0011236C" w:rsidP="0011236C">
      <w:pPr>
        <w:shd w:val="clear" w:color="auto" w:fill="FFFFFF"/>
        <w:jc w:val="both"/>
        <w:rPr>
          <w:rFonts w:ascii="Arial" w:hAnsi="Arial" w:cs="Arial"/>
          <w:bCs/>
          <w:sz w:val="21"/>
          <w:szCs w:val="21"/>
        </w:rPr>
      </w:pPr>
    </w:p>
    <w:p w:rsidR="0011236C" w:rsidRPr="0011236C" w:rsidRDefault="0011236C" w:rsidP="0011236C">
      <w:pPr>
        <w:shd w:val="clear" w:color="auto" w:fill="FFFFFF"/>
        <w:jc w:val="both"/>
        <w:rPr>
          <w:rFonts w:ascii="Arial" w:hAnsi="Arial" w:cs="Arial"/>
          <w:bCs/>
          <w:sz w:val="21"/>
          <w:szCs w:val="21"/>
        </w:rPr>
      </w:pPr>
      <w:r w:rsidRPr="0011236C">
        <w:rPr>
          <w:rFonts w:ascii="Arial" w:hAnsi="Arial" w:cs="Arial"/>
          <w:bCs/>
          <w:sz w:val="21"/>
          <w:szCs w:val="21"/>
        </w:rPr>
        <w:t>La economía del departamento del Magdalena está centrada en las actividades agropecuarias, ganaderas, turísticas y portuarias. Los productos que se cultivan son el algodón, arroz, banano, palma africana, tabaco y algunos frutales. La ganadería es extensiva y tiene propósitos de cría, ceba y levante. La pesca se práctica en las ciénagas y en el mar.</w:t>
      </w:r>
    </w:p>
    <w:p w:rsidR="0011236C" w:rsidRPr="0011236C" w:rsidRDefault="0011236C" w:rsidP="0011236C">
      <w:pPr>
        <w:shd w:val="clear" w:color="auto" w:fill="FFFFFF"/>
        <w:rPr>
          <w:rFonts w:ascii="Arial" w:hAnsi="Arial" w:cs="Arial"/>
          <w:bCs/>
          <w:sz w:val="21"/>
          <w:szCs w:val="21"/>
        </w:rPr>
      </w:pPr>
    </w:p>
    <w:p w:rsidR="0011236C" w:rsidRPr="0011236C" w:rsidRDefault="0011236C" w:rsidP="0011236C">
      <w:pPr>
        <w:shd w:val="clear" w:color="auto" w:fill="FFFFFF"/>
        <w:rPr>
          <w:rFonts w:ascii="Arial" w:hAnsi="Arial" w:cs="Arial"/>
          <w:bCs/>
          <w:sz w:val="21"/>
          <w:szCs w:val="21"/>
        </w:rPr>
      </w:pPr>
      <w:r w:rsidRPr="0011236C">
        <w:rPr>
          <w:rFonts w:ascii="Arial" w:hAnsi="Arial" w:cs="Arial"/>
          <w:bCs/>
          <w:sz w:val="21"/>
          <w:szCs w:val="21"/>
        </w:rPr>
        <w:t>El turismo se concentra en </w:t>
      </w:r>
      <w:hyperlink r:id="rId27" w:tooltip="Santa Marta (Colombia)" w:history="1">
        <w:r w:rsidRPr="0011236C">
          <w:rPr>
            <w:rFonts w:ascii="Arial" w:hAnsi="Arial" w:cs="Arial"/>
            <w:bCs/>
            <w:sz w:val="21"/>
            <w:szCs w:val="21"/>
          </w:rPr>
          <w:t>Santa Marta</w:t>
        </w:r>
      </w:hyperlink>
      <w:r w:rsidRPr="0011236C">
        <w:rPr>
          <w:rFonts w:ascii="Arial" w:hAnsi="Arial" w:cs="Arial"/>
          <w:bCs/>
          <w:sz w:val="21"/>
          <w:szCs w:val="21"/>
        </w:rPr>
        <w:t>, </w:t>
      </w:r>
      <w:hyperlink r:id="rId28" w:tooltip="Parque nacional natural Tayrona" w:history="1">
        <w:r w:rsidRPr="0011236C">
          <w:rPr>
            <w:rFonts w:ascii="Arial" w:hAnsi="Arial" w:cs="Arial"/>
            <w:bCs/>
            <w:sz w:val="21"/>
            <w:szCs w:val="21"/>
          </w:rPr>
          <w:t>parque Tayrona</w:t>
        </w:r>
      </w:hyperlink>
      <w:r w:rsidRPr="0011236C">
        <w:rPr>
          <w:rFonts w:ascii="Arial" w:hAnsi="Arial" w:cs="Arial"/>
          <w:bCs/>
          <w:sz w:val="21"/>
          <w:szCs w:val="21"/>
        </w:rPr>
        <w:t> y la </w:t>
      </w:r>
      <w:hyperlink r:id="rId29" w:tooltip="Parque nacional natural Sierra Nevada de Santa Marta" w:history="1">
        <w:r w:rsidRPr="0011236C">
          <w:rPr>
            <w:rFonts w:ascii="Arial" w:hAnsi="Arial" w:cs="Arial"/>
            <w:bCs/>
            <w:sz w:val="21"/>
            <w:szCs w:val="21"/>
          </w:rPr>
          <w:t>Sierra Nevada</w:t>
        </w:r>
      </w:hyperlink>
      <w:r w:rsidRPr="0011236C">
        <w:rPr>
          <w:rFonts w:ascii="Arial" w:hAnsi="Arial" w:cs="Arial"/>
          <w:bCs/>
          <w:sz w:val="21"/>
          <w:szCs w:val="21"/>
        </w:rPr>
        <w:t>, mientras que el comercio y los servicios están solo en la capital. La Sierra Nevada es fuente de ingresos para los grupos armados ilegales o mineros informales, quienes practican la </w:t>
      </w:r>
      <w:hyperlink r:id="rId30" w:tooltip="Minería ilegal en Colombia" w:history="1">
        <w:r w:rsidRPr="0011236C">
          <w:rPr>
            <w:rFonts w:ascii="Arial" w:hAnsi="Arial" w:cs="Arial"/>
            <w:bCs/>
            <w:sz w:val="21"/>
            <w:szCs w:val="21"/>
          </w:rPr>
          <w:t>minería ilegal</w:t>
        </w:r>
      </w:hyperlink>
      <w:r w:rsidRPr="0011236C">
        <w:rPr>
          <w:rFonts w:ascii="Arial" w:hAnsi="Arial" w:cs="Arial"/>
          <w:bCs/>
          <w:sz w:val="21"/>
          <w:szCs w:val="21"/>
        </w:rPr>
        <w:t> en sus estribaciones, afectando su </w:t>
      </w:r>
      <w:hyperlink r:id="rId31" w:tooltip="Ecosistema" w:history="1">
        <w:r w:rsidRPr="0011236C">
          <w:rPr>
            <w:rFonts w:ascii="Arial" w:hAnsi="Arial" w:cs="Arial"/>
            <w:bCs/>
            <w:sz w:val="21"/>
            <w:szCs w:val="21"/>
          </w:rPr>
          <w:t>ecosistema</w:t>
        </w:r>
      </w:hyperlink>
      <w:r w:rsidRPr="0011236C">
        <w:rPr>
          <w:rFonts w:ascii="Arial" w:hAnsi="Arial" w:cs="Arial"/>
          <w:bCs/>
          <w:sz w:val="21"/>
          <w:szCs w:val="21"/>
        </w:rPr>
        <w:t>.</w:t>
      </w:r>
    </w:p>
    <w:p w:rsidR="0011236C" w:rsidRPr="0011236C" w:rsidRDefault="0011236C" w:rsidP="0011236C">
      <w:pPr>
        <w:jc w:val="both"/>
        <w:rPr>
          <w:rFonts w:ascii="Arial" w:hAnsi="Arial" w:cs="Arial"/>
          <w:bCs/>
          <w:sz w:val="21"/>
          <w:szCs w:val="21"/>
        </w:rPr>
      </w:pPr>
    </w:p>
    <w:p w:rsidR="0011236C" w:rsidRPr="0011236C" w:rsidRDefault="0011236C" w:rsidP="0011236C">
      <w:pPr>
        <w:jc w:val="both"/>
        <w:rPr>
          <w:rFonts w:ascii="Arial" w:hAnsi="Arial" w:cs="Arial"/>
          <w:bCs/>
          <w:sz w:val="21"/>
          <w:szCs w:val="21"/>
        </w:rPr>
      </w:pPr>
      <w:r w:rsidRPr="0011236C">
        <w:rPr>
          <w:rFonts w:ascii="Arial" w:hAnsi="Arial" w:cs="Arial"/>
          <w:bCs/>
          <w:sz w:val="21"/>
          <w:szCs w:val="21"/>
        </w:rPr>
        <w:t>El Gobernador del Departamento es el Dr. Carlos Eduardo Caicedo Omar, y su plan de desarrollo se denomina “MAGDALENA RENACE 2020-2023”</w:t>
      </w:r>
    </w:p>
    <w:p w:rsidR="0011236C" w:rsidRPr="0011236C" w:rsidRDefault="0011236C" w:rsidP="0011236C">
      <w:pPr>
        <w:ind w:left="-142" w:right="1183" w:firstLine="142"/>
        <w:contextualSpacing/>
        <w:jc w:val="center"/>
        <w:outlineLvl w:val="0"/>
        <w:rPr>
          <w:rFonts w:ascii="Arial" w:eastAsia="Times New Roman" w:hAnsi="Arial" w:cs="Arial"/>
          <w:b/>
          <w:color w:val="000000"/>
          <w:sz w:val="21"/>
          <w:szCs w:val="21"/>
          <w:lang w:eastAsia="es-CO"/>
        </w:rPr>
      </w:pPr>
    </w:p>
    <w:p w:rsidR="0011236C" w:rsidRPr="0011236C" w:rsidRDefault="0011236C" w:rsidP="0011236C">
      <w:pPr>
        <w:ind w:left="-142" w:right="1183" w:firstLine="142"/>
        <w:contextualSpacing/>
        <w:jc w:val="center"/>
        <w:outlineLvl w:val="0"/>
        <w:rPr>
          <w:rFonts w:ascii="Arial" w:eastAsia="Times New Roman" w:hAnsi="Arial" w:cs="Arial"/>
          <w:color w:val="000000"/>
          <w:sz w:val="21"/>
          <w:szCs w:val="21"/>
          <w:lang w:eastAsia="es-CO"/>
        </w:rPr>
      </w:pPr>
      <w:r w:rsidRPr="0011236C">
        <w:rPr>
          <w:rFonts w:ascii="Arial" w:eastAsia="Times New Roman" w:hAnsi="Arial" w:cs="Arial"/>
          <w:b/>
          <w:noProof/>
          <w:color w:val="000000"/>
          <w:sz w:val="21"/>
          <w:szCs w:val="21"/>
          <w:lang w:val="es-CO" w:eastAsia="es-CO"/>
        </w:rPr>
        <w:lastRenderedPageBreak/>
        <w:drawing>
          <wp:inline distT="0" distB="0" distL="0" distR="0">
            <wp:extent cx="4895850" cy="22860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895850" cy="2286000"/>
                    </a:xfrm>
                    <a:prstGeom prst="rect">
                      <a:avLst/>
                    </a:prstGeom>
                    <a:noFill/>
                    <a:ln>
                      <a:noFill/>
                    </a:ln>
                  </pic:spPr>
                </pic:pic>
              </a:graphicData>
            </a:graphic>
          </wp:inline>
        </w:drawing>
      </w:r>
      <w:r w:rsidRPr="0011236C">
        <w:rPr>
          <w:rFonts w:ascii="Arial" w:eastAsia="Times New Roman" w:hAnsi="Arial" w:cs="Arial"/>
          <w:b/>
          <w:color w:val="000000"/>
          <w:sz w:val="21"/>
          <w:szCs w:val="21"/>
          <w:lang w:eastAsia="es-CO"/>
        </w:rPr>
        <w:t>Fuente</w:t>
      </w:r>
      <w:r w:rsidRPr="0011236C">
        <w:rPr>
          <w:rFonts w:ascii="Arial" w:eastAsia="Times New Roman" w:hAnsi="Arial" w:cs="Arial"/>
          <w:color w:val="000000"/>
          <w:sz w:val="21"/>
          <w:szCs w:val="21"/>
          <w:lang w:eastAsia="es-CO"/>
        </w:rPr>
        <w:t xml:space="preserve">: </w:t>
      </w:r>
      <w:hyperlink r:id="rId33" w:history="1">
        <w:r w:rsidRPr="0011236C">
          <w:rPr>
            <w:rFonts w:ascii="Arial" w:eastAsia="Times New Roman" w:hAnsi="Arial" w:cs="Arial"/>
            <w:color w:val="0000FF" w:themeColor="hyperlink"/>
            <w:sz w:val="21"/>
            <w:szCs w:val="21"/>
            <w:u w:val="single"/>
            <w:lang w:eastAsia="es-CO"/>
          </w:rPr>
          <w:t>www.wikipedia.org</w:t>
        </w:r>
      </w:hyperlink>
    </w:p>
    <w:p w:rsidR="0011236C" w:rsidRPr="0011236C" w:rsidRDefault="0011236C" w:rsidP="001123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5"/>
        </w:tabs>
        <w:jc w:val="both"/>
        <w:rPr>
          <w:rFonts w:ascii="Arial" w:hAnsi="Arial" w:cs="Arial"/>
          <w:sz w:val="21"/>
          <w:szCs w:val="21"/>
          <w:shd w:val="clear" w:color="auto" w:fill="FFFFFF"/>
        </w:rPr>
      </w:pPr>
    </w:p>
    <w:p w:rsidR="0011236C" w:rsidRPr="0011236C" w:rsidRDefault="0011236C" w:rsidP="0011236C">
      <w:pPr>
        <w:numPr>
          <w:ilvl w:val="0"/>
          <w:numId w:val="24"/>
        </w:numPr>
        <w:contextualSpacing/>
        <w:jc w:val="both"/>
        <w:rPr>
          <w:rFonts w:ascii="Arial" w:eastAsia="Calibri" w:hAnsi="Arial" w:cs="Arial"/>
          <w:b/>
          <w:sz w:val="21"/>
          <w:szCs w:val="21"/>
          <w:lang w:eastAsia="en-US"/>
        </w:rPr>
      </w:pPr>
      <w:r w:rsidRPr="0011236C">
        <w:rPr>
          <w:rFonts w:ascii="Arial" w:eastAsia="Calibri" w:hAnsi="Arial" w:cs="Arial"/>
          <w:b/>
          <w:sz w:val="21"/>
          <w:szCs w:val="21"/>
          <w:lang w:eastAsia="en-US"/>
        </w:rPr>
        <w:t>Red pública de prestadores</w:t>
      </w:r>
    </w:p>
    <w:p w:rsidR="0011236C" w:rsidRPr="0011236C" w:rsidRDefault="0011236C" w:rsidP="001123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5"/>
        </w:tabs>
        <w:jc w:val="both"/>
        <w:rPr>
          <w:rFonts w:ascii="Arial" w:eastAsia="ヒラギノ角ゴ Pro W3" w:hAnsi="Arial" w:cs="Arial"/>
          <w:color w:val="000000"/>
          <w:sz w:val="21"/>
          <w:szCs w:val="21"/>
          <w:highlight w:val="yellow"/>
          <w:lang w:eastAsia="en-US"/>
        </w:rPr>
      </w:pPr>
    </w:p>
    <w:p w:rsidR="0011236C" w:rsidRPr="0011236C" w:rsidRDefault="0011236C" w:rsidP="0011236C">
      <w:pPr>
        <w:autoSpaceDE w:val="0"/>
        <w:autoSpaceDN w:val="0"/>
        <w:adjustRightInd w:val="0"/>
        <w:jc w:val="both"/>
        <w:rPr>
          <w:rFonts w:ascii="Arial" w:hAnsi="Arial" w:cs="Arial"/>
          <w:sz w:val="21"/>
          <w:szCs w:val="21"/>
        </w:rPr>
      </w:pPr>
      <w:r w:rsidRPr="0011236C">
        <w:rPr>
          <w:rFonts w:ascii="Arial" w:hAnsi="Arial" w:cs="Arial"/>
          <w:sz w:val="21"/>
          <w:szCs w:val="21"/>
        </w:rPr>
        <w:t>El Departamento de Magdalena, reporta una red pública de prestadores del servicio de salud en su territorio viabilizada por el Ministerio de Salud y Protección Social e informado al Ministerio de Hacienda y Crédito Público con el radicado No 201423101137071 del 8 de agosto de 2014. Según el documento de viabilidad, la red pública hospitalaria la conformarán 33 Empresas Sociales del Estado - ESE, 26 de carácter departamental y 7 de carácter municipal.</w:t>
      </w:r>
    </w:p>
    <w:p w:rsidR="0011236C" w:rsidRPr="0011236C" w:rsidRDefault="0011236C" w:rsidP="0011236C">
      <w:pPr>
        <w:autoSpaceDE w:val="0"/>
        <w:autoSpaceDN w:val="0"/>
        <w:adjustRightInd w:val="0"/>
        <w:jc w:val="both"/>
        <w:rPr>
          <w:rFonts w:ascii="Arial" w:eastAsia="ヒラギノ角ゴ Pro W3" w:hAnsi="Arial" w:cs="Arial"/>
          <w:color w:val="000000"/>
          <w:sz w:val="21"/>
          <w:szCs w:val="21"/>
          <w:lang w:eastAsia="en-US"/>
        </w:rPr>
      </w:pPr>
    </w:p>
    <w:p w:rsidR="0011236C" w:rsidRPr="0011236C" w:rsidRDefault="0011236C" w:rsidP="0011236C">
      <w:pPr>
        <w:contextualSpacing/>
        <w:jc w:val="center"/>
        <w:rPr>
          <w:rFonts w:ascii="Arial" w:eastAsia="Calibri" w:hAnsi="Arial" w:cs="Arial"/>
          <w:b/>
          <w:sz w:val="21"/>
          <w:szCs w:val="21"/>
          <w:lang w:eastAsia="en-US"/>
        </w:rPr>
      </w:pPr>
      <w:r w:rsidRPr="0011236C">
        <w:rPr>
          <w:rFonts w:ascii="Arial" w:eastAsia="Calibri" w:hAnsi="Arial" w:cs="Arial"/>
          <w:b/>
          <w:sz w:val="21"/>
          <w:szCs w:val="21"/>
          <w:lang w:eastAsia="en-US"/>
        </w:rPr>
        <w:t>RED PÚBLICA DE PRESTADORES</w:t>
      </w:r>
    </w:p>
    <w:tbl>
      <w:tblPr>
        <w:tblW w:w="5934" w:type="dxa"/>
        <w:jc w:val="center"/>
        <w:tblCellMar>
          <w:left w:w="70" w:type="dxa"/>
          <w:right w:w="70" w:type="dxa"/>
        </w:tblCellMar>
        <w:tblLook w:val="04A0" w:firstRow="1" w:lastRow="0" w:firstColumn="1" w:lastColumn="0" w:noHBand="0" w:noVBand="1"/>
      </w:tblPr>
      <w:tblGrid>
        <w:gridCol w:w="1984"/>
        <w:gridCol w:w="1229"/>
        <w:gridCol w:w="1229"/>
        <w:gridCol w:w="1229"/>
        <w:gridCol w:w="847"/>
      </w:tblGrid>
      <w:tr w:rsidR="0011236C" w:rsidRPr="0011236C" w:rsidTr="00F76962">
        <w:trPr>
          <w:trHeight w:val="256"/>
          <w:jc w:val="center"/>
        </w:trPr>
        <w:tc>
          <w:tcPr>
            <w:tcW w:w="1400" w:type="dxa"/>
            <w:tcBorders>
              <w:top w:val="single" w:sz="12" w:space="0" w:color="595959" w:themeColor="text1" w:themeTint="A6"/>
              <w:left w:val="nil"/>
              <w:bottom w:val="double" w:sz="4" w:space="0" w:color="595959" w:themeColor="text1" w:themeTint="A6"/>
              <w:right w:val="nil"/>
            </w:tcBorders>
            <w:shd w:val="clear" w:color="auto" w:fill="auto"/>
            <w:vAlign w:val="center"/>
            <w:hideMark/>
          </w:tcPr>
          <w:p w:rsidR="0011236C" w:rsidRPr="0011236C" w:rsidRDefault="0011236C" w:rsidP="0011236C">
            <w:pPr>
              <w:jc w:val="center"/>
              <w:rPr>
                <w:rFonts w:ascii="Arial" w:eastAsia="Times New Roman" w:hAnsi="Arial" w:cs="Arial"/>
                <w:b/>
                <w:bCs/>
                <w:sz w:val="21"/>
                <w:szCs w:val="21"/>
                <w:lang w:val="es-CO" w:eastAsia="es-CO"/>
              </w:rPr>
            </w:pPr>
            <w:r w:rsidRPr="0011236C">
              <w:rPr>
                <w:rFonts w:ascii="Arial" w:eastAsia="Times New Roman" w:hAnsi="Arial" w:cs="Arial"/>
                <w:b/>
                <w:bCs/>
                <w:sz w:val="21"/>
                <w:szCs w:val="21"/>
                <w:lang w:val="es-CO" w:eastAsia="es-CO"/>
              </w:rPr>
              <w:t>CARÁCTER</w:t>
            </w:r>
          </w:p>
        </w:tc>
        <w:tc>
          <w:tcPr>
            <w:tcW w:w="1229" w:type="dxa"/>
            <w:tcBorders>
              <w:top w:val="single" w:sz="12" w:space="0" w:color="595959" w:themeColor="text1" w:themeTint="A6"/>
              <w:left w:val="nil"/>
              <w:bottom w:val="double" w:sz="4" w:space="0" w:color="595959" w:themeColor="text1" w:themeTint="A6"/>
              <w:right w:val="nil"/>
            </w:tcBorders>
            <w:shd w:val="clear" w:color="auto" w:fill="auto"/>
            <w:vAlign w:val="center"/>
            <w:hideMark/>
          </w:tcPr>
          <w:p w:rsidR="0011236C" w:rsidRPr="0011236C" w:rsidRDefault="0011236C" w:rsidP="0011236C">
            <w:pPr>
              <w:jc w:val="center"/>
              <w:rPr>
                <w:rFonts w:ascii="Arial" w:eastAsia="Times New Roman" w:hAnsi="Arial" w:cs="Arial"/>
                <w:b/>
                <w:bCs/>
                <w:sz w:val="21"/>
                <w:szCs w:val="21"/>
                <w:lang w:val="es-CO" w:eastAsia="es-CO"/>
              </w:rPr>
            </w:pPr>
            <w:r w:rsidRPr="0011236C">
              <w:rPr>
                <w:rFonts w:ascii="Arial" w:eastAsia="Times New Roman" w:hAnsi="Arial" w:cs="Arial"/>
                <w:b/>
                <w:bCs/>
                <w:sz w:val="21"/>
                <w:szCs w:val="21"/>
                <w:lang w:val="es-CO" w:eastAsia="es-CO"/>
              </w:rPr>
              <w:t>NIVEL 1</w:t>
            </w:r>
          </w:p>
        </w:tc>
        <w:tc>
          <w:tcPr>
            <w:tcW w:w="1229" w:type="dxa"/>
            <w:tcBorders>
              <w:top w:val="single" w:sz="12" w:space="0" w:color="595959" w:themeColor="text1" w:themeTint="A6"/>
              <w:left w:val="nil"/>
              <w:bottom w:val="double" w:sz="4" w:space="0" w:color="595959" w:themeColor="text1" w:themeTint="A6"/>
              <w:right w:val="nil"/>
            </w:tcBorders>
            <w:shd w:val="clear" w:color="auto" w:fill="auto"/>
            <w:vAlign w:val="center"/>
            <w:hideMark/>
          </w:tcPr>
          <w:p w:rsidR="0011236C" w:rsidRPr="0011236C" w:rsidRDefault="0011236C" w:rsidP="0011236C">
            <w:pPr>
              <w:jc w:val="center"/>
              <w:rPr>
                <w:rFonts w:ascii="Arial" w:eastAsia="Times New Roman" w:hAnsi="Arial" w:cs="Arial"/>
                <w:b/>
                <w:bCs/>
                <w:sz w:val="21"/>
                <w:szCs w:val="21"/>
                <w:lang w:val="es-CO" w:eastAsia="es-CO"/>
              </w:rPr>
            </w:pPr>
            <w:r w:rsidRPr="0011236C">
              <w:rPr>
                <w:rFonts w:ascii="Arial" w:eastAsia="Times New Roman" w:hAnsi="Arial" w:cs="Arial"/>
                <w:b/>
                <w:bCs/>
                <w:sz w:val="21"/>
                <w:szCs w:val="21"/>
                <w:lang w:val="es-CO" w:eastAsia="es-CO"/>
              </w:rPr>
              <w:t>NIVEL 2</w:t>
            </w:r>
          </w:p>
        </w:tc>
        <w:tc>
          <w:tcPr>
            <w:tcW w:w="1229" w:type="dxa"/>
            <w:tcBorders>
              <w:top w:val="single" w:sz="12" w:space="0" w:color="595959" w:themeColor="text1" w:themeTint="A6"/>
              <w:left w:val="nil"/>
              <w:bottom w:val="double" w:sz="4" w:space="0" w:color="595959" w:themeColor="text1" w:themeTint="A6"/>
              <w:right w:val="nil"/>
            </w:tcBorders>
            <w:shd w:val="clear" w:color="auto" w:fill="auto"/>
            <w:vAlign w:val="center"/>
            <w:hideMark/>
          </w:tcPr>
          <w:p w:rsidR="0011236C" w:rsidRPr="0011236C" w:rsidRDefault="0011236C" w:rsidP="0011236C">
            <w:pPr>
              <w:jc w:val="center"/>
              <w:rPr>
                <w:rFonts w:ascii="Arial" w:eastAsia="Times New Roman" w:hAnsi="Arial" w:cs="Arial"/>
                <w:b/>
                <w:bCs/>
                <w:sz w:val="21"/>
                <w:szCs w:val="21"/>
                <w:lang w:val="es-CO" w:eastAsia="es-CO"/>
              </w:rPr>
            </w:pPr>
            <w:r w:rsidRPr="0011236C">
              <w:rPr>
                <w:rFonts w:ascii="Arial" w:eastAsia="Times New Roman" w:hAnsi="Arial" w:cs="Arial"/>
                <w:b/>
                <w:bCs/>
                <w:sz w:val="21"/>
                <w:szCs w:val="21"/>
                <w:lang w:val="es-CO" w:eastAsia="es-CO"/>
              </w:rPr>
              <w:t>NIVEL 3</w:t>
            </w:r>
          </w:p>
        </w:tc>
        <w:tc>
          <w:tcPr>
            <w:tcW w:w="847" w:type="dxa"/>
            <w:tcBorders>
              <w:top w:val="single" w:sz="12" w:space="0" w:color="595959" w:themeColor="text1" w:themeTint="A6"/>
              <w:left w:val="nil"/>
              <w:bottom w:val="double" w:sz="4" w:space="0" w:color="595959" w:themeColor="text1" w:themeTint="A6"/>
              <w:right w:val="nil"/>
            </w:tcBorders>
            <w:shd w:val="clear" w:color="auto" w:fill="auto"/>
            <w:vAlign w:val="center"/>
            <w:hideMark/>
          </w:tcPr>
          <w:p w:rsidR="0011236C" w:rsidRPr="0011236C" w:rsidRDefault="0011236C" w:rsidP="0011236C">
            <w:pPr>
              <w:jc w:val="center"/>
              <w:rPr>
                <w:rFonts w:ascii="Arial" w:eastAsia="Times New Roman" w:hAnsi="Arial" w:cs="Arial"/>
                <w:b/>
                <w:bCs/>
                <w:sz w:val="21"/>
                <w:szCs w:val="21"/>
                <w:lang w:val="es-CO" w:eastAsia="es-CO"/>
              </w:rPr>
            </w:pPr>
            <w:r w:rsidRPr="0011236C">
              <w:rPr>
                <w:rFonts w:ascii="Arial" w:eastAsia="Times New Roman" w:hAnsi="Arial" w:cs="Arial"/>
                <w:b/>
                <w:bCs/>
                <w:sz w:val="21"/>
                <w:szCs w:val="21"/>
                <w:lang w:val="es-CO" w:eastAsia="es-CO"/>
              </w:rPr>
              <w:t>TOTAL</w:t>
            </w:r>
          </w:p>
        </w:tc>
      </w:tr>
      <w:tr w:rsidR="0011236C" w:rsidRPr="0011236C" w:rsidTr="00F76962">
        <w:trPr>
          <w:trHeight w:val="240"/>
          <w:jc w:val="center"/>
        </w:trPr>
        <w:tc>
          <w:tcPr>
            <w:tcW w:w="1400" w:type="dxa"/>
            <w:tcBorders>
              <w:top w:val="double" w:sz="4" w:space="0" w:color="595959" w:themeColor="text1" w:themeTint="A6"/>
              <w:left w:val="nil"/>
              <w:bottom w:val="single" w:sz="4" w:space="0" w:color="A6A6A6"/>
              <w:right w:val="nil"/>
            </w:tcBorders>
            <w:shd w:val="clear" w:color="auto" w:fill="auto"/>
            <w:noWrap/>
            <w:vAlign w:val="center"/>
            <w:hideMark/>
          </w:tcPr>
          <w:p w:rsidR="0011236C" w:rsidRPr="0011236C" w:rsidRDefault="0011236C" w:rsidP="0011236C">
            <w:pPr>
              <w:rPr>
                <w:rFonts w:ascii="Arial" w:eastAsia="Times New Roman" w:hAnsi="Arial" w:cs="Arial"/>
                <w:sz w:val="21"/>
                <w:szCs w:val="21"/>
                <w:lang w:val="es-CO" w:eastAsia="es-CO"/>
              </w:rPr>
            </w:pPr>
            <w:r w:rsidRPr="0011236C">
              <w:rPr>
                <w:rFonts w:ascii="Arial" w:eastAsia="Times New Roman" w:hAnsi="Arial" w:cs="Arial"/>
                <w:sz w:val="21"/>
                <w:szCs w:val="21"/>
                <w:lang w:val="es-CO" w:eastAsia="es-CO"/>
              </w:rPr>
              <w:t>DEPARTAMENTAL</w:t>
            </w:r>
          </w:p>
        </w:tc>
        <w:tc>
          <w:tcPr>
            <w:tcW w:w="1229" w:type="dxa"/>
            <w:tcBorders>
              <w:top w:val="double" w:sz="4" w:space="0" w:color="595959" w:themeColor="text1" w:themeTint="A6"/>
              <w:left w:val="nil"/>
              <w:bottom w:val="single" w:sz="4" w:space="0" w:color="A6A6A6"/>
              <w:right w:val="nil"/>
            </w:tcBorders>
            <w:shd w:val="clear" w:color="auto" w:fill="auto"/>
            <w:noWrap/>
            <w:vAlign w:val="center"/>
          </w:tcPr>
          <w:p w:rsidR="0011236C" w:rsidRPr="0011236C" w:rsidRDefault="0011236C" w:rsidP="0011236C">
            <w:pPr>
              <w:jc w:val="center"/>
              <w:rPr>
                <w:rFonts w:ascii="Arial" w:eastAsia="Times New Roman" w:hAnsi="Arial" w:cs="Arial"/>
                <w:sz w:val="21"/>
                <w:szCs w:val="21"/>
                <w:lang w:val="es-CO" w:eastAsia="es-CO"/>
              </w:rPr>
            </w:pPr>
            <w:r w:rsidRPr="0011236C">
              <w:rPr>
                <w:rFonts w:ascii="Arial" w:eastAsia="Times New Roman" w:hAnsi="Arial" w:cs="Arial"/>
                <w:sz w:val="21"/>
                <w:szCs w:val="21"/>
                <w:lang w:val="es-CO" w:eastAsia="es-CO"/>
              </w:rPr>
              <w:t>20</w:t>
            </w:r>
          </w:p>
        </w:tc>
        <w:tc>
          <w:tcPr>
            <w:tcW w:w="1229" w:type="dxa"/>
            <w:tcBorders>
              <w:top w:val="double" w:sz="4" w:space="0" w:color="595959" w:themeColor="text1" w:themeTint="A6"/>
              <w:left w:val="nil"/>
              <w:bottom w:val="single" w:sz="4" w:space="0" w:color="A6A6A6"/>
              <w:right w:val="nil"/>
            </w:tcBorders>
            <w:shd w:val="clear" w:color="auto" w:fill="auto"/>
            <w:noWrap/>
            <w:vAlign w:val="center"/>
          </w:tcPr>
          <w:p w:rsidR="0011236C" w:rsidRPr="0011236C" w:rsidRDefault="0011236C" w:rsidP="0011236C">
            <w:pPr>
              <w:jc w:val="center"/>
              <w:rPr>
                <w:rFonts w:ascii="Arial" w:eastAsia="Times New Roman" w:hAnsi="Arial" w:cs="Arial"/>
                <w:sz w:val="21"/>
                <w:szCs w:val="21"/>
                <w:lang w:val="es-CO" w:eastAsia="es-CO"/>
              </w:rPr>
            </w:pPr>
            <w:r w:rsidRPr="0011236C">
              <w:rPr>
                <w:rFonts w:ascii="Arial" w:eastAsia="Times New Roman" w:hAnsi="Arial" w:cs="Arial"/>
                <w:sz w:val="21"/>
                <w:szCs w:val="21"/>
                <w:lang w:val="es-CO" w:eastAsia="es-CO"/>
              </w:rPr>
              <w:t>5</w:t>
            </w:r>
          </w:p>
        </w:tc>
        <w:tc>
          <w:tcPr>
            <w:tcW w:w="1229" w:type="dxa"/>
            <w:tcBorders>
              <w:top w:val="double" w:sz="4" w:space="0" w:color="595959" w:themeColor="text1" w:themeTint="A6"/>
              <w:left w:val="nil"/>
              <w:bottom w:val="single" w:sz="4" w:space="0" w:color="A6A6A6"/>
              <w:right w:val="nil"/>
            </w:tcBorders>
            <w:shd w:val="clear" w:color="auto" w:fill="auto"/>
            <w:noWrap/>
            <w:vAlign w:val="center"/>
          </w:tcPr>
          <w:p w:rsidR="0011236C" w:rsidRPr="0011236C" w:rsidRDefault="0011236C" w:rsidP="0011236C">
            <w:pPr>
              <w:jc w:val="center"/>
              <w:rPr>
                <w:rFonts w:ascii="Arial" w:eastAsia="Times New Roman" w:hAnsi="Arial" w:cs="Arial"/>
                <w:sz w:val="21"/>
                <w:szCs w:val="21"/>
                <w:lang w:val="es-CO" w:eastAsia="es-CO"/>
              </w:rPr>
            </w:pPr>
            <w:r w:rsidRPr="0011236C">
              <w:rPr>
                <w:rFonts w:ascii="Arial" w:eastAsia="Times New Roman" w:hAnsi="Arial" w:cs="Arial"/>
                <w:sz w:val="21"/>
                <w:szCs w:val="21"/>
                <w:lang w:val="es-CO" w:eastAsia="es-CO"/>
              </w:rPr>
              <w:t>1</w:t>
            </w:r>
          </w:p>
        </w:tc>
        <w:tc>
          <w:tcPr>
            <w:tcW w:w="847" w:type="dxa"/>
            <w:tcBorders>
              <w:top w:val="double" w:sz="4" w:space="0" w:color="595959" w:themeColor="text1" w:themeTint="A6"/>
              <w:left w:val="nil"/>
              <w:bottom w:val="single" w:sz="4" w:space="0" w:color="A6A6A6"/>
              <w:right w:val="nil"/>
            </w:tcBorders>
            <w:shd w:val="clear" w:color="auto" w:fill="auto"/>
            <w:noWrap/>
            <w:vAlign w:val="center"/>
          </w:tcPr>
          <w:p w:rsidR="0011236C" w:rsidRPr="0011236C" w:rsidRDefault="0011236C" w:rsidP="0011236C">
            <w:pPr>
              <w:jc w:val="center"/>
              <w:rPr>
                <w:rFonts w:ascii="Arial" w:eastAsia="Times New Roman" w:hAnsi="Arial" w:cs="Arial"/>
                <w:sz w:val="21"/>
                <w:szCs w:val="21"/>
                <w:lang w:val="es-CO" w:eastAsia="es-CO"/>
              </w:rPr>
            </w:pPr>
            <w:r w:rsidRPr="0011236C">
              <w:rPr>
                <w:rFonts w:ascii="Arial" w:eastAsia="Times New Roman" w:hAnsi="Arial" w:cs="Arial"/>
                <w:sz w:val="21"/>
                <w:szCs w:val="21"/>
                <w:lang w:val="es-CO" w:eastAsia="es-CO"/>
              </w:rPr>
              <w:t>26</w:t>
            </w:r>
          </w:p>
        </w:tc>
      </w:tr>
      <w:tr w:rsidR="0011236C" w:rsidRPr="0011236C" w:rsidTr="00F76962">
        <w:trPr>
          <w:trHeight w:val="224"/>
          <w:jc w:val="center"/>
        </w:trPr>
        <w:tc>
          <w:tcPr>
            <w:tcW w:w="1400" w:type="dxa"/>
            <w:tcBorders>
              <w:top w:val="nil"/>
              <w:left w:val="nil"/>
              <w:bottom w:val="single" w:sz="4" w:space="0" w:color="A6A6A6"/>
              <w:right w:val="nil"/>
            </w:tcBorders>
            <w:shd w:val="clear" w:color="auto" w:fill="auto"/>
            <w:noWrap/>
            <w:vAlign w:val="center"/>
            <w:hideMark/>
          </w:tcPr>
          <w:p w:rsidR="0011236C" w:rsidRPr="0011236C" w:rsidRDefault="0011236C" w:rsidP="0011236C">
            <w:pPr>
              <w:rPr>
                <w:rFonts w:ascii="Arial" w:eastAsia="Times New Roman" w:hAnsi="Arial" w:cs="Arial"/>
                <w:sz w:val="21"/>
                <w:szCs w:val="21"/>
                <w:lang w:val="es-CO" w:eastAsia="es-CO"/>
              </w:rPr>
            </w:pPr>
            <w:r w:rsidRPr="0011236C">
              <w:rPr>
                <w:rFonts w:ascii="Arial" w:eastAsia="Times New Roman" w:hAnsi="Arial" w:cs="Arial"/>
                <w:sz w:val="21"/>
                <w:szCs w:val="21"/>
                <w:lang w:val="es-CO" w:eastAsia="es-CO"/>
              </w:rPr>
              <w:t>MUNICIPAL</w:t>
            </w:r>
          </w:p>
        </w:tc>
        <w:tc>
          <w:tcPr>
            <w:tcW w:w="1229" w:type="dxa"/>
            <w:tcBorders>
              <w:top w:val="nil"/>
              <w:left w:val="nil"/>
              <w:bottom w:val="single" w:sz="4" w:space="0" w:color="A6A6A6"/>
              <w:right w:val="nil"/>
            </w:tcBorders>
            <w:shd w:val="clear" w:color="auto" w:fill="auto"/>
            <w:noWrap/>
            <w:vAlign w:val="center"/>
          </w:tcPr>
          <w:p w:rsidR="0011236C" w:rsidRPr="0011236C" w:rsidRDefault="0011236C" w:rsidP="0011236C">
            <w:pPr>
              <w:jc w:val="center"/>
              <w:rPr>
                <w:rFonts w:ascii="Arial" w:eastAsia="Times New Roman" w:hAnsi="Arial" w:cs="Arial"/>
                <w:sz w:val="21"/>
                <w:szCs w:val="21"/>
                <w:lang w:val="es-CO" w:eastAsia="es-CO"/>
              </w:rPr>
            </w:pPr>
            <w:r w:rsidRPr="0011236C">
              <w:rPr>
                <w:rFonts w:ascii="Arial" w:eastAsia="Times New Roman" w:hAnsi="Arial" w:cs="Arial"/>
                <w:sz w:val="21"/>
                <w:szCs w:val="21"/>
                <w:lang w:val="es-CO" w:eastAsia="es-CO"/>
              </w:rPr>
              <w:t>7</w:t>
            </w:r>
          </w:p>
        </w:tc>
        <w:tc>
          <w:tcPr>
            <w:tcW w:w="1229" w:type="dxa"/>
            <w:tcBorders>
              <w:top w:val="nil"/>
              <w:left w:val="nil"/>
              <w:bottom w:val="single" w:sz="4" w:space="0" w:color="A6A6A6"/>
              <w:right w:val="nil"/>
            </w:tcBorders>
            <w:shd w:val="clear" w:color="auto" w:fill="auto"/>
            <w:noWrap/>
            <w:vAlign w:val="center"/>
          </w:tcPr>
          <w:p w:rsidR="0011236C" w:rsidRPr="0011236C" w:rsidRDefault="0011236C" w:rsidP="0011236C">
            <w:pPr>
              <w:jc w:val="center"/>
              <w:rPr>
                <w:rFonts w:ascii="Arial" w:eastAsia="Times New Roman" w:hAnsi="Arial" w:cs="Arial"/>
                <w:sz w:val="21"/>
                <w:szCs w:val="21"/>
                <w:lang w:val="es-CO" w:eastAsia="es-CO"/>
              </w:rPr>
            </w:pPr>
          </w:p>
        </w:tc>
        <w:tc>
          <w:tcPr>
            <w:tcW w:w="1229" w:type="dxa"/>
            <w:tcBorders>
              <w:top w:val="nil"/>
              <w:left w:val="nil"/>
              <w:bottom w:val="single" w:sz="4" w:space="0" w:color="A6A6A6"/>
              <w:right w:val="nil"/>
            </w:tcBorders>
            <w:shd w:val="clear" w:color="auto" w:fill="auto"/>
            <w:noWrap/>
            <w:vAlign w:val="center"/>
          </w:tcPr>
          <w:p w:rsidR="0011236C" w:rsidRPr="0011236C" w:rsidRDefault="0011236C" w:rsidP="0011236C">
            <w:pPr>
              <w:jc w:val="center"/>
              <w:rPr>
                <w:rFonts w:ascii="Arial" w:eastAsia="Times New Roman" w:hAnsi="Arial" w:cs="Arial"/>
                <w:sz w:val="21"/>
                <w:szCs w:val="21"/>
                <w:lang w:val="es-CO" w:eastAsia="es-CO"/>
              </w:rPr>
            </w:pPr>
          </w:p>
        </w:tc>
        <w:tc>
          <w:tcPr>
            <w:tcW w:w="847" w:type="dxa"/>
            <w:tcBorders>
              <w:top w:val="nil"/>
              <w:left w:val="nil"/>
              <w:bottom w:val="single" w:sz="4" w:space="0" w:color="A6A6A6"/>
              <w:right w:val="nil"/>
            </w:tcBorders>
            <w:shd w:val="clear" w:color="auto" w:fill="auto"/>
            <w:noWrap/>
            <w:vAlign w:val="center"/>
          </w:tcPr>
          <w:p w:rsidR="0011236C" w:rsidRPr="0011236C" w:rsidRDefault="0011236C" w:rsidP="0011236C">
            <w:pPr>
              <w:jc w:val="center"/>
              <w:rPr>
                <w:rFonts w:ascii="Arial" w:eastAsia="Times New Roman" w:hAnsi="Arial" w:cs="Arial"/>
                <w:sz w:val="21"/>
                <w:szCs w:val="21"/>
                <w:lang w:val="es-CO" w:eastAsia="es-CO"/>
              </w:rPr>
            </w:pPr>
            <w:r w:rsidRPr="0011236C">
              <w:rPr>
                <w:rFonts w:ascii="Arial" w:eastAsia="Times New Roman" w:hAnsi="Arial" w:cs="Arial"/>
                <w:sz w:val="21"/>
                <w:szCs w:val="21"/>
                <w:lang w:val="es-CO" w:eastAsia="es-CO"/>
              </w:rPr>
              <w:t>7</w:t>
            </w:r>
          </w:p>
        </w:tc>
      </w:tr>
      <w:tr w:rsidR="0011236C" w:rsidRPr="0011236C" w:rsidTr="00F76962">
        <w:trPr>
          <w:trHeight w:val="224"/>
          <w:jc w:val="center"/>
        </w:trPr>
        <w:tc>
          <w:tcPr>
            <w:tcW w:w="1400" w:type="dxa"/>
            <w:tcBorders>
              <w:top w:val="nil"/>
              <w:left w:val="nil"/>
              <w:bottom w:val="single" w:sz="4" w:space="0" w:color="A6A6A6"/>
              <w:right w:val="nil"/>
            </w:tcBorders>
            <w:shd w:val="clear" w:color="auto" w:fill="auto"/>
            <w:noWrap/>
            <w:vAlign w:val="center"/>
            <w:hideMark/>
          </w:tcPr>
          <w:p w:rsidR="0011236C" w:rsidRPr="0011236C" w:rsidRDefault="0011236C" w:rsidP="0011236C">
            <w:pPr>
              <w:rPr>
                <w:rFonts w:ascii="Arial" w:eastAsia="Times New Roman" w:hAnsi="Arial" w:cs="Arial"/>
                <w:sz w:val="21"/>
                <w:szCs w:val="21"/>
                <w:lang w:val="es-CO" w:eastAsia="es-CO"/>
              </w:rPr>
            </w:pPr>
            <w:r w:rsidRPr="0011236C">
              <w:rPr>
                <w:rFonts w:ascii="Arial" w:eastAsia="Times New Roman" w:hAnsi="Arial" w:cs="Arial"/>
                <w:sz w:val="21"/>
                <w:szCs w:val="21"/>
                <w:lang w:val="es-CO" w:eastAsia="es-CO"/>
              </w:rPr>
              <w:t>NACIONAL</w:t>
            </w:r>
          </w:p>
        </w:tc>
        <w:tc>
          <w:tcPr>
            <w:tcW w:w="1229" w:type="dxa"/>
            <w:tcBorders>
              <w:top w:val="nil"/>
              <w:left w:val="nil"/>
              <w:bottom w:val="single" w:sz="4" w:space="0" w:color="A6A6A6"/>
              <w:right w:val="nil"/>
            </w:tcBorders>
            <w:shd w:val="clear" w:color="auto" w:fill="auto"/>
            <w:noWrap/>
            <w:vAlign w:val="center"/>
          </w:tcPr>
          <w:p w:rsidR="0011236C" w:rsidRPr="0011236C" w:rsidRDefault="0011236C" w:rsidP="0011236C">
            <w:pPr>
              <w:jc w:val="center"/>
              <w:rPr>
                <w:rFonts w:ascii="Arial" w:eastAsia="Times New Roman" w:hAnsi="Arial" w:cs="Arial"/>
                <w:sz w:val="21"/>
                <w:szCs w:val="21"/>
                <w:lang w:val="es-CO" w:eastAsia="es-CO"/>
              </w:rPr>
            </w:pPr>
          </w:p>
        </w:tc>
        <w:tc>
          <w:tcPr>
            <w:tcW w:w="1229" w:type="dxa"/>
            <w:tcBorders>
              <w:top w:val="nil"/>
              <w:left w:val="nil"/>
              <w:bottom w:val="single" w:sz="4" w:space="0" w:color="A6A6A6"/>
              <w:right w:val="nil"/>
            </w:tcBorders>
            <w:shd w:val="clear" w:color="auto" w:fill="auto"/>
            <w:noWrap/>
            <w:vAlign w:val="center"/>
          </w:tcPr>
          <w:p w:rsidR="0011236C" w:rsidRPr="0011236C" w:rsidRDefault="0011236C" w:rsidP="0011236C">
            <w:pPr>
              <w:jc w:val="center"/>
              <w:rPr>
                <w:rFonts w:ascii="Arial" w:eastAsia="Times New Roman" w:hAnsi="Arial" w:cs="Arial"/>
                <w:sz w:val="21"/>
                <w:szCs w:val="21"/>
                <w:lang w:val="es-CO" w:eastAsia="es-CO"/>
              </w:rPr>
            </w:pPr>
          </w:p>
        </w:tc>
        <w:tc>
          <w:tcPr>
            <w:tcW w:w="1229" w:type="dxa"/>
            <w:tcBorders>
              <w:top w:val="nil"/>
              <w:left w:val="nil"/>
              <w:bottom w:val="single" w:sz="4" w:space="0" w:color="A6A6A6"/>
              <w:right w:val="nil"/>
            </w:tcBorders>
            <w:shd w:val="clear" w:color="auto" w:fill="auto"/>
            <w:noWrap/>
            <w:vAlign w:val="center"/>
          </w:tcPr>
          <w:p w:rsidR="0011236C" w:rsidRPr="0011236C" w:rsidRDefault="0011236C" w:rsidP="0011236C">
            <w:pPr>
              <w:jc w:val="center"/>
              <w:rPr>
                <w:rFonts w:ascii="Arial" w:eastAsia="Times New Roman" w:hAnsi="Arial" w:cs="Arial"/>
                <w:sz w:val="21"/>
                <w:szCs w:val="21"/>
                <w:lang w:val="es-CO" w:eastAsia="es-CO"/>
              </w:rPr>
            </w:pPr>
          </w:p>
        </w:tc>
        <w:tc>
          <w:tcPr>
            <w:tcW w:w="847" w:type="dxa"/>
            <w:tcBorders>
              <w:top w:val="nil"/>
              <w:left w:val="nil"/>
              <w:bottom w:val="single" w:sz="4" w:space="0" w:color="A6A6A6"/>
              <w:right w:val="nil"/>
            </w:tcBorders>
            <w:shd w:val="clear" w:color="auto" w:fill="auto"/>
            <w:noWrap/>
            <w:vAlign w:val="center"/>
          </w:tcPr>
          <w:p w:rsidR="0011236C" w:rsidRPr="0011236C" w:rsidRDefault="0011236C" w:rsidP="0011236C">
            <w:pPr>
              <w:jc w:val="center"/>
              <w:rPr>
                <w:rFonts w:ascii="Arial" w:eastAsia="Times New Roman" w:hAnsi="Arial" w:cs="Arial"/>
                <w:sz w:val="21"/>
                <w:szCs w:val="21"/>
                <w:lang w:val="es-CO" w:eastAsia="es-CO"/>
              </w:rPr>
            </w:pPr>
          </w:p>
        </w:tc>
      </w:tr>
      <w:tr w:rsidR="0011236C" w:rsidRPr="0011236C" w:rsidTr="00F76962">
        <w:trPr>
          <w:trHeight w:val="240"/>
          <w:jc w:val="center"/>
        </w:trPr>
        <w:tc>
          <w:tcPr>
            <w:tcW w:w="1400" w:type="dxa"/>
            <w:tcBorders>
              <w:top w:val="single" w:sz="4" w:space="0" w:color="A6A6A6"/>
              <w:left w:val="nil"/>
              <w:bottom w:val="single" w:sz="12" w:space="0" w:color="595959" w:themeColor="text1" w:themeTint="A6"/>
              <w:right w:val="nil"/>
            </w:tcBorders>
            <w:shd w:val="clear" w:color="auto" w:fill="auto"/>
            <w:noWrap/>
            <w:vAlign w:val="center"/>
            <w:hideMark/>
          </w:tcPr>
          <w:p w:rsidR="0011236C" w:rsidRPr="0011236C" w:rsidRDefault="0011236C" w:rsidP="0011236C">
            <w:pPr>
              <w:jc w:val="center"/>
              <w:rPr>
                <w:rFonts w:ascii="Arial" w:eastAsia="Times New Roman" w:hAnsi="Arial" w:cs="Arial"/>
                <w:b/>
                <w:bCs/>
                <w:sz w:val="21"/>
                <w:szCs w:val="21"/>
                <w:lang w:val="es-CO" w:eastAsia="es-CO"/>
              </w:rPr>
            </w:pPr>
            <w:r w:rsidRPr="0011236C">
              <w:rPr>
                <w:rFonts w:ascii="Arial" w:eastAsia="Times New Roman" w:hAnsi="Arial" w:cs="Arial"/>
                <w:b/>
                <w:bCs/>
                <w:sz w:val="21"/>
                <w:szCs w:val="21"/>
                <w:lang w:val="es-CO" w:eastAsia="es-CO"/>
              </w:rPr>
              <w:t>TOTAL</w:t>
            </w:r>
          </w:p>
        </w:tc>
        <w:tc>
          <w:tcPr>
            <w:tcW w:w="1229" w:type="dxa"/>
            <w:tcBorders>
              <w:top w:val="single" w:sz="4" w:space="0" w:color="A6A6A6"/>
              <w:left w:val="nil"/>
              <w:bottom w:val="single" w:sz="12" w:space="0" w:color="595959" w:themeColor="text1" w:themeTint="A6"/>
              <w:right w:val="nil"/>
            </w:tcBorders>
            <w:shd w:val="clear" w:color="auto" w:fill="auto"/>
            <w:noWrap/>
            <w:vAlign w:val="center"/>
          </w:tcPr>
          <w:p w:rsidR="0011236C" w:rsidRPr="0011236C" w:rsidRDefault="0011236C" w:rsidP="0011236C">
            <w:pPr>
              <w:jc w:val="center"/>
              <w:rPr>
                <w:rFonts w:ascii="Arial" w:eastAsia="Times New Roman" w:hAnsi="Arial" w:cs="Arial"/>
                <w:b/>
                <w:bCs/>
                <w:sz w:val="21"/>
                <w:szCs w:val="21"/>
                <w:lang w:val="es-CO" w:eastAsia="es-CO"/>
              </w:rPr>
            </w:pPr>
            <w:r w:rsidRPr="0011236C">
              <w:rPr>
                <w:rFonts w:ascii="Arial" w:eastAsia="Times New Roman" w:hAnsi="Arial" w:cs="Arial"/>
                <w:b/>
                <w:bCs/>
                <w:sz w:val="21"/>
                <w:szCs w:val="21"/>
                <w:lang w:val="es-CO" w:eastAsia="es-CO"/>
              </w:rPr>
              <w:t>27</w:t>
            </w:r>
          </w:p>
        </w:tc>
        <w:tc>
          <w:tcPr>
            <w:tcW w:w="1229" w:type="dxa"/>
            <w:tcBorders>
              <w:top w:val="single" w:sz="4" w:space="0" w:color="A6A6A6"/>
              <w:left w:val="nil"/>
              <w:bottom w:val="single" w:sz="12" w:space="0" w:color="595959" w:themeColor="text1" w:themeTint="A6"/>
              <w:right w:val="nil"/>
            </w:tcBorders>
            <w:shd w:val="clear" w:color="auto" w:fill="auto"/>
            <w:noWrap/>
            <w:vAlign w:val="center"/>
          </w:tcPr>
          <w:p w:rsidR="0011236C" w:rsidRPr="0011236C" w:rsidRDefault="0011236C" w:rsidP="0011236C">
            <w:pPr>
              <w:jc w:val="center"/>
              <w:rPr>
                <w:rFonts w:ascii="Arial" w:eastAsia="Times New Roman" w:hAnsi="Arial" w:cs="Arial"/>
                <w:b/>
                <w:bCs/>
                <w:sz w:val="21"/>
                <w:szCs w:val="21"/>
                <w:lang w:val="es-CO" w:eastAsia="es-CO"/>
              </w:rPr>
            </w:pPr>
            <w:r w:rsidRPr="0011236C">
              <w:rPr>
                <w:rFonts w:ascii="Arial" w:eastAsia="Times New Roman" w:hAnsi="Arial" w:cs="Arial"/>
                <w:b/>
                <w:bCs/>
                <w:sz w:val="21"/>
                <w:szCs w:val="21"/>
                <w:lang w:val="es-CO" w:eastAsia="es-CO"/>
              </w:rPr>
              <w:t>5</w:t>
            </w:r>
          </w:p>
        </w:tc>
        <w:tc>
          <w:tcPr>
            <w:tcW w:w="1229" w:type="dxa"/>
            <w:tcBorders>
              <w:top w:val="single" w:sz="4" w:space="0" w:color="A6A6A6"/>
              <w:left w:val="nil"/>
              <w:bottom w:val="single" w:sz="12" w:space="0" w:color="595959" w:themeColor="text1" w:themeTint="A6"/>
              <w:right w:val="nil"/>
            </w:tcBorders>
            <w:shd w:val="clear" w:color="auto" w:fill="auto"/>
            <w:noWrap/>
            <w:vAlign w:val="center"/>
          </w:tcPr>
          <w:p w:rsidR="0011236C" w:rsidRPr="0011236C" w:rsidRDefault="0011236C" w:rsidP="0011236C">
            <w:pPr>
              <w:jc w:val="center"/>
              <w:rPr>
                <w:rFonts w:ascii="Arial" w:eastAsia="Times New Roman" w:hAnsi="Arial" w:cs="Arial"/>
                <w:b/>
                <w:bCs/>
                <w:sz w:val="21"/>
                <w:szCs w:val="21"/>
                <w:lang w:val="es-CO" w:eastAsia="es-CO"/>
              </w:rPr>
            </w:pPr>
            <w:r w:rsidRPr="0011236C">
              <w:rPr>
                <w:rFonts w:ascii="Arial" w:eastAsia="Times New Roman" w:hAnsi="Arial" w:cs="Arial"/>
                <w:b/>
                <w:bCs/>
                <w:sz w:val="21"/>
                <w:szCs w:val="21"/>
                <w:lang w:val="es-CO" w:eastAsia="es-CO"/>
              </w:rPr>
              <w:t>1</w:t>
            </w:r>
          </w:p>
        </w:tc>
        <w:tc>
          <w:tcPr>
            <w:tcW w:w="847" w:type="dxa"/>
            <w:tcBorders>
              <w:top w:val="single" w:sz="4" w:space="0" w:color="A6A6A6"/>
              <w:left w:val="nil"/>
              <w:bottom w:val="single" w:sz="12" w:space="0" w:color="595959" w:themeColor="text1" w:themeTint="A6"/>
              <w:right w:val="nil"/>
            </w:tcBorders>
            <w:shd w:val="clear" w:color="auto" w:fill="auto"/>
            <w:noWrap/>
            <w:vAlign w:val="center"/>
          </w:tcPr>
          <w:p w:rsidR="0011236C" w:rsidRPr="0011236C" w:rsidRDefault="0011236C" w:rsidP="0011236C">
            <w:pPr>
              <w:jc w:val="center"/>
              <w:rPr>
                <w:rFonts w:ascii="Arial" w:eastAsia="Times New Roman" w:hAnsi="Arial" w:cs="Arial"/>
                <w:b/>
                <w:bCs/>
                <w:sz w:val="21"/>
                <w:szCs w:val="21"/>
                <w:lang w:val="es-CO" w:eastAsia="es-CO"/>
              </w:rPr>
            </w:pPr>
            <w:r w:rsidRPr="0011236C">
              <w:rPr>
                <w:rFonts w:ascii="Arial" w:eastAsia="Times New Roman" w:hAnsi="Arial" w:cs="Arial"/>
                <w:b/>
                <w:bCs/>
                <w:sz w:val="21"/>
                <w:szCs w:val="21"/>
                <w:lang w:val="es-CO" w:eastAsia="es-CO"/>
              </w:rPr>
              <w:t>33</w:t>
            </w:r>
          </w:p>
        </w:tc>
      </w:tr>
    </w:tbl>
    <w:p w:rsidR="0011236C" w:rsidRPr="0011236C" w:rsidRDefault="0011236C" w:rsidP="0011236C">
      <w:pPr>
        <w:ind w:left="708" w:firstLine="708"/>
        <w:jc w:val="both"/>
        <w:rPr>
          <w:rFonts w:ascii="Arial" w:eastAsia="Times New Roman" w:hAnsi="Arial" w:cs="Arial"/>
          <w:b/>
          <w:sz w:val="21"/>
          <w:szCs w:val="21"/>
          <w:lang w:eastAsia="es-CO"/>
        </w:rPr>
      </w:pPr>
    </w:p>
    <w:p w:rsidR="0011236C" w:rsidRPr="0011236C" w:rsidRDefault="0011236C" w:rsidP="0011236C">
      <w:pPr>
        <w:ind w:left="708" w:firstLine="708"/>
        <w:jc w:val="both"/>
        <w:rPr>
          <w:rFonts w:ascii="Arial" w:eastAsia="Calibri" w:hAnsi="Arial" w:cs="Arial"/>
          <w:sz w:val="21"/>
          <w:szCs w:val="21"/>
          <w:lang w:eastAsia="en-US"/>
        </w:rPr>
      </w:pPr>
      <w:r w:rsidRPr="0011236C">
        <w:rPr>
          <w:rFonts w:ascii="Arial" w:eastAsia="Times New Roman" w:hAnsi="Arial" w:cs="Arial"/>
          <w:b/>
          <w:sz w:val="21"/>
          <w:szCs w:val="21"/>
          <w:lang w:eastAsia="es-CO"/>
        </w:rPr>
        <w:t>Fuente</w:t>
      </w:r>
      <w:r w:rsidRPr="0011236C">
        <w:rPr>
          <w:rFonts w:ascii="Arial" w:eastAsia="Times New Roman" w:hAnsi="Arial" w:cs="Arial"/>
          <w:sz w:val="21"/>
          <w:szCs w:val="21"/>
          <w:lang w:eastAsia="es-CO"/>
        </w:rPr>
        <w:t xml:space="preserve">: MSPS REPS </w:t>
      </w:r>
    </w:p>
    <w:p w:rsidR="0011236C" w:rsidRPr="0011236C" w:rsidRDefault="0011236C" w:rsidP="0011236C">
      <w:pPr>
        <w:autoSpaceDE w:val="0"/>
        <w:autoSpaceDN w:val="0"/>
        <w:adjustRightInd w:val="0"/>
        <w:jc w:val="both"/>
        <w:rPr>
          <w:rFonts w:ascii="Arial" w:eastAsia="Calibri" w:hAnsi="Arial" w:cs="Arial"/>
          <w:sz w:val="21"/>
          <w:szCs w:val="21"/>
          <w:lang w:eastAsia="en-US"/>
        </w:rPr>
      </w:pPr>
    </w:p>
    <w:p w:rsidR="0011236C" w:rsidRPr="0011236C" w:rsidRDefault="0011236C" w:rsidP="0011236C">
      <w:pPr>
        <w:contextualSpacing/>
        <w:jc w:val="both"/>
        <w:rPr>
          <w:rFonts w:ascii="Arial" w:hAnsi="Arial" w:cs="Arial"/>
          <w:sz w:val="21"/>
          <w:szCs w:val="21"/>
        </w:rPr>
      </w:pPr>
      <w:r w:rsidRPr="0011236C">
        <w:rPr>
          <w:rFonts w:ascii="Arial" w:hAnsi="Arial" w:cs="Arial"/>
          <w:sz w:val="21"/>
          <w:szCs w:val="21"/>
        </w:rPr>
        <w:t xml:space="preserve">La categorización de riesgo aplicada entre los periodos 2012 – 2019 por el Ministerio de Salud y Protección Social a las ESE del Departamento presentó el siguiente comportamiento: </w:t>
      </w:r>
    </w:p>
    <w:p w:rsidR="0011236C" w:rsidRPr="0011236C" w:rsidRDefault="0011236C" w:rsidP="0011236C">
      <w:pPr>
        <w:jc w:val="both"/>
        <w:rPr>
          <w:rFonts w:ascii="Arial" w:eastAsia="Times New Roman" w:hAnsi="Arial" w:cs="Arial"/>
          <w:sz w:val="21"/>
          <w:szCs w:val="21"/>
        </w:rPr>
      </w:pPr>
    </w:p>
    <w:p w:rsidR="0011236C" w:rsidRPr="0011236C" w:rsidRDefault="0011236C" w:rsidP="0011236C">
      <w:pPr>
        <w:rPr>
          <w:rFonts w:ascii="Arial" w:eastAsia="Times New Roman" w:hAnsi="Arial" w:cs="Arial"/>
          <w:sz w:val="21"/>
          <w:szCs w:val="21"/>
        </w:rPr>
      </w:pPr>
      <w:r w:rsidRPr="0011236C">
        <w:rPr>
          <w:rFonts w:ascii="Arial" w:eastAsia="Times New Roman" w:hAnsi="Arial" w:cs="Arial"/>
          <w:sz w:val="21"/>
          <w:szCs w:val="21"/>
        </w:rPr>
        <w:br w:type="page"/>
      </w:r>
    </w:p>
    <w:p w:rsidR="0011236C" w:rsidRPr="0011236C" w:rsidRDefault="0011236C" w:rsidP="0011236C">
      <w:pPr>
        <w:jc w:val="both"/>
        <w:rPr>
          <w:rFonts w:ascii="Arial" w:eastAsia="Times New Roman" w:hAnsi="Arial" w:cs="Arial"/>
          <w:sz w:val="21"/>
          <w:szCs w:val="21"/>
        </w:rPr>
      </w:pPr>
    </w:p>
    <w:p w:rsidR="0011236C" w:rsidRPr="0011236C" w:rsidRDefault="0011236C" w:rsidP="0011236C">
      <w:pPr>
        <w:jc w:val="center"/>
        <w:rPr>
          <w:rFonts w:ascii="Arial" w:hAnsi="Arial" w:cs="Arial"/>
          <w:noProof/>
          <w:sz w:val="21"/>
          <w:szCs w:val="21"/>
          <w:lang w:val="es-CO" w:eastAsia="es-CO"/>
        </w:rPr>
      </w:pPr>
      <w:r w:rsidRPr="0011236C">
        <w:rPr>
          <w:rFonts w:ascii="Arial" w:hAnsi="Arial" w:cs="Arial"/>
          <w:b/>
          <w:sz w:val="21"/>
          <w:szCs w:val="21"/>
        </w:rPr>
        <w:t>GRAFICA No1</w:t>
      </w:r>
      <w:r w:rsidRPr="0011236C">
        <w:rPr>
          <w:rFonts w:ascii="Arial" w:hAnsi="Arial" w:cs="Arial"/>
          <w:noProof/>
          <w:sz w:val="21"/>
          <w:szCs w:val="21"/>
          <w:lang w:val="es-CO" w:eastAsia="es-CO"/>
        </w:rPr>
        <w:t xml:space="preserve"> </w:t>
      </w:r>
    </w:p>
    <w:p w:rsidR="0011236C" w:rsidRPr="0011236C" w:rsidRDefault="0011236C" w:rsidP="0011236C">
      <w:pPr>
        <w:jc w:val="center"/>
        <w:rPr>
          <w:rFonts w:ascii="Arial" w:eastAsia="Times New Roman" w:hAnsi="Arial" w:cs="Arial"/>
          <w:sz w:val="21"/>
          <w:szCs w:val="21"/>
        </w:rPr>
      </w:pPr>
      <w:r w:rsidRPr="0011236C">
        <w:rPr>
          <w:rFonts w:ascii="Arial" w:hAnsi="Arial" w:cs="Arial"/>
          <w:noProof/>
          <w:sz w:val="21"/>
          <w:szCs w:val="21"/>
          <w:lang w:val="es-CO" w:eastAsia="es-CO"/>
        </w:rPr>
        <w:drawing>
          <wp:inline distT="0" distB="0" distL="0" distR="0">
            <wp:extent cx="5612130" cy="2600325"/>
            <wp:effectExtent l="0" t="0" r="7620" b="9525"/>
            <wp:docPr id="10" name="Gráfico 10">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11236C" w:rsidRPr="0011236C" w:rsidRDefault="0011236C" w:rsidP="0011236C">
      <w:pPr>
        <w:jc w:val="center"/>
        <w:rPr>
          <w:rFonts w:ascii="Arial" w:eastAsia="Times New Roman" w:hAnsi="Arial" w:cs="Arial"/>
          <w:sz w:val="21"/>
          <w:szCs w:val="21"/>
        </w:rPr>
      </w:pPr>
      <w:r w:rsidRPr="0011236C">
        <w:rPr>
          <w:rFonts w:ascii="Arial" w:eastAsia="Times New Roman" w:hAnsi="Arial" w:cs="Arial"/>
          <w:b/>
          <w:bCs/>
          <w:color w:val="000000"/>
          <w:sz w:val="21"/>
          <w:szCs w:val="21"/>
          <w:lang w:val="es-CO" w:eastAsia="es-CO"/>
        </w:rPr>
        <w:t xml:space="preserve">Fuente: </w:t>
      </w:r>
      <w:r w:rsidRPr="0011236C">
        <w:rPr>
          <w:rFonts w:ascii="Arial" w:eastAsia="Times New Roman" w:hAnsi="Arial" w:cs="Arial"/>
          <w:color w:val="000000"/>
          <w:sz w:val="21"/>
          <w:szCs w:val="21"/>
          <w:lang w:val="es-CO" w:eastAsia="es-CO"/>
        </w:rPr>
        <w:t xml:space="preserve">MSPS Resoluciones </w:t>
      </w:r>
      <w:r w:rsidRPr="0011236C">
        <w:rPr>
          <w:rFonts w:ascii="Arial" w:eastAsia="Times New Roman" w:hAnsi="Arial" w:cs="Arial"/>
          <w:sz w:val="21"/>
          <w:szCs w:val="21"/>
          <w:lang w:val="es-CO" w:eastAsia="es-CO"/>
        </w:rPr>
        <w:t>categorización de riesgo 2012-2019</w:t>
      </w:r>
    </w:p>
    <w:p w:rsidR="0011236C" w:rsidRPr="0011236C" w:rsidRDefault="0011236C" w:rsidP="0011236C">
      <w:pPr>
        <w:jc w:val="both"/>
        <w:rPr>
          <w:rFonts w:ascii="Arial" w:eastAsia="Times New Roman" w:hAnsi="Arial" w:cs="Arial"/>
          <w:sz w:val="21"/>
          <w:szCs w:val="21"/>
        </w:rPr>
      </w:pPr>
    </w:p>
    <w:p w:rsidR="0011236C" w:rsidRPr="0011236C" w:rsidRDefault="0011236C" w:rsidP="0011236C">
      <w:pPr>
        <w:autoSpaceDE w:val="0"/>
        <w:autoSpaceDN w:val="0"/>
        <w:adjustRightInd w:val="0"/>
        <w:jc w:val="both"/>
        <w:rPr>
          <w:rFonts w:ascii="Arial" w:hAnsi="Arial" w:cs="Arial"/>
          <w:sz w:val="21"/>
          <w:szCs w:val="21"/>
        </w:rPr>
      </w:pPr>
      <w:r w:rsidRPr="0011236C">
        <w:rPr>
          <w:rFonts w:ascii="Arial" w:eastAsia="Calibri" w:hAnsi="Arial" w:cs="Arial"/>
          <w:sz w:val="21"/>
          <w:szCs w:val="21"/>
          <w:lang w:eastAsia="en-US"/>
        </w:rPr>
        <w:t>Lo</w:t>
      </w:r>
      <w:r w:rsidRPr="0011236C">
        <w:rPr>
          <w:rFonts w:ascii="Arial" w:hAnsi="Arial" w:cs="Arial"/>
          <w:sz w:val="21"/>
          <w:szCs w:val="21"/>
        </w:rPr>
        <w:t>s resultados financieros arrojados al cierre de la vigencia 2020 por la red pública prestadora de servicios de salud presentan el siguiente escenario:</w:t>
      </w:r>
    </w:p>
    <w:p w:rsidR="0011236C" w:rsidRPr="0011236C" w:rsidRDefault="0011236C" w:rsidP="0011236C">
      <w:pPr>
        <w:autoSpaceDE w:val="0"/>
        <w:autoSpaceDN w:val="0"/>
        <w:adjustRightInd w:val="0"/>
        <w:jc w:val="both"/>
        <w:rPr>
          <w:rFonts w:ascii="Arial" w:hAnsi="Arial" w:cs="Arial"/>
          <w:sz w:val="21"/>
          <w:szCs w:val="21"/>
        </w:rPr>
      </w:pPr>
    </w:p>
    <w:p w:rsidR="0011236C" w:rsidRPr="0011236C" w:rsidRDefault="0011236C" w:rsidP="0011236C">
      <w:pPr>
        <w:autoSpaceDE w:val="0"/>
        <w:autoSpaceDN w:val="0"/>
        <w:adjustRightInd w:val="0"/>
        <w:jc w:val="both"/>
        <w:rPr>
          <w:rFonts w:ascii="Arial" w:hAnsi="Arial" w:cs="Arial"/>
          <w:sz w:val="21"/>
          <w:szCs w:val="21"/>
        </w:rPr>
      </w:pPr>
    </w:p>
    <w:p w:rsidR="0011236C" w:rsidRPr="0011236C" w:rsidRDefault="0011236C" w:rsidP="0011236C">
      <w:pPr>
        <w:autoSpaceDE w:val="0"/>
        <w:autoSpaceDN w:val="0"/>
        <w:adjustRightInd w:val="0"/>
        <w:jc w:val="center"/>
        <w:rPr>
          <w:rFonts w:ascii="Arial" w:hAnsi="Arial" w:cs="Arial"/>
          <w:b/>
          <w:sz w:val="21"/>
          <w:szCs w:val="21"/>
        </w:rPr>
      </w:pPr>
      <w:r w:rsidRPr="0011236C">
        <w:rPr>
          <w:rFonts w:ascii="Arial" w:hAnsi="Arial" w:cs="Arial"/>
          <w:b/>
          <w:sz w:val="21"/>
          <w:szCs w:val="21"/>
        </w:rPr>
        <w:t>Tabla No 1.</w:t>
      </w:r>
    </w:p>
    <w:tbl>
      <w:tblPr>
        <w:tblW w:w="6965" w:type="dxa"/>
        <w:jc w:val="center"/>
        <w:tblCellMar>
          <w:left w:w="70" w:type="dxa"/>
          <w:right w:w="70" w:type="dxa"/>
        </w:tblCellMar>
        <w:tblLook w:val="04A0" w:firstRow="1" w:lastRow="0" w:firstColumn="1" w:lastColumn="0" w:noHBand="0" w:noVBand="1"/>
      </w:tblPr>
      <w:tblGrid>
        <w:gridCol w:w="1985"/>
        <w:gridCol w:w="1380"/>
        <w:gridCol w:w="1200"/>
        <w:gridCol w:w="1200"/>
        <w:gridCol w:w="1200"/>
      </w:tblGrid>
      <w:tr w:rsidR="0011236C" w:rsidRPr="0011236C" w:rsidTr="00F76962">
        <w:trPr>
          <w:trHeight w:val="315"/>
          <w:jc w:val="center"/>
        </w:trPr>
        <w:tc>
          <w:tcPr>
            <w:tcW w:w="1985" w:type="dxa"/>
            <w:tcBorders>
              <w:top w:val="nil"/>
              <w:left w:val="nil"/>
              <w:bottom w:val="nil"/>
              <w:right w:val="nil"/>
            </w:tcBorders>
            <w:shd w:val="clear" w:color="auto" w:fill="auto"/>
            <w:noWrap/>
            <w:vAlign w:val="center"/>
            <w:hideMark/>
          </w:tcPr>
          <w:p w:rsidR="0011236C" w:rsidRPr="0011236C" w:rsidRDefault="0011236C" w:rsidP="0011236C">
            <w:pPr>
              <w:jc w:val="right"/>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Cifras en Millones de $</w:t>
            </w:r>
          </w:p>
        </w:tc>
        <w:tc>
          <w:tcPr>
            <w:tcW w:w="1380" w:type="dxa"/>
            <w:tcBorders>
              <w:top w:val="nil"/>
              <w:left w:val="nil"/>
              <w:bottom w:val="nil"/>
              <w:right w:val="nil"/>
            </w:tcBorders>
            <w:shd w:val="clear" w:color="auto" w:fill="auto"/>
            <w:noWrap/>
            <w:vAlign w:val="center"/>
            <w:hideMark/>
          </w:tcPr>
          <w:p w:rsidR="0011236C" w:rsidRPr="0011236C" w:rsidRDefault="0011236C" w:rsidP="0011236C">
            <w:pPr>
              <w:rPr>
                <w:rFonts w:ascii="Arial" w:eastAsia="Times New Roman" w:hAnsi="Arial" w:cs="Arial"/>
                <w:color w:val="000000"/>
                <w:sz w:val="18"/>
                <w:szCs w:val="18"/>
                <w:lang w:val="es-CO" w:eastAsia="es-CO"/>
              </w:rPr>
            </w:pPr>
          </w:p>
        </w:tc>
        <w:tc>
          <w:tcPr>
            <w:tcW w:w="1200" w:type="dxa"/>
            <w:tcBorders>
              <w:top w:val="nil"/>
              <w:left w:val="nil"/>
              <w:bottom w:val="nil"/>
              <w:right w:val="nil"/>
            </w:tcBorders>
            <w:shd w:val="clear" w:color="auto" w:fill="auto"/>
            <w:noWrap/>
            <w:vAlign w:val="center"/>
            <w:hideMark/>
          </w:tcPr>
          <w:p w:rsidR="0011236C" w:rsidRPr="0011236C" w:rsidRDefault="0011236C" w:rsidP="0011236C">
            <w:pPr>
              <w:rPr>
                <w:rFonts w:ascii="Arial" w:eastAsia="Times New Roman" w:hAnsi="Arial" w:cs="Arial"/>
                <w:sz w:val="18"/>
                <w:szCs w:val="18"/>
                <w:lang w:val="es-CO" w:eastAsia="es-CO"/>
              </w:rPr>
            </w:pPr>
          </w:p>
        </w:tc>
        <w:tc>
          <w:tcPr>
            <w:tcW w:w="1200" w:type="dxa"/>
            <w:tcBorders>
              <w:top w:val="nil"/>
              <w:left w:val="nil"/>
              <w:bottom w:val="nil"/>
              <w:right w:val="nil"/>
            </w:tcBorders>
            <w:shd w:val="clear" w:color="auto" w:fill="auto"/>
            <w:noWrap/>
            <w:vAlign w:val="center"/>
            <w:hideMark/>
          </w:tcPr>
          <w:p w:rsidR="0011236C" w:rsidRPr="0011236C" w:rsidRDefault="0011236C" w:rsidP="0011236C">
            <w:pPr>
              <w:rPr>
                <w:rFonts w:ascii="Arial" w:eastAsia="Times New Roman" w:hAnsi="Arial" w:cs="Arial"/>
                <w:sz w:val="18"/>
                <w:szCs w:val="18"/>
                <w:lang w:val="es-CO" w:eastAsia="es-CO"/>
              </w:rPr>
            </w:pPr>
          </w:p>
        </w:tc>
        <w:tc>
          <w:tcPr>
            <w:tcW w:w="1200" w:type="dxa"/>
            <w:tcBorders>
              <w:top w:val="nil"/>
              <w:left w:val="nil"/>
              <w:bottom w:val="nil"/>
              <w:right w:val="nil"/>
            </w:tcBorders>
            <w:shd w:val="clear" w:color="auto" w:fill="auto"/>
            <w:noWrap/>
            <w:vAlign w:val="center"/>
            <w:hideMark/>
          </w:tcPr>
          <w:p w:rsidR="0011236C" w:rsidRPr="0011236C" w:rsidRDefault="0011236C" w:rsidP="0011236C">
            <w:pPr>
              <w:rPr>
                <w:rFonts w:ascii="Arial" w:eastAsia="Times New Roman" w:hAnsi="Arial" w:cs="Arial"/>
                <w:sz w:val="18"/>
                <w:szCs w:val="18"/>
                <w:lang w:val="es-CO" w:eastAsia="es-CO"/>
              </w:rPr>
            </w:pPr>
          </w:p>
        </w:tc>
      </w:tr>
      <w:tr w:rsidR="0011236C" w:rsidRPr="0011236C" w:rsidTr="00F76962">
        <w:trPr>
          <w:trHeight w:val="510"/>
          <w:jc w:val="center"/>
        </w:trPr>
        <w:tc>
          <w:tcPr>
            <w:tcW w:w="1985" w:type="dxa"/>
            <w:tcBorders>
              <w:top w:val="single" w:sz="4" w:space="0" w:color="808080"/>
              <w:left w:val="nil"/>
              <w:bottom w:val="single" w:sz="4" w:space="0" w:color="808080"/>
              <w:right w:val="nil"/>
            </w:tcBorders>
            <w:shd w:val="clear" w:color="000000" w:fill="D9D9D9"/>
            <w:vAlign w:val="center"/>
            <w:hideMark/>
          </w:tcPr>
          <w:p w:rsidR="0011236C" w:rsidRPr="0011236C" w:rsidRDefault="0011236C" w:rsidP="0011236C">
            <w:pPr>
              <w:jc w:val="center"/>
              <w:rPr>
                <w:rFonts w:ascii="Arial" w:eastAsia="Times New Roman" w:hAnsi="Arial" w:cs="Arial"/>
                <w:b/>
                <w:bCs/>
                <w:sz w:val="18"/>
                <w:szCs w:val="18"/>
                <w:lang w:val="es-CO" w:eastAsia="es-CO"/>
              </w:rPr>
            </w:pPr>
            <w:r w:rsidRPr="0011236C">
              <w:rPr>
                <w:rFonts w:ascii="Arial" w:eastAsia="Times New Roman" w:hAnsi="Arial" w:cs="Arial"/>
                <w:b/>
                <w:bCs/>
                <w:sz w:val="18"/>
                <w:szCs w:val="18"/>
                <w:lang w:val="es-CO" w:eastAsia="es-CO"/>
              </w:rPr>
              <w:t>CONCEPTO</w:t>
            </w:r>
          </w:p>
        </w:tc>
        <w:tc>
          <w:tcPr>
            <w:tcW w:w="1380" w:type="dxa"/>
            <w:tcBorders>
              <w:top w:val="single" w:sz="4" w:space="0" w:color="808080"/>
              <w:left w:val="nil"/>
              <w:bottom w:val="single" w:sz="4" w:space="0" w:color="808080"/>
              <w:right w:val="nil"/>
            </w:tcBorders>
            <w:shd w:val="clear" w:color="000000" w:fill="D9D9D9"/>
            <w:vAlign w:val="center"/>
            <w:hideMark/>
          </w:tcPr>
          <w:p w:rsidR="0011236C" w:rsidRPr="0011236C" w:rsidRDefault="0011236C" w:rsidP="0011236C">
            <w:pPr>
              <w:jc w:val="center"/>
              <w:rPr>
                <w:rFonts w:ascii="Arial" w:eastAsia="Times New Roman" w:hAnsi="Arial" w:cs="Arial"/>
                <w:b/>
                <w:bCs/>
                <w:sz w:val="18"/>
                <w:szCs w:val="18"/>
                <w:lang w:val="es-CO" w:eastAsia="es-CO"/>
              </w:rPr>
            </w:pPr>
            <w:r w:rsidRPr="0011236C">
              <w:rPr>
                <w:rFonts w:ascii="Arial" w:eastAsia="Times New Roman" w:hAnsi="Arial" w:cs="Arial"/>
                <w:b/>
                <w:bCs/>
                <w:sz w:val="18"/>
                <w:szCs w:val="18"/>
                <w:lang w:val="es-CO" w:eastAsia="es-CO"/>
              </w:rPr>
              <w:t>Nivel I</w:t>
            </w:r>
          </w:p>
        </w:tc>
        <w:tc>
          <w:tcPr>
            <w:tcW w:w="1200" w:type="dxa"/>
            <w:tcBorders>
              <w:top w:val="single" w:sz="4" w:space="0" w:color="808080"/>
              <w:left w:val="nil"/>
              <w:bottom w:val="single" w:sz="4" w:space="0" w:color="808080"/>
              <w:right w:val="nil"/>
            </w:tcBorders>
            <w:shd w:val="clear" w:color="000000" w:fill="D9D9D9"/>
            <w:vAlign w:val="center"/>
            <w:hideMark/>
          </w:tcPr>
          <w:p w:rsidR="0011236C" w:rsidRPr="0011236C" w:rsidRDefault="0011236C" w:rsidP="0011236C">
            <w:pPr>
              <w:jc w:val="center"/>
              <w:rPr>
                <w:rFonts w:ascii="Arial" w:eastAsia="Times New Roman" w:hAnsi="Arial" w:cs="Arial"/>
                <w:b/>
                <w:bCs/>
                <w:sz w:val="18"/>
                <w:szCs w:val="18"/>
                <w:lang w:val="es-CO" w:eastAsia="es-CO"/>
              </w:rPr>
            </w:pPr>
            <w:r w:rsidRPr="0011236C">
              <w:rPr>
                <w:rFonts w:ascii="Arial" w:eastAsia="Times New Roman" w:hAnsi="Arial" w:cs="Arial"/>
                <w:b/>
                <w:bCs/>
                <w:sz w:val="18"/>
                <w:szCs w:val="18"/>
                <w:lang w:val="es-CO" w:eastAsia="es-CO"/>
              </w:rPr>
              <w:t>Nivel II</w:t>
            </w:r>
          </w:p>
        </w:tc>
        <w:tc>
          <w:tcPr>
            <w:tcW w:w="1200" w:type="dxa"/>
            <w:tcBorders>
              <w:top w:val="single" w:sz="4" w:space="0" w:color="808080"/>
              <w:left w:val="nil"/>
              <w:bottom w:val="single" w:sz="4" w:space="0" w:color="808080"/>
              <w:right w:val="nil"/>
            </w:tcBorders>
            <w:shd w:val="clear" w:color="000000" w:fill="D9D9D9"/>
            <w:vAlign w:val="center"/>
            <w:hideMark/>
          </w:tcPr>
          <w:p w:rsidR="0011236C" w:rsidRPr="0011236C" w:rsidRDefault="0011236C" w:rsidP="0011236C">
            <w:pPr>
              <w:jc w:val="center"/>
              <w:rPr>
                <w:rFonts w:ascii="Arial" w:eastAsia="Times New Roman" w:hAnsi="Arial" w:cs="Arial"/>
                <w:b/>
                <w:bCs/>
                <w:sz w:val="18"/>
                <w:szCs w:val="18"/>
                <w:lang w:val="es-CO" w:eastAsia="es-CO"/>
              </w:rPr>
            </w:pPr>
            <w:r w:rsidRPr="0011236C">
              <w:rPr>
                <w:rFonts w:ascii="Arial" w:eastAsia="Times New Roman" w:hAnsi="Arial" w:cs="Arial"/>
                <w:b/>
                <w:bCs/>
                <w:sz w:val="18"/>
                <w:szCs w:val="18"/>
                <w:lang w:val="es-CO" w:eastAsia="es-CO"/>
              </w:rPr>
              <w:t>Nivel III</w:t>
            </w:r>
          </w:p>
        </w:tc>
        <w:tc>
          <w:tcPr>
            <w:tcW w:w="1200" w:type="dxa"/>
            <w:tcBorders>
              <w:top w:val="single" w:sz="4" w:space="0" w:color="808080"/>
              <w:left w:val="nil"/>
              <w:bottom w:val="single" w:sz="4" w:space="0" w:color="808080"/>
              <w:right w:val="nil"/>
            </w:tcBorders>
            <w:shd w:val="clear" w:color="000000" w:fill="D9D9D9"/>
            <w:vAlign w:val="center"/>
            <w:hideMark/>
          </w:tcPr>
          <w:p w:rsidR="0011236C" w:rsidRPr="0011236C" w:rsidRDefault="0011236C" w:rsidP="0011236C">
            <w:pPr>
              <w:jc w:val="center"/>
              <w:rPr>
                <w:rFonts w:ascii="Arial" w:eastAsia="Times New Roman" w:hAnsi="Arial" w:cs="Arial"/>
                <w:b/>
                <w:bCs/>
                <w:sz w:val="18"/>
                <w:szCs w:val="18"/>
                <w:lang w:val="es-CO" w:eastAsia="es-CO"/>
              </w:rPr>
            </w:pPr>
            <w:r w:rsidRPr="0011236C">
              <w:rPr>
                <w:rFonts w:ascii="Arial" w:eastAsia="Times New Roman" w:hAnsi="Arial" w:cs="Arial"/>
                <w:b/>
                <w:bCs/>
                <w:sz w:val="18"/>
                <w:szCs w:val="18"/>
                <w:lang w:val="es-CO" w:eastAsia="es-CO"/>
              </w:rPr>
              <w:t>Total</w:t>
            </w:r>
          </w:p>
        </w:tc>
      </w:tr>
      <w:tr w:rsidR="0011236C" w:rsidRPr="0011236C" w:rsidTr="00F76962">
        <w:trPr>
          <w:trHeight w:val="315"/>
          <w:jc w:val="center"/>
        </w:trPr>
        <w:tc>
          <w:tcPr>
            <w:tcW w:w="1985" w:type="dxa"/>
            <w:tcBorders>
              <w:top w:val="nil"/>
              <w:left w:val="nil"/>
              <w:bottom w:val="single" w:sz="4" w:space="0" w:color="808080"/>
              <w:right w:val="nil"/>
            </w:tcBorders>
            <w:shd w:val="clear" w:color="auto" w:fill="auto"/>
            <w:vAlign w:val="center"/>
            <w:hideMark/>
          </w:tcPr>
          <w:p w:rsidR="0011236C" w:rsidRPr="0011236C" w:rsidRDefault="0011236C" w:rsidP="0011236C">
            <w:pPr>
              <w:rPr>
                <w:rFonts w:ascii="Arial" w:eastAsia="Times New Roman" w:hAnsi="Arial" w:cs="Arial"/>
                <w:b/>
                <w:bCs/>
                <w:color w:val="000000"/>
                <w:sz w:val="18"/>
                <w:szCs w:val="18"/>
                <w:lang w:val="es-CO" w:eastAsia="es-CO"/>
              </w:rPr>
            </w:pPr>
            <w:r w:rsidRPr="0011236C">
              <w:rPr>
                <w:rFonts w:ascii="Arial" w:eastAsia="Times New Roman" w:hAnsi="Arial" w:cs="Arial"/>
                <w:b/>
                <w:bCs/>
                <w:color w:val="000000"/>
                <w:sz w:val="18"/>
                <w:szCs w:val="18"/>
                <w:lang w:val="es-CO" w:eastAsia="es-CO"/>
              </w:rPr>
              <w:t>1. Ingresos</w:t>
            </w:r>
          </w:p>
        </w:tc>
        <w:tc>
          <w:tcPr>
            <w:tcW w:w="1380" w:type="dxa"/>
            <w:tcBorders>
              <w:top w:val="nil"/>
              <w:left w:val="nil"/>
              <w:bottom w:val="single" w:sz="4" w:space="0" w:color="808080"/>
              <w:right w:val="nil"/>
            </w:tcBorders>
            <w:shd w:val="clear" w:color="000000" w:fill="FFFFFF"/>
            <w:vAlign w:val="center"/>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282.729</w:t>
            </w:r>
          </w:p>
        </w:tc>
        <w:tc>
          <w:tcPr>
            <w:tcW w:w="1200" w:type="dxa"/>
            <w:tcBorders>
              <w:top w:val="nil"/>
              <w:left w:val="nil"/>
              <w:bottom w:val="single" w:sz="4" w:space="0" w:color="808080"/>
              <w:right w:val="nil"/>
            </w:tcBorders>
            <w:shd w:val="clear" w:color="auto" w:fill="auto"/>
            <w:vAlign w:val="center"/>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181.230</w:t>
            </w:r>
          </w:p>
        </w:tc>
        <w:tc>
          <w:tcPr>
            <w:tcW w:w="1200" w:type="dxa"/>
            <w:tcBorders>
              <w:top w:val="nil"/>
              <w:left w:val="nil"/>
              <w:bottom w:val="single" w:sz="4" w:space="0" w:color="808080"/>
              <w:right w:val="nil"/>
            </w:tcBorders>
            <w:shd w:val="clear" w:color="auto" w:fill="auto"/>
            <w:vAlign w:val="center"/>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170.956</w:t>
            </w:r>
          </w:p>
        </w:tc>
        <w:tc>
          <w:tcPr>
            <w:tcW w:w="1200" w:type="dxa"/>
            <w:tcBorders>
              <w:top w:val="nil"/>
              <w:left w:val="nil"/>
              <w:bottom w:val="single" w:sz="4" w:space="0" w:color="808080"/>
              <w:right w:val="nil"/>
            </w:tcBorders>
            <w:shd w:val="clear" w:color="auto" w:fill="auto"/>
            <w:vAlign w:val="center"/>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634.915</w:t>
            </w:r>
          </w:p>
        </w:tc>
      </w:tr>
      <w:tr w:rsidR="0011236C" w:rsidRPr="0011236C" w:rsidTr="00F76962">
        <w:trPr>
          <w:trHeight w:val="315"/>
          <w:jc w:val="center"/>
        </w:trPr>
        <w:tc>
          <w:tcPr>
            <w:tcW w:w="1985" w:type="dxa"/>
            <w:tcBorders>
              <w:top w:val="nil"/>
              <w:left w:val="nil"/>
              <w:bottom w:val="single" w:sz="4" w:space="0" w:color="808080"/>
              <w:right w:val="nil"/>
            </w:tcBorders>
            <w:shd w:val="clear" w:color="auto" w:fill="auto"/>
            <w:vAlign w:val="center"/>
            <w:hideMark/>
          </w:tcPr>
          <w:p w:rsidR="0011236C" w:rsidRPr="0011236C" w:rsidRDefault="0011236C" w:rsidP="0011236C">
            <w:pPr>
              <w:rPr>
                <w:rFonts w:ascii="Arial" w:eastAsia="Times New Roman" w:hAnsi="Arial" w:cs="Arial"/>
                <w:b/>
                <w:bCs/>
                <w:color w:val="000000"/>
                <w:sz w:val="18"/>
                <w:szCs w:val="18"/>
                <w:lang w:val="es-CO" w:eastAsia="es-CO"/>
              </w:rPr>
            </w:pPr>
            <w:r w:rsidRPr="0011236C">
              <w:rPr>
                <w:rFonts w:ascii="Arial" w:eastAsia="Times New Roman" w:hAnsi="Arial" w:cs="Arial"/>
                <w:b/>
                <w:bCs/>
                <w:color w:val="000000"/>
                <w:sz w:val="18"/>
                <w:szCs w:val="18"/>
                <w:lang w:val="es-CO" w:eastAsia="es-CO"/>
              </w:rPr>
              <w:t>2. Gastos</w:t>
            </w:r>
          </w:p>
        </w:tc>
        <w:tc>
          <w:tcPr>
            <w:tcW w:w="1380" w:type="dxa"/>
            <w:tcBorders>
              <w:top w:val="nil"/>
              <w:left w:val="nil"/>
              <w:bottom w:val="single" w:sz="4" w:space="0" w:color="808080"/>
              <w:right w:val="nil"/>
            </w:tcBorders>
            <w:shd w:val="clear" w:color="000000" w:fill="FFFFFF"/>
            <w:vAlign w:val="center"/>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326.474</w:t>
            </w:r>
          </w:p>
        </w:tc>
        <w:tc>
          <w:tcPr>
            <w:tcW w:w="1200" w:type="dxa"/>
            <w:tcBorders>
              <w:top w:val="nil"/>
              <w:left w:val="nil"/>
              <w:bottom w:val="single" w:sz="4" w:space="0" w:color="808080"/>
              <w:right w:val="nil"/>
            </w:tcBorders>
            <w:shd w:val="clear" w:color="auto" w:fill="auto"/>
            <w:vAlign w:val="center"/>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226.753</w:t>
            </w:r>
          </w:p>
        </w:tc>
        <w:tc>
          <w:tcPr>
            <w:tcW w:w="1200" w:type="dxa"/>
            <w:tcBorders>
              <w:top w:val="nil"/>
              <w:left w:val="nil"/>
              <w:bottom w:val="single" w:sz="4" w:space="0" w:color="808080"/>
              <w:right w:val="nil"/>
            </w:tcBorders>
            <w:shd w:val="clear" w:color="auto" w:fill="auto"/>
            <w:vAlign w:val="center"/>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224.304</w:t>
            </w:r>
          </w:p>
        </w:tc>
        <w:tc>
          <w:tcPr>
            <w:tcW w:w="1200" w:type="dxa"/>
            <w:tcBorders>
              <w:top w:val="nil"/>
              <w:left w:val="nil"/>
              <w:bottom w:val="single" w:sz="4" w:space="0" w:color="808080"/>
              <w:right w:val="nil"/>
            </w:tcBorders>
            <w:shd w:val="clear" w:color="auto" w:fill="auto"/>
            <w:vAlign w:val="center"/>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777.531</w:t>
            </w:r>
          </w:p>
        </w:tc>
      </w:tr>
      <w:tr w:rsidR="0011236C" w:rsidRPr="0011236C" w:rsidTr="00F76962">
        <w:trPr>
          <w:trHeight w:val="315"/>
          <w:jc w:val="center"/>
        </w:trPr>
        <w:tc>
          <w:tcPr>
            <w:tcW w:w="1985" w:type="dxa"/>
            <w:tcBorders>
              <w:top w:val="nil"/>
              <w:left w:val="nil"/>
              <w:bottom w:val="single" w:sz="4" w:space="0" w:color="808080"/>
              <w:right w:val="nil"/>
            </w:tcBorders>
            <w:shd w:val="clear" w:color="auto" w:fill="auto"/>
            <w:vAlign w:val="center"/>
            <w:hideMark/>
          </w:tcPr>
          <w:p w:rsidR="0011236C" w:rsidRPr="0011236C" w:rsidRDefault="0011236C" w:rsidP="0011236C">
            <w:pPr>
              <w:rPr>
                <w:rFonts w:ascii="Arial" w:eastAsia="Times New Roman" w:hAnsi="Arial" w:cs="Arial"/>
                <w:b/>
                <w:bCs/>
                <w:color w:val="000000"/>
                <w:sz w:val="18"/>
                <w:szCs w:val="18"/>
                <w:lang w:val="es-CO" w:eastAsia="es-CO"/>
              </w:rPr>
            </w:pPr>
            <w:r w:rsidRPr="0011236C">
              <w:rPr>
                <w:rFonts w:ascii="Arial" w:eastAsia="Times New Roman" w:hAnsi="Arial" w:cs="Arial"/>
                <w:b/>
                <w:bCs/>
                <w:color w:val="000000"/>
                <w:sz w:val="18"/>
                <w:szCs w:val="18"/>
                <w:lang w:val="es-CO" w:eastAsia="es-CO"/>
              </w:rPr>
              <w:t>3. Resultado (1-2)</w:t>
            </w:r>
          </w:p>
        </w:tc>
        <w:tc>
          <w:tcPr>
            <w:tcW w:w="1380" w:type="dxa"/>
            <w:tcBorders>
              <w:top w:val="nil"/>
              <w:left w:val="nil"/>
              <w:bottom w:val="single" w:sz="4" w:space="0" w:color="808080"/>
              <w:right w:val="nil"/>
            </w:tcBorders>
            <w:shd w:val="clear" w:color="000000" w:fill="FFFFFF"/>
            <w:vAlign w:val="center"/>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-43.745</w:t>
            </w:r>
          </w:p>
        </w:tc>
        <w:tc>
          <w:tcPr>
            <w:tcW w:w="1200" w:type="dxa"/>
            <w:tcBorders>
              <w:top w:val="nil"/>
              <w:left w:val="nil"/>
              <w:bottom w:val="single" w:sz="4" w:space="0" w:color="808080"/>
              <w:right w:val="nil"/>
            </w:tcBorders>
            <w:shd w:val="clear" w:color="000000" w:fill="FFFFFF"/>
            <w:vAlign w:val="center"/>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-45.523</w:t>
            </w:r>
          </w:p>
        </w:tc>
        <w:tc>
          <w:tcPr>
            <w:tcW w:w="1200" w:type="dxa"/>
            <w:tcBorders>
              <w:top w:val="nil"/>
              <w:left w:val="nil"/>
              <w:bottom w:val="single" w:sz="4" w:space="0" w:color="808080"/>
              <w:right w:val="nil"/>
            </w:tcBorders>
            <w:shd w:val="clear" w:color="000000" w:fill="FFFFFF"/>
            <w:vAlign w:val="center"/>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-53.348</w:t>
            </w:r>
          </w:p>
        </w:tc>
        <w:tc>
          <w:tcPr>
            <w:tcW w:w="1200" w:type="dxa"/>
            <w:tcBorders>
              <w:top w:val="nil"/>
              <w:left w:val="nil"/>
              <w:bottom w:val="single" w:sz="4" w:space="0" w:color="808080"/>
              <w:right w:val="nil"/>
            </w:tcBorders>
            <w:shd w:val="clear" w:color="000000" w:fill="FFFFFF"/>
            <w:vAlign w:val="center"/>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-142.616</w:t>
            </w:r>
          </w:p>
        </w:tc>
      </w:tr>
      <w:tr w:rsidR="0011236C" w:rsidRPr="0011236C" w:rsidTr="00F76962">
        <w:trPr>
          <w:trHeight w:val="315"/>
          <w:jc w:val="center"/>
        </w:trPr>
        <w:tc>
          <w:tcPr>
            <w:tcW w:w="1985" w:type="dxa"/>
            <w:tcBorders>
              <w:top w:val="nil"/>
              <w:left w:val="nil"/>
              <w:bottom w:val="single" w:sz="4" w:space="0" w:color="808080"/>
              <w:right w:val="nil"/>
            </w:tcBorders>
            <w:shd w:val="clear" w:color="auto" w:fill="auto"/>
            <w:vAlign w:val="center"/>
            <w:hideMark/>
          </w:tcPr>
          <w:p w:rsidR="0011236C" w:rsidRPr="0011236C" w:rsidRDefault="0011236C" w:rsidP="0011236C">
            <w:pPr>
              <w:rPr>
                <w:rFonts w:ascii="Arial" w:eastAsia="Times New Roman" w:hAnsi="Arial" w:cs="Arial"/>
                <w:b/>
                <w:bCs/>
                <w:color w:val="000000"/>
                <w:sz w:val="18"/>
                <w:szCs w:val="18"/>
                <w:lang w:val="es-CO" w:eastAsia="es-CO"/>
              </w:rPr>
            </w:pPr>
            <w:r w:rsidRPr="0011236C">
              <w:rPr>
                <w:rFonts w:ascii="Arial" w:eastAsia="Times New Roman" w:hAnsi="Arial" w:cs="Arial"/>
                <w:b/>
                <w:bCs/>
                <w:color w:val="000000"/>
                <w:sz w:val="18"/>
                <w:szCs w:val="18"/>
                <w:lang w:val="es-CO" w:eastAsia="es-CO"/>
              </w:rPr>
              <w:t>4. Pasivos</w:t>
            </w:r>
          </w:p>
        </w:tc>
        <w:tc>
          <w:tcPr>
            <w:tcW w:w="1380" w:type="dxa"/>
            <w:tcBorders>
              <w:top w:val="nil"/>
              <w:left w:val="nil"/>
              <w:bottom w:val="single" w:sz="4" w:space="0" w:color="808080"/>
              <w:right w:val="nil"/>
            </w:tcBorders>
            <w:shd w:val="clear" w:color="auto" w:fill="auto"/>
            <w:vAlign w:val="center"/>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68.265</w:t>
            </w:r>
          </w:p>
        </w:tc>
        <w:tc>
          <w:tcPr>
            <w:tcW w:w="1200" w:type="dxa"/>
            <w:tcBorders>
              <w:top w:val="nil"/>
              <w:left w:val="nil"/>
              <w:bottom w:val="single" w:sz="4" w:space="0" w:color="808080"/>
              <w:right w:val="nil"/>
            </w:tcBorders>
            <w:shd w:val="clear" w:color="auto" w:fill="auto"/>
            <w:vAlign w:val="center"/>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48.600</w:t>
            </w:r>
          </w:p>
        </w:tc>
        <w:tc>
          <w:tcPr>
            <w:tcW w:w="1200" w:type="dxa"/>
            <w:tcBorders>
              <w:top w:val="nil"/>
              <w:left w:val="nil"/>
              <w:bottom w:val="single" w:sz="4" w:space="0" w:color="808080"/>
              <w:right w:val="nil"/>
            </w:tcBorders>
            <w:shd w:val="clear" w:color="auto" w:fill="auto"/>
            <w:vAlign w:val="center"/>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59.161</w:t>
            </w:r>
          </w:p>
        </w:tc>
        <w:tc>
          <w:tcPr>
            <w:tcW w:w="1200" w:type="dxa"/>
            <w:tcBorders>
              <w:top w:val="nil"/>
              <w:left w:val="nil"/>
              <w:bottom w:val="single" w:sz="4" w:space="0" w:color="808080"/>
              <w:right w:val="nil"/>
            </w:tcBorders>
            <w:shd w:val="clear" w:color="auto" w:fill="auto"/>
            <w:vAlign w:val="center"/>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176.026</w:t>
            </w:r>
          </w:p>
        </w:tc>
      </w:tr>
      <w:tr w:rsidR="0011236C" w:rsidRPr="0011236C" w:rsidTr="00F76962">
        <w:trPr>
          <w:trHeight w:val="315"/>
          <w:jc w:val="center"/>
        </w:trPr>
        <w:tc>
          <w:tcPr>
            <w:tcW w:w="1985" w:type="dxa"/>
            <w:tcBorders>
              <w:top w:val="nil"/>
              <w:left w:val="nil"/>
              <w:bottom w:val="single" w:sz="4" w:space="0" w:color="808080"/>
              <w:right w:val="nil"/>
            </w:tcBorders>
            <w:shd w:val="clear" w:color="auto" w:fill="auto"/>
            <w:vAlign w:val="center"/>
            <w:hideMark/>
          </w:tcPr>
          <w:p w:rsidR="0011236C" w:rsidRPr="0011236C" w:rsidRDefault="0011236C" w:rsidP="0011236C">
            <w:pPr>
              <w:rPr>
                <w:rFonts w:ascii="Arial" w:eastAsia="Times New Roman" w:hAnsi="Arial" w:cs="Arial"/>
                <w:b/>
                <w:bCs/>
                <w:color w:val="000000"/>
                <w:sz w:val="18"/>
                <w:szCs w:val="18"/>
                <w:lang w:val="es-CO" w:eastAsia="es-CO"/>
              </w:rPr>
            </w:pPr>
            <w:r w:rsidRPr="0011236C">
              <w:rPr>
                <w:rFonts w:ascii="Arial" w:eastAsia="Times New Roman" w:hAnsi="Arial" w:cs="Arial"/>
                <w:b/>
                <w:bCs/>
                <w:color w:val="000000"/>
                <w:sz w:val="18"/>
                <w:szCs w:val="18"/>
                <w:lang w:val="es-CO" w:eastAsia="es-CO"/>
              </w:rPr>
              <w:t>5. Cartera</w:t>
            </w:r>
          </w:p>
        </w:tc>
        <w:tc>
          <w:tcPr>
            <w:tcW w:w="1380" w:type="dxa"/>
            <w:tcBorders>
              <w:top w:val="nil"/>
              <w:left w:val="nil"/>
              <w:bottom w:val="single" w:sz="4" w:space="0" w:color="808080"/>
              <w:right w:val="nil"/>
            </w:tcBorders>
            <w:shd w:val="clear" w:color="000000" w:fill="FFFFFF"/>
            <w:vAlign w:val="center"/>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55.063</w:t>
            </w:r>
          </w:p>
        </w:tc>
        <w:tc>
          <w:tcPr>
            <w:tcW w:w="1200" w:type="dxa"/>
            <w:tcBorders>
              <w:top w:val="nil"/>
              <w:left w:val="nil"/>
              <w:bottom w:val="single" w:sz="4" w:space="0" w:color="808080"/>
              <w:right w:val="nil"/>
            </w:tcBorders>
            <w:shd w:val="clear" w:color="auto" w:fill="auto"/>
            <w:vAlign w:val="center"/>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81.634</w:t>
            </w:r>
          </w:p>
        </w:tc>
        <w:tc>
          <w:tcPr>
            <w:tcW w:w="1200" w:type="dxa"/>
            <w:tcBorders>
              <w:top w:val="nil"/>
              <w:left w:val="nil"/>
              <w:bottom w:val="single" w:sz="4" w:space="0" w:color="808080"/>
              <w:right w:val="nil"/>
            </w:tcBorders>
            <w:shd w:val="clear" w:color="auto" w:fill="auto"/>
            <w:vAlign w:val="center"/>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120.255</w:t>
            </w:r>
          </w:p>
        </w:tc>
        <w:tc>
          <w:tcPr>
            <w:tcW w:w="1200" w:type="dxa"/>
            <w:tcBorders>
              <w:top w:val="nil"/>
              <w:left w:val="nil"/>
              <w:bottom w:val="single" w:sz="4" w:space="0" w:color="808080"/>
              <w:right w:val="nil"/>
            </w:tcBorders>
            <w:shd w:val="clear" w:color="auto" w:fill="auto"/>
            <w:vAlign w:val="center"/>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256.952</w:t>
            </w:r>
          </w:p>
        </w:tc>
      </w:tr>
      <w:tr w:rsidR="0011236C" w:rsidRPr="0011236C" w:rsidTr="00F76962">
        <w:trPr>
          <w:trHeight w:val="315"/>
          <w:jc w:val="center"/>
        </w:trPr>
        <w:tc>
          <w:tcPr>
            <w:tcW w:w="6964" w:type="dxa"/>
            <w:gridSpan w:val="5"/>
            <w:tcBorders>
              <w:top w:val="nil"/>
              <w:left w:val="nil"/>
              <w:bottom w:val="nil"/>
            </w:tcBorders>
            <w:shd w:val="clear" w:color="auto" w:fill="auto"/>
            <w:noWrap/>
            <w:vAlign w:val="center"/>
            <w:hideMark/>
          </w:tcPr>
          <w:p w:rsidR="0011236C" w:rsidRPr="0011236C" w:rsidRDefault="0011236C" w:rsidP="0011236C">
            <w:pPr>
              <w:rPr>
                <w:rFonts w:ascii="Arial" w:eastAsia="Times New Roman" w:hAnsi="Arial" w:cs="Arial"/>
                <w:sz w:val="18"/>
                <w:szCs w:val="18"/>
                <w:lang w:val="es-CO" w:eastAsia="es-CO"/>
              </w:rPr>
            </w:pPr>
            <w:r w:rsidRPr="0011236C">
              <w:rPr>
                <w:rFonts w:ascii="Arial" w:eastAsia="Times New Roman" w:hAnsi="Arial" w:cs="Arial"/>
                <w:b/>
                <w:bCs/>
                <w:color w:val="000000"/>
                <w:sz w:val="18"/>
                <w:szCs w:val="18"/>
                <w:lang w:val="es-CO" w:eastAsia="es-CO"/>
              </w:rPr>
              <w:t xml:space="preserve">Fuente: </w:t>
            </w:r>
            <w:r w:rsidRPr="0011236C">
              <w:rPr>
                <w:rFonts w:ascii="Arial" w:eastAsia="Times New Roman" w:hAnsi="Arial" w:cs="Arial"/>
                <w:color w:val="000000"/>
                <w:sz w:val="18"/>
                <w:szCs w:val="18"/>
                <w:lang w:val="es-CO" w:eastAsia="es-CO"/>
              </w:rPr>
              <w:t xml:space="preserve">Sistema de Información de Hospitales </w:t>
            </w:r>
            <w:r w:rsidRPr="0011236C">
              <w:rPr>
                <w:rFonts w:ascii="Arial" w:eastAsia="Times New Roman" w:hAnsi="Arial" w:cs="Arial"/>
                <w:sz w:val="18"/>
                <w:szCs w:val="18"/>
                <w:lang w:val="es-CO" w:eastAsia="es-CO"/>
              </w:rPr>
              <w:t>- SIHO. Corte Dic. 2020.</w:t>
            </w:r>
          </w:p>
        </w:tc>
      </w:tr>
    </w:tbl>
    <w:p w:rsidR="0011236C" w:rsidRPr="0011236C" w:rsidRDefault="0011236C" w:rsidP="0011236C">
      <w:pPr>
        <w:autoSpaceDE w:val="0"/>
        <w:autoSpaceDN w:val="0"/>
        <w:adjustRightInd w:val="0"/>
        <w:jc w:val="both"/>
        <w:rPr>
          <w:rFonts w:ascii="Arial" w:eastAsiaTheme="minorHAnsi" w:hAnsi="Arial" w:cs="Arial"/>
          <w:sz w:val="21"/>
          <w:szCs w:val="21"/>
          <w:lang w:val="es-CO" w:eastAsia="en-US"/>
        </w:rPr>
      </w:pPr>
      <w:bookmarkStart w:id="2" w:name="_Hlk524536717"/>
    </w:p>
    <w:p w:rsidR="0011236C" w:rsidRPr="0011236C" w:rsidRDefault="0011236C" w:rsidP="0011236C">
      <w:pPr>
        <w:autoSpaceDE w:val="0"/>
        <w:autoSpaceDN w:val="0"/>
        <w:adjustRightInd w:val="0"/>
        <w:jc w:val="both"/>
        <w:rPr>
          <w:rFonts w:ascii="Arial" w:eastAsiaTheme="minorHAnsi" w:hAnsi="Arial" w:cs="Arial"/>
          <w:sz w:val="21"/>
          <w:szCs w:val="21"/>
          <w:lang w:val="es-CO" w:eastAsia="en-US"/>
        </w:rPr>
      </w:pPr>
      <w:r w:rsidRPr="0011236C">
        <w:rPr>
          <w:rFonts w:ascii="Arial" w:eastAsiaTheme="minorHAnsi" w:hAnsi="Arial" w:cs="Arial"/>
          <w:sz w:val="21"/>
          <w:szCs w:val="21"/>
          <w:lang w:val="es-CO" w:eastAsia="en-US"/>
        </w:rPr>
        <w:t xml:space="preserve">A corte junio de 2021 la red pública recaudó $196.228 millones, generó compromisos por $230.626 millones, mostrando una tendencia deficitaria ($34.398 millones). Los pasivos alcanzaron los $188.286 millones, mostrando un incremento del 6% con relación a los evidenciados al cierre de la vigencia 2020; mientras que la cartera total ascendió a $264.284 millones, revelando un incremento del 2% respecto a la evidenciada al cierre de la vigencia anterior. </w:t>
      </w:r>
    </w:p>
    <w:bookmarkEnd w:id="2"/>
    <w:p w:rsidR="0011236C" w:rsidRDefault="0011236C" w:rsidP="0011236C">
      <w:pPr>
        <w:jc w:val="both"/>
        <w:rPr>
          <w:rFonts w:ascii="Arial" w:eastAsia="Calibri" w:hAnsi="Arial" w:cs="Arial"/>
          <w:sz w:val="21"/>
          <w:szCs w:val="21"/>
          <w:highlight w:val="yellow"/>
          <w:lang w:eastAsia="en-US"/>
        </w:rPr>
      </w:pPr>
    </w:p>
    <w:p w:rsidR="0011236C" w:rsidRPr="0011236C" w:rsidRDefault="0011236C" w:rsidP="0011236C">
      <w:pPr>
        <w:jc w:val="both"/>
        <w:rPr>
          <w:rFonts w:ascii="Arial" w:eastAsia="Calibri" w:hAnsi="Arial" w:cs="Arial"/>
          <w:sz w:val="21"/>
          <w:szCs w:val="21"/>
          <w:highlight w:val="yellow"/>
          <w:lang w:eastAsia="en-US"/>
        </w:rPr>
      </w:pPr>
    </w:p>
    <w:p w:rsidR="0011236C" w:rsidRPr="0011236C" w:rsidRDefault="0011236C" w:rsidP="0011236C">
      <w:pPr>
        <w:numPr>
          <w:ilvl w:val="0"/>
          <w:numId w:val="24"/>
        </w:numPr>
        <w:contextualSpacing/>
        <w:jc w:val="both"/>
        <w:rPr>
          <w:rFonts w:ascii="Arial" w:eastAsia="Calibri" w:hAnsi="Arial" w:cs="Arial"/>
          <w:b/>
          <w:sz w:val="21"/>
          <w:szCs w:val="21"/>
          <w:lang w:eastAsia="en-US"/>
        </w:rPr>
      </w:pPr>
      <w:r w:rsidRPr="0011236C">
        <w:rPr>
          <w:rFonts w:ascii="Arial" w:eastAsia="Calibri" w:hAnsi="Arial" w:cs="Arial"/>
          <w:b/>
          <w:sz w:val="21"/>
          <w:szCs w:val="21"/>
          <w:lang w:eastAsia="en-US"/>
        </w:rPr>
        <w:lastRenderedPageBreak/>
        <w:t xml:space="preserve">Planeación en Salud </w:t>
      </w:r>
    </w:p>
    <w:p w:rsidR="0011236C" w:rsidRPr="0011236C" w:rsidRDefault="0011236C" w:rsidP="001123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5"/>
        </w:tabs>
        <w:jc w:val="both"/>
        <w:rPr>
          <w:rFonts w:ascii="Arial" w:eastAsia="Calibri" w:hAnsi="Arial" w:cs="Arial"/>
          <w:sz w:val="21"/>
          <w:szCs w:val="21"/>
          <w:highlight w:val="yellow"/>
          <w:lang w:eastAsia="en-US"/>
        </w:rPr>
      </w:pPr>
    </w:p>
    <w:p w:rsidR="0011236C" w:rsidRPr="0011236C" w:rsidRDefault="0011236C" w:rsidP="0011236C">
      <w:pPr>
        <w:autoSpaceDE w:val="0"/>
        <w:autoSpaceDN w:val="0"/>
        <w:adjustRightInd w:val="0"/>
        <w:jc w:val="both"/>
        <w:rPr>
          <w:rFonts w:ascii="Arial" w:hAnsi="Arial" w:cs="Arial"/>
          <w:bCs/>
          <w:sz w:val="21"/>
          <w:szCs w:val="21"/>
        </w:rPr>
      </w:pPr>
      <w:r w:rsidRPr="0011236C">
        <w:rPr>
          <w:rFonts w:ascii="Arial" w:hAnsi="Arial" w:cs="Arial"/>
          <w:bCs/>
          <w:sz w:val="21"/>
          <w:szCs w:val="21"/>
        </w:rPr>
        <w:t xml:space="preserve">El plan de desarrollo para el periodo 2020 – 2023, propuesto por el Sr Gobernador Carlos Eduardo Caicedo Omar, bajo el nombre de “MAGDALENA RENACE 2020-2023”, proyecta recursos para inversión que ascienden a $3.98 billones. En el eje estratégico denominado “revolución de equidad” se proyectan $2.7 billones dentro de los cuales se incluyen los que serán destinados para el sector salud. Verificada la página WEB del Departamento del Magdalena, se identifica el Plan Territorial de Salud del Departamento “HACEMOS EL CAMBIO POR LA SALUD DEL MAGDALENA”, el cual describe el Análisis de Situación de Salud del Departamento a partir de los datos disponibles de las fuentes de información que sirven para determinan la presencia o ausencia de la enfermedad derivada de los determinantes sociales y de situaciones, que sin embargo se comportan de diferentes maneras aun en el mismo territorio, así mismo describe las estrategias de abordaje que el Gobernador del Magdalena doctor CARLOS EDUARDO CAICEDO OMAR definió dentro de su Plan de Gobierno y que han sido plasmadas bajo los lineamientos y normativas de la planificación del territorio Ley 152 de 1994. </w:t>
      </w:r>
    </w:p>
    <w:p w:rsidR="0011236C" w:rsidRPr="0011236C" w:rsidRDefault="0011236C" w:rsidP="0011236C">
      <w:pPr>
        <w:jc w:val="both"/>
        <w:rPr>
          <w:rFonts w:ascii="Arial" w:hAnsi="Arial" w:cs="Arial"/>
          <w:bCs/>
          <w:sz w:val="21"/>
          <w:szCs w:val="21"/>
        </w:rPr>
      </w:pPr>
    </w:p>
    <w:p w:rsidR="0011236C" w:rsidRPr="0011236C" w:rsidRDefault="0011236C" w:rsidP="0011236C">
      <w:pPr>
        <w:autoSpaceDE w:val="0"/>
        <w:autoSpaceDN w:val="0"/>
        <w:adjustRightInd w:val="0"/>
        <w:rPr>
          <w:rFonts w:ascii="Arial" w:hAnsi="Arial" w:cs="Arial"/>
          <w:bCs/>
          <w:sz w:val="21"/>
          <w:szCs w:val="21"/>
        </w:rPr>
      </w:pPr>
      <w:r w:rsidRPr="0011236C">
        <w:rPr>
          <w:rFonts w:ascii="Arial" w:hAnsi="Arial" w:cs="Arial"/>
          <w:bCs/>
          <w:sz w:val="21"/>
          <w:szCs w:val="21"/>
        </w:rPr>
        <w:t>El objetivo del plan territorial de salud, se describe como:</w:t>
      </w:r>
    </w:p>
    <w:p w:rsidR="0011236C" w:rsidRPr="0011236C" w:rsidRDefault="0011236C" w:rsidP="0011236C">
      <w:pPr>
        <w:autoSpaceDE w:val="0"/>
        <w:autoSpaceDN w:val="0"/>
        <w:adjustRightInd w:val="0"/>
        <w:rPr>
          <w:rFonts w:ascii="Arial" w:hAnsi="Arial" w:cs="Arial"/>
          <w:bCs/>
          <w:sz w:val="21"/>
          <w:szCs w:val="21"/>
        </w:rPr>
      </w:pPr>
    </w:p>
    <w:p w:rsidR="0011236C" w:rsidRPr="0011236C" w:rsidRDefault="0011236C" w:rsidP="0011236C">
      <w:pPr>
        <w:autoSpaceDE w:val="0"/>
        <w:autoSpaceDN w:val="0"/>
        <w:adjustRightInd w:val="0"/>
        <w:jc w:val="both"/>
        <w:rPr>
          <w:rFonts w:ascii="Arial" w:hAnsi="Arial" w:cs="Arial"/>
          <w:bCs/>
          <w:i/>
          <w:sz w:val="21"/>
          <w:szCs w:val="21"/>
        </w:rPr>
      </w:pPr>
      <w:r w:rsidRPr="0011236C">
        <w:rPr>
          <w:rFonts w:ascii="Arial" w:hAnsi="Arial" w:cs="Arial"/>
          <w:bCs/>
          <w:i/>
          <w:sz w:val="21"/>
          <w:szCs w:val="21"/>
        </w:rPr>
        <w:t>“[…] Mejorar las condiciones y el goce efectivo del derecho a la salud y al desarrollo humano integral de la población del Departamento con enfoque diferencial, enfrentando los retos del envejecimiento poblacional y la transición demográfica a través de una respuesta institucional integral y efectiva de la autoridad sanitaria, con el apoyo de los otros sectores de gobierno que trabajan los determinantes de la salud con el fin de disminuir la probabilidad de discapacidad, enfermedad o muerte evitable y la desigualdad en salud. […]”</w:t>
      </w:r>
    </w:p>
    <w:p w:rsidR="0011236C" w:rsidRPr="0011236C" w:rsidRDefault="0011236C" w:rsidP="0011236C">
      <w:pPr>
        <w:jc w:val="both"/>
        <w:rPr>
          <w:rFonts w:ascii="Arial" w:hAnsi="Arial" w:cs="Arial"/>
          <w:bCs/>
          <w:i/>
          <w:sz w:val="21"/>
          <w:szCs w:val="21"/>
        </w:rPr>
      </w:pPr>
    </w:p>
    <w:p w:rsidR="0011236C" w:rsidRPr="0011236C" w:rsidRDefault="0011236C" w:rsidP="0011236C">
      <w:pPr>
        <w:numPr>
          <w:ilvl w:val="0"/>
          <w:numId w:val="24"/>
        </w:numPr>
        <w:contextualSpacing/>
        <w:jc w:val="both"/>
        <w:rPr>
          <w:rFonts w:ascii="Arial" w:eastAsia="Calibri" w:hAnsi="Arial" w:cs="Arial"/>
          <w:b/>
          <w:sz w:val="21"/>
          <w:szCs w:val="21"/>
          <w:lang w:eastAsia="en-US"/>
        </w:rPr>
      </w:pPr>
      <w:r w:rsidRPr="0011236C">
        <w:rPr>
          <w:rFonts w:ascii="Arial" w:eastAsia="Calibri" w:hAnsi="Arial" w:cs="Arial"/>
          <w:b/>
          <w:sz w:val="21"/>
          <w:szCs w:val="21"/>
          <w:lang w:eastAsia="en-US"/>
        </w:rPr>
        <w:t>Situación Fiscal y Financiera Departamental</w:t>
      </w:r>
      <w:r w:rsidRPr="0011236C">
        <w:rPr>
          <w:rFonts w:ascii="Arial" w:eastAsia="Calibri" w:hAnsi="Arial" w:cs="Arial"/>
          <w:b/>
          <w:sz w:val="21"/>
          <w:szCs w:val="21"/>
          <w:vertAlign w:val="superscript"/>
          <w:lang w:eastAsia="en-US"/>
        </w:rPr>
        <w:footnoteReference w:id="1"/>
      </w:r>
      <w:r w:rsidRPr="0011236C">
        <w:rPr>
          <w:rFonts w:ascii="Arial" w:eastAsia="Calibri" w:hAnsi="Arial" w:cs="Arial"/>
          <w:b/>
          <w:sz w:val="21"/>
          <w:szCs w:val="21"/>
          <w:lang w:eastAsia="en-US"/>
        </w:rPr>
        <w:t xml:space="preserve"> </w:t>
      </w:r>
    </w:p>
    <w:p w:rsidR="0011236C" w:rsidRPr="0011236C" w:rsidRDefault="0011236C" w:rsidP="0011236C">
      <w:pPr>
        <w:jc w:val="both"/>
        <w:rPr>
          <w:rFonts w:ascii="Arial" w:hAnsi="Arial" w:cs="Arial"/>
          <w:sz w:val="21"/>
          <w:szCs w:val="21"/>
        </w:rPr>
      </w:pPr>
      <w:r w:rsidRPr="0011236C">
        <w:rPr>
          <w:rFonts w:ascii="Arial" w:hAnsi="Arial" w:cs="Arial"/>
          <w:sz w:val="21"/>
          <w:szCs w:val="21"/>
        </w:rPr>
        <w:t xml:space="preserve"> </w:t>
      </w:r>
    </w:p>
    <w:p w:rsidR="0011236C" w:rsidRPr="0011236C" w:rsidRDefault="0011236C" w:rsidP="0011236C">
      <w:pPr>
        <w:jc w:val="both"/>
        <w:rPr>
          <w:rFonts w:ascii="Arial" w:hAnsi="Arial" w:cs="Arial"/>
          <w:bCs/>
          <w:i/>
          <w:sz w:val="21"/>
          <w:szCs w:val="21"/>
        </w:rPr>
      </w:pPr>
      <w:r w:rsidRPr="0011236C">
        <w:rPr>
          <w:rFonts w:ascii="Arial" w:hAnsi="Arial" w:cs="Arial"/>
          <w:bCs/>
          <w:sz w:val="21"/>
          <w:szCs w:val="21"/>
        </w:rPr>
        <w:t>El Departamento del Magdalena en la vigencia 2020 mostró lo siguiente</w:t>
      </w:r>
      <w:r w:rsidRPr="0011236C">
        <w:rPr>
          <w:rFonts w:ascii="Arial" w:hAnsi="Arial" w:cs="Arial"/>
          <w:bCs/>
          <w:i/>
          <w:sz w:val="21"/>
          <w:szCs w:val="21"/>
        </w:rPr>
        <w:t>: “[…] Los recaudos efectivos de la vigencia 2020 fueron superiores a los compromisos de gasto en $57.544 millones.</w:t>
      </w:r>
      <w:r w:rsidRPr="0011236C">
        <w:rPr>
          <w:rFonts w:ascii="Arial" w:hAnsi="Arial" w:cs="Arial"/>
          <w:bCs/>
          <w:sz w:val="21"/>
          <w:szCs w:val="21"/>
        </w:rPr>
        <w:t xml:space="preserve"> Ahora</w:t>
      </w:r>
      <w:r w:rsidRPr="0011236C">
        <w:rPr>
          <w:rFonts w:ascii="Arial" w:hAnsi="Arial" w:cs="Arial"/>
          <w:bCs/>
          <w:i/>
          <w:sz w:val="21"/>
          <w:szCs w:val="21"/>
        </w:rPr>
        <w:t xml:space="preserve"> bien, los recursos del balance de vigencias anteriores que la entidad incorporó al presupuesto en el período, permitieron aumentar el superávit presupuestal hasta $238.729 millones. En 2020 este resultado se explica por dos razones, la primera y que es una constante, es la acumulación de los recursos del balance al cierre de cada vigencia y la segunda es una disminución en los compromisos en el año, particularmente por la disminución en la inversión en Formación Bruta de Capital hecho relacionado con el ciclo político del gasto, caracterizado por una disminución de los compromisos en el último año de los gobernantes.</w:t>
      </w:r>
    </w:p>
    <w:p w:rsidR="0011236C" w:rsidRPr="0011236C" w:rsidRDefault="0011236C" w:rsidP="0011236C">
      <w:pPr>
        <w:jc w:val="both"/>
        <w:rPr>
          <w:rFonts w:ascii="Arial" w:hAnsi="Arial" w:cs="Arial"/>
          <w:bCs/>
          <w:i/>
          <w:sz w:val="21"/>
          <w:szCs w:val="21"/>
        </w:rPr>
      </w:pPr>
    </w:p>
    <w:p w:rsidR="0011236C" w:rsidRPr="0011236C" w:rsidRDefault="0011236C" w:rsidP="0011236C">
      <w:pPr>
        <w:jc w:val="both"/>
        <w:rPr>
          <w:rFonts w:ascii="Arial" w:hAnsi="Arial" w:cs="Arial"/>
          <w:bCs/>
          <w:i/>
          <w:sz w:val="21"/>
          <w:szCs w:val="21"/>
        </w:rPr>
      </w:pPr>
      <w:r w:rsidRPr="0011236C">
        <w:rPr>
          <w:rFonts w:ascii="Arial" w:hAnsi="Arial" w:cs="Arial"/>
          <w:bCs/>
          <w:i/>
          <w:sz w:val="21"/>
          <w:szCs w:val="21"/>
        </w:rPr>
        <w:t>Estos superávit elevados equivalentes al 20% del total del presupuesto, contravienen el principio de anualidad y lo señalado en la Ley 819/03, que propende por eliminar alinear los procesos presupuestales, de tesorería, de planeación y contractuales. […].</w:t>
      </w:r>
    </w:p>
    <w:p w:rsidR="0011236C" w:rsidRPr="0011236C" w:rsidRDefault="0011236C" w:rsidP="0011236C">
      <w:pPr>
        <w:jc w:val="both"/>
        <w:rPr>
          <w:rFonts w:ascii="Arial" w:hAnsi="Arial" w:cs="Arial"/>
          <w:bCs/>
          <w:i/>
          <w:sz w:val="21"/>
          <w:szCs w:val="21"/>
        </w:rPr>
      </w:pPr>
    </w:p>
    <w:p w:rsidR="0011236C" w:rsidRPr="0011236C" w:rsidRDefault="0011236C" w:rsidP="0011236C">
      <w:pPr>
        <w:jc w:val="both"/>
        <w:rPr>
          <w:rFonts w:ascii="Arial" w:hAnsi="Arial" w:cs="Arial"/>
          <w:bCs/>
          <w:i/>
          <w:sz w:val="21"/>
          <w:szCs w:val="21"/>
        </w:rPr>
      </w:pPr>
      <w:r w:rsidRPr="0011236C">
        <w:rPr>
          <w:rFonts w:ascii="Arial" w:hAnsi="Arial" w:cs="Arial"/>
          <w:bCs/>
          <w:i/>
          <w:sz w:val="21"/>
          <w:szCs w:val="21"/>
        </w:rPr>
        <w:t xml:space="preserve">El Departamento cuenta con activos totales de $2 billones, lo que representa un incremento del 2%. Su composición se desagrega de la siguiente manera, otros activos 54% (en su mayoría corresponde al valor de reserva actuarial disponible en el FONPET), cuentas por cobrar 22%, </w:t>
      </w:r>
      <w:r w:rsidRPr="0011236C">
        <w:rPr>
          <w:rFonts w:ascii="Arial" w:hAnsi="Arial" w:cs="Arial"/>
          <w:bCs/>
          <w:i/>
          <w:sz w:val="21"/>
          <w:szCs w:val="21"/>
        </w:rPr>
        <w:lastRenderedPageBreak/>
        <w:t>efectivo y equivalentes e inversiones 13%, bienes de uso público planta y equipo 9%, e inversiones e instrumentos derivados 1%.</w:t>
      </w:r>
    </w:p>
    <w:p w:rsidR="0011236C" w:rsidRPr="0011236C" w:rsidRDefault="0011236C" w:rsidP="0011236C">
      <w:pPr>
        <w:jc w:val="both"/>
        <w:rPr>
          <w:rFonts w:ascii="Arial" w:hAnsi="Arial" w:cs="Arial"/>
          <w:bCs/>
          <w:i/>
          <w:sz w:val="21"/>
          <w:szCs w:val="21"/>
        </w:rPr>
      </w:pPr>
    </w:p>
    <w:p w:rsidR="0011236C" w:rsidRPr="0011236C" w:rsidRDefault="0011236C" w:rsidP="0011236C">
      <w:pPr>
        <w:jc w:val="both"/>
        <w:rPr>
          <w:rFonts w:ascii="Arial" w:hAnsi="Arial" w:cs="Arial"/>
          <w:bCs/>
          <w:i/>
          <w:sz w:val="21"/>
          <w:szCs w:val="21"/>
        </w:rPr>
      </w:pPr>
      <w:r w:rsidRPr="0011236C">
        <w:rPr>
          <w:rFonts w:ascii="Arial" w:hAnsi="Arial" w:cs="Arial"/>
          <w:bCs/>
          <w:i/>
          <w:sz w:val="21"/>
          <w:szCs w:val="21"/>
        </w:rPr>
        <w:t xml:space="preserve">Con respecto al activo más líquido, entendido como aquel que es fácilmente convertible en efectivo el departamento reporta un saldo de $276.906 millones 12% más que en la vigencia anterior, pero que sigue evidenciando una muy baja capacidad de ejecución y supone un reto en el eficiente manejo de los excedentes por parte de la Tesorería. Esta situación es señalada recurrentemente en los informes, por lo que se insiste en la necesidad de promover ejecuciones en el marco de la anualidad que deben ser articuladas por la sincronía entre los procesos presupuestales, tesorales y de planeación contractual. […]. </w:t>
      </w:r>
    </w:p>
    <w:p w:rsidR="0011236C" w:rsidRPr="0011236C" w:rsidRDefault="0011236C" w:rsidP="0011236C">
      <w:pPr>
        <w:jc w:val="both"/>
        <w:rPr>
          <w:rFonts w:ascii="Arial" w:hAnsi="Arial" w:cs="Arial"/>
          <w:bCs/>
          <w:i/>
          <w:sz w:val="21"/>
          <w:szCs w:val="21"/>
        </w:rPr>
      </w:pPr>
      <w:r w:rsidRPr="0011236C">
        <w:rPr>
          <w:rFonts w:ascii="Arial" w:hAnsi="Arial" w:cs="Arial"/>
          <w:bCs/>
          <w:i/>
          <w:sz w:val="21"/>
          <w:szCs w:val="21"/>
        </w:rPr>
        <w:t xml:space="preserve"> </w:t>
      </w:r>
    </w:p>
    <w:p w:rsidR="0011236C" w:rsidRPr="0011236C" w:rsidRDefault="0011236C" w:rsidP="0011236C">
      <w:pPr>
        <w:jc w:val="both"/>
        <w:rPr>
          <w:rFonts w:ascii="Arial" w:hAnsi="Arial" w:cs="Arial"/>
          <w:bCs/>
          <w:i/>
          <w:sz w:val="21"/>
          <w:szCs w:val="21"/>
        </w:rPr>
      </w:pPr>
      <w:r w:rsidRPr="0011236C">
        <w:rPr>
          <w:rFonts w:ascii="Arial" w:hAnsi="Arial" w:cs="Arial"/>
          <w:bCs/>
          <w:i/>
          <w:sz w:val="21"/>
          <w:szCs w:val="21"/>
        </w:rPr>
        <w:t>Por su parte los pasivos totales sumaron $1.04 billones disminuyendo un 1%. Del total del pasivo el 81% estuvo representado por beneficios a empleados, 7% a préstamos por pagar, 6% por cuentas por pagar, 5% otros pasivos y 1% por provisiones. Del pasivo total el 93% fue clasificado como corriente y 7% como no corriente. Al igual que el año pasado esta situación posiblemente corresponde a un reporte erróneo en la medida en que incluye el cálculo actuarial del pasivo pensional por $845.152 millones cuando en realidad es no corriente en la medida en que su provisión a la luz de la Ley 549/99 se estima hasta el 2029 […].</w:t>
      </w:r>
    </w:p>
    <w:p w:rsidR="0011236C" w:rsidRPr="0011236C" w:rsidRDefault="0011236C" w:rsidP="0011236C">
      <w:pPr>
        <w:jc w:val="both"/>
        <w:rPr>
          <w:rFonts w:ascii="Arial" w:hAnsi="Arial" w:cs="Arial"/>
          <w:bCs/>
          <w:i/>
          <w:sz w:val="21"/>
          <w:szCs w:val="21"/>
        </w:rPr>
      </w:pPr>
    </w:p>
    <w:p w:rsidR="0011236C" w:rsidRPr="0011236C" w:rsidRDefault="0011236C" w:rsidP="0011236C">
      <w:pPr>
        <w:jc w:val="both"/>
        <w:rPr>
          <w:rFonts w:ascii="Arial" w:hAnsi="Arial" w:cs="Arial"/>
          <w:bCs/>
          <w:i/>
          <w:sz w:val="21"/>
          <w:szCs w:val="21"/>
        </w:rPr>
      </w:pPr>
      <w:r w:rsidRPr="0011236C">
        <w:rPr>
          <w:rFonts w:ascii="Arial" w:hAnsi="Arial" w:cs="Arial"/>
          <w:bCs/>
          <w:i/>
          <w:sz w:val="21"/>
          <w:szCs w:val="21"/>
        </w:rPr>
        <w:t>El patrimonio del departamento alcanzó $1.02 billones 5% más que en 2019, cifra que refleja un aumento del activo gracias a la mayor provisión en el FONPET. En ese sentido, el patrimonio del departamento del Magdalena tuvo un impacto significativo por efectos de la transición al nuevo marco de regulación y en mayor proporción debido al incremento de sus pasivos. […]</w:t>
      </w:r>
    </w:p>
    <w:p w:rsidR="0011236C" w:rsidRPr="0011236C" w:rsidRDefault="0011236C" w:rsidP="0011236C">
      <w:pPr>
        <w:jc w:val="both"/>
        <w:rPr>
          <w:rFonts w:ascii="Arial" w:hAnsi="Arial" w:cs="Arial"/>
          <w:bCs/>
          <w:i/>
          <w:sz w:val="21"/>
          <w:szCs w:val="21"/>
        </w:rPr>
      </w:pPr>
    </w:p>
    <w:p w:rsidR="0011236C" w:rsidRPr="0011236C" w:rsidRDefault="0011236C" w:rsidP="0011236C">
      <w:pPr>
        <w:jc w:val="both"/>
        <w:rPr>
          <w:rFonts w:ascii="Arial" w:hAnsi="Arial" w:cs="Arial"/>
          <w:bCs/>
          <w:i/>
          <w:sz w:val="21"/>
          <w:szCs w:val="21"/>
        </w:rPr>
      </w:pPr>
      <w:r w:rsidRPr="0011236C">
        <w:rPr>
          <w:rFonts w:ascii="Arial" w:hAnsi="Arial" w:cs="Arial"/>
          <w:bCs/>
          <w:i/>
          <w:sz w:val="21"/>
          <w:szCs w:val="21"/>
        </w:rPr>
        <w:t>Teniendo en cuenta la normativa relacionada con el presupuesto y ejecución de los recursos de regalías</w:t>
      </w:r>
      <w:r w:rsidRPr="0011236C">
        <w:rPr>
          <w:rFonts w:ascii="Arial" w:hAnsi="Arial" w:cs="Arial"/>
          <w:bCs/>
          <w:i/>
          <w:sz w:val="21"/>
          <w:szCs w:val="21"/>
          <w:vertAlign w:val="superscript"/>
        </w:rPr>
        <w:footnoteReference w:id="2"/>
      </w:r>
      <w:r w:rsidRPr="0011236C">
        <w:rPr>
          <w:rFonts w:ascii="Arial" w:hAnsi="Arial" w:cs="Arial"/>
          <w:bCs/>
          <w:i/>
          <w:sz w:val="21"/>
          <w:szCs w:val="21"/>
          <w:vertAlign w:val="superscript"/>
        </w:rPr>
        <w:t>,</w:t>
      </w:r>
      <w:r w:rsidRPr="0011236C">
        <w:rPr>
          <w:rFonts w:ascii="Arial" w:hAnsi="Arial" w:cs="Arial"/>
          <w:bCs/>
          <w:i/>
          <w:sz w:val="21"/>
          <w:szCs w:val="21"/>
        </w:rPr>
        <w:t xml:space="preserve"> a continuación se presenta el referente de los indicadores de solvencia y sostenibilidad de la deuda de que trata la Ley 358 de 1997, bajo los siguientes supuestos:</w:t>
      </w:r>
    </w:p>
    <w:p w:rsidR="0011236C" w:rsidRPr="0011236C" w:rsidRDefault="0011236C" w:rsidP="0011236C">
      <w:pPr>
        <w:jc w:val="both"/>
        <w:rPr>
          <w:rFonts w:ascii="Arial" w:hAnsi="Arial" w:cs="Arial"/>
          <w:bCs/>
          <w:sz w:val="21"/>
          <w:szCs w:val="21"/>
        </w:rPr>
      </w:pPr>
    </w:p>
    <w:p w:rsidR="0011236C" w:rsidRPr="0011236C" w:rsidRDefault="0011236C" w:rsidP="0011236C">
      <w:pPr>
        <w:numPr>
          <w:ilvl w:val="0"/>
          <w:numId w:val="37"/>
        </w:numPr>
        <w:ind w:left="284" w:hanging="284"/>
        <w:jc w:val="both"/>
        <w:rPr>
          <w:rFonts w:ascii="Arial" w:hAnsi="Arial" w:cs="Arial"/>
          <w:bCs/>
          <w:i/>
          <w:sz w:val="21"/>
          <w:szCs w:val="21"/>
        </w:rPr>
      </w:pPr>
      <w:r w:rsidRPr="0011236C">
        <w:rPr>
          <w:rFonts w:ascii="Arial" w:hAnsi="Arial" w:cs="Arial"/>
          <w:bCs/>
          <w:i/>
          <w:sz w:val="21"/>
          <w:szCs w:val="21"/>
        </w:rPr>
        <w:t>Para el cálculo de los ingresos corrientes no se tienen en cuenta los recursos de Regalías (antiguo</w:t>
      </w:r>
      <w:r w:rsidRPr="0011236C">
        <w:rPr>
          <w:rFonts w:ascii="Arial" w:hAnsi="Arial" w:cs="Arial"/>
          <w:bCs/>
          <w:i/>
          <w:sz w:val="21"/>
          <w:szCs w:val="21"/>
          <w:vertAlign w:val="superscript"/>
        </w:rPr>
        <w:footnoteReference w:id="3"/>
      </w:r>
      <w:r w:rsidRPr="0011236C">
        <w:rPr>
          <w:rFonts w:ascii="Arial" w:hAnsi="Arial" w:cs="Arial"/>
          <w:bCs/>
          <w:i/>
          <w:sz w:val="21"/>
          <w:szCs w:val="21"/>
          <w:vertAlign w:val="superscript"/>
        </w:rPr>
        <w:t xml:space="preserve"> </w:t>
      </w:r>
      <w:r w:rsidRPr="0011236C">
        <w:rPr>
          <w:rFonts w:ascii="Arial" w:hAnsi="Arial" w:cs="Arial"/>
          <w:bCs/>
          <w:i/>
          <w:sz w:val="21"/>
          <w:szCs w:val="21"/>
        </w:rPr>
        <w:t xml:space="preserve">y nuevo SGR), ni las vigencias futuras que están financiadas con Regalías (antiguo y nuevo SGR). </w:t>
      </w:r>
    </w:p>
    <w:p w:rsidR="0011236C" w:rsidRPr="0011236C" w:rsidRDefault="0011236C" w:rsidP="0011236C">
      <w:pPr>
        <w:numPr>
          <w:ilvl w:val="0"/>
          <w:numId w:val="37"/>
        </w:numPr>
        <w:ind w:left="284" w:hanging="284"/>
        <w:jc w:val="both"/>
        <w:rPr>
          <w:rFonts w:ascii="Arial" w:hAnsi="Arial" w:cs="Arial"/>
          <w:bCs/>
          <w:i/>
          <w:sz w:val="21"/>
          <w:szCs w:val="21"/>
        </w:rPr>
      </w:pPr>
      <w:r w:rsidRPr="0011236C">
        <w:rPr>
          <w:rFonts w:ascii="Arial" w:hAnsi="Arial" w:cs="Arial"/>
          <w:bCs/>
          <w:i/>
          <w:sz w:val="21"/>
          <w:szCs w:val="21"/>
        </w:rPr>
        <w:t>De la proyección del servicio de la deuda programado por la entidad para la vigencia 2021, se descuentan $2.700 millones de amortizaciones y $4.816 millones de intereses estimados.</w:t>
      </w:r>
      <w:r w:rsidRPr="0011236C">
        <w:rPr>
          <w:rFonts w:ascii="Arial" w:hAnsi="Arial" w:cs="Arial"/>
          <w:bCs/>
          <w:i/>
          <w:sz w:val="21"/>
          <w:szCs w:val="21"/>
          <w:vertAlign w:val="superscript"/>
        </w:rPr>
        <w:footnoteReference w:id="4"/>
      </w:r>
      <w:r w:rsidRPr="0011236C">
        <w:rPr>
          <w:rFonts w:ascii="Arial" w:hAnsi="Arial" w:cs="Arial"/>
          <w:bCs/>
          <w:i/>
          <w:sz w:val="21"/>
          <w:szCs w:val="21"/>
          <w:vertAlign w:val="superscript"/>
        </w:rPr>
        <w:t xml:space="preserve"> </w:t>
      </w:r>
    </w:p>
    <w:p w:rsidR="0011236C" w:rsidRPr="0011236C" w:rsidRDefault="0011236C" w:rsidP="0011236C">
      <w:pPr>
        <w:numPr>
          <w:ilvl w:val="0"/>
          <w:numId w:val="37"/>
        </w:numPr>
        <w:ind w:left="284" w:hanging="284"/>
        <w:jc w:val="both"/>
        <w:rPr>
          <w:rFonts w:ascii="Arial" w:hAnsi="Arial" w:cs="Arial"/>
          <w:bCs/>
          <w:i/>
          <w:sz w:val="21"/>
          <w:szCs w:val="21"/>
        </w:rPr>
      </w:pPr>
      <w:r w:rsidRPr="0011236C">
        <w:rPr>
          <w:rFonts w:ascii="Arial" w:hAnsi="Arial" w:cs="Arial"/>
          <w:bCs/>
          <w:i/>
          <w:sz w:val="21"/>
          <w:szCs w:val="21"/>
        </w:rPr>
        <w:t>Cero pesos de crédito nuevo en 2021.</w:t>
      </w:r>
    </w:p>
    <w:p w:rsidR="0011236C" w:rsidRPr="0011236C" w:rsidRDefault="0011236C" w:rsidP="0011236C">
      <w:pPr>
        <w:numPr>
          <w:ilvl w:val="0"/>
          <w:numId w:val="37"/>
        </w:numPr>
        <w:ind w:left="284" w:hanging="284"/>
        <w:jc w:val="both"/>
        <w:rPr>
          <w:rFonts w:ascii="Arial" w:hAnsi="Arial" w:cs="Arial"/>
          <w:bCs/>
          <w:i/>
          <w:sz w:val="21"/>
          <w:szCs w:val="21"/>
        </w:rPr>
      </w:pPr>
      <w:r w:rsidRPr="0011236C">
        <w:rPr>
          <w:rFonts w:ascii="Arial" w:hAnsi="Arial" w:cs="Arial"/>
          <w:bCs/>
          <w:i/>
          <w:sz w:val="21"/>
          <w:szCs w:val="21"/>
        </w:rPr>
        <w:lastRenderedPageBreak/>
        <w:t>Compromisos de gasto contraídos mediante vigencias futuras</w:t>
      </w:r>
      <w:r w:rsidRPr="0011236C">
        <w:rPr>
          <w:rFonts w:ascii="Arial" w:hAnsi="Arial" w:cs="Arial"/>
          <w:bCs/>
          <w:i/>
          <w:sz w:val="21"/>
          <w:szCs w:val="21"/>
        </w:rPr>
        <w:footnoteReference w:id="5"/>
      </w:r>
      <w:r w:rsidRPr="0011236C">
        <w:rPr>
          <w:rFonts w:ascii="Arial" w:hAnsi="Arial" w:cs="Arial"/>
          <w:bCs/>
          <w:i/>
          <w:sz w:val="21"/>
          <w:szCs w:val="21"/>
        </w:rPr>
        <w:t xml:space="preserve"> para la vigencia 2021 por $11.080 millones, los cuales están financiados con recursos diferentes de regalías destinados al Plan Departamental de Agua.</w:t>
      </w:r>
    </w:p>
    <w:p w:rsidR="0011236C" w:rsidRPr="0011236C" w:rsidRDefault="0011236C" w:rsidP="0011236C">
      <w:pPr>
        <w:tabs>
          <w:tab w:val="left" w:pos="1164"/>
        </w:tabs>
        <w:jc w:val="both"/>
        <w:rPr>
          <w:rFonts w:ascii="Arial" w:hAnsi="Arial" w:cs="Arial"/>
          <w:bCs/>
          <w:i/>
          <w:sz w:val="21"/>
          <w:szCs w:val="21"/>
        </w:rPr>
      </w:pPr>
      <w:r w:rsidRPr="0011236C">
        <w:rPr>
          <w:rFonts w:ascii="Arial" w:hAnsi="Arial" w:cs="Arial"/>
          <w:bCs/>
          <w:i/>
          <w:sz w:val="21"/>
          <w:szCs w:val="21"/>
        </w:rPr>
        <w:tab/>
      </w:r>
    </w:p>
    <w:p w:rsidR="0011236C" w:rsidRPr="0011236C" w:rsidRDefault="0011236C" w:rsidP="0011236C">
      <w:pPr>
        <w:jc w:val="both"/>
        <w:rPr>
          <w:rFonts w:ascii="Arial" w:hAnsi="Arial" w:cs="Arial"/>
          <w:bCs/>
          <w:i/>
          <w:sz w:val="21"/>
          <w:szCs w:val="21"/>
        </w:rPr>
      </w:pPr>
      <w:r w:rsidRPr="0011236C">
        <w:rPr>
          <w:rFonts w:ascii="Arial" w:hAnsi="Arial" w:cs="Arial"/>
          <w:bCs/>
          <w:i/>
          <w:sz w:val="21"/>
          <w:szCs w:val="21"/>
        </w:rPr>
        <w:t>Por lo anterior, para la vigencia 2021 se estiman los siguientes indicadores de solvencia y sostenibilidad: intereses / ahorro operacional = 2%; saldo de la deuda / ingresos corrientes = 22%. […]</w:t>
      </w:r>
    </w:p>
    <w:p w:rsidR="0011236C" w:rsidRPr="0011236C" w:rsidRDefault="0011236C" w:rsidP="0011236C">
      <w:pPr>
        <w:jc w:val="both"/>
        <w:rPr>
          <w:rFonts w:ascii="Arial" w:hAnsi="Arial" w:cs="Arial"/>
          <w:i/>
          <w:sz w:val="21"/>
          <w:szCs w:val="21"/>
        </w:rPr>
      </w:pPr>
    </w:p>
    <w:p w:rsidR="0011236C" w:rsidRPr="0011236C" w:rsidRDefault="0011236C" w:rsidP="0011236C">
      <w:pPr>
        <w:jc w:val="both"/>
        <w:rPr>
          <w:rFonts w:ascii="Arial" w:hAnsi="Arial" w:cs="Arial"/>
          <w:bCs/>
          <w:i/>
          <w:sz w:val="21"/>
          <w:szCs w:val="21"/>
        </w:rPr>
      </w:pPr>
      <w:r w:rsidRPr="0011236C">
        <w:rPr>
          <w:rFonts w:ascii="Arial" w:hAnsi="Arial" w:cs="Arial"/>
          <w:bCs/>
          <w:i/>
          <w:sz w:val="21"/>
          <w:szCs w:val="21"/>
        </w:rPr>
        <w:t>En general se observa que el departamento aumentó su dependencia de fuentes exógenas (transferencias de orden Nacional) para financiar el presupuesto. Esto es relevante en la medida en que tal como se observa en el apartado del contexto, el Departamento cuenta con una base productiva muy ligada a la explotación de recursos naturales, lo que no ha permitido constituir una amplia y diversificada dinámica de recaudo propio, esto sumado a los efectos económicos de la pandemia que han afectado los ingresos de la entidad y su autonomía.</w:t>
      </w:r>
    </w:p>
    <w:p w:rsidR="0011236C" w:rsidRPr="0011236C" w:rsidRDefault="0011236C" w:rsidP="0011236C">
      <w:pPr>
        <w:jc w:val="both"/>
        <w:rPr>
          <w:rFonts w:ascii="Arial" w:hAnsi="Arial" w:cs="Arial"/>
          <w:bCs/>
          <w:i/>
          <w:sz w:val="21"/>
          <w:szCs w:val="21"/>
        </w:rPr>
      </w:pPr>
    </w:p>
    <w:p w:rsidR="0011236C" w:rsidRPr="0011236C" w:rsidRDefault="0011236C" w:rsidP="0011236C">
      <w:pPr>
        <w:jc w:val="both"/>
        <w:rPr>
          <w:rFonts w:ascii="Arial" w:hAnsi="Arial" w:cs="Arial"/>
          <w:bCs/>
          <w:i/>
          <w:sz w:val="21"/>
          <w:szCs w:val="21"/>
        </w:rPr>
      </w:pPr>
      <w:r w:rsidRPr="0011236C">
        <w:rPr>
          <w:rFonts w:ascii="Arial" w:hAnsi="Arial" w:cs="Arial"/>
          <w:bCs/>
          <w:i/>
          <w:sz w:val="21"/>
          <w:szCs w:val="21"/>
        </w:rPr>
        <w:t>Estas reducciones han afectado la disponibilidad de los recursos, disminuyendo la autonomía presupuestal y obligando al Departamento a buscar fuentes alternativas para financiar el gasto. La coyuntura ha revelado la sensibilidad de las rentas propias de los departamentos a los cambios en la demanda. […].”</w:t>
      </w:r>
    </w:p>
    <w:p w:rsidR="0011236C" w:rsidRPr="0011236C" w:rsidRDefault="0011236C" w:rsidP="0011236C">
      <w:pPr>
        <w:jc w:val="both"/>
        <w:rPr>
          <w:rFonts w:ascii="Arial" w:hAnsi="Arial" w:cs="Arial"/>
          <w:bCs/>
          <w:sz w:val="21"/>
          <w:szCs w:val="21"/>
        </w:rPr>
      </w:pPr>
      <w:r w:rsidRPr="0011236C">
        <w:rPr>
          <w:rFonts w:ascii="Arial" w:hAnsi="Arial" w:cs="Arial"/>
          <w:bCs/>
          <w:sz w:val="21"/>
          <w:szCs w:val="21"/>
        </w:rPr>
        <w:t xml:space="preserve"> </w:t>
      </w:r>
    </w:p>
    <w:p w:rsidR="0011236C" w:rsidRPr="0011236C" w:rsidRDefault="0011236C" w:rsidP="001123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5"/>
        </w:tabs>
        <w:jc w:val="both"/>
        <w:rPr>
          <w:rFonts w:ascii="Arial" w:hAnsi="Arial" w:cs="Arial"/>
          <w:sz w:val="21"/>
          <w:szCs w:val="21"/>
        </w:rPr>
      </w:pPr>
      <w:r w:rsidRPr="0011236C">
        <w:rPr>
          <w:rFonts w:ascii="Arial" w:hAnsi="Arial" w:cs="Arial"/>
          <w:sz w:val="21"/>
          <w:szCs w:val="21"/>
        </w:rPr>
        <w:t xml:space="preserve">De acuerdo con el Ranking de Desempeño fiscal por categorías presupuestales (DNP) que define la Dirección de Descentralización y Desarrollo Regional para la vigencia 2020, el Departamento de Magdalena ocupa el puesto 7, en la categoría segunda, como resultado de un Indicador de Desempeño Fiscal de 49.08. </w:t>
      </w:r>
    </w:p>
    <w:p w:rsidR="0011236C" w:rsidRPr="0011236C" w:rsidRDefault="0011236C" w:rsidP="0011236C">
      <w:pPr>
        <w:jc w:val="both"/>
        <w:rPr>
          <w:rFonts w:ascii="Arial" w:eastAsia="Calibri" w:hAnsi="Arial" w:cs="Arial"/>
          <w:b/>
          <w:sz w:val="21"/>
          <w:szCs w:val="21"/>
          <w:lang w:eastAsia="en-US"/>
        </w:rPr>
      </w:pPr>
    </w:p>
    <w:p w:rsidR="0011236C" w:rsidRPr="0011236C" w:rsidRDefault="0011236C" w:rsidP="0011236C">
      <w:pPr>
        <w:jc w:val="both"/>
        <w:rPr>
          <w:rFonts w:ascii="Arial" w:eastAsia="Calibri" w:hAnsi="Arial" w:cs="Arial"/>
          <w:b/>
          <w:sz w:val="21"/>
          <w:szCs w:val="21"/>
          <w:lang w:eastAsia="en-US"/>
        </w:rPr>
      </w:pPr>
      <w:r w:rsidRPr="0011236C">
        <w:rPr>
          <w:rFonts w:ascii="Arial" w:eastAsia="Calibri" w:hAnsi="Arial" w:cs="Arial"/>
          <w:b/>
          <w:sz w:val="21"/>
          <w:szCs w:val="21"/>
          <w:lang w:eastAsia="en-US"/>
        </w:rPr>
        <w:t xml:space="preserve">III. PROBLEMÁTICA </w:t>
      </w:r>
    </w:p>
    <w:p w:rsidR="0011236C" w:rsidRPr="0011236C" w:rsidRDefault="0011236C" w:rsidP="0011236C">
      <w:pPr>
        <w:jc w:val="both"/>
        <w:rPr>
          <w:rFonts w:ascii="Arial" w:eastAsia="Calibri" w:hAnsi="Arial" w:cs="Arial"/>
          <w:b/>
          <w:sz w:val="21"/>
          <w:szCs w:val="21"/>
          <w:lang w:eastAsia="en-US"/>
        </w:rPr>
      </w:pPr>
    </w:p>
    <w:p w:rsidR="0011236C" w:rsidRPr="0011236C" w:rsidRDefault="0011236C" w:rsidP="0011236C">
      <w:pPr>
        <w:jc w:val="both"/>
        <w:rPr>
          <w:rFonts w:ascii="Arial" w:eastAsia="Calibri" w:hAnsi="Arial" w:cs="Arial"/>
          <w:sz w:val="21"/>
          <w:szCs w:val="21"/>
          <w:lang w:eastAsia="en-US"/>
        </w:rPr>
      </w:pPr>
      <w:r w:rsidRPr="0011236C">
        <w:rPr>
          <w:rFonts w:ascii="Arial" w:eastAsia="Calibri" w:hAnsi="Arial" w:cs="Arial"/>
          <w:sz w:val="21"/>
          <w:szCs w:val="21"/>
          <w:lang w:eastAsia="en-US"/>
        </w:rPr>
        <w:t>A continuación, se presenta la evaluación al sector salud desde al ámbito del Fondo Local de Salud y su desarrollo individual por componentes (incluido un análisis jurídico), identificando según corresponda, problemáticas asociadas.</w:t>
      </w:r>
    </w:p>
    <w:p w:rsidR="0011236C" w:rsidRPr="0011236C" w:rsidRDefault="0011236C" w:rsidP="0011236C">
      <w:pPr>
        <w:jc w:val="both"/>
        <w:rPr>
          <w:rFonts w:ascii="Arial" w:hAnsi="Arial" w:cs="Arial"/>
          <w:b/>
          <w:i/>
          <w:sz w:val="21"/>
          <w:szCs w:val="21"/>
          <w:u w:val="single"/>
        </w:rPr>
      </w:pPr>
    </w:p>
    <w:p w:rsidR="0011236C" w:rsidRPr="0011236C" w:rsidRDefault="0011236C" w:rsidP="0011236C">
      <w:pPr>
        <w:jc w:val="both"/>
        <w:rPr>
          <w:rFonts w:ascii="Arial" w:hAnsi="Arial" w:cs="Arial"/>
          <w:b/>
          <w:sz w:val="21"/>
          <w:szCs w:val="21"/>
        </w:rPr>
      </w:pPr>
      <w:r w:rsidRPr="0011236C">
        <w:rPr>
          <w:rFonts w:ascii="Arial" w:hAnsi="Arial" w:cs="Arial"/>
          <w:b/>
          <w:sz w:val="21"/>
          <w:szCs w:val="21"/>
        </w:rPr>
        <w:t>Fondo Local de Salud – FLS</w:t>
      </w:r>
    </w:p>
    <w:p w:rsidR="0011236C" w:rsidRPr="0011236C" w:rsidRDefault="0011236C" w:rsidP="0011236C">
      <w:pPr>
        <w:jc w:val="both"/>
        <w:rPr>
          <w:rFonts w:ascii="Arial" w:hAnsi="Arial" w:cs="Arial"/>
          <w:b/>
          <w:sz w:val="21"/>
          <w:szCs w:val="21"/>
        </w:rPr>
      </w:pPr>
    </w:p>
    <w:p w:rsidR="0011236C" w:rsidRPr="0011236C" w:rsidRDefault="0011236C" w:rsidP="0011236C">
      <w:pPr>
        <w:numPr>
          <w:ilvl w:val="1"/>
          <w:numId w:val="22"/>
        </w:numPr>
        <w:contextualSpacing/>
        <w:jc w:val="both"/>
        <w:rPr>
          <w:rFonts w:ascii="Arial" w:hAnsi="Arial" w:cs="Arial"/>
          <w:b/>
          <w:sz w:val="21"/>
          <w:szCs w:val="21"/>
        </w:rPr>
      </w:pPr>
      <w:r w:rsidRPr="0011236C">
        <w:rPr>
          <w:rFonts w:ascii="Arial" w:hAnsi="Arial" w:cs="Arial"/>
          <w:b/>
          <w:sz w:val="21"/>
          <w:szCs w:val="21"/>
        </w:rPr>
        <w:t>Evaluación Presupuestal 2020 y corte septiembre de 2021</w:t>
      </w:r>
    </w:p>
    <w:p w:rsidR="0011236C" w:rsidRPr="0011236C" w:rsidRDefault="0011236C" w:rsidP="0011236C">
      <w:pPr>
        <w:jc w:val="both"/>
        <w:rPr>
          <w:rFonts w:ascii="Arial" w:hAnsi="Arial" w:cs="Arial"/>
          <w:b/>
          <w:sz w:val="21"/>
          <w:szCs w:val="21"/>
          <w:highlight w:val="yellow"/>
        </w:rPr>
      </w:pPr>
    </w:p>
    <w:p w:rsidR="0011236C" w:rsidRPr="0011236C" w:rsidRDefault="0011236C" w:rsidP="0011236C">
      <w:pPr>
        <w:jc w:val="both"/>
        <w:rPr>
          <w:rFonts w:ascii="Arial" w:hAnsi="Arial" w:cs="Arial"/>
          <w:sz w:val="21"/>
          <w:szCs w:val="21"/>
        </w:rPr>
      </w:pPr>
      <w:r w:rsidRPr="0011236C">
        <w:rPr>
          <w:rFonts w:ascii="Arial" w:hAnsi="Arial" w:cs="Arial"/>
          <w:sz w:val="21"/>
          <w:szCs w:val="21"/>
        </w:rPr>
        <w:t xml:space="preserve">La Entidad Territorial aportó el Decreto 0257 del 2 de junio de 2011, por medio del cual se ajusta el Fondo Local de Salud de conformidad con las nuevas disposiciones legales en materia presupuestal, contable y de tesorería. De igual forma aporta dos Convenios: i) suscrito con el banco BBVA para la cuenta No 8050200219557, para el manejo de los recursos de Salud Pública; ii) suscrito con el banco GNB Sudameris para el manejo de los recursos de prestación de servicios, el cual no identifica un número de cuenta, frente a los cuales se destaca que el primero cumple con los requisitos exigidos para el manejo de los recursos de las cuentas </w:t>
      </w:r>
      <w:r w:rsidRPr="0011236C">
        <w:rPr>
          <w:rFonts w:ascii="Arial" w:hAnsi="Arial" w:cs="Arial"/>
          <w:sz w:val="21"/>
          <w:szCs w:val="21"/>
        </w:rPr>
        <w:lastRenderedPageBreak/>
        <w:t xml:space="preserve">maestras, y el segundo convenio si bien cumple con los requisitos para el manejo de las cuentas maestras, en su contenido no es posible identificar el número de la cuenta respectiva, </w:t>
      </w:r>
    </w:p>
    <w:p w:rsidR="0011236C" w:rsidRPr="0011236C" w:rsidRDefault="0011236C" w:rsidP="0011236C">
      <w:pPr>
        <w:jc w:val="both"/>
        <w:rPr>
          <w:rFonts w:ascii="Arial" w:hAnsi="Arial" w:cs="Arial"/>
          <w:sz w:val="21"/>
          <w:szCs w:val="21"/>
        </w:rPr>
      </w:pPr>
      <w:r w:rsidRPr="0011236C">
        <w:rPr>
          <w:rFonts w:ascii="Arial" w:hAnsi="Arial" w:cs="Arial"/>
          <w:sz w:val="21"/>
          <w:szCs w:val="21"/>
        </w:rPr>
        <w:t xml:space="preserve"> </w:t>
      </w:r>
    </w:p>
    <w:p w:rsidR="0011236C" w:rsidRPr="0011236C" w:rsidRDefault="0011236C" w:rsidP="0011236C">
      <w:pPr>
        <w:jc w:val="both"/>
        <w:rPr>
          <w:rFonts w:ascii="Arial" w:hAnsi="Arial" w:cs="Arial"/>
          <w:sz w:val="21"/>
          <w:szCs w:val="21"/>
        </w:rPr>
      </w:pPr>
      <w:r w:rsidRPr="0011236C">
        <w:rPr>
          <w:rFonts w:ascii="Arial" w:hAnsi="Arial" w:cs="Arial"/>
          <w:sz w:val="21"/>
          <w:szCs w:val="21"/>
        </w:rPr>
        <w:t>De igual forma, se identifica mediante los Decretos Nro. 656 del 30 de diciembre de 2019 y Nro.375 del 31 de diciembre de 2020 que el presupuesto de la Entidad Territorial para la vigencia 2020 fue de $970.581 millones y el de la Vigencia 2021 de $1.08 billones. En los respectivos Decretos no es posible identificar los recursos destinados al FLS, debido a que se presentan valores agregados tanto en el ingreso como en el gasto.</w:t>
      </w:r>
    </w:p>
    <w:p w:rsidR="0011236C" w:rsidRPr="0011236C" w:rsidRDefault="0011236C" w:rsidP="0011236C">
      <w:pPr>
        <w:jc w:val="both"/>
        <w:rPr>
          <w:rFonts w:ascii="Arial" w:hAnsi="Arial" w:cs="Arial"/>
          <w:sz w:val="21"/>
          <w:szCs w:val="21"/>
          <w:highlight w:val="yellow"/>
        </w:rPr>
      </w:pPr>
    </w:p>
    <w:p w:rsidR="0011236C" w:rsidRPr="0011236C" w:rsidRDefault="0011236C" w:rsidP="0011236C">
      <w:pPr>
        <w:jc w:val="both"/>
        <w:rPr>
          <w:rFonts w:ascii="Arial" w:hAnsi="Arial" w:cs="Arial"/>
          <w:sz w:val="21"/>
          <w:szCs w:val="21"/>
        </w:rPr>
      </w:pPr>
      <w:r w:rsidRPr="0011236C">
        <w:rPr>
          <w:rFonts w:ascii="Arial" w:hAnsi="Arial" w:cs="Arial"/>
          <w:sz w:val="21"/>
          <w:szCs w:val="21"/>
        </w:rPr>
        <w:t xml:space="preserve">Así mismo se evidencia que mediante los Decretos Nro. 0280 del 2020 y Nro. 098 del 2021 la Entidad Territorial incorpora los recursos del balance de la vigencia 2019 al presupuesto de la vigencia 2020 y el de 2020 en el presupuesto 2021, que para este último fueron de $240.894 millones y al sector salud le correspondieron $59.100 millones. </w:t>
      </w:r>
    </w:p>
    <w:p w:rsidR="0011236C" w:rsidRPr="0011236C" w:rsidRDefault="0011236C" w:rsidP="0011236C">
      <w:pPr>
        <w:jc w:val="both"/>
        <w:rPr>
          <w:rFonts w:ascii="Arial" w:hAnsi="Arial" w:cs="Arial"/>
          <w:b/>
          <w:sz w:val="21"/>
          <w:szCs w:val="21"/>
        </w:rPr>
      </w:pPr>
    </w:p>
    <w:p w:rsidR="0011236C" w:rsidRPr="0011236C" w:rsidRDefault="0011236C" w:rsidP="0011236C">
      <w:pPr>
        <w:numPr>
          <w:ilvl w:val="2"/>
          <w:numId w:val="22"/>
        </w:numPr>
        <w:contextualSpacing/>
        <w:jc w:val="both"/>
        <w:rPr>
          <w:rFonts w:ascii="Arial" w:hAnsi="Arial" w:cs="Arial"/>
          <w:b/>
          <w:sz w:val="21"/>
          <w:szCs w:val="21"/>
        </w:rPr>
      </w:pPr>
      <w:r w:rsidRPr="0011236C">
        <w:rPr>
          <w:rFonts w:ascii="Arial" w:eastAsia="Times New Roman" w:hAnsi="Arial" w:cs="Arial"/>
          <w:b/>
          <w:sz w:val="21"/>
          <w:szCs w:val="21"/>
        </w:rPr>
        <w:t>Ingresos</w:t>
      </w:r>
    </w:p>
    <w:p w:rsidR="0011236C" w:rsidRPr="0011236C" w:rsidRDefault="0011236C" w:rsidP="0011236C">
      <w:pPr>
        <w:jc w:val="both"/>
        <w:rPr>
          <w:rFonts w:ascii="Arial" w:eastAsia="Times New Roman" w:hAnsi="Arial" w:cs="Arial"/>
          <w:sz w:val="21"/>
          <w:szCs w:val="21"/>
          <w:highlight w:val="yellow"/>
        </w:rPr>
      </w:pPr>
    </w:p>
    <w:p w:rsidR="0011236C" w:rsidRPr="0011236C" w:rsidRDefault="0011236C" w:rsidP="0011236C">
      <w:pPr>
        <w:jc w:val="both"/>
        <w:rPr>
          <w:rFonts w:ascii="Arial" w:hAnsi="Arial" w:cs="Arial"/>
          <w:sz w:val="21"/>
          <w:szCs w:val="21"/>
        </w:rPr>
      </w:pPr>
      <w:r w:rsidRPr="0011236C">
        <w:rPr>
          <w:rFonts w:ascii="Arial" w:hAnsi="Arial" w:cs="Arial"/>
          <w:sz w:val="21"/>
          <w:szCs w:val="21"/>
        </w:rPr>
        <w:t>De acuerdo con la ejecución presupuestal de ingresos del FLS presentada por la Entidad en el FUT al cierre 2020 y corte septiembre de 2021, los resultados son los siguientes:</w:t>
      </w:r>
    </w:p>
    <w:p w:rsidR="0011236C" w:rsidRPr="0011236C" w:rsidRDefault="0011236C" w:rsidP="0011236C">
      <w:pPr>
        <w:jc w:val="both"/>
        <w:rPr>
          <w:rFonts w:ascii="Arial" w:hAnsi="Arial" w:cs="Arial"/>
          <w:sz w:val="21"/>
          <w:szCs w:val="21"/>
        </w:rPr>
      </w:pPr>
    </w:p>
    <w:p w:rsidR="0011236C" w:rsidRPr="0011236C" w:rsidRDefault="0011236C" w:rsidP="0011236C">
      <w:pPr>
        <w:jc w:val="center"/>
        <w:rPr>
          <w:rFonts w:ascii="Arial" w:hAnsi="Arial" w:cs="Arial"/>
          <w:b/>
          <w:bCs/>
          <w:sz w:val="21"/>
          <w:szCs w:val="21"/>
        </w:rPr>
      </w:pPr>
      <w:r w:rsidRPr="0011236C">
        <w:rPr>
          <w:rFonts w:ascii="Arial" w:hAnsi="Arial" w:cs="Arial"/>
          <w:b/>
          <w:bCs/>
          <w:sz w:val="21"/>
          <w:szCs w:val="21"/>
        </w:rPr>
        <w:t>Tabla No 3</w:t>
      </w:r>
    </w:p>
    <w:tbl>
      <w:tblPr>
        <w:tblW w:w="4956" w:type="pct"/>
        <w:tblLayout w:type="fixed"/>
        <w:tblCellMar>
          <w:left w:w="70" w:type="dxa"/>
          <w:right w:w="70" w:type="dxa"/>
        </w:tblCellMar>
        <w:tblLook w:val="04A0" w:firstRow="1" w:lastRow="0" w:firstColumn="1" w:lastColumn="0" w:noHBand="0" w:noVBand="1"/>
      </w:tblPr>
      <w:tblGrid>
        <w:gridCol w:w="1562"/>
        <w:gridCol w:w="207"/>
        <w:gridCol w:w="645"/>
        <w:gridCol w:w="988"/>
        <w:gridCol w:w="851"/>
        <w:gridCol w:w="969"/>
        <w:gridCol w:w="874"/>
        <w:gridCol w:w="978"/>
        <w:gridCol w:w="724"/>
        <w:gridCol w:w="962"/>
      </w:tblGrid>
      <w:tr w:rsidR="0011236C" w:rsidRPr="0011236C" w:rsidTr="00F76962">
        <w:trPr>
          <w:trHeight w:val="315"/>
        </w:trPr>
        <w:tc>
          <w:tcPr>
            <w:tcW w:w="1010" w:type="pct"/>
            <w:gridSpan w:val="2"/>
            <w:tcBorders>
              <w:top w:val="nil"/>
              <w:left w:val="nil"/>
              <w:bottom w:val="single" w:sz="8" w:space="0" w:color="808080"/>
              <w:right w:val="nil"/>
            </w:tcBorders>
            <w:shd w:val="clear" w:color="auto" w:fill="auto"/>
            <w:noWrap/>
            <w:vAlign w:val="center"/>
            <w:hideMark/>
          </w:tcPr>
          <w:p w:rsidR="0011236C" w:rsidRPr="0011236C" w:rsidRDefault="0011236C" w:rsidP="0011236C">
            <w:pPr>
              <w:rPr>
                <w:rFonts w:ascii="Arial" w:eastAsia="Times New Roman" w:hAnsi="Arial" w:cs="Arial"/>
                <w:color w:val="000000"/>
                <w:sz w:val="16"/>
                <w:szCs w:val="16"/>
                <w:lang w:val="es-CO" w:eastAsia="es-CO"/>
              </w:rPr>
            </w:pPr>
            <w:r w:rsidRPr="0011236C">
              <w:rPr>
                <w:rFonts w:ascii="Arial" w:eastAsia="Times New Roman" w:hAnsi="Arial" w:cs="Arial"/>
                <w:color w:val="000000"/>
                <w:sz w:val="16"/>
                <w:szCs w:val="16"/>
                <w:lang w:val="es-CO" w:eastAsia="es-CO"/>
              </w:rPr>
              <w:t>Cifras en Millones de $</w:t>
            </w:r>
          </w:p>
        </w:tc>
        <w:tc>
          <w:tcPr>
            <w:tcW w:w="367" w:type="pct"/>
            <w:tcBorders>
              <w:top w:val="nil"/>
              <w:left w:val="nil"/>
              <w:bottom w:val="single" w:sz="8" w:space="0" w:color="808080"/>
              <w:right w:val="nil"/>
            </w:tcBorders>
            <w:shd w:val="clear" w:color="auto" w:fill="auto"/>
            <w:noWrap/>
            <w:vAlign w:val="center"/>
            <w:hideMark/>
          </w:tcPr>
          <w:p w:rsidR="0011236C" w:rsidRPr="0011236C" w:rsidRDefault="0011236C" w:rsidP="0011236C">
            <w:pPr>
              <w:rPr>
                <w:rFonts w:ascii="Arial" w:eastAsia="Times New Roman" w:hAnsi="Arial" w:cs="Arial"/>
                <w:color w:val="000000"/>
                <w:sz w:val="16"/>
                <w:szCs w:val="16"/>
                <w:lang w:val="es-CO" w:eastAsia="es-CO"/>
              </w:rPr>
            </w:pPr>
            <w:r w:rsidRPr="0011236C">
              <w:rPr>
                <w:rFonts w:ascii="Arial" w:eastAsia="Times New Roman" w:hAnsi="Arial" w:cs="Arial"/>
                <w:color w:val="000000"/>
                <w:sz w:val="16"/>
                <w:szCs w:val="16"/>
                <w:lang w:val="es-CO" w:eastAsia="es-CO"/>
              </w:rPr>
              <w:t> </w:t>
            </w:r>
          </w:p>
        </w:tc>
        <w:tc>
          <w:tcPr>
            <w:tcW w:w="564" w:type="pct"/>
            <w:tcBorders>
              <w:top w:val="nil"/>
              <w:left w:val="nil"/>
              <w:bottom w:val="single" w:sz="8" w:space="0" w:color="808080"/>
              <w:right w:val="nil"/>
            </w:tcBorders>
            <w:shd w:val="clear" w:color="auto" w:fill="auto"/>
            <w:noWrap/>
            <w:vAlign w:val="center"/>
            <w:hideMark/>
          </w:tcPr>
          <w:p w:rsidR="0011236C" w:rsidRPr="0011236C" w:rsidRDefault="0011236C" w:rsidP="0011236C">
            <w:pPr>
              <w:rPr>
                <w:rFonts w:ascii="Arial" w:eastAsia="Times New Roman" w:hAnsi="Arial" w:cs="Arial"/>
                <w:color w:val="000000"/>
                <w:sz w:val="16"/>
                <w:szCs w:val="16"/>
                <w:lang w:val="es-CO" w:eastAsia="es-CO"/>
              </w:rPr>
            </w:pPr>
            <w:r w:rsidRPr="0011236C">
              <w:rPr>
                <w:rFonts w:ascii="Arial" w:eastAsia="Times New Roman" w:hAnsi="Arial" w:cs="Arial"/>
                <w:color w:val="000000"/>
                <w:sz w:val="16"/>
                <w:szCs w:val="16"/>
                <w:lang w:val="es-CO" w:eastAsia="es-CO"/>
              </w:rPr>
              <w:t> </w:t>
            </w:r>
          </w:p>
        </w:tc>
        <w:tc>
          <w:tcPr>
            <w:tcW w:w="486" w:type="pct"/>
            <w:tcBorders>
              <w:top w:val="nil"/>
              <w:left w:val="nil"/>
              <w:bottom w:val="single" w:sz="8" w:space="0" w:color="808080"/>
              <w:right w:val="nil"/>
            </w:tcBorders>
            <w:shd w:val="clear" w:color="auto" w:fill="auto"/>
            <w:noWrap/>
            <w:vAlign w:val="center"/>
            <w:hideMark/>
          </w:tcPr>
          <w:p w:rsidR="0011236C" w:rsidRPr="0011236C" w:rsidRDefault="0011236C" w:rsidP="0011236C">
            <w:pPr>
              <w:rPr>
                <w:rFonts w:ascii="Arial" w:eastAsia="Times New Roman" w:hAnsi="Arial" w:cs="Arial"/>
                <w:color w:val="000000"/>
                <w:sz w:val="16"/>
                <w:szCs w:val="16"/>
                <w:lang w:val="es-CO" w:eastAsia="es-CO"/>
              </w:rPr>
            </w:pPr>
            <w:r w:rsidRPr="0011236C">
              <w:rPr>
                <w:rFonts w:ascii="Arial" w:eastAsia="Times New Roman" w:hAnsi="Arial" w:cs="Arial"/>
                <w:color w:val="000000"/>
                <w:sz w:val="16"/>
                <w:szCs w:val="16"/>
                <w:lang w:val="es-CO" w:eastAsia="es-CO"/>
              </w:rPr>
              <w:t> </w:t>
            </w:r>
          </w:p>
        </w:tc>
        <w:tc>
          <w:tcPr>
            <w:tcW w:w="553" w:type="pct"/>
            <w:tcBorders>
              <w:top w:val="nil"/>
              <w:left w:val="nil"/>
              <w:bottom w:val="single" w:sz="8" w:space="0" w:color="808080"/>
              <w:right w:val="nil"/>
            </w:tcBorders>
            <w:shd w:val="clear" w:color="auto" w:fill="auto"/>
            <w:noWrap/>
            <w:vAlign w:val="center"/>
            <w:hideMark/>
          </w:tcPr>
          <w:p w:rsidR="0011236C" w:rsidRPr="0011236C" w:rsidRDefault="0011236C" w:rsidP="0011236C">
            <w:pPr>
              <w:rPr>
                <w:rFonts w:ascii="Arial" w:eastAsia="Times New Roman" w:hAnsi="Arial" w:cs="Arial"/>
                <w:color w:val="000000"/>
                <w:sz w:val="16"/>
                <w:szCs w:val="16"/>
                <w:lang w:val="es-CO" w:eastAsia="es-CO"/>
              </w:rPr>
            </w:pPr>
            <w:r w:rsidRPr="0011236C">
              <w:rPr>
                <w:rFonts w:ascii="Arial" w:eastAsia="Times New Roman" w:hAnsi="Arial" w:cs="Arial"/>
                <w:color w:val="000000"/>
                <w:sz w:val="16"/>
                <w:szCs w:val="16"/>
                <w:lang w:val="es-CO" w:eastAsia="es-CO"/>
              </w:rPr>
              <w:t> </w:t>
            </w:r>
          </w:p>
        </w:tc>
        <w:tc>
          <w:tcPr>
            <w:tcW w:w="499" w:type="pct"/>
            <w:tcBorders>
              <w:top w:val="nil"/>
              <w:left w:val="nil"/>
              <w:bottom w:val="single" w:sz="8" w:space="0" w:color="808080"/>
              <w:right w:val="nil"/>
            </w:tcBorders>
            <w:shd w:val="clear" w:color="auto" w:fill="auto"/>
            <w:noWrap/>
            <w:vAlign w:val="center"/>
            <w:hideMark/>
          </w:tcPr>
          <w:p w:rsidR="0011236C" w:rsidRPr="0011236C" w:rsidRDefault="0011236C" w:rsidP="0011236C">
            <w:pPr>
              <w:rPr>
                <w:rFonts w:ascii="Arial" w:eastAsia="Times New Roman" w:hAnsi="Arial" w:cs="Arial"/>
                <w:color w:val="000000"/>
                <w:sz w:val="16"/>
                <w:szCs w:val="16"/>
                <w:lang w:val="es-CO" w:eastAsia="es-CO"/>
              </w:rPr>
            </w:pPr>
            <w:r w:rsidRPr="0011236C">
              <w:rPr>
                <w:rFonts w:ascii="Arial" w:eastAsia="Times New Roman" w:hAnsi="Arial" w:cs="Arial"/>
                <w:color w:val="000000"/>
                <w:sz w:val="16"/>
                <w:szCs w:val="16"/>
                <w:lang w:val="es-CO" w:eastAsia="es-CO"/>
              </w:rPr>
              <w:t> </w:t>
            </w:r>
          </w:p>
        </w:tc>
        <w:tc>
          <w:tcPr>
            <w:tcW w:w="558" w:type="pct"/>
            <w:tcBorders>
              <w:top w:val="nil"/>
              <w:left w:val="nil"/>
              <w:bottom w:val="single" w:sz="8" w:space="0" w:color="808080"/>
              <w:right w:val="nil"/>
            </w:tcBorders>
            <w:shd w:val="clear" w:color="auto" w:fill="auto"/>
            <w:noWrap/>
            <w:vAlign w:val="center"/>
            <w:hideMark/>
          </w:tcPr>
          <w:p w:rsidR="0011236C" w:rsidRPr="0011236C" w:rsidRDefault="0011236C" w:rsidP="0011236C">
            <w:pPr>
              <w:rPr>
                <w:rFonts w:ascii="Arial" w:eastAsia="Times New Roman" w:hAnsi="Arial" w:cs="Arial"/>
                <w:color w:val="000000"/>
                <w:sz w:val="16"/>
                <w:szCs w:val="16"/>
                <w:lang w:val="es-CO" w:eastAsia="es-CO"/>
              </w:rPr>
            </w:pPr>
            <w:r w:rsidRPr="0011236C">
              <w:rPr>
                <w:rFonts w:ascii="Arial" w:eastAsia="Times New Roman" w:hAnsi="Arial" w:cs="Arial"/>
                <w:color w:val="000000"/>
                <w:sz w:val="16"/>
                <w:szCs w:val="16"/>
                <w:lang w:val="es-CO" w:eastAsia="es-CO"/>
              </w:rPr>
              <w:t> </w:t>
            </w:r>
          </w:p>
        </w:tc>
        <w:tc>
          <w:tcPr>
            <w:tcW w:w="413" w:type="pct"/>
            <w:tcBorders>
              <w:top w:val="nil"/>
              <w:left w:val="nil"/>
              <w:bottom w:val="single" w:sz="8" w:space="0" w:color="808080"/>
              <w:right w:val="nil"/>
            </w:tcBorders>
            <w:shd w:val="clear" w:color="auto" w:fill="auto"/>
            <w:noWrap/>
            <w:vAlign w:val="center"/>
            <w:hideMark/>
          </w:tcPr>
          <w:p w:rsidR="0011236C" w:rsidRPr="0011236C" w:rsidRDefault="0011236C" w:rsidP="0011236C">
            <w:pPr>
              <w:rPr>
                <w:rFonts w:ascii="Arial" w:eastAsia="Times New Roman" w:hAnsi="Arial" w:cs="Arial"/>
                <w:color w:val="000000"/>
                <w:sz w:val="16"/>
                <w:szCs w:val="16"/>
                <w:lang w:val="es-CO" w:eastAsia="es-CO"/>
              </w:rPr>
            </w:pPr>
            <w:r w:rsidRPr="0011236C">
              <w:rPr>
                <w:rFonts w:ascii="Arial" w:eastAsia="Times New Roman" w:hAnsi="Arial" w:cs="Arial"/>
                <w:color w:val="000000"/>
                <w:sz w:val="16"/>
                <w:szCs w:val="16"/>
                <w:lang w:val="es-CO" w:eastAsia="es-CO"/>
              </w:rPr>
              <w:t> </w:t>
            </w:r>
          </w:p>
        </w:tc>
        <w:tc>
          <w:tcPr>
            <w:tcW w:w="550" w:type="pct"/>
            <w:tcBorders>
              <w:top w:val="nil"/>
              <w:left w:val="nil"/>
              <w:bottom w:val="nil"/>
              <w:right w:val="nil"/>
            </w:tcBorders>
            <w:shd w:val="clear" w:color="auto" w:fill="auto"/>
            <w:noWrap/>
            <w:vAlign w:val="center"/>
            <w:hideMark/>
          </w:tcPr>
          <w:p w:rsidR="0011236C" w:rsidRPr="0011236C" w:rsidRDefault="0011236C" w:rsidP="0011236C">
            <w:pPr>
              <w:rPr>
                <w:rFonts w:ascii="Arial" w:eastAsia="Times New Roman" w:hAnsi="Arial" w:cs="Arial"/>
                <w:color w:val="000000"/>
                <w:sz w:val="16"/>
                <w:szCs w:val="16"/>
                <w:lang w:val="es-CO" w:eastAsia="es-CO"/>
              </w:rPr>
            </w:pPr>
          </w:p>
        </w:tc>
      </w:tr>
      <w:tr w:rsidR="0011236C" w:rsidRPr="0011236C" w:rsidTr="00F76962">
        <w:trPr>
          <w:trHeight w:val="300"/>
        </w:trPr>
        <w:tc>
          <w:tcPr>
            <w:tcW w:w="1010" w:type="pct"/>
            <w:gridSpan w:val="2"/>
            <w:vMerge w:val="restart"/>
            <w:tcBorders>
              <w:top w:val="single" w:sz="8" w:space="0" w:color="808080"/>
              <w:left w:val="nil"/>
              <w:bottom w:val="single" w:sz="8" w:space="0" w:color="808080"/>
              <w:right w:val="nil"/>
            </w:tcBorders>
            <w:shd w:val="clear" w:color="000000" w:fill="D9D9D9"/>
            <w:noWrap/>
            <w:vAlign w:val="center"/>
            <w:hideMark/>
          </w:tcPr>
          <w:p w:rsidR="0011236C" w:rsidRPr="0011236C" w:rsidRDefault="0011236C" w:rsidP="0011236C">
            <w:pPr>
              <w:jc w:val="center"/>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CONCEPTO</w:t>
            </w:r>
          </w:p>
        </w:tc>
        <w:tc>
          <w:tcPr>
            <w:tcW w:w="932" w:type="pct"/>
            <w:gridSpan w:val="2"/>
            <w:tcBorders>
              <w:top w:val="single" w:sz="8" w:space="0" w:color="808080"/>
              <w:left w:val="nil"/>
              <w:bottom w:val="nil"/>
              <w:right w:val="nil"/>
            </w:tcBorders>
            <w:shd w:val="clear" w:color="000000" w:fill="D9D9D9"/>
            <w:vAlign w:val="center"/>
            <w:hideMark/>
          </w:tcPr>
          <w:p w:rsidR="0011236C" w:rsidRPr="0011236C" w:rsidRDefault="0011236C" w:rsidP="0011236C">
            <w:pPr>
              <w:jc w:val="center"/>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 xml:space="preserve">Presupuesto </w:t>
            </w:r>
          </w:p>
        </w:tc>
        <w:tc>
          <w:tcPr>
            <w:tcW w:w="1039" w:type="pct"/>
            <w:gridSpan w:val="2"/>
            <w:vMerge w:val="restart"/>
            <w:tcBorders>
              <w:top w:val="single" w:sz="8" w:space="0" w:color="808080"/>
              <w:left w:val="nil"/>
              <w:bottom w:val="nil"/>
              <w:right w:val="nil"/>
            </w:tcBorders>
            <w:shd w:val="clear" w:color="000000" w:fill="D9D9D9"/>
            <w:vAlign w:val="center"/>
            <w:hideMark/>
          </w:tcPr>
          <w:p w:rsidR="0011236C" w:rsidRPr="0011236C" w:rsidRDefault="0011236C" w:rsidP="0011236C">
            <w:pPr>
              <w:jc w:val="center"/>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Presupuesto Definitivo</w:t>
            </w:r>
          </w:p>
        </w:tc>
        <w:tc>
          <w:tcPr>
            <w:tcW w:w="1057" w:type="pct"/>
            <w:gridSpan w:val="2"/>
            <w:vMerge w:val="restart"/>
            <w:tcBorders>
              <w:top w:val="single" w:sz="8" w:space="0" w:color="808080"/>
              <w:left w:val="nil"/>
              <w:bottom w:val="nil"/>
              <w:right w:val="nil"/>
            </w:tcBorders>
            <w:shd w:val="clear" w:color="000000" w:fill="D9D9D9"/>
            <w:vAlign w:val="center"/>
            <w:hideMark/>
          </w:tcPr>
          <w:p w:rsidR="0011236C" w:rsidRPr="0011236C" w:rsidRDefault="0011236C" w:rsidP="0011236C">
            <w:pPr>
              <w:jc w:val="center"/>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Recaudo</w:t>
            </w:r>
          </w:p>
        </w:tc>
        <w:tc>
          <w:tcPr>
            <w:tcW w:w="961" w:type="pct"/>
            <w:gridSpan w:val="2"/>
            <w:vMerge w:val="restart"/>
            <w:tcBorders>
              <w:top w:val="single" w:sz="8" w:space="0" w:color="808080"/>
              <w:left w:val="nil"/>
              <w:bottom w:val="nil"/>
              <w:right w:val="nil"/>
            </w:tcBorders>
            <w:shd w:val="clear" w:color="000000" w:fill="D9D9D9"/>
            <w:vAlign w:val="center"/>
            <w:hideMark/>
          </w:tcPr>
          <w:p w:rsidR="0011236C" w:rsidRPr="0011236C" w:rsidRDefault="0011236C" w:rsidP="0011236C">
            <w:pPr>
              <w:jc w:val="center"/>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 Ejecución</w:t>
            </w:r>
          </w:p>
        </w:tc>
      </w:tr>
      <w:tr w:rsidR="0011236C" w:rsidRPr="0011236C" w:rsidTr="00F76962">
        <w:trPr>
          <w:trHeight w:val="300"/>
        </w:trPr>
        <w:tc>
          <w:tcPr>
            <w:tcW w:w="1010" w:type="pct"/>
            <w:gridSpan w:val="2"/>
            <w:vMerge/>
            <w:tcBorders>
              <w:top w:val="single" w:sz="8" w:space="0" w:color="808080"/>
              <w:left w:val="nil"/>
              <w:bottom w:val="single" w:sz="8" w:space="0" w:color="808080"/>
              <w:right w:val="nil"/>
            </w:tcBorders>
            <w:vAlign w:val="center"/>
            <w:hideMark/>
          </w:tcPr>
          <w:p w:rsidR="0011236C" w:rsidRPr="0011236C" w:rsidRDefault="0011236C" w:rsidP="0011236C">
            <w:pPr>
              <w:rPr>
                <w:rFonts w:ascii="Arial" w:eastAsia="Times New Roman" w:hAnsi="Arial" w:cs="Arial"/>
                <w:b/>
                <w:bCs/>
                <w:color w:val="000000"/>
                <w:sz w:val="16"/>
                <w:szCs w:val="16"/>
                <w:lang w:val="es-CO" w:eastAsia="es-CO"/>
              </w:rPr>
            </w:pPr>
          </w:p>
        </w:tc>
        <w:tc>
          <w:tcPr>
            <w:tcW w:w="932" w:type="pct"/>
            <w:gridSpan w:val="2"/>
            <w:tcBorders>
              <w:top w:val="nil"/>
              <w:left w:val="nil"/>
              <w:bottom w:val="nil"/>
              <w:right w:val="nil"/>
            </w:tcBorders>
            <w:shd w:val="clear" w:color="000000" w:fill="D9D9D9"/>
            <w:vAlign w:val="center"/>
            <w:hideMark/>
          </w:tcPr>
          <w:p w:rsidR="0011236C" w:rsidRPr="0011236C" w:rsidRDefault="0011236C" w:rsidP="0011236C">
            <w:pPr>
              <w:jc w:val="center"/>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Inicial</w:t>
            </w:r>
          </w:p>
        </w:tc>
        <w:tc>
          <w:tcPr>
            <w:tcW w:w="1039" w:type="pct"/>
            <w:gridSpan w:val="2"/>
            <w:vMerge/>
            <w:tcBorders>
              <w:top w:val="single" w:sz="8" w:space="0" w:color="808080"/>
              <w:left w:val="nil"/>
              <w:bottom w:val="nil"/>
              <w:right w:val="nil"/>
            </w:tcBorders>
            <w:vAlign w:val="center"/>
            <w:hideMark/>
          </w:tcPr>
          <w:p w:rsidR="0011236C" w:rsidRPr="0011236C" w:rsidRDefault="0011236C" w:rsidP="0011236C">
            <w:pPr>
              <w:rPr>
                <w:rFonts w:ascii="Arial" w:eastAsia="Times New Roman" w:hAnsi="Arial" w:cs="Arial"/>
                <w:b/>
                <w:bCs/>
                <w:color w:val="000000"/>
                <w:sz w:val="16"/>
                <w:szCs w:val="16"/>
                <w:lang w:val="es-CO" w:eastAsia="es-CO"/>
              </w:rPr>
            </w:pPr>
          </w:p>
        </w:tc>
        <w:tc>
          <w:tcPr>
            <w:tcW w:w="1057" w:type="pct"/>
            <w:gridSpan w:val="2"/>
            <w:vMerge/>
            <w:tcBorders>
              <w:top w:val="single" w:sz="8" w:space="0" w:color="808080"/>
              <w:left w:val="nil"/>
              <w:bottom w:val="nil"/>
              <w:right w:val="nil"/>
            </w:tcBorders>
            <w:vAlign w:val="center"/>
            <w:hideMark/>
          </w:tcPr>
          <w:p w:rsidR="0011236C" w:rsidRPr="0011236C" w:rsidRDefault="0011236C" w:rsidP="0011236C">
            <w:pPr>
              <w:rPr>
                <w:rFonts w:ascii="Arial" w:eastAsia="Times New Roman" w:hAnsi="Arial" w:cs="Arial"/>
                <w:b/>
                <w:bCs/>
                <w:color w:val="000000"/>
                <w:sz w:val="16"/>
                <w:szCs w:val="16"/>
                <w:lang w:val="es-CO" w:eastAsia="es-CO"/>
              </w:rPr>
            </w:pPr>
          </w:p>
        </w:tc>
        <w:tc>
          <w:tcPr>
            <w:tcW w:w="961" w:type="pct"/>
            <w:gridSpan w:val="2"/>
            <w:vMerge/>
            <w:tcBorders>
              <w:top w:val="single" w:sz="8" w:space="0" w:color="808080"/>
              <w:left w:val="nil"/>
              <w:bottom w:val="nil"/>
              <w:right w:val="nil"/>
            </w:tcBorders>
            <w:vAlign w:val="center"/>
            <w:hideMark/>
          </w:tcPr>
          <w:p w:rsidR="0011236C" w:rsidRPr="0011236C" w:rsidRDefault="0011236C" w:rsidP="0011236C">
            <w:pPr>
              <w:rPr>
                <w:rFonts w:ascii="Arial" w:eastAsia="Times New Roman" w:hAnsi="Arial" w:cs="Arial"/>
                <w:b/>
                <w:bCs/>
                <w:color w:val="000000"/>
                <w:sz w:val="16"/>
                <w:szCs w:val="16"/>
                <w:lang w:val="es-CO" w:eastAsia="es-CO"/>
              </w:rPr>
            </w:pPr>
          </w:p>
        </w:tc>
      </w:tr>
      <w:tr w:rsidR="0011236C" w:rsidRPr="0011236C" w:rsidTr="00F76962">
        <w:trPr>
          <w:trHeight w:val="300"/>
        </w:trPr>
        <w:tc>
          <w:tcPr>
            <w:tcW w:w="1010" w:type="pct"/>
            <w:gridSpan w:val="2"/>
            <w:vMerge/>
            <w:tcBorders>
              <w:top w:val="single" w:sz="8" w:space="0" w:color="808080"/>
              <w:left w:val="nil"/>
              <w:bottom w:val="single" w:sz="8" w:space="0" w:color="808080"/>
              <w:right w:val="nil"/>
            </w:tcBorders>
            <w:vAlign w:val="center"/>
            <w:hideMark/>
          </w:tcPr>
          <w:p w:rsidR="0011236C" w:rsidRPr="0011236C" w:rsidRDefault="0011236C" w:rsidP="0011236C">
            <w:pPr>
              <w:rPr>
                <w:rFonts w:ascii="Arial" w:eastAsia="Times New Roman" w:hAnsi="Arial" w:cs="Arial"/>
                <w:b/>
                <w:bCs/>
                <w:color w:val="000000"/>
                <w:sz w:val="16"/>
                <w:szCs w:val="16"/>
                <w:lang w:val="es-CO" w:eastAsia="es-CO"/>
              </w:rPr>
            </w:pPr>
          </w:p>
        </w:tc>
        <w:tc>
          <w:tcPr>
            <w:tcW w:w="367" w:type="pct"/>
            <w:vMerge w:val="restart"/>
            <w:tcBorders>
              <w:top w:val="nil"/>
              <w:left w:val="nil"/>
              <w:bottom w:val="single" w:sz="8" w:space="0" w:color="808080"/>
              <w:right w:val="nil"/>
            </w:tcBorders>
            <w:shd w:val="clear" w:color="000000" w:fill="D9D9D9"/>
            <w:vAlign w:val="center"/>
            <w:hideMark/>
          </w:tcPr>
          <w:p w:rsidR="0011236C" w:rsidRPr="0011236C" w:rsidRDefault="0011236C" w:rsidP="0011236C">
            <w:pPr>
              <w:jc w:val="center"/>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2020</w:t>
            </w:r>
          </w:p>
        </w:tc>
        <w:tc>
          <w:tcPr>
            <w:tcW w:w="564" w:type="pct"/>
            <w:tcBorders>
              <w:top w:val="nil"/>
              <w:left w:val="nil"/>
              <w:bottom w:val="nil"/>
              <w:right w:val="nil"/>
            </w:tcBorders>
            <w:shd w:val="clear" w:color="000000" w:fill="D9D9D9"/>
            <w:vAlign w:val="center"/>
            <w:hideMark/>
          </w:tcPr>
          <w:p w:rsidR="0011236C" w:rsidRPr="0011236C" w:rsidRDefault="0011236C" w:rsidP="0011236C">
            <w:pPr>
              <w:jc w:val="center"/>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(Septiembre)</w:t>
            </w:r>
          </w:p>
        </w:tc>
        <w:tc>
          <w:tcPr>
            <w:tcW w:w="486" w:type="pct"/>
            <w:vMerge w:val="restart"/>
            <w:tcBorders>
              <w:top w:val="nil"/>
              <w:left w:val="nil"/>
              <w:bottom w:val="single" w:sz="8" w:space="0" w:color="808080"/>
              <w:right w:val="nil"/>
            </w:tcBorders>
            <w:shd w:val="clear" w:color="000000" w:fill="D9D9D9"/>
            <w:vAlign w:val="center"/>
            <w:hideMark/>
          </w:tcPr>
          <w:p w:rsidR="0011236C" w:rsidRPr="0011236C" w:rsidRDefault="0011236C" w:rsidP="0011236C">
            <w:pPr>
              <w:jc w:val="center"/>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2020</w:t>
            </w:r>
          </w:p>
        </w:tc>
        <w:tc>
          <w:tcPr>
            <w:tcW w:w="553" w:type="pct"/>
            <w:tcBorders>
              <w:top w:val="nil"/>
              <w:left w:val="nil"/>
              <w:bottom w:val="nil"/>
              <w:right w:val="nil"/>
            </w:tcBorders>
            <w:shd w:val="clear" w:color="000000" w:fill="D9D9D9"/>
            <w:vAlign w:val="center"/>
            <w:hideMark/>
          </w:tcPr>
          <w:p w:rsidR="0011236C" w:rsidRPr="0011236C" w:rsidRDefault="0011236C" w:rsidP="0011236C">
            <w:pPr>
              <w:jc w:val="center"/>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(Septiembre)</w:t>
            </w:r>
          </w:p>
        </w:tc>
        <w:tc>
          <w:tcPr>
            <w:tcW w:w="499" w:type="pct"/>
            <w:vMerge w:val="restart"/>
            <w:tcBorders>
              <w:top w:val="nil"/>
              <w:left w:val="nil"/>
              <w:bottom w:val="single" w:sz="8" w:space="0" w:color="808080"/>
              <w:right w:val="nil"/>
            </w:tcBorders>
            <w:shd w:val="clear" w:color="000000" w:fill="D9D9D9"/>
            <w:vAlign w:val="center"/>
            <w:hideMark/>
          </w:tcPr>
          <w:p w:rsidR="0011236C" w:rsidRPr="0011236C" w:rsidRDefault="0011236C" w:rsidP="0011236C">
            <w:pPr>
              <w:jc w:val="center"/>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2020</w:t>
            </w:r>
          </w:p>
        </w:tc>
        <w:tc>
          <w:tcPr>
            <w:tcW w:w="558" w:type="pct"/>
            <w:tcBorders>
              <w:top w:val="nil"/>
              <w:left w:val="nil"/>
              <w:bottom w:val="nil"/>
              <w:right w:val="nil"/>
            </w:tcBorders>
            <w:shd w:val="clear" w:color="000000" w:fill="D9D9D9"/>
            <w:vAlign w:val="center"/>
            <w:hideMark/>
          </w:tcPr>
          <w:p w:rsidR="0011236C" w:rsidRPr="0011236C" w:rsidRDefault="0011236C" w:rsidP="0011236C">
            <w:pPr>
              <w:jc w:val="center"/>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(Septiembre)</w:t>
            </w:r>
          </w:p>
        </w:tc>
        <w:tc>
          <w:tcPr>
            <w:tcW w:w="413" w:type="pct"/>
            <w:vMerge w:val="restart"/>
            <w:tcBorders>
              <w:top w:val="nil"/>
              <w:left w:val="nil"/>
              <w:bottom w:val="single" w:sz="8" w:space="0" w:color="808080"/>
              <w:right w:val="nil"/>
            </w:tcBorders>
            <w:shd w:val="clear" w:color="000000" w:fill="D9D9D9"/>
            <w:vAlign w:val="center"/>
            <w:hideMark/>
          </w:tcPr>
          <w:p w:rsidR="0011236C" w:rsidRPr="0011236C" w:rsidRDefault="0011236C" w:rsidP="0011236C">
            <w:pPr>
              <w:jc w:val="center"/>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2020</w:t>
            </w:r>
          </w:p>
        </w:tc>
        <w:tc>
          <w:tcPr>
            <w:tcW w:w="550" w:type="pct"/>
            <w:tcBorders>
              <w:top w:val="nil"/>
              <w:left w:val="nil"/>
              <w:bottom w:val="nil"/>
              <w:right w:val="nil"/>
            </w:tcBorders>
            <w:shd w:val="clear" w:color="000000" w:fill="D9D9D9"/>
            <w:vAlign w:val="center"/>
            <w:hideMark/>
          </w:tcPr>
          <w:p w:rsidR="0011236C" w:rsidRPr="0011236C" w:rsidRDefault="0011236C" w:rsidP="0011236C">
            <w:pPr>
              <w:jc w:val="center"/>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(Septiembre)</w:t>
            </w:r>
          </w:p>
        </w:tc>
      </w:tr>
      <w:tr w:rsidR="0011236C" w:rsidRPr="0011236C" w:rsidTr="00F76962">
        <w:trPr>
          <w:trHeight w:val="315"/>
        </w:trPr>
        <w:tc>
          <w:tcPr>
            <w:tcW w:w="1010" w:type="pct"/>
            <w:gridSpan w:val="2"/>
            <w:vMerge/>
            <w:tcBorders>
              <w:top w:val="single" w:sz="8" w:space="0" w:color="808080"/>
              <w:left w:val="nil"/>
              <w:bottom w:val="single" w:sz="8" w:space="0" w:color="808080"/>
              <w:right w:val="nil"/>
            </w:tcBorders>
            <w:vAlign w:val="center"/>
            <w:hideMark/>
          </w:tcPr>
          <w:p w:rsidR="0011236C" w:rsidRPr="0011236C" w:rsidRDefault="0011236C" w:rsidP="0011236C">
            <w:pPr>
              <w:rPr>
                <w:rFonts w:ascii="Arial" w:eastAsia="Times New Roman" w:hAnsi="Arial" w:cs="Arial"/>
                <w:b/>
                <w:bCs/>
                <w:color w:val="000000"/>
                <w:sz w:val="16"/>
                <w:szCs w:val="16"/>
                <w:lang w:val="es-CO" w:eastAsia="es-CO"/>
              </w:rPr>
            </w:pPr>
          </w:p>
        </w:tc>
        <w:tc>
          <w:tcPr>
            <w:tcW w:w="367" w:type="pct"/>
            <w:vMerge/>
            <w:tcBorders>
              <w:top w:val="nil"/>
              <w:left w:val="nil"/>
              <w:bottom w:val="single" w:sz="8" w:space="0" w:color="808080"/>
              <w:right w:val="nil"/>
            </w:tcBorders>
            <w:vAlign w:val="center"/>
            <w:hideMark/>
          </w:tcPr>
          <w:p w:rsidR="0011236C" w:rsidRPr="0011236C" w:rsidRDefault="0011236C" w:rsidP="0011236C">
            <w:pPr>
              <w:rPr>
                <w:rFonts w:ascii="Arial" w:eastAsia="Times New Roman" w:hAnsi="Arial" w:cs="Arial"/>
                <w:b/>
                <w:bCs/>
                <w:color w:val="000000"/>
                <w:sz w:val="16"/>
                <w:szCs w:val="16"/>
                <w:lang w:val="es-CO" w:eastAsia="es-CO"/>
              </w:rPr>
            </w:pPr>
          </w:p>
        </w:tc>
        <w:tc>
          <w:tcPr>
            <w:tcW w:w="564" w:type="pct"/>
            <w:tcBorders>
              <w:top w:val="nil"/>
              <w:left w:val="nil"/>
              <w:bottom w:val="single" w:sz="8" w:space="0" w:color="808080"/>
              <w:right w:val="nil"/>
            </w:tcBorders>
            <w:shd w:val="clear" w:color="000000" w:fill="D9D9D9"/>
            <w:vAlign w:val="center"/>
            <w:hideMark/>
          </w:tcPr>
          <w:p w:rsidR="0011236C" w:rsidRPr="0011236C" w:rsidRDefault="0011236C" w:rsidP="0011236C">
            <w:pPr>
              <w:jc w:val="center"/>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2021</w:t>
            </w:r>
          </w:p>
        </w:tc>
        <w:tc>
          <w:tcPr>
            <w:tcW w:w="486" w:type="pct"/>
            <w:vMerge/>
            <w:tcBorders>
              <w:top w:val="nil"/>
              <w:left w:val="nil"/>
              <w:bottom w:val="single" w:sz="8" w:space="0" w:color="808080"/>
              <w:right w:val="nil"/>
            </w:tcBorders>
            <w:vAlign w:val="center"/>
            <w:hideMark/>
          </w:tcPr>
          <w:p w:rsidR="0011236C" w:rsidRPr="0011236C" w:rsidRDefault="0011236C" w:rsidP="0011236C">
            <w:pPr>
              <w:rPr>
                <w:rFonts w:ascii="Arial" w:eastAsia="Times New Roman" w:hAnsi="Arial" w:cs="Arial"/>
                <w:b/>
                <w:bCs/>
                <w:color w:val="000000"/>
                <w:sz w:val="16"/>
                <w:szCs w:val="16"/>
                <w:lang w:val="es-CO" w:eastAsia="es-CO"/>
              </w:rPr>
            </w:pPr>
          </w:p>
        </w:tc>
        <w:tc>
          <w:tcPr>
            <w:tcW w:w="553" w:type="pct"/>
            <w:tcBorders>
              <w:top w:val="nil"/>
              <w:left w:val="nil"/>
              <w:bottom w:val="single" w:sz="8" w:space="0" w:color="808080"/>
              <w:right w:val="nil"/>
            </w:tcBorders>
            <w:shd w:val="clear" w:color="000000" w:fill="D9D9D9"/>
            <w:vAlign w:val="center"/>
            <w:hideMark/>
          </w:tcPr>
          <w:p w:rsidR="0011236C" w:rsidRPr="0011236C" w:rsidRDefault="0011236C" w:rsidP="0011236C">
            <w:pPr>
              <w:jc w:val="center"/>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2021</w:t>
            </w:r>
          </w:p>
        </w:tc>
        <w:tc>
          <w:tcPr>
            <w:tcW w:w="499" w:type="pct"/>
            <w:vMerge/>
            <w:tcBorders>
              <w:top w:val="nil"/>
              <w:left w:val="nil"/>
              <w:bottom w:val="single" w:sz="8" w:space="0" w:color="808080"/>
              <w:right w:val="nil"/>
            </w:tcBorders>
            <w:vAlign w:val="center"/>
            <w:hideMark/>
          </w:tcPr>
          <w:p w:rsidR="0011236C" w:rsidRPr="0011236C" w:rsidRDefault="0011236C" w:rsidP="0011236C">
            <w:pPr>
              <w:rPr>
                <w:rFonts w:ascii="Arial" w:eastAsia="Times New Roman" w:hAnsi="Arial" w:cs="Arial"/>
                <w:b/>
                <w:bCs/>
                <w:color w:val="000000"/>
                <w:sz w:val="16"/>
                <w:szCs w:val="16"/>
                <w:lang w:val="es-CO" w:eastAsia="es-CO"/>
              </w:rPr>
            </w:pPr>
          </w:p>
        </w:tc>
        <w:tc>
          <w:tcPr>
            <w:tcW w:w="558" w:type="pct"/>
            <w:tcBorders>
              <w:top w:val="nil"/>
              <w:left w:val="nil"/>
              <w:bottom w:val="single" w:sz="8" w:space="0" w:color="808080"/>
              <w:right w:val="nil"/>
            </w:tcBorders>
            <w:shd w:val="clear" w:color="000000" w:fill="D9D9D9"/>
            <w:vAlign w:val="center"/>
            <w:hideMark/>
          </w:tcPr>
          <w:p w:rsidR="0011236C" w:rsidRPr="0011236C" w:rsidRDefault="0011236C" w:rsidP="0011236C">
            <w:pPr>
              <w:jc w:val="center"/>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2021</w:t>
            </w:r>
          </w:p>
        </w:tc>
        <w:tc>
          <w:tcPr>
            <w:tcW w:w="413" w:type="pct"/>
            <w:vMerge/>
            <w:tcBorders>
              <w:top w:val="nil"/>
              <w:left w:val="nil"/>
              <w:bottom w:val="single" w:sz="8" w:space="0" w:color="808080"/>
              <w:right w:val="nil"/>
            </w:tcBorders>
            <w:vAlign w:val="center"/>
            <w:hideMark/>
          </w:tcPr>
          <w:p w:rsidR="0011236C" w:rsidRPr="0011236C" w:rsidRDefault="0011236C" w:rsidP="0011236C">
            <w:pPr>
              <w:rPr>
                <w:rFonts w:ascii="Arial" w:eastAsia="Times New Roman" w:hAnsi="Arial" w:cs="Arial"/>
                <w:b/>
                <w:bCs/>
                <w:color w:val="000000"/>
                <w:sz w:val="16"/>
                <w:szCs w:val="16"/>
                <w:lang w:val="es-CO" w:eastAsia="es-CO"/>
              </w:rPr>
            </w:pPr>
          </w:p>
        </w:tc>
        <w:tc>
          <w:tcPr>
            <w:tcW w:w="550" w:type="pct"/>
            <w:tcBorders>
              <w:top w:val="nil"/>
              <w:left w:val="nil"/>
              <w:bottom w:val="single" w:sz="8" w:space="0" w:color="808080"/>
              <w:right w:val="nil"/>
            </w:tcBorders>
            <w:shd w:val="clear" w:color="000000" w:fill="D9D9D9"/>
            <w:vAlign w:val="center"/>
            <w:hideMark/>
          </w:tcPr>
          <w:p w:rsidR="0011236C" w:rsidRPr="0011236C" w:rsidRDefault="0011236C" w:rsidP="0011236C">
            <w:pPr>
              <w:jc w:val="center"/>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2021</w:t>
            </w:r>
          </w:p>
        </w:tc>
      </w:tr>
      <w:tr w:rsidR="0011236C" w:rsidRPr="0011236C" w:rsidTr="00F76962">
        <w:trPr>
          <w:trHeight w:val="315"/>
        </w:trPr>
        <w:tc>
          <w:tcPr>
            <w:tcW w:w="892" w:type="pct"/>
            <w:tcBorders>
              <w:top w:val="nil"/>
              <w:left w:val="nil"/>
              <w:bottom w:val="single" w:sz="8" w:space="0" w:color="808080"/>
              <w:right w:val="nil"/>
            </w:tcBorders>
            <w:shd w:val="clear" w:color="auto" w:fill="auto"/>
            <w:noWrap/>
            <w:vAlign w:val="center"/>
            <w:hideMark/>
          </w:tcPr>
          <w:p w:rsidR="0011236C" w:rsidRPr="0011236C" w:rsidRDefault="0011236C" w:rsidP="0011236C">
            <w:pPr>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Ingresos Corrientes Salud</w:t>
            </w:r>
          </w:p>
        </w:tc>
        <w:tc>
          <w:tcPr>
            <w:tcW w:w="486" w:type="pct"/>
            <w:gridSpan w:val="2"/>
            <w:tcBorders>
              <w:top w:val="single" w:sz="8" w:space="0" w:color="808080"/>
              <w:left w:val="nil"/>
              <w:bottom w:val="single" w:sz="8" w:space="0" w:color="808080"/>
              <w:right w:val="nil"/>
            </w:tcBorders>
            <w:shd w:val="clear" w:color="auto" w:fill="auto"/>
            <w:noWrap/>
            <w:vAlign w:val="center"/>
            <w:hideMark/>
          </w:tcPr>
          <w:p w:rsidR="0011236C" w:rsidRPr="0011236C" w:rsidRDefault="0011236C" w:rsidP="0011236C">
            <w:pPr>
              <w:jc w:val="right"/>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$ 67.647</w:t>
            </w:r>
          </w:p>
        </w:tc>
        <w:tc>
          <w:tcPr>
            <w:tcW w:w="564" w:type="pct"/>
            <w:tcBorders>
              <w:top w:val="nil"/>
              <w:left w:val="nil"/>
              <w:bottom w:val="single" w:sz="8" w:space="0" w:color="808080"/>
              <w:right w:val="nil"/>
            </w:tcBorders>
            <w:shd w:val="clear" w:color="auto" w:fill="auto"/>
            <w:noWrap/>
            <w:vAlign w:val="center"/>
            <w:hideMark/>
          </w:tcPr>
          <w:p w:rsidR="0011236C" w:rsidRPr="0011236C" w:rsidRDefault="0011236C" w:rsidP="0011236C">
            <w:pPr>
              <w:jc w:val="right"/>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$ 52.453</w:t>
            </w:r>
          </w:p>
        </w:tc>
        <w:tc>
          <w:tcPr>
            <w:tcW w:w="486" w:type="pct"/>
            <w:tcBorders>
              <w:top w:val="nil"/>
              <w:left w:val="nil"/>
              <w:bottom w:val="single" w:sz="8" w:space="0" w:color="808080"/>
              <w:right w:val="nil"/>
            </w:tcBorders>
            <w:shd w:val="clear" w:color="auto" w:fill="auto"/>
            <w:noWrap/>
            <w:vAlign w:val="center"/>
            <w:hideMark/>
          </w:tcPr>
          <w:p w:rsidR="0011236C" w:rsidRPr="0011236C" w:rsidRDefault="0011236C" w:rsidP="0011236C">
            <w:pPr>
              <w:jc w:val="right"/>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$ 52.793</w:t>
            </w:r>
          </w:p>
        </w:tc>
        <w:tc>
          <w:tcPr>
            <w:tcW w:w="553" w:type="pct"/>
            <w:tcBorders>
              <w:top w:val="nil"/>
              <w:left w:val="nil"/>
              <w:bottom w:val="single" w:sz="8" w:space="0" w:color="808080"/>
              <w:right w:val="nil"/>
            </w:tcBorders>
            <w:shd w:val="clear" w:color="auto" w:fill="auto"/>
            <w:noWrap/>
            <w:vAlign w:val="center"/>
            <w:hideMark/>
          </w:tcPr>
          <w:p w:rsidR="0011236C" w:rsidRPr="0011236C" w:rsidRDefault="0011236C" w:rsidP="0011236C">
            <w:pPr>
              <w:jc w:val="right"/>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$ 57.299</w:t>
            </w:r>
          </w:p>
        </w:tc>
        <w:tc>
          <w:tcPr>
            <w:tcW w:w="499" w:type="pct"/>
            <w:tcBorders>
              <w:top w:val="nil"/>
              <w:left w:val="nil"/>
              <w:bottom w:val="single" w:sz="8" w:space="0" w:color="808080"/>
              <w:right w:val="nil"/>
            </w:tcBorders>
            <w:shd w:val="clear" w:color="auto" w:fill="auto"/>
            <w:noWrap/>
            <w:vAlign w:val="center"/>
            <w:hideMark/>
          </w:tcPr>
          <w:p w:rsidR="0011236C" w:rsidRPr="0011236C" w:rsidRDefault="0011236C" w:rsidP="0011236C">
            <w:pPr>
              <w:jc w:val="right"/>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$ 56.306</w:t>
            </w:r>
          </w:p>
        </w:tc>
        <w:tc>
          <w:tcPr>
            <w:tcW w:w="558" w:type="pct"/>
            <w:tcBorders>
              <w:top w:val="nil"/>
              <w:left w:val="nil"/>
              <w:bottom w:val="single" w:sz="8" w:space="0" w:color="808080"/>
              <w:right w:val="nil"/>
            </w:tcBorders>
            <w:shd w:val="clear" w:color="auto" w:fill="auto"/>
            <w:noWrap/>
            <w:vAlign w:val="center"/>
            <w:hideMark/>
          </w:tcPr>
          <w:p w:rsidR="0011236C" w:rsidRPr="0011236C" w:rsidRDefault="0011236C" w:rsidP="0011236C">
            <w:pPr>
              <w:jc w:val="right"/>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$ 40.908</w:t>
            </w:r>
          </w:p>
        </w:tc>
        <w:tc>
          <w:tcPr>
            <w:tcW w:w="413" w:type="pct"/>
            <w:tcBorders>
              <w:top w:val="nil"/>
              <w:left w:val="nil"/>
              <w:bottom w:val="single" w:sz="8" w:space="0" w:color="808080"/>
              <w:right w:val="nil"/>
            </w:tcBorders>
            <w:shd w:val="clear" w:color="auto" w:fill="auto"/>
            <w:noWrap/>
            <w:vAlign w:val="center"/>
            <w:hideMark/>
          </w:tcPr>
          <w:p w:rsidR="0011236C" w:rsidRPr="0011236C" w:rsidRDefault="0011236C" w:rsidP="0011236C">
            <w:pPr>
              <w:jc w:val="center"/>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107%</w:t>
            </w:r>
          </w:p>
        </w:tc>
        <w:tc>
          <w:tcPr>
            <w:tcW w:w="550" w:type="pct"/>
            <w:tcBorders>
              <w:top w:val="nil"/>
              <w:left w:val="nil"/>
              <w:bottom w:val="single" w:sz="8" w:space="0" w:color="808080"/>
              <w:right w:val="nil"/>
            </w:tcBorders>
            <w:shd w:val="clear" w:color="auto" w:fill="auto"/>
            <w:noWrap/>
            <w:vAlign w:val="center"/>
            <w:hideMark/>
          </w:tcPr>
          <w:p w:rsidR="0011236C" w:rsidRPr="0011236C" w:rsidRDefault="0011236C" w:rsidP="0011236C">
            <w:pPr>
              <w:jc w:val="center"/>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71%</w:t>
            </w:r>
          </w:p>
        </w:tc>
      </w:tr>
      <w:tr w:rsidR="0011236C" w:rsidRPr="0011236C" w:rsidTr="00F76962">
        <w:trPr>
          <w:trHeight w:val="315"/>
        </w:trPr>
        <w:tc>
          <w:tcPr>
            <w:tcW w:w="892" w:type="pct"/>
            <w:tcBorders>
              <w:top w:val="nil"/>
              <w:left w:val="nil"/>
              <w:bottom w:val="single" w:sz="8" w:space="0" w:color="808080"/>
              <w:right w:val="nil"/>
            </w:tcBorders>
            <w:shd w:val="clear" w:color="auto" w:fill="auto"/>
            <w:noWrap/>
            <w:vAlign w:val="center"/>
            <w:hideMark/>
          </w:tcPr>
          <w:p w:rsidR="0011236C" w:rsidRPr="0011236C" w:rsidRDefault="0011236C" w:rsidP="0011236C">
            <w:pPr>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Tributarios</w:t>
            </w:r>
          </w:p>
        </w:tc>
        <w:tc>
          <w:tcPr>
            <w:tcW w:w="486" w:type="pct"/>
            <w:gridSpan w:val="2"/>
            <w:tcBorders>
              <w:top w:val="single" w:sz="8" w:space="0" w:color="808080"/>
              <w:left w:val="nil"/>
              <w:bottom w:val="single" w:sz="8" w:space="0" w:color="808080"/>
              <w:right w:val="nil"/>
            </w:tcBorders>
            <w:shd w:val="clear" w:color="auto" w:fill="auto"/>
            <w:noWrap/>
            <w:vAlign w:val="center"/>
            <w:hideMark/>
          </w:tcPr>
          <w:p w:rsidR="0011236C" w:rsidRPr="0011236C" w:rsidRDefault="0011236C" w:rsidP="0011236C">
            <w:pPr>
              <w:jc w:val="right"/>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$ 26.960</w:t>
            </w:r>
          </w:p>
        </w:tc>
        <w:tc>
          <w:tcPr>
            <w:tcW w:w="564" w:type="pct"/>
            <w:tcBorders>
              <w:top w:val="nil"/>
              <w:left w:val="nil"/>
              <w:bottom w:val="single" w:sz="8" w:space="0" w:color="808080"/>
              <w:right w:val="nil"/>
            </w:tcBorders>
            <w:shd w:val="clear" w:color="auto" w:fill="auto"/>
            <w:noWrap/>
            <w:vAlign w:val="center"/>
            <w:hideMark/>
          </w:tcPr>
          <w:p w:rsidR="0011236C" w:rsidRPr="0011236C" w:rsidRDefault="0011236C" w:rsidP="0011236C">
            <w:pPr>
              <w:jc w:val="right"/>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$ 25.251</w:t>
            </w:r>
          </w:p>
        </w:tc>
        <w:tc>
          <w:tcPr>
            <w:tcW w:w="486" w:type="pct"/>
            <w:tcBorders>
              <w:top w:val="nil"/>
              <w:left w:val="nil"/>
              <w:bottom w:val="single" w:sz="8" w:space="0" w:color="808080"/>
              <w:right w:val="nil"/>
            </w:tcBorders>
            <w:shd w:val="clear" w:color="auto" w:fill="auto"/>
            <w:noWrap/>
            <w:vAlign w:val="center"/>
            <w:hideMark/>
          </w:tcPr>
          <w:p w:rsidR="0011236C" w:rsidRPr="0011236C" w:rsidRDefault="0011236C" w:rsidP="0011236C">
            <w:pPr>
              <w:jc w:val="right"/>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$ 21.129</w:t>
            </w:r>
          </w:p>
        </w:tc>
        <w:tc>
          <w:tcPr>
            <w:tcW w:w="553" w:type="pct"/>
            <w:tcBorders>
              <w:top w:val="nil"/>
              <w:left w:val="nil"/>
              <w:bottom w:val="single" w:sz="8" w:space="0" w:color="808080"/>
              <w:right w:val="nil"/>
            </w:tcBorders>
            <w:shd w:val="clear" w:color="auto" w:fill="auto"/>
            <w:noWrap/>
            <w:vAlign w:val="center"/>
            <w:hideMark/>
          </w:tcPr>
          <w:p w:rsidR="0011236C" w:rsidRPr="0011236C" w:rsidRDefault="0011236C" w:rsidP="0011236C">
            <w:pPr>
              <w:jc w:val="right"/>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$ 26.182</w:t>
            </w:r>
          </w:p>
        </w:tc>
        <w:tc>
          <w:tcPr>
            <w:tcW w:w="499" w:type="pct"/>
            <w:tcBorders>
              <w:top w:val="nil"/>
              <w:left w:val="nil"/>
              <w:bottom w:val="single" w:sz="8" w:space="0" w:color="808080"/>
              <w:right w:val="nil"/>
            </w:tcBorders>
            <w:shd w:val="clear" w:color="auto" w:fill="auto"/>
            <w:noWrap/>
            <w:vAlign w:val="center"/>
            <w:hideMark/>
          </w:tcPr>
          <w:p w:rsidR="0011236C" w:rsidRPr="0011236C" w:rsidRDefault="0011236C" w:rsidP="0011236C">
            <w:pPr>
              <w:jc w:val="right"/>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$ 22.985</w:t>
            </w:r>
          </w:p>
        </w:tc>
        <w:tc>
          <w:tcPr>
            <w:tcW w:w="558" w:type="pct"/>
            <w:tcBorders>
              <w:top w:val="nil"/>
              <w:left w:val="nil"/>
              <w:bottom w:val="single" w:sz="8" w:space="0" w:color="808080"/>
              <w:right w:val="nil"/>
            </w:tcBorders>
            <w:shd w:val="clear" w:color="auto" w:fill="auto"/>
            <w:noWrap/>
            <w:vAlign w:val="center"/>
            <w:hideMark/>
          </w:tcPr>
          <w:p w:rsidR="0011236C" w:rsidRPr="0011236C" w:rsidRDefault="0011236C" w:rsidP="0011236C">
            <w:pPr>
              <w:jc w:val="right"/>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$ 18.196</w:t>
            </w:r>
          </w:p>
        </w:tc>
        <w:tc>
          <w:tcPr>
            <w:tcW w:w="413" w:type="pct"/>
            <w:tcBorders>
              <w:top w:val="nil"/>
              <w:left w:val="nil"/>
              <w:bottom w:val="single" w:sz="8" w:space="0" w:color="808080"/>
              <w:right w:val="nil"/>
            </w:tcBorders>
            <w:shd w:val="clear" w:color="auto" w:fill="auto"/>
            <w:noWrap/>
            <w:vAlign w:val="center"/>
            <w:hideMark/>
          </w:tcPr>
          <w:p w:rsidR="0011236C" w:rsidRPr="0011236C" w:rsidRDefault="0011236C" w:rsidP="0011236C">
            <w:pPr>
              <w:jc w:val="center"/>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109%</w:t>
            </w:r>
          </w:p>
        </w:tc>
        <w:tc>
          <w:tcPr>
            <w:tcW w:w="550" w:type="pct"/>
            <w:tcBorders>
              <w:top w:val="nil"/>
              <w:left w:val="nil"/>
              <w:bottom w:val="single" w:sz="8" w:space="0" w:color="808080"/>
              <w:right w:val="nil"/>
            </w:tcBorders>
            <w:shd w:val="clear" w:color="auto" w:fill="auto"/>
            <w:noWrap/>
            <w:vAlign w:val="center"/>
            <w:hideMark/>
          </w:tcPr>
          <w:p w:rsidR="0011236C" w:rsidRPr="0011236C" w:rsidRDefault="0011236C" w:rsidP="0011236C">
            <w:pPr>
              <w:jc w:val="center"/>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69%</w:t>
            </w:r>
          </w:p>
        </w:tc>
      </w:tr>
      <w:tr w:rsidR="0011236C" w:rsidRPr="0011236C" w:rsidTr="00F76962">
        <w:trPr>
          <w:trHeight w:val="315"/>
        </w:trPr>
        <w:tc>
          <w:tcPr>
            <w:tcW w:w="892" w:type="pct"/>
            <w:tcBorders>
              <w:top w:val="nil"/>
              <w:left w:val="nil"/>
              <w:bottom w:val="single" w:sz="8" w:space="0" w:color="808080"/>
              <w:right w:val="nil"/>
            </w:tcBorders>
            <w:shd w:val="clear" w:color="auto" w:fill="auto"/>
            <w:noWrap/>
            <w:vAlign w:val="center"/>
            <w:hideMark/>
          </w:tcPr>
          <w:p w:rsidR="0011236C" w:rsidRPr="0011236C" w:rsidRDefault="0011236C" w:rsidP="0011236C">
            <w:pPr>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No Tributarios</w:t>
            </w:r>
          </w:p>
        </w:tc>
        <w:tc>
          <w:tcPr>
            <w:tcW w:w="486" w:type="pct"/>
            <w:gridSpan w:val="2"/>
            <w:tcBorders>
              <w:top w:val="single" w:sz="8" w:space="0" w:color="808080"/>
              <w:left w:val="nil"/>
              <w:bottom w:val="single" w:sz="8" w:space="0" w:color="808080"/>
              <w:right w:val="nil"/>
            </w:tcBorders>
            <w:shd w:val="clear" w:color="auto" w:fill="auto"/>
            <w:noWrap/>
            <w:vAlign w:val="center"/>
            <w:hideMark/>
          </w:tcPr>
          <w:p w:rsidR="0011236C" w:rsidRPr="0011236C" w:rsidRDefault="0011236C" w:rsidP="0011236C">
            <w:pPr>
              <w:jc w:val="right"/>
              <w:rPr>
                <w:rFonts w:ascii="Arial" w:eastAsia="Times New Roman" w:hAnsi="Arial" w:cs="Arial"/>
                <w:color w:val="000000"/>
                <w:sz w:val="16"/>
                <w:szCs w:val="16"/>
                <w:lang w:val="es-CO" w:eastAsia="es-CO"/>
              </w:rPr>
            </w:pPr>
            <w:r w:rsidRPr="0011236C">
              <w:rPr>
                <w:rFonts w:ascii="Arial" w:eastAsia="Times New Roman" w:hAnsi="Arial" w:cs="Arial"/>
                <w:color w:val="000000"/>
                <w:sz w:val="16"/>
                <w:szCs w:val="16"/>
                <w:lang w:val="es-CO" w:eastAsia="es-CO"/>
              </w:rPr>
              <w:t>$ 40.687</w:t>
            </w:r>
          </w:p>
        </w:tc>
        <w:tc>
          <w:tcPr>
            <w:tcW w:w="564" w:type="pct"/>
            <w:tcBorders>
              <w:top w:val="nil"/>
              <w:left w:val="nil"/>
              <w:bottom w:val="single" w:sz="8" w:space="0" w:color="808080"/>
              <w:right w:val="nil"/>
            </w:tcBorders>
            <w:shd w:val="clear" w:color="auto" w:fill="auto"/>
            <w:noWrap/>
            <w:vAlign w:val="center"/>
            <w:hideMark/>
          </w:tcPr>
          <w:p w:rsidR="0011236C" w:rsidRPr="0011236C" w:rsidRDefault="0011236C" w:rsidP="0011236C">
            <w:pPr>
              <w:jc w:val="right"/>
              <w:rPr>
                <w:rFonts w:ascii="Arial" w:eastAsia="Times New Roman" w:hAnsi="Arial" w:cs="Arial"/>
                <w:color w:val="000000"/>
                <w:sz w:val="16"/>
                <w:szCs w:val="16"/>
                <w:lang w:val="es-CO" w:eastAsia="es-CO"/>
              </w:rPr>
            </w:pPr>
            <w:r w:rsidRPr="0011236C">
              <w:rPr>
                <w:rFonts w:ascii="Arial" w:eastAsia="Times New Roman" w:hAnsi="Arial" w:cs="Arial"/>
                <w:color w:val="000000"/>
                <w:sz w:val="16"/>
                <w:szCs w:val="16"/>
                <w:lang w:val="es-CO" w:eastAsia="es-CO"/>
              </w:rPr>
              <w:t>$ 27.201</w:t>
            </w:r>
          </w:p>
        </w:tc>
        <w:tc>
          <w:tcPr>
            <w:tcW w:w="486" w:type="pct"/>
            <w:tcBorders>
              <w:top w:val="nil"/>
              <w:left w:val="nil"/>
              <w:bottom w:val="single" w:sz="8" w:space="0" w:color="808080"/>
              <w:right w:val="nil"/>
            </w:tcBorders>
            <w:shd w:val="clear" w:color="auto" w:fill="auto"/>
            <w:noWrap/>
            <w:vAlign w:val="center"/>
            <w:hideMark/>
          </w:tcPr>
          <w:p w:rsidR="0011236C" w:rsidRPr="0011236C" w:rsidRDefault="0011236C" w:rsidP="0011236C">
            <w:pPr>
              <w:jc w:val="right"/>
              <w:rPr>
                <w:rFonts w:ascii="Arial" w:eastAsia="Times New Roman" w:hAnsi="Arial" w:cs="Arial"/>
                <w:color w:val="000000"/>
                <w:sz w:val="16"/>
                <w:szCs w:val="16"/>
                <w:lang w:val="es-CO" w:eastAsia="es-CO"/>
              </w:rPr>
            </w:pPr>
            <w:r w:rsidRPr="0011236C">
              <w:rPr>
                <w:rFonts w:ascii="Arial" w:eastAsia="Times New Roman" w:hAnsi="Arial" w:cs="Arial"/>
                <w:color w:val="000000"/>
                <w:sz w:val="16"/>
                <w:szCs w:val="16"/>
                <w:lang w:val="es-CO" w:eastAsia="es-CO"/>
              </w:rPr>
              <w:t>$ 31.663</w:t>
            </w:r>
          </w:p>
        </w:tc>
        <w:tc>
          <w:tcPr>
            <w:tcW w:w="553" w:type="pct"/>
            <w:tcBorders>
              <w:top w:val="nil"/>
              <w:left w:val="nil"/>
              <w:bottom w:val="single" w:sz="8" w:space="0" w:color="808080"/>
              <w:right w:val="nil"/>
            </w:tcBorders>
            <w:shd w:val="clear" w:color="auto" w:fill="auto"/>
            <w:noWrap/>
            <w:vAlign w:val="center"/>
            <w:hideMark/>
          </w:tcPr>
          <w:p w:rsidR="0011236C" w:rsidRPr="0011236C" w:rsidRDefault="0011236C" w:rsidP="0011236C">
            <w:pPr>
              <w:jc w:val="right"/>
              <w:rPr>
                <w:rFonts w:ascii="Arial" w:eastAsia="Times New Roman" w:hAnsi="Arial" w:cs="Arial"/>
                <w:color w:val="000000"/>
                <w:sz w:val="16"/>
                <w:szCs w:val="16"/>
                <w:lang w:val="es-CO" w:eastAsia="es-CO"/>
              </w:rPr>
            </w:pPr>
            <w:r w:rsidRPr="0011236C">
              <w:rPr>
                <w:rFonts w:ascii="Arial" w:eastAsia="Times New Roman" w:hAnsi="Arial" w:cs="Arial"/>
                <w:color w:val="000000"/>
                <w:sz w:val="16"/>
                <w:szCs w:val="16"/>
                <w:lang w:val="es-CO" w:eastAsia="es-CO"/>
              </w:rPr>
              <w:t>$ 31.117</w:t>
            </w:r>
          </w:p>
        </w:tc>
        <w:tc>
          <w:tcPr>
            <w:tcW w:w="499" w:type="pct"/>
            <w:tcBorders>
              <w:top w:val="nil"/>
              <w:left w:val="nil"/>
              <w:bottom w:val="single" w:sz="8" w:space="0" w:color="808080"/>
              <w:right w:val="nil"/>
            </w:tcBorders>
            <w:shd w:val="clear" w:color="auto" w:fill="auto"/>
            <w:noWrap/>
            <w:vAlign w:val="center"/>
            <w:hideMark/>
          </w:tcPr>
          <w:p w:rsidR="0011236C" w:rsidRPr="0011236C" w:rsidRDefault="0011236C" w:rsidP="0011236C">
            <w:pPr>
              <w:jc w:val="right"/>
              <w:rPr>
                <w:rFonts w:ascii="Arial" w:eastAsia="Times New Roman" w:hAnsi="Arial" w:cs="Arial"/>
                <w:color w:val="000000"/>
                <w:sz w:val="16"/>
                <w:szCs w:val="16"/>
                <w:lang w:val="es-CO" w:eastAsia="es-CO"/>
              </w:rPr>
            </w:pPr>
            <w:r w:rsidRPr="0011236C">
              <w:rPr>
                <w:rFonts w:ascii="Arial" w:eastAsia="Times New Roman" w:hAnsi="Arial" w:cs="Arial"/>
                <w:color w:val="000000"/>
                <w:sz w:val="16"/>
                <w:szCs w:val="16"/>
                <w:lang w:val="es-CO" w:eastAsia="es-CO"/>
              </w:rPr>
              <w:t>$ 33.321</w:t>
            </w:r>
          </w:p>
        </w:tc>
        <w:tc>
          <w:tcPr>
            <w:tcW w:w="558" w:type="pct"/>
            <w:tcBorders>
              <w:top w:val="nil"/>
              <w:left w:val="nil"/>
              <w:bottom w:val="single" w:sz="8" w:space="0" w:color="808080"/>
              <w:right w:val="nil"/>
            </w:tcBorders>
            <w:shd w:val="clear" w:color="auto" w:fill="auto"/>
            <w:noWrap/>
            <w:vAlign w:val="center"/>
            <w:hideMark/>
          </w:tcPr>
          <w:p w:rsidR="0011236C" w:rsidRPr="0011236C" w:rsidRDefault="0011236C" w:rsidP="0011236C">
            <w:pPr>
              <w:jc w:val="right"/>
              <w:rPr>
                <w:rFonts w:ascii="Arial" w:eastAsia="Times New Roman" w:hAnsi="Arial" w:cs="Arial"/>
                <w:color w:val="000000"/>
                <w:sz w:val="16"/>
                <w:szCs w:val="16"/>
                <w:lang w:val="es-CO" w:eastAsia="es-CO"/>
              </w:rPr>
            </w:pPr>
            <w:r w:rsidRPr="0011236C">
              <w:rPr>
                <w:rFonts w:ascii="Arial" w:eastAsia="Times New Roman" w:hAnsi="Arial" w:cs="Arial"/>
                <w:color w:val="000000"/>
                <w:sz w:val="16"/>
                <w:szCs w:val="16"/>
                <w:lang w:val="es-CO" w:eastAsia="es-CO"/>
              </w:rPr>
              <w:t>$ 22.711</w:t>
            </w:r>
          </w:p>
        </w:tc>
        <w:tc>
          <w:tcPr>
            <w:tcW w:w="413" w:type="pct"/>
            <w:tcBorders>
              <w:top w:val="nil"/>
              <w:left w:val="nil"/>
              <w:bottom w:val="single" w:sz="8" w:space="0" w:color="808080"/>
              <w:right w:val="nil"/>
            </w:tcBorders>
            <w:shd w:val="clear" w:color="auto" w:fill="auto"/>
            <w:noWrap/>
            <w:vAlign w:val="center"/>
            <w:hideMark/>
          </w:tcPr>
          <w:p w:rsidR="0011236C" w:rsidRPr="0011236C" w:rsidRDefault="0011236C" w:rsidP="0011236C">
            <w:pPr>
              <w:jc w:val="center"/>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105%</w:t>
            </w:r>
          </w:p>
        </w:tc>
        <w:tc>
          <w:tcPr>
            <w:tcW w:w="550" w:type="pct"/>
            <w:tcBorders>
              <w:top w:val="nil"/>
              <w:left w:val="nil"/>
              <w:bottom w:val="single" w:sz="8" w:space="0" w:color="808080"/>
              <w:right w:val="nil"/>
            </w:tcBorders>
            <w:shd w:val="clear" w:color="auto" w:fill="auto"/>
            <w:noWrap/>
            <w:vAlign w:val="center"/>
            <w:hideMark/>
          </w:tcPr>
          <w:p w:rsidR="0011236C" w:rsidRPr="0011236C" w:rsidRDefault="0011236C" w:rsidP="0011236C">
            <w:pPr>
              <w:jc w:val="center"/>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73%</w:t>
            </w:r>
          </w:p>
        </w:tc>
      </w:tr>
      <w:tr w:rsidR="0011236C" w:rsidRPr="0011236C" w:rsidTr="00F76962">
        <w:trPr>
          <w:trHeight w:val="315"/>
        </w:trPr>
        <w:tc>
          <w:tcPr>
            <w:tcW w:w="892" w:type="pct"/>
            <w:tcBorders>
              <w:top w:val="nil"/>
              <w:left w:val="nil"/>
              <w:bottom w:val="single" w:sz="8" w:space="0" w:color="808080"/>
              <w:right w:val="nil"/>
            </w:tcBorders>
            <w:shd w:val="clear" w:color="auto" w:fill="auto"/>
            <w:noWrap/>
            <w:vAlign w:val="center"/>
            <w:hideMark/>
          </w:tcPr>
          <w:p w:rsidR="0011236C" w:rsidRPr="0011236C" w:rsidRDefault="0011236C" w:rsidP="0011236C">
            <w:pPr>
              <w:ind w:firstLineChars="100" w:firstLine="160"/>
              <w:rPr>
                <w:rFonts w:ascii="Arial" w:eastAsia="Times New Roman" w:hAnsi="Arial" w:cs="Arial"/>
                <w:color w:val="000000"/>
                <w:sz w:val="16"/>
                <w:szCs w:val="16"/>
                <w:lang w:val="es-CO" w:eastAsia="es-CO"/>
              </w:rPr>
            </w:pPr>
            <w:r w:rsidRPr="0011236C">
              <w:rPr>
                <w:rFonts w:ascii="Arial" w:eastAsia="Times New Roman" w:hAnsi="Arial" w:cs="Arial"/>
                <w:color w:val="000000"/>
                <w:sz w:val="16"/>
                <w:szCs w:val="16"/>
                <w:lang w:val="es-CO" w:eastAsia="es-CO"/>
              </w:rPr>
              <w:t>SGP - Régimen Subsidiado</w:t>
            </w:r>
          </w:p>
        </w:tc>
        <w:tc>
          <w:tcPr>
            <w:tcW w:w="486" w:type="pct"/>
            <w:gridSpan w:val="2"/>
            <w:tcBorders>
              <w:top w:val="single" w:sz="8" w:space="0" w:color="808080"/>
              <w:left w:val="nil"/>
              <w:bottom w:val="single" w:sz="8" w:space="0" w:color="808080"/>
              <w:right w:val="nil"/>
            </w:tcBorders>
            <w:shd w:val="clear" w:color="auto" w:fill="auto"/>
            <w:noWrap/>
            <w:vAlign w:val="center"/>
            <w:hideMark/>
          </w:tcPr>
          <w:p w:rsidR="0011236C" w:rsidRPr="0011236C" w:rsidRDefault="0011236C" w:rsidP="0011236C">
            <w:pPr>
              <w:rPr>
                <w:rFonts w:ascii="Arial" w:eastAsia="Times New Roman" w:hAnsi="Arial" w:cs="Arial"/>
                <w:color w:val="000000"/>
                <w:sz w:val="16"/>
                <w:szCs w:val="16"/>
                <w:lang w:val="es-CO" w:eastAsia="es-CO"/>
              </w:rPr>
            </w:pPr>
            <w:r w:rsidRPr="0011236C">
              <w:rPr>
                <w:rFonts w:ascii="Arial" w:eastAsia="Times New Roman" w:hAnsi="Arial" w:cs="Arial"/>
                <w:color w:val="000000"/>
                <w:sz w:val="16"/>
                <w:szCs w:val="16"/>
                <w:lang w:val="es-CO" w:eastAsia="es-CO"/>
              </w:rPr>
              <w:t> </w:t>
            </w:r>
          </w:p>
        </w:tc>
        <w:tc>
          <w:tcPr>
            <w:tcW w:w="564" w:type="pct"/>
            <w:tcBorders>
              <w:top w:val="nil"/>
              <w:left w:val="nil"/>
              <w:bottom w:val="single" w:sz="8" w:space="0" w:color="808080"/>
              <w:right w:val="nil"/>
            </w:tcBorders>
            <w:shd w:val="clear" w:color="auto" w:fill="auto"/>
            <w:noWrap/>
            <w:vAlign w:val="center"/>
            <w:hideMark/>
          </w:tcPr>
          <w:p w:rsidR="0011236C" w:rsidRPr="0011236C" w:rsidRDefault="0011236C" w:rsidP="0011236C">
            <w:pPr>
              <w:rPr>
                <w:rFonts w:ascii="Arial" w:eastAsia="Times New Roman" w:hAnsi="Arial" w:cs="Arial"/>
                <w:color w:val="000000"/>
                <w:sz w:val="16"/>
                <w:szCs w:val="16"/>
                <w:lang w:val="es-CO" w:eastAsia="es-CO"/>
              </w:rPr>
            </w:pPr>
            <w:r w:rsidRPr="0011236C">
              <w:rPr>
                <w:rFonts w:ascii="Arial" w:eastAsia="Times New Roman" w:hAnsi="Arial" w:cs="Arial"/>
                <w:color w:val="000000"/>
                <w:sz w:val="16"/>
                <w:szCs w:val="16"/>
                <w:lang w:val="es-CO" w:eastAsia="es-CO"/>
              </w:rPr>
              <w:t> </w:t>
            </w:r>
          </w:p>
        </w:tc>
        <w:tc>
          <w:tcPr>
            <w:tcW w:w="486" w:type="pct"/>
            <w:tcBorders>
              <w:top w:val="nil"/>
              <w:left w:val="nil"/>
              <w:bottom w:val="single" w:sz="8" w:space="0" w:color="808080"/>
              <w:right w:val="nil"/>
            </w:tcBorders>
            <w:shd w:val="clear" w:color="auto" w:fill="auto"/>
            <w:noWrap/>
            <w:vAlign w:val="center"/>
            <w:hideMark/>
          </w:tcPr>
          <w:p w:rsidR="0011236C" w:rsidRPr="0011236C" w:rsidRDefault="0011236C" w:rsidP="0011236C">
            <w:pPr>
              <w:rPr>
                <w:rFonts w:ascii="Arial" w:eastAsia="Times New Roman" w:hAnsi="Arial" w:cs="Arial"/>
                <w:color w:val="000000"/>
                <w:sz w:val="16"/>
                <w:szCs w:val="16"/>
                <w:lang w:val="es-CO" w:eastAsia="es-CO"/>
              </w:rPr>
            </w:pPr>
            <w:r w:rsidRPr="0011236C">
              <w:rPr>
                <w:rFonts w:ascii="Arial" w:eastAsia="Times New Roman" w:hAnsi="Arial" w:cs="Arial"/>
                <w:color w:val="000000"/>
                <w:sz w:val="16"/>
                <w:szCs w:val="16"/>
                <w:lang w:val="es-CO" w:eastAsia="es-CO"/>
              </w:rPr>
              <w:t> </w:t>
            </w:r>
          </w:p>
        </w:tc>
        <w:tc>
          <w:tcPr>
            <w:tcW w:w="553" w:type="pct"/>
            <w:tcBorders>
              <w:top w:val="nil"/>
              <w:left w:val="nil"/>
              <w:bottom w:val="single" w:sz="8" w:space="0" w:color="808080"/>
              <w:right w:val="nil"/>
            </w:tcBorders>
            <w:shd w:val="clear" w:color="auto" w:fill="auto"/>
            <w:noWrap/>
            <w:vAlign w:val="center"/>
            <w:hideMark/>
          </w:tcPr>
          <w:p w:rsidR="0011236C" w:rsidRPr="0011236C" w:rsidRDefault="0011236C" w:rsidP="0011236C">
            <w:pPr>
              <w:rPr>
                <w:rFonts w:ascii="Arial" w:eastAsia="Times New Roman" w:hAnsi="Arial" w:cs="Arial"/>
                <w:color w:val="000000"/>
                <w:sz w:val="16"/>
                <w:szCs w:val="16"/>
                <w:lang w:val="es-CO" w:eastAsia="es-CO"/>
              </w:rPr>
            </w:pPr>
            <w:r w:rsidRPr="0011236C">
              <w:rPr>
                <w:rFonts w:ascii="Arial" w:eastAsia="Times New Roman" w:hAnsi="Arial" w:cs="Arial"/>
                <w:color w:val="000000"/>
                <w:sz w:val="16"/>
                <w:szCs w:val="16"/>
                <w:lang w:val="es-CO" w:eastAsia="es-CO"/>
              </w:rPr>
              <w:t> </w:t>
            </w:r>
          </w:p>
        </w:tc>
        <w:tc>
          <w:tcPr>
            <w:tcW w:w="499" w:type="pct"/>
            <w:tcBorders>
              <w:top w:val="nil"/>
              <w:left w:val="nil"/>
              <w:bottom w:val="single" w:sz="8" w:space="0" w:color="808080"/>
              <w:right w:val="nil"/>
            </w:tcBorders>
            <w:shd w:val="clear" w:color="auto" w:fill="auto"/>
            <w:noWrap/>
            <w:vAlign w:val="center"/>
            <w:hideMark/>
          </w:tcPr>
          <w:p w:rsidR="0011236C" w:rsidRPr="0011236C" w:rsidRDefault="0011236C" w:rsidP="0011236C">
            <w:pPr>
              <w:rPr>
                <w:rFonts w:ascii="Arial" w:eastAsia="Times New Roman" w:hAnsi="Arial" w:cs="Arial"/>
                <w:color w:val="000000"/>
                <w:sz w:val="16"/>
                <w:szCs w:val="16"/>
                <w:lang w:val="es-CO" w:eastAsia="es-CO"/>
              </w:rPr>
            </w:pPr>
            <w:r w:rsidRPr="0011236C">
              <w:rPr>
                <w:rFonts w:ascii="Arial" w:eastAsia="Times New Roman" w:hAnsi="Arial" w:cs="Arial"/>
                <w:color w:val="000000"/>
                <w:sz w:val="16"/>
                <w:szCs w:val="16"/>
                <w:lang w:val="es-CO" w:eastAsia="es-CO"/>
              </w:rPr>
              <w:t> </w:t>
            </w:r>
          </w:p>
        </w:tc>
        <w:tc>
          <w:tcPr>
            <w:tcW w:w="558" w:type="pct"/>
            <w:tcBorders>
              <w:top w:val="nil"/>
              <w:left w:val="nil"/>
              <w:bottom w:val="single" w:sz="8" w:space="0" w:color="808080"/>
              <w:right w:val="nil"/>
            </w:tcBorders>
            <w:shd w:val="clear" w:color="auto" w:fill="auto"/>
            <w:noWrap/>
            <w:vAlign w:val="center"/>
            <w:hideMark/>
          </w:tcPr>
          <w:p w:rsidR="0011236C" w:rsidRPr="0011236C" w:rsidRDefault="0011236C" w:rsidP="0011236C">
            <w:pPr>
              <w:rPr>
                <w:rFonts w:ascii="Arial" w:eastAsia="Times New Roman" w:hAnsi="Arial" w:cs="Arial"/>
                <w:color w:val="000000"/>
                <w:sz w:val="16"/>
                <w:szCs w:val="16"/>
                <w:lang w:val="es-CO" w:eastAsia="es-CO"/>
              </w:rPr>
            </w:pPr>
            <w:r w:rsidRPr="0011236C">
              <w:rPr>
                <w:rFonts w:ascii="Arial" w:eastAsia="Times New Roman" w:hAnsi="Arial" w:cs="Arial"/>
                <w:color w:val="000000"/>
                <w:sz w:val="16"/>
                <w:szCs w:val="16"/>
                <w:lang w:val="es-CO" w:eastAsia="es-CO"/>
              </w:rPr>
              <w:t> </w:t>
            </w:r>
          </w:p>
        </w:tc>
        <w:tc>
          <w:tcPr>
            <w:tcW w:w="413" w:type="pct"/>
            <w:tcBorders>
              <w:top w:val="nil"/>
              <w:left w:val="nil"/>
              <w:bottom w:val="single" w:sz="8" w:space="0" w:color="808080"/>
              <w:right w:val="nil"/>
            </w:tcBorders>
            <w:shd w:val="clear" w:color="auto" w:fill="auto"/>
            <w:noWrap/>
            <w:vAlign w:val="center"/>
            <w:hideMark/>
          </w:tcPr>
          <w:p w:rsidR="0011236C" w:rsidRPr="0011236C" w:rsidRDefault="0011236C" w:rsidP="0011236C">
            <w:pPr>
              <w:jc w:val="center"/>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 </w:t>
            </w:r>
          </w:p>
        </w:tc>
        <w:tc>
          <w:tcPr>
            <w:tcW w:w="550" w:type="pct"/>
            <w:tcBorders>
              <w:top w:val="nil"/>
              <w:left w:val="nil"/>
              <w:bottom w:val="single" w:sz="8" w:space="0" w:color="808080"/>
              <w:right w:val="nil"/>
            </w:tcBorders>
            <w:shd w:val="clear" w:color="auto" w:fill="auto"/>
            <w:noWrap/>
            <w:vAlign w:val="center"/>
            <w:hideMark/>
          </w:tcPr>
          <w:p w:rsidR="0011236C" w:rsidRPr="0011236C" w:rsidRDefault="0011236C" w:rsidP="0011236C">
            <w:pPr>
              <w:jc w:val="center"/>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 </w:t>
            </w:r>
          </w:p>
        </w:tc>
      </w:tr>
      <w:tr w:rsidR="0011236C" w:rsidRPr="0011236C" w:rsidTr="00F76962">
        <w:trPr>
          <w:trHeight w:val="315"/>
        </w:trPr>
        <w:tc>
          <w:tcPr>
            <w:tcW w:w="892" w:type="pct"/>
            <w:tcBorders>
              <w:top w:val="nil"/>
              <w:left w:val="nil"/>
              <w:bottom w:val="single" w:sz="8" w:space="0" w:color="808080"/>
              <w:right w:val="nil"/>
            </w:tcBorders>
            <w:shd w:val="clear" w:color="auto" w:fill="auto"/>
            <w:noWrap/>
            <w:vAlign w:val="center"/>
            <w:hideMark/>
          </w:tcPr>
          <w:p w:rsidR="0011236C" w:rsidRPr="0011236C" w:rsidRDefault="0011236C" w:rsidP="0011236C">
            <w:pPr>
              <w:ind w:firstLineChars="100" w:firstLine="160"/>
              <w:rPr>
                <w:rFonts w:ascii="Arial" w:eastAsia="Times New Roman" w:hAnsi="Arial" w:cs="Arial"/>
                <w:color w:val="000000"/>
                <w:sz w:val="16"/>
                <w:szCs w:val="16"/>
                <w:lang w:val="es-CO" w:eastAsia="es-CO"/>
              </w:rPr>
            </w:pPr>
            <w:r w:rsidRPr="0011236C">
              <w:rPr>
                <w:rFonts w:ascii="Arial" w:eastAsia="Times New Roman" w:hAnsi="Arial" w:cs="Arial"/>
                <w:color w:val="000000"/>
                <w:sz w:val="16"/>
                <w:szCs w:val="16"/>
                <w:lang w:val="es-CO" w:eastAsia="es-CO"/>
              </w:rPr>
              <w:t>SGP - Prestación de servicios CSF</w:t>
            </w:r>
          </w:p>
        </w:tc>
        <w:tc>
          <w:tcPr>
            <w:tcW w:w="486" w:type="pct"/>
            <w:gridSpan w:val="2"/>
            <w:tcBorders>
              <w:top w:val="single" w:sz="8" w:space="0" w:color="808080"/>
              <w:left w:val="nil"/>
              <w:bottom w:val="single" w:sz="8" w:space="0" w:color="808080"/>
              <w:right w:val="nil"/>
            </w:tcBorders>
            <w:shd w:val="clear" w:color="auto" w:fill="auto"/>
            <w:noWrap/>
            <w:vAlign w:val="center"/>
            <w:hideMark/>
          </w:tcPr>
          <w:p w:rsidR="0011236C" w:rsidRPr="0011236C" w:rsidRDefault="0011236C" w:rsidP="0011236C">
            <w:pPr>
              <w:jc w:val="right"/>
              <w:rPr>
                <w:rFonts w:ascii="Arial" w:eastAsia="Times New Roman" w:hAnsi="Arial" w:cs="Arial"/>
                <w:color w:val="000000"/>
                <w:sz w:val="16"/>
                <w:szCs w:val="16"/>
                <w:lang w:val="es-CO" w:eastAsia="es-CO"/>
              </w:rPr>
            </w:pPr>
            <w:r w:rsidRPr="0011236C">
              <w:rPr>
                <w:rFonts w:ascii="Arial" w:eastAsia="Times New Roman" w:hAnsi="Arial" w:cs="Arial"/>
                <w:color w:val="000000"/>
                <w:sz w:val="16"/>
                <w:szCs w:val="16"/>
                <w:lang w:val="es-CO" w:eastAsia="es-CO"/>
              </w:rPr>
              <w:t>$ 13.684</w:t>
            </w:r>
          </w:p>
        </w:tc>
        <w:tc>
          <w:tcPr>
            <w:tcW w:w="564" w:type="pct"/>
            <w:tcBorders>
              <w:top w:val="nil"/>
              <w:left w:val="nil"/>
              <w:bottom w:val="single" w:sz="8" w:space="0" w:color="808080"/>
              <w:right w:val="nil"/>
            </w:tcBorders>
            <w:shd w:val="clear" w:color="auto" w:fill="auto"/>
            <w:noWrap/>
            <w:vAlign w:val="center"/>
            <w:hideMark/>
          </w:tcPr>
          <w:p w:rsidR="0011236C" w:rsidRPr="0011236C" w:rsidRDefault="0011236C" w:rsidP="0011236C">
            <w:pPr>
              <w:jc w:val="right"/>
              <w:rPr>
                <w:rFonts w:ascii="Arial" w:eastAsia="Times New Roman" w:hAnsi="Arial" w:cs="Arial"/>
                <w:color w:val="000000"/>
                <w:sz w:val="16"/>
                <w:szCs w:val="16"/>
                <w:lang w:val="es-CO" w:eastAsia="es-CO"/>
              </w:rPr>
            </w:pPr>
            <w:r w:rsidRPr="0011236C">
              <w:rPr>
                <w:rFonts w:ascii="Arial" w:eastAsia="Times New Roman" w:hAnsi="Arial" w:cs="Arial"/>
                <w:color w:val="000000"/>
                <w:sz w:val="16"/>
                <w:szCs w:val="16"/>
                <w:lang w:val="es-CO" w:eastAsia="es-CO"/>
              </w:rPr>
              <w:t>$ 6.395</w:t>
            </w:r>
          </w:p>
        </w:tc>
        <w:tc>
          <w:tcPr>
            <w:tcW w:w="486" w:type="pct"/>
            <w:tcBorders>
              <w:top w:val="nil"/>
              <w:left w:val="nil"/>
              <w:bottom w:val="single" w:sz="8" w:space="0" w:color="808080"/>
              <w:right w:val="nil"/>
            </w:tcBorders>
            <w:shd w:val="clear" w:color="auto" w:fill="auto"/>
            <w:noWrap/>
            <w:vAlign w:val="center"/>
            <w:hideMark/>
          </w:tcPr>
          <w:p w:rsidR="0011236C" w:rsidRPr="0011236C" w:rsidRDefault="0011236C" w:rsidP="0011236C">
            <w:pPr>
              <w:jc w:val="right"/>
              <w:rPr>
                <w:rFonts w:ascii="Arial" w:eastAsia="Times New Roman" w:hAnsi="Arial" w:cs="Arial"/>
                <w:color w:val="000000"/>
                <w:sz w:val="16"/>
                <w:szCs w:val="16"/>
                <w:lang w:val="es-CO" w:eastAsia="es-CO"/>
              </w:rPr>
            </w:pPr>
            <w:r w:rsidRPr="0011236C">
              <w:rPr>
                <w:rFonts w:ascii="Arial" w:eastAsia="Times New Roman" w:hAnsi="Arial" w:cs="Arial"/>
                <w:color w:val="000000"/>
                <w:sz w:val="16"/>
                <w:szCs w:val="16"/>
                <w:lang w:val="es-CO" w:eastAsia="es-CO"/>
              </w:rPr>
              <w:t>$ 7.969</w:t>
            </w:r>
          </w:p>
        </w:tc>
        <w:tc>
          <w:tcPr>
            <w:tcW w:w="553" w:type="pct"/>
            <w:tcBorders>
              <w:top w:val="nil"/>
              <w:left w:val="nil"/>
              <w:bottom w:val="single" w:sz="8" w:space="0" w:color="808080"/>
              <w:right w:val="nil"/>
            </w:tcBorders>
            <w:shd w:val="clear" w:color="auto" w:fill="auto"/>
            <w:noWrap/>
            <w:vAlign w:val="center"/>
            <w:hideMark/>
          </w:tcPr>
          <w:p w:rsidR="0011236C" w:rsidRPr="0011236C" w:rsidRDefault="0011236C" w:rsidP="0011236C">
            <w:pPr>
              <w:jc w:val="right"/>
              <w:rPr>
                <w:rFonts w:ascii="Arial" w:eastAsia="Times New Roman" w:hAnsi="Arial" w:cs="Arial"/>
                <w:color w:val="000000"/>
                <w:sz w:val="16"/>
                <w:szCs w:val="16"/>
                <w:lang w:val="es-CO" w:eastAsia="es-CO"/>
              </w:rPr>
            </w:pPr>
            <w:r w:rsidRPr="0011236C">
              <w:rPr>
                <w:rFonts w:ascii="Arial" w:eastAsia="Times New Roman" w:hAnsi="Arial" w:cs="Arial"/>
                <w:color w:val="000000"/>
                <w:sz w:val="16"/>
                <w:szCs w:val="16"/>
                <w:lang w:val="es-CO" w:eastAsia="es-CO"/>
              </w:rPr>
              <w:t>$ 7.380</w:t>
            </w:r>
          </w:p>
        </w:tc>
        <w:tc>
          <w:tcPr>
            <w:tcW w:w="499" w:type="pct"/>
            <w:tcBorders>
              <w:top w:val="nil"/>
              <w:left w:val="nil"/>
              <w:bottom w:val="single" w:sz="8" w:space="0" w:color="808080"/>
              <w:right w:val="nil"/>
            </w:tcBorders>
            <w:shd w:val="clear" w:color="auto" w:fill="auto"/>
            <w:noWrap/>
            <w:vAlign w:val="center"/>
            <w:hideMark/>
          </w:tcPr>
          <w:p w:rsidR="0011236C" w:rsidRPr="0011236C" w:rsidRDefault="0011236C" w:rsidP="0011236C">
            <w:pPr>
              <w:jc w:val="right"/>
              <w:rPr>
                <w:rFonts w:ascii="Arial" w:eastAsia="Times New Roman" w:hAnsi="Arial" w:cs="Arial"/>
                <w:color w:val="000000"/>
                <w:sz w:val="16"/>
                <w:szCs w:val="16"/>
                <w:lang w:val="es-CO" w:eastAsia="es-CO"/>
              </w:rPr>
            </w:pPr>
            <w:r w:rsidRPr="0011236C">
              <w:rPr>
                <w:rFonts w:ascii="Arial" w:eastAsia="Times New Roman" w:hAnsi="Arial" w:cs="Arial"/>
                <w:color w:val="000000"/>
                <w:sz w:val="16"/>
                <w:szCs w:val="16"/>
                <w:lang w:val="es-CO" w:eastAsia="es-CO"/>
              </w:rPr>
              <w:t>$ 7.969</w:t>
            </w:r>
          </w:p>
        </w:tc>
        <w:tc>
          <w:tcPr>
            <w:tcW w:w="558" w:type="pct"/>
            <w:tcBorders>
              <w:top w:val="nil"/>
              <w:left w:val="nil"/>
              <w:bottom w:val="single" w:sz="8" w:space="0" w:color="808080"/>
              <w:right w:val="nil"/>
            </w:tcBorders>
            <w:shd w:val="clear" w:color="auto" w:fill="auto"/>
            <w:noWrap/>
            <w:vAlign w:val="center"/>
            <w:hideMark/>
          </w:tcPr>
          <w:p w:rsidR="0011236C" w:rsidRPr="0011236C" w:rsidRDefault="0011236C" w:rsidP="0011236C">
            <w:pPr>
              <w:jc w:val="right"/>
              <w:rPr>
                <w:rFonts w:ascii="Arial" w:eastAsia="Times New Roman" w:hAnsi="Arial" w:cs="Arial"/>
                <w:color w:val="000000"/>
                <w:sz w:val="16"/>
                <w:szCs w:val="16"/>
                <w:lang w:val="es-CO" w:eastAsia="es-CO"/>
              </w:rPr>
            </w:pPr>
            <w:r w:rsidRPr="0011236C">
              <w:rPr>
                <w:rFonts w:ascii="Arial" w:eastAsia="Times New Roman" w:hAnsi="Arial" w:cs="Arial"/>
                <w:color w:val="000000"/>
                <w:sz w:val="16"/>
                <w:szCs w:val="16"/>
                <w:lang w:val="es-CO" w:eastAsia="es-CO"/>
              </w:rPr>
              <w:t>$ 4.297</w:t>
            </w:r>
          </w:p>
        </w:tc>
        <w:tc>
          <w:tcPr>
            <w:tcW w:w="413" w:type="pct"/>
            <w:tcBorders>
              <w:top w:val="nil"/>
              <w:left w:val="nil"/>
              <w:bottom w:val="single" w:sz="8" w:space="0" w:color="808080"/>
              <w:right w:val="nil"/>
            </w:tcBorders>
            <w:shd w:val="clear" w:color="auto" w:fill="auto"/>
            <w:noWrap/>
            <w:vAlign w:val="center"/>
            <w:hideMark/>
          </w:tcPr>
          <w:p w:rsidR="0011236C" w:rsidRPr="0011236C" w:rsidRDefault="0011236C" w:rsidP="0011236C">
            <w:pPr>
              <w:jc w:val="center"/>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100%</w:t>
            </w:r>
          </w:p>
        </w:tc>
        <w:tc>
          <w:tcPr>
            <w:tcW w:w="550" w:type="pct"/>
            <w:tcBorders>
              <w:top w:val="nil"/>
              <w:left w:val="nil"/>
              <w:bottom w:val="single" w:sz="8" w:space="0" w:color="808080"/>
              <w:right w:val="nil"/>
            </w:tcBorders>
            <w:shd w:val="clear" w:color="auto" w:fill="auto"/>
            <w:noWrap/>
            <w:vAlign w:val="center"/>
            <w:hideMark/>
          </w:tcPr>
          <w:p w:rsidR="0011236C" w:rsidRPr="0011236C" w:rsidRDefault="0011236C" w:rsidP="0011236C">
            <w:pPr>
              <w:jc w:val="center"/>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58%</w:t>
            </w:r>
          </w:p>
        </w:tc>
      </w:tr>
      <w:tr w:rsidR="0011236C" w:rsidRPr="0011236C" w:rsidTr="00F76962">
        <w:trPr>
          <w:trHeight w:val="315"/>
        </w:trPr>
        <w:tc>
          <w:tcPr>
            <w:tcW w:w="892" w:type="pct"/>
            <w:tcBorders>
              <w:top w:val="nil"/>
              <w:left w:val="nil"/>
              <w:bottom w:val="single" w:sz="8" w:space="0" w:color="808080"/>
              <w:right w:val="nil"/>
            </w:tcBorders>
            <w:shd w:val="clear" w:color="auto" w:fill="auto"/>
            <w:noWrap/>
            <w:vAlign w:val="center"/>
            <w:hideMark/>
          </w:tcPr>
          <w:p w:rsidR="0011236C" w:rsidRPr="0011236C" w:rsidRDefault="0011236C" w:rsidP="0011236C">
            <w:pPr>
              <w:ind w:firstLineChars="100" w:firstLine="160"/>
              <w:rPr>
                <w:rFonts w:ascii="Arial" w:eastAsia="Times New Roman" w:hAnsi="Arial" w:cs="Arial"/>
                <w:color w:val="000000"/>
                <w:sz w:val="16"/>
                <w:szCs w:val="16"/>
                <w:lang w:val="es-CO" w:eastAsia="es-CO"/>
              </w:rPr>
            </w:pPr>
            <w:r w:rsidRPr="0011236C">
              <w:rPr>
                <w:rFonts w:ascii="Arial" w:eastAsia="Times New Roman" w:hAnsi="Arial" w:cs="Arial"/>
                <w:color w:val="000000"/>
                <w:sz w:val="16"/>
                <w:szCs w:val="16"/>
                <w:lang w:val="es-CO" w:eastAsia="es-CO"/>
              </w:rPr>
              <w:t>SGP - Prestación de servicios SSF</w:t>
            </w:r>
          </w:p>
        </w:tc>
        <w:tc>
          <w:tcPr>
            <w:tcW w:w="486" w:type="pct"/>
            <w:gridSpan w:val="2"/>
            <w:tcBorders>
              <w:top w:val="single" w:sz="8" w:space="0" w:color="808080"/>
              <w:left w:val="nil"/>
              <w:bottom w:val="single" w:sz="8" w:space="0" w:color="808080"/>
              <w:right w:val="nil"/>
            </w:tcBorders>
            <w:shd w:val="clear" w:color="auto" w:fill="auto"/>
            <w:noWrap/>
            <w:vAlign w:val="center"/>
            <w:hideMark/>
          </w:tcPr>
          <w:p w:rsidR="0011236C" w:rsidRPr="0011236C" w:rsidRDefault="0011236C" w:rsidP="0011236C">
            <w:pPr>
              <w:jc w:val="right"/>
              <w:rPr>
                <w:rFonts w:ascii="Arial" w:eastAsia="Times New Roman" w:hAnsi="Arial" w:cs="Arial"/>
                <w:color w:val="000000"/>
                <w:sz w:val="16"/>
                <w:szCs w:val="16"/>
                <w:lang w:val="es-CO" w:eastAsia="es-CO"/>
              </w:rPr>
            </w:pPr>
            <w:r w:rsidRPr="0011236C">
              <w:rPr>
                <w:rFonts w:ascii="Arial" w:eastAsia="Times New Roman" w:hAnsi="Arial" w:cs="Arial"/>
                <w:color w:val="000000"/>
                <w:sz w:val="16"/>
                <w:szCs w:val="16"/>
                <w:lang w:eastAsia="es-CO"/>
              </w:rPr>
              <w:t>$ 5.931</w:t>
            </w:r>
          </w:p>
        </w:tc>
        <w:tc>
          <w:tcPr>
            <w:tcW w:w="564" w:type="pct"/>
            <w:tcBorders>
              <w:top w:val="nil"/>
              <w:left w:val="nil"/>
              <w:bottom w:val="single" w:sz="8" w:space="0" w:color="808080"/>
              <w:right w:val="nil"/>
            </w:tcBorders>
            <w:shd w:val="clear" w:color="auto" w:fill="auto"/>
            <w:noWrap/>
            <w:vAlign w:val="center"/>
            <w:hideMark/>
          </w:tcPr>
          <w:p w:rsidR="0011236C" w:rsidRPr="0011236C" w:rsidRDefault="0011236C" w:rsidP="0011236C">
            <w:pPr>
              <w:rPr>
                <w:rFonts w:ascii="Arial" w:eastAsia="Times New Roman" w:hAnsi="Arial" w:cs="Arial"/>
                <w:color w:val="000000"/>
                <w:sz w:val="16"/>
                <w:szCs w:val="16"/>
                <w:lang w:val="es-CO" w:eastAsia="es-CO"/>
              </w:rPr>
            </w:pPr>
            <w:r w:rsidRPr="0011236C">
              <w:rPr>
                <w:rFonts w:ascii="Arial" w:eastAsia="Times New Roman" w:hAnsi="Arial" w:cs="Arial"/>
                <w:color w:val="000000"/>
                <w:sz w:val="16"/>
                <w:szCs w:val="16"/>
                <w:lang w:val="es-CO" w:eastAsia="es-CO"/>
              </w:rPr>
              <w:t> </w:t>
            </w:r>
          </w:p>
        </w:tc>
        <w:tc>
          <w:tcPr>
            <w:tcW w:w="486" w:type="pct"/>
            <w:tcBorders>
              <w:top w:val="nil"/>
              <w:left w:val="nil"/>
              <w:bottom w:val="single" w:sz="8" w:space="0" w:color="808080"/>
              <w:right w:val="nil"/>
            </w:tcBorders>
            <w:shd w:val="clear" w:color="auto" w:fill="auto"/>
            <w:noWrap/>
            <w:vAlign w:val="center"/>
            <w:hideMark/>
          </w:tcPr>
          <w:p w:rsidR="0011236C" w:rsidRPr="0011236C" w:rsidRDefault="0011236C" w:rsidP="0011236C">
            <w:pPr>
              <w:rPr>
                <w:rFonts w:ascii="Arial" w:eastAsia="Times New Roman" w:hAnsi="Arial" w:cs="Arial"/>
                <w:color w:val="000000"/>
                <w:sz w:val="16"/>
                <w:szCs w:val="16"/>
                <w:lang w:val="es-CO" w:eastAsia="es-CO"/>
              </w:rPr>
            </w:pPr>
            <w:r w:rsidRPr="0011236C">
              <w:rPr>
                <w:rFonts w:ascii="Arial" w:eastAsia="Times New Roman" w:hAnsi="Arial" w:cs="Arial"/>
                <w:color w:val="000000"/>
                <w:sz w:val="16"/>
                <w:szCs w:val="16"/>
                <w:lang w:val="es-CO" w:eastAsia="es-CO"/>
              </w:rPr>
              <w:t> </w:t>
            </w:r>
          </w:p>
        </w:tc>
        <w:tc>
          <w:tcPr>
            <w:tcW w:w="553" w:type="pct"/>
            <w:tcBorders>
              <w:top w:val="nil"/>
              <w:left w:val="nil"/>
              <w:bottom w:val="single" w:sz="8" w:space="0" w:color="808080"/>
              <w:right w:val="nil"/>
            </w:tcBorders>
            <w:shd w:val="clear" w:color="auto" w:fill="auto"/>
            <w:noWrap/>
            <w:vAlign w:val="center"/>
            <w:hideMark/>
          </w:tcPr>
          <w:p w:rsidR="0011236C" w:rsidRPr="0011236C" w:rsidRDefault="0011236C" w:rsidP="0011236C">
            <w:pPr>
              <w:rPr>
                <w:rFonts w:ascii="Arial" w:eastAsia="Times New Roman" w:hAnsi="Arial" w:cs="Arial"/>
                <w:color w:val="000000"/>
                <w:sz w:val="16"/>
                <w:szCs w:val="16"/>
                <w:lang w:val="es-CO" w:eastAsia="es-CO"/>
              </w:rPr>
            </w:pPr>
            <w:r w:rsidRPr="0011236C">
              <w:rPr>
                <w:rFonts w:ascii="Arial" w:eastAsia="Times New Roman" w:hAnsi="Arial" w:cs="Arial"/>
                <w:color w:val="000000"/>
                <w:sz w:val="16"/>
                <w:szCs w:val="16"/>
                <w:lang w:val="es-CO" w:eastAsia="es-CO"/>
              </w:rPr>
              <w:t> </w:t>
            </w:r>
          </w:p>
        </w:tc>
        <w:tc>
          <w:tcPr>
            <w:tcW w:w="499" w:type="pct"/>
            <w:tcBorders>
              <w:top w:val="nil"/>
              <w:left w:val="nil"/>
              <w:bottom w:val="single" w:sz="8" w:space="0" w:color="808080"/>
              <w:right w:val="nil"/>
            </w:tcBorders>
            <w:shd w:val="clear" w:color="auto" w:fill="auto"/>
            <w:noWrap/>
            <w:vAlign w:val="center"/>
            <w:hideMark/>
          </w:tcPr>
          <w:p w:rsidR="0011236C" w:rsidRPr="0011236C" w:rsidRDefault="0011236C" w:rsidP="0011236C">
            <w:pPr>
              <w:rPr>
                <w:rFonts w:ascii="Arial" w:eastAsia="Times New Roman" w:hAnsi="Arial" w:cs="Arial"/>
                <w:color w:val="000000"/>
                <w:sz w:val="16"/>
                <w:szCs w:val="16"/>
                <w:lang w:val="es-CO" w:eastAsia="es-CO"/>
              </w:rPr>
            </w:pPr>
            <w:r w:rsidRPr="0011236C">
              <w:rPr>
                <w:rFonts w:ascii="Arial" w:eastAsia="Times New Roman" w:hAnsi="Arial" w:cs="Arial"/>
                <w:color w:val="000000"/>
                <w:sz w:val="16"/>
                <w:szCs w:val="16"/>
                <w:lang w:val="es-CO" w:eastAsia="es-CO"/>
              </w:rPr>
              <w:t> </w:t>
            </w:r>
          </w:p>
        </w:tc>
        <w:tc>
          <w:tcPr>
            <w:tcW w:w="558" w:type="pct"/>
            <w:tcBorders>
              <w:top w:val="nil"/>
              <w:left w:val="nil"/>
              <w:bottom w:val="single" w:sz="8" w:space="0" w:color="808080"/>
              <w:right w:val="nil"/>
            </w:tcBorders>
            <w:shd w:val="clear" w:color="auto" w:fill="auto"/>
            <w:noWrap/>
            <w:vAlign w:val="center"/>
            <w:hideMark/>
          </w:tcPr>
          <w:p w:rsidR="0011236C" w:rsidRPr="0011236C" w:rsidRDefault="0011236C" w:rsidP="0011236C">
            <w:pPr>
              <w:rPr>
                <w:rFonts w:ascii="Arial" w:eastAsia="Times New Roman" w:hAnsi="Arial" w:cs="Arial"/>
                <w:color w:val="000000"/>
                <w:sz w:val="16"/>
                <w:szCs w:val="16"/>
                <w:lang w:val="es-CO" w:eastAsia="es-CO"/>
              </w:rPr>
            </w:pPr>
            <w:r w:rsidRPr="0011236C">
              <w:rPr>
                <w:rFonts w:ascii="Arial" w:eastAsia="Times New Roman" w:hAnsi="Arial" w:cs="Arial"/>
                <w:color w:val="000000"/>
                <w:sz w:val="16"/>
                <w:szCs w:val="16"/>
                <w:lang w:val="es-CO" w:eastAsia="es-CO"/>
              </w:rPr>
              <w:t> </w:t>
            </w:r>
          </w:p>
        </w:tc>
        <w:tc>
          <w:tcPr>
            <w:tcW w:w="413" w:type="pct"/>
            <w:tcBorders>
              <w:top w:val="nil"/>
              <w:left w:val="nil"/>
              <w:bottom w:val="single" w:sz="8" w:space="0" w:color="808080"/>
              <w:right w:val="nil"/>
            </w:tcBorders>
            <w:shd w:val="clear" w:color="auto" w:fill="auto"/>
            <w:noWrap/>
            <w:vAlign w:val="center"/>
            <w:hideMark/>
          </w:tcPr>
          <w:p w:rsidR="0011236C" w:rsidRPr="0011236C" w:rsidRDefault="0011236C" w:rsidP="0011236C">
            <w:pPr>
              <w:jc w:val="center"/>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 </w:t>
            </w:r>
          </w:p>
        </w:tc>
        <w:tc>
          <w:tcPr>
            <w:tcW w:w="550" w:type="pct"/>
            <w:tcBorders>
              <w:top w:val="nil"/>
              <w:left w:val="nil"/>
              <w:bottom w:val="single" w:sz="8" w:space="0" w:color="808080"/>
              <w:right w:val="nil"/>
            </w:tcBorders>
            <w:shd w:val="clear" w:color="auto" w:fill="auto"/>
            <w:noWrap/>
            <w:vAlign w:val="center"/>
            <w:hideMark/>
          </w:tcPr>
          <w:p w:rsidR="0011236C" w:rsidRPr="0011236C" w:rsidRDefault="0011236C" w:rsidP="0011236C">
            <w:pPr>
              <w:jc w:val="center"/>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 </w:t>
            </w:r>
          </w:p>
        </w:tc>
      </w:tr>
      <w:tr w:rsidR="0011236C" w:rsidRPr="0011236C" w:rsidTr="00F76962">
        <w:trPr>
          <w:trHeight w:val="315"/>
        </w:trPr>
        <w:tc>
          <w:tcPr>
            <w:tcW w:w="892" w:type="pct"/>
            <w:tcBorders>
              <w:top w:val="nil"/>
              <w:left w:val="nil"/>
              <w:bottom w:val="single" w:sz="8" w:space="0" w:color="808080"/>
              <w:right w:val="nil"/>
            </w:tcBorders>
            <w:shd w:val="clear" w:color="auto" w:fill="auto"/>
            <w:noWrap/>
            <w:vAlign w:val="center"/>
            <w:hideMark/>
          </w:tcPr>
          <w:p w:rsidR="0011236C" w:rsidRPr="0011236C" w:rsidRDefault="0011236C" w:rsidP="0011236C">
            <w:pPr>
              <w:ind w:firstLineChars="100" w:firstLine="160"/>
              <w:rPr>
                <w:rFonts w:ascii="Arial" w:eastAsia="Times New Roman" w:hAnsi="Arial" w:cs="Arial"/>
                <w:color w:val="000000"/>
                <w:sz w:val="16"/>
                <w:szCs w:val="16"/>
                <w:lang w:val="es-CO" w:eastAsia="es-CO"/>
              </w:rPr>
            </w:pPr>
            <w:r w:rsidRPr="0011236C">
              <w:rPr>
                <w:rFonts w:ascii="Arial" w:eastAsia="Times New Roman" w:hAnsi="Arial" w:cs="Arial"/>
                <w:color w:val="000000"/>
                <w:sz w:val="16"/>
                <w:szCs w:val="16"/>
                <w:lang w:val="es-CO" w:eastAsia="es-CO"/>
              </w:rPr>
              <w:t>SGP - Salud Pública</w:t>
            </w:r>
          </w:p>
        </w:tc>
        <w:tc>
          <w:tcPr>
            <w:tcW w:w="486" w:type="pct"/>
            <w:gridSpan w:val="2"/>
            <w:tcBorders>
              <w:top w:val="single" w:sz="8" w:space="0" w:color="808080"/>
              <w:left w:val="nil"/>
              <w:bottom w:val="single" w:sz="8" w:space="0" w:color="808080"/>
              <w:right w:val="nil"/>
            </w:tcBorders>
            <w:shd w:val="clear" w:color="auto" w:fill="auto"/>
            <w:noWrap/>
            <w:vAlign w:val="center"/>
            <w:hideMark/>
          </w:tcPr>
          <w:p w:rsidR="0011236C" w:rsidRPr="0011236C" w:rsidRDefault="0011236C" w:rsidP="0011236C">
            <w:pPr>
              <w:jc w:val="right"/>
              <w:rPr>
                <w:rFonts w:ascii="Arial" w:eastAsia="Times New Roman" w:hAnsi="Arial" w:cs="Arial"/>
                <w:color w:val="000000"/>
                <w:sz w:val="16"/>
                <w:szCs w:val="16"/>
                <w:lang w:val="es-CO" w:eastAsia="es-CO"/>
              </w:rPr>
            </w:pPr>
            <w:r w:rsidRPr="0011236C">
              <w:rPr>
                <w:rFonts w:ascii="Arial" w:eastAsia="Times New Roman" w:hAnsi="Arial" w:cs="Arial"/>
                <w:color w:val="000000"/>
                <w:sz w:val="16"/>
                <w:szCs w:val="16"/>
                <w:lang w:val="es-CO" w:eastAsia="es-CO"/>
              </w:rPr>
              <w:t>$ 13.296</w:t>
            </w:r>
          </w:p>
        </w:tc>
        <w:tc>
          <w:tcPr>
            <w:tcW w:w="564" w:type="pct"/>
            <w:tcBorders>
              <w:top w:val="nil"/>
              <w:left w:val="nil"/>
              <w:bottom w:val="single" w:sz="8" w:space="0" w:color="808080"/>
              <w:right w:val="nil"/>
            </w:tcBorders>
            <w:shd w:val="clear" w:color="auto" w:fill="auto"/>
            <w:noWrap/>
            <w:vAlign w:val="center"/>
            <w:hideMark/>
          </w:tcPr>
          <w:p w:rsidR="0011236C" w:rsidRPr="0011236C" w:rsidRDefault="0011236C" w:rsidP="0011236C">
            <w:pPr>
              <w:jc w:val="right"/>
              <w:rPr>
                <w:rFonts w:ascii="Arial" w:eastAsia="Times New Roman" w:hAnsi="Arial" w:cs="Arial"/>
                <w:color w:val="000000"/>
                <w:sz w:val="16"/>
                <w:szCs w:val="16"/>
                <w:lang w:val="es-CO" w:eastAsia="es-CO"/>
              </w:rPr>
            </w:pPr>
            <w:r w:rsidRPr="0011236C">
              <w:rPr>
                <w:rFonts w:ascii="Arial" w:eastAsia="Times New Roman" w:hAnsi="Arial" w:cs="Arial"/>
                <w:color w:val="000000"/>
                <w:sz w:val="16"/>
                <w:szCs w:val="16"/>
                <w:lang w:val="es-CO" w:eastAsia="es-CO"/>
              </w:rPr>
              <w:t>$ 13.038</w:t>
            </w:r>
          </w:p>
        </w:tc>
        <w:tc>
          <w:tcPr>
            <w:tcW w:w="486" w:type="pct"/>
            <w:tcBorders>
              <w:top w:val="nil"/>
              <w:left w:val="nil"/>
              <w:bottom w:val="single" w:sz="8" w:space="0" w:color="808080"/>
              <w:right w:val="nil"/>
            </w:tcBorders>
            <w:shd w:val="clear" w:color="auto" w:fill="auto"/>
            <w:noWrap/>
            <w:vAlign w:val="center"/>
            <w:hideMark/>
          </w:tcPr>
          <w:p w:rsidR="0011236C" w:rsidRPr="0011236C" w:rsidRDefault="0011236C" w:rsidP="0011236C">
            <w:pPr>
              <w:jc w:val="right"/>
              <w:rPr>
                <w:rFonts w:ascii="Arial" w:eastAsia="Times New Roman" w:hAnsi="Arial" w:cs="Arial"/>
                <w:color w:val="000000"/>
                <w:sz w:val="16"/>
                <w:szCs w:val="16"/>
                <w:lang w:val="es-CO" w:eastAsia="es-CO"/>
              </w:rPr>
            </w:pPr>
            <w:r w:rsidRPr="0011236C">
              <w:rPr>
                <w:rFonts w:ascii="Arial" w:eastAsia="Times New Roman" w:hAnsi="Arial" w:cs="Arial"/>
                <w:color w:val="000000"/>
                <w:sz w:val="16"/>
                <w:szCs w:val="16"/>
                <w:lang w:val="es-CO" w:eastAsia="es-CO"/>
              </w:rPr>
              <w:t>$ 13.038</w:t>
            </w:r>
          </w:p>
        </w:tc>
        <w:tc>
          <w:tcPr>
            <w:tcW w:w="553" w:type="pct"/>
            <w:tcBorders>
              <w:top w:val="nil"/>
              <w:left w:val="nil"/>
              <w:bottom w:val="single" w:sz="8" w:space="0" w:color="808080"/>
              <w:right w:val="nil"/>
            </w:tcBorders>
            <w:shd w:val="clear" w:color="auto" w:fill="auto"/>
            <w:noWrap/>
            <w:vAlign w:val="center"/>
            <w:hideMark/>
          </w:tcPr>
          <w:p w:rsidR="0011236C" w:rsidRPr="0011236C" w:rsidRDefault="0011236C" w:rsidP="0011236C">
            <w:pPr>
              <w:jc w:val="right"/>
              <w:rPr>
                <w:rFonts w:ascii="Arial" w:eastAsia="Times New Roman" w:hAnsi="Arial" w:cs="Arial"/>
                <w:color w:val="000000"/>
                <w:sz w:val="16"/>
                <w:szCs w:val="16"/>
                <w:lang w:val="es-CO" w:eastAsia="es-CO"/>
              </w:rPr>
            </w:pPr>
            <w:r w:rsidRPr="0011236C">
              <w:rPr>
                <w:rFonts w:ascii="Arial" w:eastAsia="Times New Roman" w:hAnsi="Arial" w:cs="Arial"/>
                <w:color w:val="000000"/>
                <w:sz w:val="16"/>
                <w:szCs w:val="16"/>
                <w:lang w:val="es-CO" w:eastAsia="es-CO"/>
              </w:rPr>
              <w:t>$ 14.135</w:t>
            </w:r>
          </w:p>
        </w:tc>
        <w:tc>
          <w:tcPr>
            <w:tcW w:w="499" w:type="pct"/>
            <w:tcBorders>
              <w:top w:val="nil"/>
              <w:left w:val="nil"/>
              <w:bottom w:val="single" w:sz="8" w:space="0" w:color="808080"/>
              <w:right w:val="nil"/>
            </w:tcBorders>
            <w:shd w:val="clear" w:color="auto" w:fill="auto"/>
            <w:noWrap/>
            <w:vAlign w:val="center"/>
            <w:hideMark/>
          </w:tcPr>
          <w:p w:rsidR="0011236C" w:rsidRPr="0011236C" w:rsidRDefault="0011236C" w:rsidP="0011236C">
            <w:pPr>
              <w:jc w:val="right"/>
              <w:rPr>
                <w:rFonts w:ascii="Arial" w:eastAsia="Times New Roman" w:hAnsi="Arial" w:cs="Arial"/>
                <w:color w:val="000000"/>
                <w:sz w:val="16"/>
                <w:szCs w:val="16"/>
                <w:lang w:val="es-CO" w:eastAsia="es-CO"/>
              </w:rPr>
            </w:pPr>
            <w:r w:rsidRPr="0011236C">
              <w:rPr>
                <w:rFonts w:ascii="Arial" w:eastAsia="Times New Roman" w:hAnsi="Arial" w:cs="Arial"/>
                <w:color w:val="000000"/>
                <w:sz w:val="16"/>
                <w:szCs w:val="16"/>
                <w:lang w:val="es-CO" w:eastAsia="es-CO"/>
              </w:rPr>
              <w:t>$ 13.038</w:t>
            </w:r>
          </w:p>
        </w:tc>
        <w:tc>
          <w:tcPr>
            <w:tcW w:w="558" w:type="pct"/>
            <w:tcBorders>
              <w:top w:val="nil"/>
              <w:left w:val="nil"/>
              <w:bottom w:val="single" w:sz="8" w:space="0" w:color="808080"/>
              <w:right w:val="nil"/>
            </w:tcBorders>
            <w:shd w:val="clear" w:color="auto" w:fill="auto"/>
            <w:noWrap/>
            <w:vAlign w:val="center"/>
            <w:hideMark/>
          </w:tcPr>
          <w:p w:rsidR="0011236C" w:rsidRPr="0011236C" w:rsidRDefault="0011236C" w:rsidP="0011236C">
            <w:pPr>
              <w:jc w:val="right"/>
              <w:rPr>
                <w:rFonts w:ascii="Arial" w:eastAsia="Times New Roman" w:hAnsi="Arial" w:cs="Arial"/>
                <w:color w:val="000000"/>
                <w:sz w:val="16"/>
                <w:szCs w:val="16"/>
                <w:lang w:val="es-CO" w:eastAsia="es-CO"/>
              </w:rPr>
            </w:pPr>
            <w:r w:rsidRPr="0011236C">
              <w:rPr>
                <w:rFonts w:ascii="Arial" w:eastAsia="Times New Roman" w:hAnsi="Arial" w:cs="Arial"/>
                <w:color w:val="000000"/>
                <w:sz w:val="16"/>
                <w:szCs w:val="16"/>
                <w:lang w:val="es-CO" w:eastAsia="es-CO"/>
              </w:rPr>
              <w:t>$ 11.821</w:t>
            </w:r>
          </w:p>
        </w:tc>
        <w:tc>
          <w:tcPr>
            <w:tcW w:w="413" w:type="pct"/>
            <w:tcBorders>
              <w:top w:val="nil"/>
              <w:left w:val="nil"/>
              <w:bottom w:val="single" w:sz="8" w:space="0" w:color="808080"/>
              <w:right w:val="nil"/>
            </w:tcBorders>
            <w:shd w:val="clear" w:color="auto" w:fill="auto"/>
            <w:noWrap/>
            <w:vAlign w:val="center"/>
            <w:hideMark/>
          </w:tcPr>
          <w:p w:rsidR="0011236C" w:rsidRPr="0011236C" w:rsidRDefault="0011236C" w:rsidP="0011236C">
            <w:pPr>
              <w:jc w:val="center"/>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100%</w:t>
            </w:r>
          </w:p>
        </w:tc>
        <w:tc>
          <w:tcPr>
            <w:tcW w:w="550" w:type="pct"/>
            <w:tcBorders>
              <w:top w:val="nil"/>
              <w:left w:val="nil"/>
              <w:bottom w:val="single" w:sz="8" w:space="0" w:color="808080"/>
              <w:right w:val="nil"/>
            </w:tcBorders>
            <w:shd w:val="clear" w:color="auto" w:fill="auto"/>
            <w:noWrap/>
            <w:vAlign w:val="center"/>
            <w:hideMark/>
          </w:tcPr>
          <w:p w:rsidR="0011236C" w:rsidRPr="0011236C" w:rsidRDefault="0011236C" w:rsidP="0011236C">
            <w:pPr>
              <w:jc w:val="center"/>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84%</w:t>
            </w:r>
          </w:p>
        </w:tc>
      </w:tr>
      <w:tr w:rsidR="0011236C" w:rsidRPr="0011236C" w:rsidTr="00F76962">
        <w:trPr>
          <w:trHeight w:val="315"/>
        </w:trPr>
        <w:tc>
          <w:tcPr>
            <w:tcW w:w="892" w:type="pct"/>
            <w:tcBorders>
              <w:top w:val="nil"/>
              <w:left w:val="nil"/>
              <w:bottom w:val="single" w:sz="8" w:space="0" w:color="808080"/>
              <w:right w:val="nil"/>
            </w:tcBorders>
            <w:shd w:val="clear" w:color="auto" w:fill="auto"/>
            <w:noWrap/>
            <w:vAlign w:val="center"/>
            <w:hideMark/>
          </w:tcPr>
          <w:p w:rsidR="0011236C" w:rsidRPr="0011236C" w:rsidRDefault="0011236C" w:rsidP="0011236C">
            <w:pPr>
              <w:ind w:firstLineChars="100" w:firstLine="160"/>
              <w:rPr>
                <w:rFonts w:ascii="Arial" w:eastAsia="Times New Roman" w:hAnsi="Arial" w:cs="Arial"/>
                <w:color w:val="000000"/>
                <w:sz w:val="16"/>
                <w:szCs w:val="16"/>
                <w:lang w:val="es-CO" w:eastAsia="es-CO"/>
              </w:rPr>
            </w:pPr>
            <w:r w:rsidRPr="0011236C">
              <w:rPr>
                <w:rFonts w:ascii="Arial" w:eastAsia="Times New Roman" w:hAnsi="Arial" w:cs="Arial"/>
                <w:color w:val="000000"/>
                <w:sz w:val="16"/>
                <w:szCs w:val="16"/>
                <w:lang w:val="es-CO" w:eastAsia="es-CO"/>
              </w:rPr>
              <w:t>Otras Transferencias Nación</w:t>
            </w:r>
          </w:p>
        </w:tc>
        <w:tc>
          <w:tcPr>
            <w:tcW w:w="486" w:type="pct"/>
            <w:gridSpan w:val="2"/>
            <w:tcBorders>
              <w:top w:val="single" w:sz="8" w:space="0" w:color="808080"/>
              <w:left w:val="nil"/>
              <w:bottom w:val="single" w:sz="8" w:space="0" w:color="808080"/>
              <w:right w:val="nil"/>
            </w:tcBorders>
            <w:shd w:val="clear" w:color="auto" w:fill="auto"/>
            <w:noWrap/>
            <w:vAlign w:val="center"/>
            <w:hideMark/>
          </w:tcPr>
          <w:p w:rsidR="0011236C" w:rsidRPr="0011236C" w:rsidRDefault="0011236C" w:rsidP="0011236C">
            <w:pPr>
              <w:jc w:val="right"/>
              <w:rPr>
                <w:rFonts w:ascii="Arial" w:eastAsia="Times New Roman" w:hAnsi="Arial" w:cs="Arial"/>
                <w:color w:val="000000"/>
                <w:sz w:val="16"/>
                <w:szCs w:val="16"/>
                <w:lang w:val="es-CO" w:eastAsia="es-CO"/>
              </w:rPr>
            </w:pPr>
            <w:r w:rsidRPr="0011236C">
              <w:rPr>
                <w:rFonts w:ascii="Arial" w:eastAsia="Times New Roman" w:hAnsi="Arial" w:cs="Arial"/>
                <w:color w:val="000000"/>
                <w:sz w:val="16"/>
                <w:szCs w:val="16"/>
                <w:lang w:val="es-CO" w:eastAsia="es-CO"/>
              </w:rPr>
              <w:t>$ 704</w:t>
            </w:r>
          </w:p>
        </w:tc>
        <w:tc>
          <w:tcPr>
            <w:tcW w:w="564" w:type="pct"/>
            <w:tcBorders>
              <w:top w:val="nil"/>
              <w:left w:val="nil"/>
              <w:bottom w:val="single" w:sz="8" w:space="0" w:color="808080"/>
              <w:right w:val="nil"/>
            </w:tcBorders>
            <w:shd w:val="clear" w:color="auto" w:fill="auto"/>
            <w:noWrap/>
            <w:vAlign w:val="center"/>
            <w:hideMark/>
          </w:tcPr>
          <w:p w:rsidR="0011236C" w:rsidRPr="0011236C" w:rsidRDefault="0011236C" w:rsidP="0011236C">
            <w:pPr>
              <w:jc w:val="right"/>
              <w:rPr>
                <w:rFonts w:ascii="Arial" w:eastAsia="Times New Roman" w:hAnsi="Arial" w:cs="Arial"/>
                <w:color w:val="000000"/>
                <w:sz w:val="16"/>
                <w:szCs w:val="16"/>
                <w:lang w:val="es-CO" w:eastAsia="es-CO"/>
              </w:rPr>
            </w:pPr>
            <w:r w:rsidRPr="0011236C">
              <w:rPr>
                <w:rFonts w:ascii="Arial" w:eastAsia="Times New Roman" w:hAnsi="Arial" w:cs="Arial"/>
                <w:color w:val="000000"/>
                <w:sz w:val="16"/>
                <w:szCs w:val="16"/>
                <w:lang w:val="es-CO" w:eastAsia="es-CO"/>
              </w:rPr>
              <w:t>$ 718</w:t>
            </w:r>
          </w:p>
        </w:tc>
        <w:tc>
          <w:tcPr>
            <w:tcW w:w="486" w:type="pct"/>
            <w:tcBorders>
              <w:top w:val="nil"/>
              <w:left w:val="nil"/>
              <w:bottom w:val="single" w:sz="8" w:space="0" w:color="808080"/>
              <w:right w:val="nil"/>
            </w:tcBorders>
            <w:shd w:val="clear" w:color="auto" w:fill="auto"/>
            <w:noWrap/>
            <w:vAlign w:val="center"/>
            <w:hideMark/>
          </w:tcPr>
          <w:p w:rsidR="0011236C" w:rsidRPr="0011236C" w:rsidRDefault="0011236C" w:rsidP="0011236C">
            <w:pPr>
              <w:jc w:val="right"/>
              <w:rPr>
                <w:rFonts w:ascii="Arial" w:eastAsia="Times New Roman" w:hAnsi="Arial" w:cs="Arial"/>
                <w:color w:val="000000"/>
                <w:sz w:val="16"/>
                <w:szCs w:val="16"/>
                <w:lang w:val="es-CO" w:eastAsia="es-CO"/>
              </w:rPr>
            </w:pPr>
            <w:r w:rsidRPr="0011236C">
              <w:rPr>
                <w:rFonts w:ascii="Arial" w:eastAsia="Times New Roman" w:hAnsi="Arial" w:cs="Arial"/>
                <w:color w:val="000000"/>
                <w:sz w:val="16"/>
                <w:szCs w:val="16"/>
                <w:lang w:val="es-CO" w:eastAsia="es-CO"/>
              </w:rPr>
              <w:t>$ 2.713</w:t>
            </w:r>
          </w:p>
        </w:tc>
        <w:tc>
          <w:tcPr>
            <w:tcW w:w="553" w:type="pct"/>
            <w:tcBorders>
              <w:top w:val="nil"/>
              <w:left w:val="nil"/>
              <w:bottom w:val="single" w:sz="8" w:space="0" w:color="808080"/>
              <w:right w:val="nil"/>
            </w:tcBorders>
            <w:shd w:val="clear" w:color="auto" w:fill="auto"/>
            <w:noWrap/>
            <w:vAlign w:val="center"/>
            <w:hideMark/>
          </w:tcPr>
          <w:p w:rsidR="0011236C" w:rsidRPr="0011236C" w:rsidRDefault="0011236C" w:rsidP="0011236C">
            <w:pPr>
              <w:jc w:val="right"/>
              <w:rPr>
                <w:rFonts w:ascii="Arial" w:eastAsia="Times New Roman" w:hAnsi="Arial" w:cs="Arial"/>
                <w:color w:val="000000"/>
                <w:sz w:val="16"/>
                <w:szCs w:val="16"/>
                <w:lang w:val="es-CO" w:eastAsia="es-CO"/>
              </w:rPr>
            </w:pPr>
            <w:r w:rsidRPr="0011236C">
              <w:rPr>
                <w:rFonts w:ascii="Arial" w:eastAsia="Times New Roman" w:hAnsi="Arial" w:cs="Arial"/>
                <w:color w:val="000000"/>
                <w:sz w:val="16"/>
                <w:szCs w:val="16"/>
                <w:lang w:val="es-CO" w:eastAsia="es-CO"/>
              </w:rPr>
              <w:t>$ 2.550</w:t>
            </w:r>
          </w:p>
        </w:tc>
        <w:tc>
          <w:tcPr>
            <w:tcW w:w="499" w:type="pct"/>
            <w:tcBorders>
              <w:top w:val="nil"/>
              <w:left w:val="nil"/>
              <w:bottom w:val="single" w:sz="8" w:space="0" w:color="808080"/>
              <w:right w:val="nil"/>
            </w:tcBorders>
            <w:shd w:val="clear" w:color="auto" w:fill="auto"/>
            <w:noWrap/>
            <w:vAlign w:val="center"/>
            <w:hideMark/>
          </w:tcPr>
          <w:p w:rsidR="0011236C" w:rsidRPr="0011236C" w:rsidRDefault="0011236C" w:rsidP="0011236C">
            <w:pPr>
              <w:jc w:val="right"/>
              <w:rPr>
                <w:rFonts w:ascii="Arial" w:eastAsia="Times New Roman" w:hAnsi="Arial" w:cs="Arial"/>
                <w:color w:val="000000"/>
                <w:sz w:val="16"/>
                <w:szCs w:val="16"/>
                <w:lang w:val="es-CO" w:eastAsia="es-CO"/>
              </w:rPr>
            </w:pPr>
            <w:r w:rsidRPr="0011236C">
              <w:rPr>
                <w:rFonts w:ascii="Arial" w:eastAsia="Times New Roman" w:hAnsi="Arial" w:cs="Arial"/>
                <w:color w:val="000000"/>
                <w:sz w:val="16"/>
                <w:szCs w:val="16"/>
                <w:lang w:val="es-CO" w:eastAsia="es-CO"/>
              </w:rPr>
              <w:t>$ 2.810</w:t>
            </w:r>
          </w:p>
        </w:tc>
        <w:tc>
          <w:tcPr>
            <w:tcW w:w="558" w:type="pct"/>
            <w:tcBorders>
              <w:top w:val="nil"/>
              <w:left w:val="nil"/>
              <w:bottom w:val="single" w:sz="8" w:space="0" w:color="808080"/>
              <w:right w:val="nil"/>
            </w:tcBorders>
            <w:shd w:val="clear" w:color="auto" w:fill="auto"/>
            <w:noWrap/>
            <w:vAlign w:val="center"/>
            <w:hideMark/>
          </w:tcPr>
          <w:p w:rsidR="0011236C" w:rsidRPr="0011236C" w:rsidRDefault="0011236C" w:rsidP="0011236C">
            <w:pPr>
              <w:jc w:val="right"/>
              <w:rPr>
                <w:rFonts w:ascii="Arial" w:eastAsia="Times New Roman" w:hAnsi="Arial" w:cs="Arial"/>
                <w:color w:val="000000"/>
                <w:sz w:val="16"/>
                <w:szCs w:val="16"/>
                <w:lang w:val="es-CO" w:eastAsia="es-CO"/>
              </w:rPr>
            </w:pPr>
            <w:r w:rsidRPr="0011236C">
              <w:rPr>
                <w:rFonts w:ascii="Arial" w:eastAsia="Times New Roman" w:hAnsi="Arial" w:cs="Arial"/>
                <w:color w:val="000000"/>
                <w:sz w:val="16"/>
                <w:szCs w:val="16"/>
                <w:lang w:val="es-CO" w:eastAsia="es-CO"/>
              </w:rPr>
              <w:t>$ 2.310</w:t>
            </w:r>
          </w:p>
        </w:tc>
        <w:tc>
          <w:tcPr>
            <w:tcW w:w="413" w:type="pct"/>
            <w:tcBorders>
              <w:top w:val="nil"/>
              <w:left w:val="nil"/>
              <w:bottom w:val="single" w:sz="8" w:space="0" w:color="808080"/>
              <w:right w:val="nil"/>
            </w:tcBorders>
            <w:shd w:val="clear" w:color="auto" w:fill="auto"/>
            <w:noWrap/>
            <w:vAlign w:val="center"/>
            <w:hideMark/>
          </w:tcPr>
          <w:p w:rsidR="0011236C" w:rsidRPr="0011236C" w:rsidRDefault="0011236C" w:rsidP="0011236C">
            <w:pPr>
              <w:jc w:val="center"/>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104%</w:t>
            </w:r>
          </w:p>
        </w:tc>
        <w:tc>
          <w:tcPr>
            <w:tcW w:w="550" w:type="pct"/>
            <w:tcBorders>
              <w:top w:val="nil"/>
              <w:left w:val="nil"/>
              <w:bottom w:val="single" w:sz="8" w:space="0" w:color="808080"/>
              <w:right w:val="nil"/>
            </w:tcBorders>
            <w:shd w:val="clear" w:color="auto" w:fill="auto"/>
            <w:noWrap/>
            <w:vAlign w:val="center"/>
            <w:hideMark/>
          </w:tcPr>
          <w:p w:rsidR="0011236C" w:rsidRPr="0011236C" w:rsidRDefault="0011236C" w:rsidP="0011236C">
            <w:pPr>
              <w:jc w:val="center"/>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91%</w:t>
            </w:r>
          </w:p>
        </w:tc>
      </w:tr>
      <w:tr w:rsidR="0011236C" w:rsidRPr="0011236C" w:rsidTr="00F76962">
        <w:trPr>
          <w:trHeight w:val="315"/>
        </w:trPr>
        <w:tc>
          <w:tcPr>
            <w:tcW w:w="892" w:type="pct"/>
            <w:tcBorders>
              <w:top w:val="nil"/>
              <w:left w:val="nil"/>
              <w:bottom w:val="single" w:sz="8" w:space="0" w:color="808080"/>
              <w:right w:val="nil"/>
            </w:tcBorders>
            <w:shd w:val="clear" w:color="auto" w:fill="auto"/>
            <w:noWrap/>
            <w:vAlign w:val="center"/>
            <w:hideMark/>
          </w:tcPr>
          <w:p w:rsidR="0011236C" w:rsidRPr="0011236C" w:rsidRDefault="0011236C" w:rsidP="0011236C">
            <w:pPr>
              <w:ind w:firstLineChars="100" w:firstLine="160"/>
              <w:rPr>
                <w:rFonts w:ascii="Arial" w:eastAsia="Times New Roman" w:hAnsi="Arial" w:cs="Arial"/>
                <w:color w:val="000000"/>
                <w:sz w:val="16"/>
                <w:szCs w:val="16"/>
                <w:lang w:val="es-CO" w:eastAsia="es-CO"/>
              </w:rPr>
            </w:pPr>
            <w:r w:rsidRPr="0011236C">
              <w:rPr>
                <w:rFonts w:ascii="Arial" w:eastAsia="Times New Roman" w:hAnsi="Arial" w:cs="Arial"/>
                <w:color w:val="000000"/>
                <w:sz w:val="16"/>
                <w:szCs w:val="16"/>
                <w:lang w:val="es-CO" w:eastAsia="es-CO"/>
              </w:rPr>
              <w:t>Otros ingresos</w:t>
            </w:r>
          </w:p>
        </w:tc>
        <w:tc>
          <w:tcPr>
            <w:tcW w:w="486" w:type="pct"/>
            <w:gridSpan w:val="2"/>
            <w:tcBorders>
              <w:top w:val="single" w:sz="8" w:space="0" w:color="808080"/>
              <w:left w:val="nil"/>
              <w:bottom w:val="single" w:sz="8" w:space="0" w:color="808080"/>
              <w:right w:val="nil"/>
            </w:tcBorders>
            <w:shd w:val="clear" w:color="auto" w:fill="auto"/>
            <w:noWrap/>
            <w:vAlign w:val="center"/>
            <w:hideMark/>
          </w:tcPr>
          <w:p w:rsidR="0011236C" w:rsidRPr="0011236C" w:rsidRDefault="0011236C" w:rsidP="0011236C">
            <w:pPr>
              <w:jc w:val="right"/>
              <w:rPr>
                <w:rFonts w:ascii="Arial" w:eastAsia="Times New Roman" w:hAnsi="Arial" w:cs="Arial"/>
                <w:color w:val="000000"/>
                <w:sz w:val="16"/>
                <w:szCs w:val="16"/>
                <w:lang w:val="es-CO" w:eastAsia="es-CO"/>
              </w:rPr>
            </w:pPr>
            <w:r w:rsidRPr="0011236C">
              <w:rPr>
                <w:rFonts w:ascii="Arial" w:eastAsia="Times New Roman" w:hAnsi="Arial" w:cs="Arial"/>
                <w:color w:val="000000"/>
                <w:sz w:val="16"/>
                <w:szCs w:val="16"/>
                <w:lang w:val="es-CO" w:eastAsia="es-CO"/>
              </w:rPr>
              <w:t>$ 7.072</w:t>
            </w:r>
          </w:p>
        </w:tc>
        <w:tc>
          <w:tcPr>
            <w:tcW w:w="564" w:type="pct"/>
            <w:tcBorders>
              <w:top w:val="nil"/>
              <w:left w:val="nil"/>
              <w:bottom w:val="single" w:sz="8" w:space="0" w:color="808080"/>
              <w:right w:val="nil"/>
            </w:tcBorders>
            <w:shd w:val="clear" w:color="auto" w:fill="auto"/>
            <w:noWrap/>
            <w:vAlign w:val="center"/>
            <w:hideMark/>
          </w:tcPr>
          <w:p w:rsidR="0011236C" w:rsidRPr="0011236C" w:rsidRDefault="0011236C" w:rsidP="0011236C">
            <w:pPr>
              <w:jc w:val="right"/>
              <w:rPr>
                <w:rFonts w:ascii="Arial" w:eastAsia="Times New Roman" w:hAnsi="Arial" w:cs="Arial"/>
                <w:color w:val="000000"/>
                <w:sz w:val="16"/>
                <w:szCs w:val="16"/>
                <w:lang w:val="es-CO" w:eastAsia="es-CO"/>
              </w:rPr>
            </w:pPr>
            <w:r w:rsidRPr="0011236C">
              <w:rPr>
                <w:rFonts w:ascii="Arial" w:eastAsia="Times New Roman" w:hAnsi="Arial" w:cs="Arial"/>
                <w:color w:val="000000"/>
                <w:sz w:val="16"/>
                <w:szCs w:val="16"/>
                <w:lang w:val="es-CO" w:eastAsia="es-CO"/>
              </w:rPr>
              <w:t>$ 7.050</w:t>
            </w:r>
          </w:p>
        </w:tc>
        <w:tc>
          <w:tcPr>
            <w:tcW w:w="486" w:type="pct"/>
            <w:tcBorders>
              <w:top w:val="single" w:sz="8" w:space="0" w:color="808080"/>
              <w:left w:val="nil"/>
              <w:bottom w:val="single" w:sz="8" w:space="0" w:color="808080"/>
              <w:right w:val="nil"/>
            </w:tcBorders>
            <w:shd w:val="clear" w:color="auto" w:fill="auto"/>
            <w:noWrap/>
            <w:vAlign w:val="center"/>
            <w:hideMark/>
          </w:tcPr>
          <w:p w:rsidR="0011236C" w:rsidRPr="0011236C" w:rsidRDefault="0011236C" w:rsidP="0011236C">
            <w:pPr>
              <w:jc w:val="right"/>
              <w:rPr>
                <w:rFonts w:ascii="Arial" w:eastAsia="Times New Roman" w:hAnsi="Arial" w:cs="Arial"/>
                <w:color w:val="000000"/>
                <w:sz w:val="16"/>
                <w:szCs w:val="16"/>
                <w:lang w:val="es-CO" w:eastAsia="es-CO"/>
              </w:rPr>
            </w:pPr>
            <w:r w:rsidRPr="0011236C">
              <w:rPr>
                <w:rFonts w:ascii="Arial" w:eastAsia="Times New Roman" w:hAnsi="Arial" w:cs="Arial"/>
                <w:color w:val="000000"/>
                <w:sz w:val="16"/>
                <w:szCs w:val="16"/>
                <w:lang w:val="es-CO" w:eastAsia="es-CO"/>
              </w:rPr>
              <w:t>$ 7.943</w:t>
            </w:r>
          </w:p>
        </w:tc>
        <w:tc>
          <w:tcPr>
            <w:tcW w:w="553" w:type="pct"/>
            <w:tcBorders>
              <w:top w:val="single" w:sz="8" w:space="0" w:color="808080"/>
              <w:left w:val="nil"/>
              <w:bottom w:val="single" w:sz="8" w:space="0" w:color="808080"/>
              <w:right w:val="nil"/>
            </w:tcBorders>
            <w:shd w:val="clear" w:color="auto" w:fill="auto"/>
            <w:noWrap/>
            <w:vAlign w:val="center"/>
            <w:hideMark/>
          </w:tcPr>
          <w:p w:rsidR="0011236C" w:rsidRPr="0011236C" w:rsidRDefault="0011236C" w:rsidP="0011236C">
            <w:pPr>
              <w:jc w:val="right"/>
              <w:rPr>
                <w:rFonts w:ascii="Arial" w:eastAsia="Times New Roman" w:hAnsi="Arial" w:cs="Arial"/>
                <w:color w:val="000000"/>
                <w:sz w:val="16"/>
                <w:szCs w:val="16"/>
                <w:lang w:val="es-CO" w:eastAsia="es-CO"/>
              </w:rPr>
            </w:pPr>
            <w:r w:rsidRPr="0011236C">
              <w:rPr>
                <w:rFonts w:ascii="Arial" w:eastAsia="Times New Roman" w:hAnsi="Arial" w:cs="Arial"/>
                <w:color w:val="000000"/>
                <w:sz w:val="16"/>
                <w:szCs w:val="16"/>
                <w:lang w:val="es-CO" w:eastAsia="es-CO"/>
              </w:rPr>
              <w:t>$ 7.052</w:t>
            </w:r>
          </w:p>
        </w:tc>
        <w:tc>
          <w:tcPr>
            <w:tcW w:w="499" w:type="pct"/>
            <w:tcBorders>
              <w:top w:val="single" w:sz="8" w:space="0" w:color="808080"/>
              <w:left w:val="nil"/>
              <w:bottom w:val="single" w:sz="8" w:space="0" w:color="808080"/>
              <w:right w:val="nil"/>
            </w:tcBorders>
            <w:shd w:val="clear" w:color="auto" w:fill="auto"/>
            <w:noWrap/>
            <w:vAlign w:val="center"/>
            <w:hideMark/>
          </w:tcPr>
          <w:p w:rsidR="0011236C" w:rsidRPr="0011236C" w:rsidRDefault="0011236C" w:rsidP="0011236C">
            <w:pPr>
              <w:jc w:val="right"/>
              <w:rPr>
                <w:rFonts w:ascii="Arial" w:eastAsia="Times New Roman" w:hAnsi="Arial" w:cs="Arial"/>
                <w:color w:val="000000"/>
                <w:sz w:val="16"/>
                <w:szCs w:val="16"/>
                <w:lang w:val="es-CO" w:eastAsia="es-CO"/>
              </w:rPr>
            </w:pPr>
            <w:r w:rsidRPr="0011236C">
              <w:rPr>
                <w:rFonts w:ascii="Arial" w:eastAsia="Times New Roman" w:hAnsi="Arial" w:cs="Arial"/>
                <w:color w:val="000000"/>
                <w:sz w:val="16"/>
                <w:szCs w:val="16"/>
                <w:lang w:val="es-CO" w:eastAsia="es-CO"/>
              </w:rPr>
              <w:t>$ 9.504</w:t>
            </w:r>
          </w:p>
        </w:tc>
        <w:tc>
          <w:tcPr>
            <w:tcW w:w="558" w:type="pct"/>
            <w:tcBorders>
              <w:top w:val="single" w:sz="8" w:space="0" w:color="808080"/>
              <w:left w:val="nil"/>
              <w:bottom w:val="single" w:sz="8" w:space="0" w:color="808080"/>
              <w:right w:val="nil"/>
            </w:tcBorders>
            <w:shd w:val="clear" w:color="auto" w:fill="auto"/>
            <w:noWrap/>
            <w:vAlign w:val="center"/>
            <w:hideMark/>
          </w:tcPr>
          <w:p w:rsidR="0011236C" w:rsidRPr="0011236C" w:rsidRDefault="0011236C" w:rsidP="0011236C">
            <w:pPr>
              <w:jc w:val="right"/>
              <w:rPr>
                <w:rFonts w:ascii="Arial" w:eastAsia="Times New Roman" w:hAnsi="Arial" w:cs="Arial"/>
                <w:color w:val="000000"/>
                <w:sz w:val="16"/>
                <w:szCs w:val="16"/>
                <w:lang w:val="es-CO" w:eastAsia="es-CO"/>
              </w:rPr>
            </w:pPr>
            <w:r w:rsidRPr="0011236C">
              <w:rPr>
                <w:rFonts w:ascii="Arial" w:eastAsia="Times New Roman" w:hAnsi="Arial" w:cs="Arial"/>
                <w:color w:val="000000"/>
                <w:sz w:val="16"/>
                <w:szCs w:val="16"/>
                <w:lang w:val="es-CO" w:eastAsia="es-CO"/>
              </w:rPr>
              <w:t>$ 4.283</w:t>
            </w:r>
          </w:p>
        </w:tc>
        <w:tc>
          <w:tcPr>
            <w:tcW w:w="413" w:type="pct"/>
            <w:tcBorders>
              <w:top w:val="nil"/>
              <w:left w:val="nil"/>
              <w:bottom w:val="single" w:sz="8" w:space="0" w:color="808080"/>
              <w:right w:val="nil"/>
            </w:tcBorders>
            <w:shd w:val="clear" w:color="auto" w:fill="auto"/>
            <w:noWrap/>
            <w:vAlign w:val="center"/>
            <w:hideMark/>
          </w:tcPr>
          <w:p w:rsidR="0011236C" w:rsidRPr="0011236C" w:rsidRDefault="0011236C" w:rsidP="0011236C">
            <w:pPr>
              <w:jc w:val="center"/>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120%</w:t>
            </w:r>
          </w:p>
        </w:tc>
        <w:tc>
          <w:tcPr>
            <w:tcW w:w="550" w:type="pct"/>
            <w:tcBorders>
              <w:top w:val="nil"/>
              <w:left w:val="nil"/>
              <w:bottom w:val="single" w:sz="8" w:space="0" w:color="808080"/>
              <w:right w:val="nil"/>
            </w:tcBorders>
            <w:shd w:val="clear" w:color="auto" w:fill="auto"/>
            <w:noWrap/>
            <w:vAlign w:val="center"/>
            <w:hideMark/>
          </w:tcPr>
          <w:p w:rsidR="0011236C" w:rsidRPr="0011236C" w:rsidRDefault="0011236C" w:rsidP="0011236C">
            <w:pPr>
              <w:jc w:val="center"/>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61%</w:t>
            </w:r>
          </w:p>
        </w:tc>
      </w:tr>
      <w:tr w:rsidR="0011236C" w:rsidRPr="0011236C" w:rsidTr="00F76962">
        <w:trPr>
          <w:trHeight w:val="315"/>
        </w:trPr>
        <w:tc>
          <w:tcPr>
            <w:tcW w:w="892" w:type="pct"/>
            <w:tcBorders>
              <w:top w:val="nil"/>
              <w:left w:val="nil"/>
              <w:bottom w:val="single" w:sz="8" w:space="0" w:color="808080"/>
              <w:right w:val="nil"/>
            </w:tcBorders>
            <w:shd w:val="clear" w:color="auto" w:fill="auto"/>
            <w:noWrap/>
            <w:vAlign w:val="center"/>
            <w:hideMark/>
          </w:tcPr>
          <w:p w:rsidR="0011236C" w:rsidRPr="0011236C" w:rsidRDefault="0011236C" w:rsidP="0011236C">
            <w:pPr>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Ingresos de capital</w:t>
            </w:r>
          </w:p>
        </w:tc>
        <w:tc>
          <w:tcPr>
            <w:tcW w:w="486" w:type="pct"/>
            <w:gridSpan w:val="2"/>
            <w:tcBorders>
              <w:top w:val="single" w:sz="8" w:space="0" w:color="808080"/>
              <w:left w:val="nil"/>
              <w:bottom w:val="single" w:sz="8" w:space="0" w:color="808080"/>
              <w:right w:val="nil"/>
            </w:tcBorders>
            <w:shd w:val="clear" w:color="auto" w:fill="auto"/>
            <w:noWrap/>
            <w:vAlign w:val="center"/>
            <w:hideMark/>
          </w:tcPr>
          <w:p w:rsidR="0011236C" w:rsidRPr="0011236C" w:rsidRDefault="0011236C" w:rsidP="0011236C">
            <w:pPr>
              <w:jc w:val="right"/>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$ 4.731</w:t>
            </w:r>
          </w:p>
        </w:tc>
        <w:tc>
          <w:tcPr>
            <w:tcW w:w="564" w:type="pct"/>
            <w:tcBorders>
              <w:top w:val="nil"/>
              <w:left w:val="nil"/>
              <w:bottom w:val="single" w:sz="8" w:space="0" w:color="808080"/>
              <w:right w:val="nil"/>
            </w:tcBorders>
            <w:shd w:val="clear" w:color="auto" w:fill="auto"/>
            <w:noWrap/>
            <w:vAlign w:val="center"/>
            <w:hideMark/>
          </w:tcPr>
          <w:p w:rsidR="0011236C" w:rsidRPr="0011236C" w:rsidRDefault="0011236C" w:rsidP="0011236C">
            <w:pPr>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 </w:t>
            </w:r>
          </w:p>
        </w:tc>
        <w:tc>
          <w:tcPr>
            <w:tcW w:w="486" w:type="pct"/>
            <w:tcBorders>
              <w:top w:val="nil"/>
              <w:left w:val="nil"/>
              <w:bottom w:val="single" w:sz="8" w:space="0" w:color="808080"/>
              <w:right w:val="nil"/>
            </w:tcBorders>
            <w:shd w:val="clear" w:color="auto" w:fill="auto"/>
            <w:noWrap/>
            <w:vAlign w:val="center"/>
            <w:hideMark/>
          </w:tcPr>
          <w:p w:rsidR="0011236C" w:rsidRPr="0011236C" w:rsidRDefault="0011236C" w:rsidP="0011236C">
            <w:pPr>
              <w:jc w:val="right"/>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$ 45.963</w:t>
            </w:r>
          </w:p>
        </w:tc>
        <w:tc>
          <w:tcPr>
            <w:tcW w:w="553" w:type="pct"/>
            <w:tcBorders>
              <w:top w:val="nil"/>
              <w:left w:val="nil"/>
              <w:bottom w:val="single" w:sz="8" w:space="0" w:color="808080"/>
              <w:right w:val="nil"/>
            </w:tcBorders>
            <w:shd w:val="clear" w:color="auto" w:fill="auto"/>
            <w:noWrap/>
            <w:vAlign w:val="center"/>
            <w:hideMark/>
          </w:tcPr>
          <w:p w:rsidR="0011236C" w:rsidRPr="0011236C" w:rsidRDefault="0011236C" w:rsidP="0011236C">
            <w:pPr>
              <w:jc w:val="right"/>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$ 68.194</w:t>
            </w:r>
          </w:p>
        </w:tc>
        <w:tc>
          <w:tcPr>
            <w:tcW w:w="499" w:type="pct"/>
            <w:tcBorders>
              <w:top w:val="nil"/>
              <w:left w:val="nil"/>
              <w:bottom w:val="single" w:sz="8" w:space="0" w:color="808080"/>
              <w:right w:val="nil"/>
            </w:tcBorders>
            <w:shd w:val="clear" w:color="auto" w:fill="auto"/>
            <w:noWrap/>
            <w:vAlign w:val="center"/>
            <w:hideMark/>
          </w:tcPr>
          <w:p w:rsidR="0011236C" w:rsidRPr="0011236C" w:rsidRDefault="0011236C" w:rsidP="0011236C">
            <w:pPr>
              <w:jc w:val="right"/>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$ 47.379</w:t>
            </w:r>
          </w:p>
        </w:tc>
        <w:tc>
          <w:tcPr>
            <w:tcW w:w="558" w:type="pct"/>
            <w:tcBorders>
              <w:top w:val="nil"/>
              <w:left w:val="nil"/>
              <w:bottom w:val="single" w:sz="8" w:space="0" w:color="808080"/>
              <w:right w:val="nil"/>
            </w:tcBorders>
            <w:shd w:val="clear" w:color="auto" w:fill="auto"/>
            <w:noWrap/>
            <w:vAlign w:val="center"/>
            <w:hideMark/>
          </w:tcPr>
          <w:p w:rsidR="0011236C" w:rsidRPr="0011236C" w:rsidRDefault="0011236C" w:rsidP="0011236C">
            <w:pPr>
              <w:jc w:val="right"/>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$ 10.058</w:t>
            </w:r>
          </w:p>
        </w:tc>
        <w:tc>
          <w:tcPr>
            <w:tcW w:w="413" w:type="pct"/>
            <w:tcBorders>
              <w:top w:val="nil"/>
              <w:left w:val="nil"/>
              <w:bottom w:val="single" w:sz="8" w:space="0" w:color="808080"/>
              <w:right w:val="nil"/>
            </w:tcBorders>
            <w:shd w:val="clear" w:color="auto" w:fill="auto"/>
            <w:noWrap/>
            <w:vAlign w:val="center"/>
            <w:hideMark/>
          </w:tcPr>
          <w:p w:rsidR="0011236C" w:rsidRPr="0011236C" w:rsidRDefault="0011236C" w:rsidP="0011236C">
            <w:pPr>
              <w:jc w:val="center"/>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103%</w:t>
            </w:r>
          </w:p>
        </w:tc>
        <w:tc>
          <w:tcPr>
            <w:tcW w:w="550" w:type="pct"/>
            <w:tcBorders>
              <w:top w:val="nil"/>
              <w:left w:val="nil"/>
              <w:bottom w:val="single" w:sz="8" w:space="0" w:color="808080"/>
              <w:right w:val="nil"/>
            </w:tcBorders>
            <w:shd w:val="clear" w:color="auto" w:fill="auto"/>
            <w:noWrap/>
            <w:vAlign w:val="center"/>
            <w:hideMark/>
          </w:tcPr>
          <w:p w:rsidR="0011236C" w:rsidRPr="0011236C" w:rsidRDefault="0011236C" w:rsidP="0011236C">
            <w:pPr>
              <w:jc w:val="center"/>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15%</w:t>
            </w:r>
          </w:p>
        </w:tc>
      </w:tr>
      <w:tr w:rsidR="0011236C" w:rsidRPr="0011236C" w:rsidTr="00F76962">
        <w:trPr>
          <w:trHeight w:val="315"/>
        </w:trPr>
        <w:tc>
          <w:tcPr>
            <w:tcW w:w="892" w:type="pct"/>
            <w:tcBorders>
              <w:top w:val="nil"/>
              <w:left w:val="nil"/>
              <w:bottom w:val="single" w:sz="8" w:space="0" w:color="808080"/>
              <w:right w:val="nil"/>
            </w:tcBorders>
            <w:shd w:val="clear" w:color="auto" w:fill="auto"/>
            <w:noWrap/>
            <w:vAlign w:val="center"/>
            <w:hideMark/>
          </w:tcPr>
          <w:p w:rsidR="0011236C" w:rsidRPr="0011236C" w:rsidRDefault="0011236C" w:rsidP="0011236C">
            <w:pPr>
              <w:jc w:val="center"/>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 xml:space="preserve">Total Ingresos FLS </w:t>
            </w:r>
          </w:p>
        </w:tc>
        <w:tc>
          <w:tcPr>
            <w:tcW w:w="486" w:type="pct"/>
            <w:gridSpan w:val="2"/>
            <w:tcBorders>
              <w:top w:val="single" w:sz="8" w:space="0" w:color="808080"/>
              <w:left w:val="nil"/>
              <w:bottom w:val="single" w:sz="8" w:space="0" w:color="808080"/>
              <w:right w:val="nil"/>
            </w:tcBorders>
            <w:shd w:val="clear" w:color="auto" w:fill="auto"/>
            <w:noWrap/>
            <w:vAlign w:val="center"/>
            <w:hideMark/>
          </w:tcPr>
          <w:p w:rsidR="0011236C" w:rsidRPr="0011236C" w:rsidRDefault="0011236C" w:rsidP="0011236C">
            <w:pPr>
              <w:jc w:val="right"/>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eastAsia="es-CO"/>
              </w:rPr>
              <w:t>$ 72.378</w:t>
            </w:r>
          </w:p>
        </w:tc>
        <w:tc>
          <w:tcPr>
            <w:tcW w:w="564" w:type="pct"/>
            <w:tcBorders>
              <w:top w:val="nil"/>
              <w:left w:val="nil"/>
              <w:bottom w:val="single" w:sz="8" w:space="0" w:color="808080"/>
              <w:right w:val="nil"/>
            </w:tcBorders>
            <w:shd w:val="clear" w:color="auto" w:fill="auto"/>
            <w:noWrap/>
            <w:vAlign w:val="center"/>
            <w:hideMark/>
          </w:tcPr>
          <w:p w:rsidR="0011236C" w:rsidRPr="0011236C" w:rsidRDefault="0011236C" w:rsidP="0011236C">
            <w:pPr>
              <w:jc w:val="right"/>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$ 52.453</w:t>
            </w:r>
          </w:p>
        </w:tc>
        <w:tc>
          <w:tcPr>
            <w:tcW w:w="486" w:type="pct"/>
            <w:tcBorders>
              <w:top w:val="nil"/>
              <w:left w:val="nil"/>
              <w:bottom w:val="single" w:sz="8" w:space="0" w:color="808080"/>
              <w:right w:val="nil"/>
            </w:tcBorders>
            <w:shd w:val="clear" w:color="auto" w:fill="auto"/>
            <w:noWrap/>
            <w:vAlign w:val="center"/>
            <w:hideMark/>
          </w:tcPr>
          <w:p w:rsidR="0011236C" w:rsidRPr="0011236C" w:rsidRDefault="0011236C" w:rsidP="0011236C">
            <w:pPr>
              <w:jc w:val="right"/>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$ 98.756</w:t>
            </w:r>
          </w:p>
        </w:tc>
        <w:tc>
          <w:tcPr>
            <w:tcW w:w="553" w:type="pct"/>
            <w:tcBorders>
              <w:top w:val="nil"/>
              <w:left w:val="nil"/>
              <w:bottom w:val="single" w:sz="8" w:space="0" w:color="808080"/>
              <w:right w:val="nil"/>
            </w:tcBorders>
            <w:shd w:val="clear" w:color="auto" w:fill="auto"/>
            <w:noWrap/>
            <w:vAlign w:val="center"/>
            <w:hideMark/>
          </w:tcPr>
          <w:p w:rsidR="0011236C" w:rsidRPr="0011236C" w:rsidRDefault="0011236C" w:rsidP="0011236C">
            <w:pPr>
              <w:jc w:val="right"/>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$ 125.493</w:t>
            </w:r>
          </w:p>
        </w:tc>
        <w:tc>
          <w:tcPr>
            <w:tcW w:w="499" w:type="pct"/>
            <w:tcBorders>
              <w:top w:val="nil"/>
              <w:left w:val="nil"/>
              <w:bottom w:val="single" w:sz="8" w:space="0" w:color="808080"/>
              <w:right w:val="nil"/>
            </w:tcBorders>
            <w:shd w:val="clear" w:color="auto" w:fill="auto"/>
            <w:noWrap/>
            <w:vAlign w:val="center"/>
            <w:hideMark/>
          </w:tcPr>
          <w:p w:rsidR="0011236C" w:rsidRPr="0011236C" w:rsidRDefault="0011236C" w:rsidP="0011236C">
            <w:pPr>
              <w:jc w:val="right"/>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$ 103.685</w:t>
            </w:r>
          </w:p>
        </w:tc>
        <w:tc>
          <w:tcPr>
            <w:tcW w:w="558" w:type="pct"/>
            <w:tcBorders>
              <w:top w:val="nil"/>
              <w:left w:val="nil"/>
              <w:bottom w:val="single" w:sz="8" w:space="0" w:color="808080"/>
              <w:right w:val="nil"/>
            </w:tcBorders>
            <w:shd w:val="clear" w:color="auto" w:fill="auto"/>
            <w:noWrap/>
            <w:vAlign w:val="center"/>
            <w:hideMark/>
          </w:tcPr>
          <w:p w:rsidR="0011236C" w:rsidRPr="0011236C" w:rsidRDefault="0011236C" w:rsidP="0011236C">
            <w:pPr>
              <w:jc w:val="right"/>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$ 50.966</w:t>
            </w:r>
          </w:p>
        </w:tc>
        <w:tc>
          <w:tcPr>
            <w:tcW w:w="413" w:type="pct"/>
            <w:tcBorders>
              <w:top w:val="nil"/>
              <w:left w:val="nil"/>
              <w:bottom w:val="single" w:sz="8" w:space="0" w:color="808080"/>
              <w:right w:val="nil"/>
            </w:tcBorders>
            <w:shd w:val="clear" w:color="auto" w:fill="auto"/>
            <w:noWrap/>
            <w:vAlign w:val="center"/>
            <w:hideMark/>
          </w:tcPr>
          <w:p w:rsidR="0011236C" w:rsidRPr="0011236C" w:rsidRDefault="0011236C" w:rsidP="0011236C">
            <w:pPr>
              <w:jc w:val="center"/>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105%</w:t>
            </w:r>
          </w:p>
        </w:tc>
        <w:tc>
          <w:tcPr>
            <w:tcW w:w="550" w:type="pct"/>
            <w:tcBorders>
              <w:top w:val="nil"/>
              <w:left w:val="nil"/>
              <w:bottom w:val="single" w:sz="8" w:space="0" w:color="808080"/>
              <w:right w:val="nil"/>
            </w:tcBorders>
            <w:shd w:val="clear" w:color="auto" w:fill="auto"/>
            <w:noWrap/>
            <w:vAlign w:val="center"/>
            <w:hideMark/>
          </w:tcPr>
          <w:p w:rsidR="0011236C" w:rsidRPr="0011236C" w:rsidRDefault="0011236C" w:rsidP="0011236C">
            <w:pPr>
              <w:jc w:val="center"/>
              <w:rPr>
                <w:rFonts w:ascii="Arial" w:eastAsia="Times New Roman" w:hAnsi="Arial" w:cs="Arial"/>
                <w:b/>
                <w:bCs/>
                <w:color w:val="000000"/>
                <w:sz w:val="16"/>
                <w:szCs w:val="16"/>
                <w:lang w:val="es-CO" w:eastAsia="es-CO"/>
              </w:rPr>
            </w:pPr>
            <w:r w:rsidRPr="0011236C">
              <w:rPr>
                <w:rFonts w:ascii="Arial" w:eastAsia="Times New Roman" w:hAnsi="Arial" w:cs="Arial"/>
                <w:b/>
                <w:bCs/>
                <w:color w:val="000000"/>
                <w:sz w:val="16"/>
                <w:szCs w:val="16"/>
                <w:lang w:val="es-CO" w:eastAsia="es-CO"/>
              </w:rPr>
              <w:t>41%</w:t>
            </w:r>
          </w:p>
        </w:tc>
      </w:tr>
      <w:tr w:rsidR="0011236C" w:rsidRPr="0011236C" w:rsidTr="00F76962">
        <w:trPr>
          <w:trHeight w:val="300"/>
        </w:trPr>
        <w:tc>
          <w:tcPr>
            <w:tcW w:w="1010" w:type="pct"/>
            <w:gridSpan w:val="2"/>
            <w:tcBorders>
              <w:top w:val="single" w:sz="8" w:space="0" w:color="808080"/>
              <w:left w:val="nil"/>
              <w:bottom w:val="nil"/>
              <w:right w:val="nil"/>
            </w:tcBorders>
            <w:shd w:val="clear" w:color="auto" w:fill="auto"/>
            <w:noWrap/>
            <w:vAlign w:val="center"/>
            <w:hideMark/>
          </w:tcPr>
          <w:p w:rsidR="0011236C" w:rsidRPr="0011236C" w:rsidRDefault="0011236C" w:rsidP="0011236C">
            <w:pPr>
              <w:rPr>
                <w:rFonts w:ascii="Arial" w:eastAsia="Times New Roman" w:hAnsi="Arial" w:cs="Arial"/>
                <w:color w:val="000000"/>
                <w:sz w:val="16"/>
                <w:szCs w:val="16"/>
                <w:lang w:val="es-CO" w:eastAsia="es-CO"/>
              </w:rPr>
            </w:pPr>
            <w:r w:rsidRPr="0011236C">
              <w:rPr>
                <w:rFonts w:ascii="Arial" w:eastAsia="Times New Roman" w:hAnsi="Arial" w:cs="Arial"/>
                <w:color w:val="000000"/>
                <w:sz w:val="16"/>
                <w:szCs w:val="16"/>
                <w:lang w:val="es-CO" w:eastAsia="es-CO"/>
              </w:rPr>
              <w:t>Fuente: FUT - 10– 11 - 21</w:t>
            </w:r>
          </w:p>
        </w:tc>
        <w:tc>
          <w:tcPr>
            <w:tcW w:w="367" w:type="pct"/>
            <w:tcBorders>
              <w:top w:val="nil"/>
              <w:left w:val="nil"/>
              <w:bottom w:val="nil"/>
              <w:right w:val="nil"/>
            </w:tcBorders>
            <w:shd w:val="clear" w:color="auto" w:fill="auto"/>
            <w:noWrap/>
            <w:vAlign w:val="center"/>
            <w:hideMark/>
          </w:tcPr>
          <w:p w:rsidR="0011236C" w:rsidRPr="0011236C" w:rsidRDefault="0011236C" w:rsidP="0011236C">
            <w:pPr>
              <w:rPr>
                <w:rFonts w:ascii="Arial" w:eastAsia="Times New Roman" w:hAnsi="Arial" w:cs="Arial"/>
                <w:color w:val="000000"/>
                <w:sz w:val="16"/>
                <w:szCs w:val="16"/>
                <w:lang w:val="es-CO" w:eastAsia="es-CO"/>
              </w:rPr>
            </w:pPr>
            <w:r w:rsidRPr="0011236C">
              <w:rPr>
                <w:rFonts w:ascii="Arial" w:eastAsia="Times New Roman" w:hAnsi="Arial" w:cs="Arial"/>
                <w:color w:val="000000"/>
                <w:sz w:val="16"/>
                <w:szCs w:val="16"/>
                <w:lang w:val="es-CO" w:eastAsia="es-CO"/>
              </w:rPr>
              <w:t> </w:t>
            </w:r>
          </w:p>
        </w:tc>
        <w:tc>
          <w:tcPr>
            <w:tcW w:w="564" w:type="pct"/>
            <w:tcBorders>
              <w:top w:val="nil"/>
              <w:left w:val="nil"/>
              <w:bottom w:val="nil"/>
              <w:right w:val="nil"/>
            </w:tcBorders>
            <w:shd w:val="clear" w:color="auto" w:fill="auto"/>
            <w:noWrap/>
            <w:vAlign w:val="center"/>
            <w:hideMark/>
          </w:tcPr>
          <w:p w:rsidR="0011236C" w:rsidRPr="0011236C" w:rsidRDefault="0011236C" w:rsidP="0011236C">
            <w:pPr>
              <w:rPr>
                <w:rFonts w:ascii="Arial" w:eastAsia="Times New Roman" w:hAnsi="Arial" w:cs="Arial"/>
                <w:color w:val="000000"/>
                <w:sz w:val="16"/>
                <w:szCs w:val="16"/>
                <w:lang w:val="es-CO" w:eastAsia="es-CO"/>
              </w:rPr>
            </w:pPr>
            <w:r w:rsidRPr="0011236C">
              <w:rPr>
                <w:rFonts w:ascii="Arial" w:eastAsia="Times New Roman" w:hAnsi="Arial" w:cs="Arial"/>
                <w:color w:val="000000"/>
                <w:sz w:val="16"/>
                <w:szCs w:val="16"/>
                <w:lang w:val="es-CO" w:eastAsia="es-CO"/>
              </w:rPr>
              <w:t> </w:t>
            </w:r>
          </w:p>
        </w:tc>
        <w:tc>
          <w:tcPr>
            <w:tcW w:w="486" w:type="pct"/>
            <w:tcBorders>
              <w:top w:val="nil"/>
              <w:left w:val="nil"/>
              <w:bottom w:val="nil"/>
              <w:right w:val="nil"/>
            </w:tcBorders>
            <w:shd w:val="clear" w:color="auto" w:fill="auto"/>
            <w:noWrap/>
            <w:vAlign w:val="center"/>
            <w:hideMark/>
          </w:tcPr>
          <w:p w:rsidR="0011236C" w:rsidRPr="0011236C" w:rsidRDefault="0011236C" w:rsidP="0011236C">
            <w:pPr>
              <w:rPr>
                <w:rFonts w:ascii="Arial" w:eastAsia="Times New Roman" w:hAnsi="Arial" w:cs="Arial"/>
                <w:color w:val="000000"/>
                <w:sz w:val="16"/>
                <w:szCs w:val="16"/>
                <w:lang w:val="es-CO" w:eastAsia="es-CO"/>
              </w:rPr>
            </w:pPr>
            <w:r w:rsidRPr="0011236C">
              <w:rPr>
                <w:rFonts w:ascii="Arial" w:eastAsia="Times New Roman" w:hAnsi="Arial" w:cs="Arial"/>
                <w:color w:val="000000"/>
                <w:sz w:val="16"/>
                <w:szCs w:val="16"/>
                <w:lang w:val="es-CO" w:eastAsia="es-CO"/>
              </w:rPr>
              <w:t> </w:t>
            </w:r>
          </w:p>
        </w:tc>
        <w:tc>
          <w:tcPr>
            <w:tcW w:w="553" w:type="pct"/>
            <w:tcBorders>
              <w:top w:val="nil"/>
              <w:left w:val="nil"/>
              <w:bottom w:val="nil"/>
              <w:right w:val="nil"/>
            </w:tcBorders>
            <w:shd w:val="clear" w:color="auto" w:fill="auto"/>
            <w:noWrap/>
            <w:vAlign w:val="center"/>
            <w:hideMark/>
          </w:tcPr>
          <w:p w:rsidR="0011236C" w:rsidRPr="0011236C" w:rsidRDefault="0011236C" w:rsidP="0011236C">
            <w:pPr>
              <w:rPr>
                <w:rFonts w:ascii="Arial" w:eastAsia="Times New Roman" w:hAnsi="Arial" w:cs="Arial"/>
                <w:color w:val="000000"/>
                <w:sz w:val="16"/>
                <w:szCs w:val="16"/>
                <w:lang w:val="es-CO" w:eastAsia="es-CO"/>
              </w:rPr>
            </w:pPr>
            <w:r w:rsidRPr="0011236C">
              <w:rPr>
                <w:rFonts w:ascii="Arial" w:eastAsia="Times New Roman" w:hAnsi="Arial" w:cs="Arial"/>
                <w:color w:val="000000"/>
                <w:sz w:val="16"/>
                <w:szCs w:val="16"/>
                <w:lang w:val="es-CO" w:eastAsia="es-CO"/>
              </w:rPr>
              <w:t> </w:t>
            </w:r>
          </w:p>
        </w:tc>
        <w:tc>
          <w:tcPr>
            <w:tcW w:w="499" w:type="pct"/>
            <w:tcBorders>
              <w:top w:val="nil"/>
              <w:left w:val="nil"/>
              <w:bottom w:val="nil"/>
              <w:right w:val="nil"/>
            </w:tcBorders>
            <w:shd w:val="clear" w:color="auto" w:fill="auto"/>
            <w:noWrap/>
            <w:vAlign w:val="center"/>
            <w:hideMark/>
          </w:tcPr>
          <w:p w:rsidR="0011236C" w:rsidRPr="0011236C" w:rsidRDefault="0011236C" w:rsidP="0011236C">
            <w:pPr>
              <w:rPr>
                <w:rFonts w:ascii="Arial" w:eastAsia="Times New Roman" w:hAnsi="Arial" w:cs="Arial"/>
                <w:color w:val="000000"/>
                <w:sz w:val="16"/>
                <w:szCs w:val="16"/>
                <w:lang w:val="es-CO" w:eastAsia="es-CO"/>
              </w:rPr>
            </w:pPr>
            <w:r w:rsidRPr="0011236C">
              <w:rPr>
                <w:rFonts w:ascii="Arial" w:eastAsia="Times New Roman" w:hAnsi="Arial" w:cs="Arial"/>
                <w:color w:val="000000"/>
                <w:sz w:val="16"/>
                <w:szCs w:val="16"/>
                <w:lang w:val="es-CO" w:eastAsia="es-CO"/>
              </w:rPr>
              <w:t> </w:t>
            </w:r>
          </w:p>
        </w:tc>
        <w:tc>
          <w:tcPr>
            <w:tcW w:w="558" w:type="pct"/>
            <w:tcBorders>
              <w:top w:val="nil"/>
              <w:left w:val="nil"/>
              <w:bottom w:val="nil"/>
              <w:right w:val="nil"/>
            </w:tcBorders>
            <w:shd w:val="clear" w:color="auto" w:fill="auto"/>
            <w:noWrap/>
            <w:vAlign w:val="center"/>
            <w:hideMark/>
          </w:tcPr>
          <w:p w:rsidR="0011236C" w:rsidRPr="0011236C" w:rsidRDefault="0011236C" w:rsidP="0011236C">
            <w:pPr>
              <w:rPr>
                <w:rFonts w:ascii="Arial" w:eastAsia="Times New Roman" w:hAnsi="Arial" w:cs="Arial"/>
                <w:color w:val="000000"/>
                <w:sz w:val="16"/>
                <w:szCs w:val="16"/>
                <w:lang w:val="es-CO" w:eastAsia="es-CO"/>
              </w:rPr>
            </w:pPr>
            <w:r w:rsidRPr="0011236C">
              <w:rPr>
                <w:rFonts w:ascii="Arial" w:eastAsia="Times New Roman" w:hAnsi="Arial" w:cs="Arial"/>
                <w:color w:val="000000"/>
                <w:sz w:val="16"/>
                <w:szCs w:val="16"/>
                <w:lang w:val="es-CO" w:eastAsia="es-CO"/>
              </w:rPr>
              <w:t> </w:t>
            </w:r>
          </w:p>
        </w:tc>
        <w:tc>
          <w:tcPr>
            <w:tcW w:w="413" w:type="pct"/>
            <w:tcBorders>
              <w:top w:val="nil"/>
              <w:left w:val="nil"/>
              <w:bottom w:val="nil"/>
              <w:right w:val="nil"/>
            </w:tcBorders>
            <w:shd w:val="clear" w:color="auto" w:fill="auto"/>
            <w:noWrap/>
            <w:vAlign w:val="center"/>
            <w:hideMark/>
          </w:tcPr>
          <w:p w:rsidR="0011236C" w:rsidRPr="0011236C" w:rsidRDefault="0011236C" w:rsidP="0011236C">
            <w:pPr>
              <w:rPr>
                <w:rFonts w:ascii="Arial" w:eastAsia="Times New Roman" w:hAnsi="Arial" w:cs="Arial"/>
                <w:color w:val="000000"/>
                <w:sz w:val="16"/>
                <w:szCs w:val="16"/>
                <w:lang w:val="es-CO" w:eastAsia="es-CO"/>
              </w:rPr>
            </w:pPr>
            <w:r w:rsidRPr="0011236C">
              <w:rPr>
                <w:rFonts w:ascii="Arial" w:eastAsia="Times New Roman" w:hAnsi="Arial" w:cs="Arial"/>
                <w:color w:val="000000"/>
                <w:sz w:val="16"/>
                <w:szCs w:val="16"/>
                <w:lang w:val="es-CO" w:eastAsia="es-CO"/>
              </w:rPr>
              <w:t> </w:t>
            </w:r>
          </w:p>
        </w:tc>
        <w:tc>
          <w:tcPr>
            <w:tcW w:w="550" w:type="pct"/>
            <w:tcBorders>
              <w:top w:val="nil"/>
              <w:left w:val="nil"/>
              <w:bottom w:val="nil"/>
              <w:right w:val="nil"/>
            </w:tcBorders>
            <w:shd w:val="clear" w:color="auto" w:fill="auto"/>
            <w:noWrap/>
            <w:vAlign w:val="center"/>
            <w:hideMark/>
          </w:tcPr>
          <w:p w:rsidR="0011236C" w:rsidRPr="0011236C" w:rsidRDefault="0011236C" w:rsidP="0011236C">
            <w:pPr>
              <w:rPr>
                <w:rFonts w:ascii="Arial" w:eastAsia="Times New Roman" w:hAnsi="Arial" w:cs="Arial"/>
                <w:color w:val="000000"/>
                <w:sz w:val="16"/>
                <w:szCs w:val="16"/>
                <w:lang w:val="es-CO" w:eastAsia="es-CO"/>
              </w:rPr>
            </w:pPr>
          </w:p>
        </w:tc>
      </w:tr>
    </w:tbl>
    <w:p w:rsidR="0011236C" w:rsidRPr="0011236C" w:rsidRDefault="0011236C" w:rsidP="0011236C">
      <w:pPr>
        <w:jc w:val="both"/>
        <w:rPr>
          <w:rFonts w:ascii="Arial" w:hAnsi="Arial" w:cs="Arial"/>
          <w:sz w:val="21"/>
          <w:szCs w:val="21"/>
        </w:rPr>
      </w:pPr>
    </w:p>
    <w:p w:rsidR="0011236C" w:rsidRPr="0011236C" w:rsidRDefault="0011236C" w:rsidP="0011236C">
      <w:pPr>
        <w:jc w:val="both"/>
        <w:rPr>
          <w:rFonts w:ascii="Arial" w:hAnsi="Arial" w:cs="Arial"/>
          <w:sz w:val="21"/>
          <w:szCs w:val="21"/>
        </w:rPr>
      </w:pPr>
      <w:r w:rsidRPr="0011236C">
        <w:rPr>
          <w:rFonts w:ascii="Arial" w:hAnsi="Arial" w:cs="Arial"/>
          <w:sz w:val="21"/>
          <w:szCs w:val="21"/>
        </w:rPr>
        <w:t>La ejecución presupuestal de ingresos reportada por la Entidad en el FUT, al cierre de la vigencia 2020 se presupuestaron ingresos totales en el Sector Salud por $98.756 millones, reportando un recaudo por $103.685 millones para financiar los componentes de Régimen Subsidiado, Prestación de Servicios, Salud Pública y Otros Gastos en Salud, mostrando un porcentaje de ejecución de 105%. Respecto al total recaudado, el 54% correspondió a Ingresos Corrientes y el 46% ($47.379 millones) a recursos de Capital.</w:t>
      </w:r>
    </w:p>
    <w:p w:rsidR="0011236C" w:rsidRPr="0011236C" w:rsidRDefault="0011236C" w:rsidP="0011236C">
      <w:pPr>
        <w:jc w:val="both"/>
        <w:rPr>
          <w:rFonts w:ascii="Arial" w:hAnsi="Arial" w:cs="Arial"/>
          <w:sz w:val="21"/>
          <w:szCs w:val="21"/>
        </w:rPr>
      </w:pPr>
    </w:p>
    <w:p w:rsidR="0011236C" w:rsidRPr="0011236C" w:rsidRDefault="0011236C" w:rsidP="0011236C">
      <w:pPr>
        <w:jc w:val="both"/>
        <w:rPr>
          <w:rFonts w:ascii="Arial" w:hAnsi="Arial" w:cs="Arial"/>
          <w:i/>
          <w:sz w:val="21"/>
          <w:szCs w:val="21"/>
        </w:rPr>
      </w:pPr>
      <w:r w:rsidRPr="0011236C">
        <w:rPr>
          <w:rFonts w:ascii="Arial" w:hAnsi="Arial" w:cs="Arial"/>
          <w:sz w:val="21"/>
          <w:szCs w:val="21"/>
        </w:rPr>
        <w:t xml:space="preserve">Del total de ingresos corrientes recaudados ($56.306 millones), los ingresos tributarios tuvieron una participación de 41% ($22.985 millones) y los no tributarios una participación de 59% restante ($33.321 millones); respecto a estos últimos, las transferencias para inversión del nivel nacional tuvieron una participación de 63% ($23.817 millones), otros ingresos no tributarios 29% ($9.504 millones) y por último las otras transferencias de la nación el 8% ; en cuanto a las Transferencias, estas correspondieron al Sistema General de Participaciones en 88% ($21.007 millones), y Otras Transferencias del Nivel Nacional para Inversión-Salud en 12% ($2.810 millones). En el caso del Sistema General de Participaciones, 62% ($13.038 millones) correspondió a Salud Pública, 38% ($7.969 millones) a Prestación de Servicios. </w:t>
      </w:r>
    </w:p>
    <w:p w:rsidR="0011236C" w:rsidRPr="0011236C" w:rsidRDefault="0011236C" w:rsidP="0011236C">
      <w:pPr>
        <w:jc w:val="both"/>
        <w:rPr>
          <w:rFonts w:ascii="Arial" w:hAnsi="Arial" w:cs="Arial"/>
          <w:i/>
          <w:sz w:val="21"/>
          <w:szCs w:val="21"/>
        </w:rPr>
      </w:pPr>
    </w:p>
    <w:p w:rsidR="0011236C" w:rsidRPr="0011236C" w:rsidRDefault="0011236C" w:rsidP="0011236C">
      <w:pPr>
        <w:jc w:val="both"/>
        <w:rPr>
          <w:rFonts w:ascii="Arial" w:hAnsi="Arial" w:cs="Arial"/>
          <w:sz w:val="21"/>
          <w:szCs w:val="21"/>
        </w:rPr>
      </w:pPr>
      <w:r w:rsidRPr="0011236C">
        <w:rPr>
          <w:rFonts w:ascii="Arial" w:hAnsi="Arial" w:cs="Arial"/>
          <w:sz w:val="21"/>
          <w:szCs w:val="21"/>
        </w:rPr>
        <w:t>Del total de recursos de Capital ($47.379 millones) el% 97 ($45.963 millones) corresponde a recursos del balance de la vigencia anterior; y el 3% ($1.415millones) corresponde a los recursos por rendimientos financieros</w:t>
      </w:r>
    </w:p>
    <w:p w:rsidR="0011236C" w:rsidRPr="0011236C" w:rsidRDefault="0011236C" w:rsidP="0011236C">
      <w:pPr>
        <w:jc w:val="both"/>
        <w:rPr>
          <w:rFonts w:ascii="Arial" w:hAnsi="Arial" w:cs="Arial"/>
          <w:sz w:val="21"/>
          <w:szCs w:val="21"/>
        </w:rPr>
      </w:pPr>
    </w:p>
    <w:p w:rsidR="0011236C" w:rsidRPr="0011236C" w:rsidRDefault="0011236C" w:rsidP="0011236C">
      <w:pPr>
        <w:jc w:val="both"/>
        <w:rPr>
          <w:rFonts w:ascii="Arial" w:hAnsi="Arial" w:cs="Arial"/>
          <w:sz w:val="21"/>
          <w:szCs w:val="21"/>
        </w:rPr>
      </w:pPr>
      <w:r w:rsidRPr="0011236C">
        <w:rPr>
          <w:rFonts w:ascii="Arial" w:hAnsi="Arial" w:cs="Arial"/>
          <w:sz w:val="21"/>
          <w:szCs w:val="21"/>
        </w:rPr>
        <w:t>Del análisis anterior se destaca la generación de recursos del balance de manera recurrente, situación que debe ser revisada en la etapa de diagnóstico pues sugiere debilidades en los procesos de planeación y ejecución de los recursos.</w:t>
      </w:r>
    </w:p>
    <w:p w:rsidR="0011236C" w:rsidRPr="0011236C" w:rsidRDefault="0011236C" w:rsidP="0011236C">
      <w:pPr>
        <w:jc w:val="both"/>
        <w:rPr>
          <w:rFonts w:ascii="Arial" w:hAnsi="Arial" w:cs="Arial"/>
          <w:sz w:val="21"/>
          <w:szCs w:val="21"/>
        </w:rPr>
      </w:pPr>
    </w:p>
    <w:p w:rsidR="0011236C" w:rsidRPr="0011236C" w:rsidRDefault="0011236C" w:rsidP="0011236C">
      <w:pPr>
        <w:jc w:val="both"/>
        <w:rPr>
          <w:rFonts w:ascii="Arial" w:hAnsi="Arial" w:cs="Arial"/>
          <w:sz w:val="21"/>
          <w:szCs w:val="21"/>
        </w:rPr>
      </w:pPr>
      <w:r w:rsidRPr="0011236C">
        <w:rPr>
          <w:rFonts w:ascii="Arial" w:hAnsi="Arial" w:cs="Arial"/>
          <w:sz w:val="21"/>
          <w:szCs w:val="21"/>
        </w:rPr>
        <w:t>Al corte septiembre de 2021, el presupuesto inicial fue de $ 52.453 millones y el definitivo de $125.494 millones. El total de ingresos recaudados fue de $50.966, lo cual representa una ejecución de 41%. Respecto al total recaudado, el 80% correspondió a Ingresos Corrientes y el 20% ($10.058 millones) a Ingresos de Capital.</w:t>
      </w:r>
    </w:p>
    <w:p w:rsidR="0011236C" w:rsidRPr="0011236C" w:rsidRDefault="0011236C" w:rsidP="0011236C">
      <w:pPr>
        <w:jc w:val="both"/>
        <w:rPr>
          <w:rFonts w:ascii="Arial" w:hAnsi="Arial" w:cs="Arial"/>
          <w:sz w:val="21"/>
          <w:szCs w:val="21"/>
        </w:rPr>
      </w:pPr>
    </w:p>
    <w:p w:rsidR="0011236C" w:rsidRPr="0011236C" w:rsidRDefault="0011236C" w:rsidP="0011236C">
      <w:pPr>
        <w:jc w:val="both"/>
        <w:rPr>
          <w:rFonts w:ascii="Arial" w:hAnsi="Arial" w:cs="Arial"/>
          <w:i/>
          <w:sz w:val="21"/>
          <w:szCs w:val="21"/>
        </w:rPr>
      </w:pPr>
      <w:r w:rsidRPr="0011236C">
        <w:rPr>
          <w:rFonts w:ascii="Arial" w:hAnsi="Arial" w:cs="Arial"/>
          <w:sz w:val="21"/>
          <w:szCs w:val="21"/>
        </w:rPr>
        <w:t xml:space="preserve">Del total de ingresos corrientes recaudados ($ 40.908millones), los ingresos tributarios tuvieron una participación de 44% ($18.196 millones) y los no tributarios una participación de 56% ($22.711 millones); respecto a estos últimos, las transferencias para inversión del nivel nacional tuvieron una participación del 83% ($18.880 millones), otros ingresos no tributarios 16% ($3.049 millones); el 1% restante corresponde a la cuenta tasas y derechos; en cuanto a las Transferencias estas correspondieron al Sistema General de Participaciones en 85% ($16.118 millones) y a Otras Transferencias del Nivel Nacional para Inversión-Salud en 15% ($2.310 millones). En el caso del Sistema General de Participaciones, 73% ($11.821 millones) correspondió a Salud Pública y 27% ($4.297 millones) a Prestación de Servicios. </w:t>
      </w:r>
    </w:p>
    <w:p w:rsidR="0011236C" w:rsidRPr="0011236C" w:rsidRDefault="0011236C" w:rsidP="0011236C">
      <w:pPr>
        <w:jc w:val="both"/>
        <w:rPr>
          <w:rFonts w:ascii="Arial" w:hAnsi="Arial" w:cs="Arial"/>
          <w:sz w:val="21"/>
          <w:szCs w:val="21"/>
        </w:rPr>
      </w:pPr>
    </w:p>
    <w:p w:rsidR="0011236C" w:rsidRPr="0011236C" w:rsidRDefault="0011236C" w:rsidP="0011236C">
      <w:pPr>
        <w:jc w:val="both"/>
        <w:rPr>
          <w:rFonts w:ascii="Arial" w:hAnsi="Arial" w:cs="Arial"/>
          <w:sz w:val="21"/>
          <w:szCs w:val="21"/>
        </w:rPr>
      </w:pPr>
      <w:r w:rsidRPr="0011236C">
        <w:rPr>
          <w:rFonts w:ascii="Arial" w:hAnsi="Arial" w:cs="Arial"/>
          <w:sz w:val="21"/>
          <w:szCs w:val="21"/>
        </w:rPr>
        <w:t>Del total de recursos de Capital ($10.058 millones) el 90% ($9.093 millones) corresponde a recursos del balance de la vigencia anterior; y el10% ($ 964 millones) corresponde a rendimientos financieros.</w:t>
      </w:r>
    </w:p>
    <w:p w:rsidR="0011236C" w:rsidRPr="0011236C" w:rsidRDefault="0011236C" w:rsidP="0011236C">
      <w:pPr>
        <w:jc w:val="both"/>
        <w:rPr>
          <w:rFonts w:ascii="Arial" w:hAnsi="Arial" w:cs="Arial"/>
          <w:sz w:val="21"/>
          <w:szCs w:val="21"/>
        </w:rPr>
      </w:pPr>
    </w:p>
    <w:p w:rsidR="0011236C" w:rsidRPr="0011236C" w:rsidRDefault="0011236C" w:rsidP="0011236C">
      <w:pPr>
        <w:jc w:val="both"/>
        <w:rPr>
          <w:rFonts w:ascii="Arial" w:hAnsi="Arial" w:cs="Arial"/>
          <w:sz w:val="21"/>
          <w:szCs w:val="21"/>
        </w:rPr>
      </w:pPr>
      <w:r w:rsidRPr="0011236C">
        <w:rPr>
          <w:rFonts w:ascii="Arial" w:hAnsi="Arial" w:cs="Arial"/>
          <w:sz w:val="21"/>
          <w:szCs w:val="21"/>
        </w:rPr>
        <w:lastRenderedPageBreak/>
        <w:t>Verificada la información reportada a través del Formulario Único Territorial – FUT frente a la información reportada en las ejecuciones presupuestales remitidas por la ET se identifican inconsistencias en los valores reportados del recaudo de la vigencia 2020 frente al cual reportó ingresos de $57.721 millones en su ejecución, e ingresos de $56.306 millones en el FUT. Ahora frente a los recursos asignados en el CONPES para las vigencias 2020 y 2021 los valores presentan inconsistencia con los valores registrados tanto en el reporte de la entidad como en el FUT.</w:t>
      </w:r>
      <w:r w:rsidRPr="0011236C">
        <w:rPr>
          <w:rFonts w:ascii="Arial" w:hAnsi="Arial" w:cs="Arial"/>
          <w:i/>
          <w:sz w:val="21"/>
          <w:szCs w:val="21"/>
        </w:rPr>
        <w:t xml:space="preserve"> </w:t>
      </w:r>
      <w:r w:rsidRPr="0011236C">
        <w:rPr>
          <w:rFonts w:ascii="Arial" w:hAnsi="Arial" w:cs="Arial"/>
          <w:sz w:val="21"/>
          <w:szCs w:val="21"/>
        </w:rPr>
        <w:t>De igual forma, se identifica que fueron apropiados la totalidad de los recursos que fueron transferidos por el SGP a cada componente</w:t>
      </w:r>
      <w:r w:rsidRPr="0011236C">
        <w:rPr>
          <w:rFonts w:ascii="Arial" w:hAnsi="Arial" w:cs="Arial"/>
          <w:i/>
          <w:sz w:val="21"/>
          <w:szCs w:val="21"/>
        </w:rPr>
        <w:t xml:space="preserve">. </w:t>
      </w:r>
    </w:p>
    <w:p w:rsidR="0011236C" w:rsidRPr="0011236C" w:rsidRDefault="0011236C" w:rsidP="0011236C">
      <w:pPr>
        <w:jc w:val="both"/>
        <w:rPr>
          <w:rFonts w:ascii="Arial" w:hAnsi="Arial" w:cs="Arial"/>
          <w:sz w:val="21"/>
          <w:szCs w:val="21"/>
        </w:rPr>
      </w:pPr>
    </w:p>
    <w:p w:rsidR="0011236C" w:rsidRPr="0011236C" w:rsidRDefault="0011236C" w:rsidP="0011236C">
      <w:pPr>
        <w:numPr>
          <w:ilvl w:val="2"/>
          <w:numId w:val="22"/>
        </w:numPr>
        <w:contextualSpacing/>
        <w:jc w:val="both"/>
        <w:rPr>
          <w:rFonts w:ascii="Arial" w:eastAsia="Times New Roman" w:hAnsi="Arial" w:cs="Arial"/>
          <w:b/>
          <w:sz w:val="21"/>
          <w:szCs w:val="21"/>
        </w:rPr>
      </w:pPr>
      <w:r w:rsidRPr="0011236C">
        <w:rPr>
          <w:rFonts w:ascii="Arial" w:eastAsia="Times New Roman" w:hAnsi="Arial" w:cs="Arial"/>
          <w:b/>
          <w:sz w:val="21"/>
          <w:szCs w:val="21"/>
        </w:rPr>
        <w:t>Gastos</w:t>
      </w:r>
    </w:p>
    <w:p w:rsidR="0011236C" w:rsidRPr="0011236C" w:rsidRDefault="0011236C" w:rsidP="0011236C">
      <w:pPr>
        <w:jc w:val="both"/>
        <w:rPr>
          <w:rFonts w:ascii="Arial" w:hAnsi="Arial" w:cs="Arial"/>
          <w:sz w:val="21"/>
          <w:szCs w:val="21"/>
        </w:rPr>
      </w:pPr>
    </w:p>
    <w:p w:rsidR="0011236C" w:rsidRDefault="0011236C" w:rsidP="0011236C">
      <w:pPr>
        <w:jc w:val="both"/>
        <w:rPr>
          <w:rFonts w:ascii="Arial" w:hAnsi="Arial" w:cs="Arial"/>
          <w:sz w:val="21"/>
          <w:szCs w:val="21"/>
        </w:rPr>
      </w:pPr>
      <w:r w:rsidRPr="0011236C">
        <w:rPr>
          <w:rFonts w:ascii="Arial" w:hAnsi="Arial" w:cs="Arial"/>
          <w:sz w:val="21"/>
          <w:szCs w:val="21"/>
        </w:rPr>
        <w:t>En cuanto a la ejecución presupuestal de gastos del FLS presentada por la Entidad en el FUT al cierre 2020 y corte a septiembre de 2021, los resultados son los siguientes:</w:t>
      </w:r>
    </w:p>
    <w:p w:rsidR="0011236C" w:rsidRDefault="0011236C" w:rsidP="0011236C">
      <w:pPr>
        <w:jc w:val="both"/>
        <w:rPr>
          <w:rFonts w:ascii="Arial" w:hAnsi="Arial" w:cs="Arial"/>
          <w:sz w:val="21"/>
          <w:szCs w:val="21"/>
        </w:rPr>
      </w:pPr>
    </w:p>
    <w:p w:rsidR="0011236C" w:rsidRPr="0011236C" w:rsidRDefault="0011236C" w:rsidP="0011236C">
      <w:pPr>
        <w:jc w:val="center"/>
        <w:rPr>
          <w:rFonts w:ascii="Arial" w:hAnsi="Arial" w:cs="Arial"/>
          <w:sz w:val="21"/>
          <w:szCs w:val="21"/>
        </w:rPr>
      </w:pPr>
      <w:r w:rsidRPr="0011236C">
        <w:rPr>
          <w:rFonts w:ascii="Arial" w:hAnsi="Arial" w:cs="Arial"/>
          <w:b/>
          <w:bCs/>
          <w:sz w:val="21"/>
          <w:szCs w:val="21"/>
        </w:rPr>
        <w:t>Tabla No 4</w:t>
      </w:r>
    </w:p>
    <w:p w:rsidR="0011236C" w:rsidRPr="0011236C" w:rsidRDefault="0011236C" w:rsidP="0011236C">
      <w:pPr>
        <w:jc w:val="right"/>
        <w:rPr>
          <w:rFonts w:ascii="Arial" w:hAnsi="Arial" w:cs="Arial"/>
          <w:b/>
          <w:bCs/>
          <w:sz w:val="21"/>
          <w:szCs w:val="21"/>
        </w:rPr>
      </w:pPr>
      <w:r w:rsidRPr="0011236C">
        <w:rPr>
          <w:rFonts w:ascii="Arial" w:eastAsia="Times New Roman" w:hAnsi="Arial" w:cs="Arial"/>
          <w:color w:val="000000"/>
          <w:sz w:val="21"/>
          <w:szCs w:val="21"/>
          <w:lang w:val="es-CO" w:eastAsia="es-CO"/>
        </w:rPr>
        <w:t>Cifras en Millones de $</w:t>
      </w:r>
    </w:p>
    <w:p w:rsidR="0011236C" w:rsidRPr="0011236C" w:rsidRDefault="0011236C" w:rsidP="0011236C">
      <w:pPr>
        <w:jc w:val="both"/>
        <w:rPr>
          <w:rFonts w:ascii="Arial" w:hAnsi="Arial" w:cs="Arial"/>
          <w:sz w:val="21"/>
          <w:szCs w:val="21"/>
          <w:highlight w:val="yellow"/>
        </w:rPr>
      </w:pPr>
      <w:r w:rsidRPr="0011236C">
        <w:rPr>
          <w:rFonts w:ascii="Arial" w:hAnsi="Arial" w:cs="Arial"/>
          <w:noProof/>
          <w:sz w:val="21"/>
          <w:szCs w:val="21"/>
          <w:lang w:val="es-CO" w:eastAsia="es-CO"/>
        </w:rPr>
        <w:drawing>
          <wp:inline distT="0" distB="0" distL="0" distR="0">
            <wp:extent cx="5608320" cy="158115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632026" cy="1587833"/>
                    </a:xfrm>
                    <a:prstGeom prst="rect">
                      <a:avLst/>
                    </a:prstGeom>
                    <a:noFill/>
                    <a:ln>
                      <a:noFill/>
                    </a:ln>
                  </pic:spPr>
                </pic:pic>
              </a:graphicData>
            </a:graphic>
          </wp:inline>
        </w:drawing>
      </w:r>
    </w:p>
    <w:p w:rsidR="0011236C" w:rsidRPr="0011236C" w:rsidRDefault="0011236C" w:rsidP="0011236C">
      <w:pPr>
        <w:jc w:val="both"/>
        <w:rPr>
          <w:rFonts w:ascii="Arial" w:hAnsi="Arial" w:cs="Arial"/>
          <w:sz w:val="21"/>
          <w:szCs w:val="21"/>
        </w:rPr>
      </w:pPr>
    </w:p>
    <w:p w:rsidR="0011236C" w:rsidRPr="0011236C" w:rsidRDefault="0011236C" w:rsidP="0011236C">
      <w:pPr>
        <w:jc w:val="both"/>
        <w:rPr>
          <w:rFonts w:ascii="Arial" w:eastAsiaTheme="minorHAnsi" w:hAnsi="Arial" w:cs="Arial"/>
          <w:sz w:val="21"/>
          <w:szCs w:val="21"/>
        </w:rPr>
      </w:pPr>
      <w:r w:rsidRPr="0011236C">
        <w:rPr>
          <w:rFonts w:ascii="Arial" w:hAnsi="Arial" w:cs="Arial"/>
          <w:sz w:val="21"/>
          <w:szCs w:val="21"/>
        </w:rPr>
        <w:t>Al cierre de la vigencia 2020, se apropiaron recursos por $98.755 millones, se generaron compromisos por $47.246 millones, sobre los cuales se efectuaron obligaciones por $35.961 millones y se efectuaron pagos por $25.685 millones, demostrando una ejecución del 48%. Del total de compromisos registrados,18</w:t>
      </w:r>
      <w:r w:rsidRPr="0011236C">
        <w:rPr>
          <w:rFonts w:ascii="Arial" w:hAnsi="Arial" w:cs="Arial"/>
          <w:b/>
          <w:bCs/>
          <w:sz w:val="21"/>
          <w:szCs w:val="21"/>
        </w:rPr>
        <w:t>%</w:t>
      </w:r>
      <w:r w:rsidRPr="0011236C">
        <w:rPr>
          <w:rFonts w:ascii="Arial" w:hAnsi="Arial" w:cs="Arial"/>
          <w:sz w:val="21"/>
          <w:szCs w:val="21"/>
        </w:rPr>
        <w:t xml:space="preserve"> ($9.721 millones) correspondió a la cofinanciación del régimen subsidiado, 32</w:t>
      </w:r>
      <w:r w:rsidRPr="0011236C">
        <w:rPr>
          <w:rFonts w:ascii="Arial" w:hAnsi="Arial" w:cs="Arial"/>
          <w:b/>
          <w:bCs/>
          <w:sz w:val="21"/>
          <w:szCs w:val="21"/>
        </w:rPr>
        <w:t>%</w:t>
      </w:r>
      <w:r w:rsidRPr="0011236C">
        <w:rPr>
          <w:rFonts w:ascii="Arial" w:hAnsi="Arial" w:cs="Arial"/>
          <w:sz w:val="21"/>
          <w:szCs w:val="21"/>
        </w:rPr>
        <w:t xml:space="preserve"> ($ 14.944millones) al componente de Prestación de Servicios 19</w:t>
      </w:r>
      <w:r w:rsidRPr="0011236C">
        <w:rPr>
          <w:rFonts w:ascii="Arial" w:hAnsi="Arial" w:cs="Arial"/>
          <w:bCs/>
          <w:sz w:val="21"/>
          <w:szCs w:val="21"/>
        </w:rPr>
        <w:t>%</w:t>
      </w:r>
      <w:r w:rsidRPr="0011236C">
        <w:rPr>
          <w:rFonts w:ascii="Arial" w:hAnsi="Arial" w:cs="Arial"/>
          <w:sz w:val="21"/>
          <w:szCs w:val="21"/>
        </w:rPr>
        <w:t xml:space="preserve"> ($ 8.849 millones), a las acciones de Salud Pública 25% ($11.932 millones), y 24</w:t>
      </w:r>
      <w:r w:rsidRPr="0011236C">
        <w:rPr>
          <w:rFonts w:ascii="Arial" w:hAnsi="Arial" w:cs="Arial"/>
          <w:bCs/>
          <w:sz w:val="21"/>
          <w:szCs w:val="21"/>
        </w:rPr>
        <w:t>%</w:t>
      </w:r>
      <w:r w:rsidRPr="0011236C">
        <w:rPr>
          <w:rFonts w:ascii="Arial" w:hAnsi="Arial" w:cs="Arial"/>
          <w:sz w:val="21"/>
          <w:szCs w:val="21"/>
        </w:rPr>
        <w:t xml:space="preserve"> ($11.521 millones) a otros gastos en salud.</w:t>
      </w:r>
    </w:p>
    <w:p w:rsidR="0011236C" w:rsidRPr="0011236C" w:rsidRDefault="0011236C" w:rsidP="0011236C">
      <w:pPr>
        <w:jc w:val="both"/>
        <w:rPr>
          <w:rFonts w:ascii="Arial" w:hAnsi="Arial" w:cs="Arial"/>
          <w:sz w:val="21"/>
          <w:szCs w:val="21"/>
          <w:lang w:eastAsia="en-US"/>
        </w:rPr>
      </w:pPr>
    </w:p>
    <w:p w:rsidR="0011236C" w:rsidRPr="0011236C" w:rsidRDefault="0011236C" w:rsidP="0011236C">
      <w:pPr>
        <w:jc w:val="both"/>
        <w:rPr>
          <w:rFonts w:ascii="Arial" w:hAnsi="Arial" w:cs="Arial"/>
          <w:sz w:val="21"/>
          <w:szCs w:val="21"/>
        </w:rPr>
      </w:pPr>
      <w:r w:rsidRPr="0011236C">
        <w:rPr>
          <w:rFonts w:ascii="Arial" w:hAnsi="Arial" w:cs="Arial"/>
          <w:sz w:val="21"/>
          <w:szCs w:val="21"/>
        </w:rPr>
        <w:t>Frente al componente de prestación de servicios, 91% ($ 8.044 millones) se orientó a financiar la prestación de servicios de la población pobre no asegurada, de los cuales 79% corresponden a servicios contratados con Empresas Sociales Del Estado y 11% a recursos orientados a financiar la atención de urgencias (sin contrato) en los diferentes niveles de complejidad; y el 9% ($ 805 millones) a financiar eventos no incluidos en el Plan de Beneficios del Régimen Subsidiado. En atención a lo dispuesto por la Ley 1955 de 2019, la ejecución de recursos del componente de prestación de servicios será objeto de verificación dada la orientación hacia el aseguramiento universal y la eliminación de la asignación de recursos del SGP para este fin.</w:t>
      </w:r>
    </w:p>
    <w:p w:rsidR="0011236C" w:rsidRPr="0011236C" w:rsidRDefault="0011236C" w:rsidP="0011236C">
      <w:pPr>
        <w:jc w:val="both"/>
        <w:rPr>
          <w:rFonts w:ascii="Arial" w:hAnsi="Arial" w:cs="Arial"/>
          <w:sz w:val="21"/>
          <w:szCs w:val="21"/>
        </w:rPr>
      </w:pPr>
    </w:p>
    <w:p w:rsidR="0011236C" w:rsidRPr="0011236C" w:rsidRDefault="0011236C" w:rsidP="0011236C">
      <w:pPr>
        <w:jc w:val="both"/>
        <w:rPr>
          <w:rFonts w:ascii="Arial" w:hAnsi="Arial" w:cs="Arial"/>
          <w:sz w:val="21"/>
          <w:szCs w:val="21"/>
          <w:highlight w:val="yellow"/>
        </w:rPr>
      </w:pPr>
      <w:r w:rsidRPr="0011236C">
        <w:rPr>
          <w:rFonts w:ascii="Arial" w:hAnsi="Arial" w:cs="Arial"/>
          <w:sz w:val="21"/>
          <w:szCs w:val="21"/>
        </w:rPr>
        <w:t xml:space="preserve">Con respecto al componente de salud pública, se presupuestaron recursos por $15.580 millones, de los cuales se comprometieron $11.932 millones, se efectuaron obligaciones por </w:t>
      </w:r>
      <w:r w:rsidRPr="0011236C">
        <w:rPr>
          <w:rFonts w:ascii="Arial" w:hAnsi="Arial" w:cs="Arial"/>
          <w:sz w:val="21"/>
          <w:szCs w:val="21"/>
        </w:rPr>
        <w:lastRenderedPageBreak/>
        <w:t>$6.040 millones y se realizaron pagos por $5.976 millones, mostrando una ejecución de 77%. Se orientaron compromisos para el financiamiento de las 9 dimensiones, siendo la correspondiente a gestión de la salud pública la que mayor participación (52%) en el gasto mostró.</w:t>
      </w:r>
    </w:p>
    <w:p w:rsidR="0011236C" w:rsidRPr="0011236C" w:rsidRDefault="0011236C" w:rsidP="0011236C">
      <w:pPr>
        <w:jc w:val="both"/>
        <w:rPr>
          <w:rFonts w:ascii="Arial" w:hAnsi="Arial" w:cs="Arial"/>
          <w:sz w:val="21"/>
          <w:szCs w:val="21"/>
          <w:highlight w:val="yellow"/>
        </w:rPr>
      </w:pPr>
    </w:p>
    <w:p w:rsidR="0011236C" w:rsidRPr="0011236C" w:rsidRDefault="0011236C" w:rsidP="0011236C">
      <w:pPr>
        <w:jc w:val="both"/>
        <w:rPr>
          <w:rFonts w:ascii="Arial" w:hAnsi="Arial" w:cs="Arial"/>
          <w:sz w:val="21"/>
          <w:szCs w:val="21"/>
        </w:rPr>
      </w:pPr>
      <w:r w:rsidRPr="0011236C">
        <w:rPr>
          <w:rFonts w:ascii="Arial" w:hAnsi="Arial" w:cs="Arial"/>
          <w:sz w:val="21"/>
          <w:szCs w:val="21"/>
        </w:rPr>
        <w:t xml:space="preserve">Frente a la cofinanciación del régimen subsidiado en la vigencia 2020, la ejecución de gastos planteó un valor de $ 14.944 millones, monto que difiere con el señalado por el MSPS en la matriz ejecutada de cofinanciación, el cual fue de $19.262 millones, registrando una diferencia de $4.318 millones, situación que deberá ser valorada en la etapa de diagnóstico. </w:t>
      </w:r>
    </w:p>
    <w:p w:rsidR="0011236C" w:rsidRPr="0011236C" w:rsidRDefault="0011236C" w:rsidP="0011236C">
      <w:pPr>
        <w:jc w:val="both"/>
        <w:rPr>
          <w:rFonts w:ascii="Arial" w:hAnsi="Arial" w:cs="Arial"/>
          <w:sz w:val="21"/>
          <w:szCs w:val="21"/>
          <w:highlight w:val="yellow"/>
        </w:rPr>
      </w:pPr>
    </w:p>
    <w:p w:rsidR="0011236C" w:rsidRPr="0011236C" w:rsidRDefault="0011236C" w:rsidP="0011236C">
      <w:pPr>
        <w:jc w:val="both"/>
        <w:rPr>
          <w:rFonts w:ascii="Arial" w:hAnsi="Arial" w:cs="Arial"/>
          <w:sz w:val="21"/>
          <w:szCs w:val="21"/>
        </w:rPr>
      </w:pPr>
      <w:r w:rsidRPr="0011236C">
        <w:rPr>
          <w:rFonts w:ascii="Arial" w:hAnsi="Arial" w:cs="Arial"/>
          <w:sz w:val="21"/>
          <w:szCs w:val="21"/>
        </w:rPr>
        <w:t>Al corte septiembre de 2021, se apropiaron recursos por $ 125.494 millones, se generaron compromisos por $38.003 millones, sobre los cuales se efectuaron obligaciones por $ 27.213 millones y se efectuaron pagos por $25.898 millones, demostrando una ejecución de 30%. Del total de compromisos registrados, el 38% ($14.459 millones) correspondió a la cofinanciación del régimen subsidiado, 4% ($1.551millones) al componente de Prestación de Servicios, 23% ($8.673 millones) a las acciones de Salud Pública y el 35% ($13.319millones) a otros gastos en salud.</w:t>
      </w:r>
    </w:p>
    <w:p w:rsidR="0011236C" w:rsidRPr="0011236C" w:rsidRDefault="0011236C" w:rsidP="0011236C">
      <w:pPr>
        <w:jc w:val="both"/>
        <w:rPr>
          <w:rFonts w:ascii="Arial" w:hAnsi="Arial" w:cs="Arial"/>
          <w:sz w:val="21"/>
          <w:szCs w:val="21"/>
          <w:highlight w:val="yellow"/>
        </w:rPr>
      </w:pPr>
    </w:p>
    <w:p w:rsidR="0011236C" w:rsidRPr="0011236C" w:rsidRDefault="0011236C" w:rsidP="0011236C">
      <w:pPr>
        <w:jc w:val="both"/>
        <w:rPr>
          <w:rFonts w:ascii="Arial" w:hAnsi="Arial" w:cs="Arial"/>
          <w:i/>
          <w:sz w:val="21"/>
          <w:szCs w:val="21"/>
        </w:rPr>
      </w:pPr>
      <w:r w:rsidRPr="0011236C">
        <w:rPr>
          <w:rFonts w:ascii="Arial" w:hAnsi="Arial" w:cs="Arial"/>
          <w:sz w:val="21"/>
          <w:szCs w:val="21"/>
        </w:rPr>
        <w:t xml:space="preserve">Verificada la información reportada a través del Formulario Único Territorial – FUT frente a la información reportada en las ejecuciones presupuestales remitidas por la ET se identifica inconsistencia en el presupuesto definitivo del gasto, mientras en el archivo enviado por la entidad se observan $101.772 millones como presupuesto definitivo, la información del FUT presenta un total de $125.494 millones, generando una diferencia de $23.722. millones, diferencia que se presenta en cada uno de las partes de la cadena presupuestal, (Compromisos, Obligaciones y Pagos), situación que será verificada en la etapa de diagnóstico. </w:t>
      </w:r>
    </w:p>
    <w:p w:rsidR="0011236C" w:rsidRPr="0011236C" w:rsidRDefault="0011236C" w:rsidP="0011236C">
      <w:pPr>
        <w:jc w:val="both"/>
        <w:rPr>
          <w:rFonts w:ascii="Arial" w:hAnsi="Arial" w:cs="Arial"/>
          <w:sz w:val="21"/>
          <w:szCs w:val="21"/>
        </w:rPr>
      </w:pPr>
    </w:p>
    <w:p w:rsidR="0011236C" w:rsidRPr="0011236C" w:rsidRDefault="0011236C" w:rsidP="0011236C">
      <w:pPr>
        <w:numPr>
          <w:ilvl w:val="2"/>
          <w:numId w:val="22"/>
        </w:numPr>
        <w:contextualSpacing/>
        <w:jc w:val="both"/>
        <w:rPr>
          <w:rFonts w:ascii="Arial" w:eastAsia="Times New Roman" w:hAnsi="Arial" w:cs="Arial"/>
          <w:b/>
          <w:sz w:val="21"/>
          <w:szCs w:val="21"/>
        </w:rPr>
      </w:pPr>
      <w:r w:rsidRPr="0011236C">
        <w:rPr>
          <w:rFonts w:ascii="Arial" w:eastAsia="Times New Roman" w:hAnsi="Arial" w:cs="Arial"/>
          <w:b/>
          <w:sz w:val="21"/>
          <w:szCs w:val="21"/>
        </w:rPr>
        <w:t>Cierre Fiscal y de Tesorería</w:t>
      </w:r>
    </w:p>
    <w:p w:rsidR="0011236C" w:rsidRPr="0011236C" w:rsidRDefault="0011236C" w:rsidP="0011236C">
      <w:pPr>
        <w:jc w:val="both"/>
        <w:rPr>
          <w:rFonts w:ascii="Arial" w:hAnsi="Arial" w:cs="Arial"/>
          <w:sz w:val="21"/>
          <w:szCs w:val="21"/>
        </w:rPr>
      </w:pPr>
    </w:p>
    <w:p w:rsidR="0011236C" w:rsidRPr="0011236C" w:rsidRDefault="0011236C" w:rsidP="0011236C">
      <w:pPr>
        <w:jc w:val="both"/>
        <w:rPr>
          <w:rFonts w:ascii="Arial" w:eastAsiaTheme="minorHAnsi" w:hAnsi="Arial" w:cs="Arial"/>
          <w:sz w:val="21"/>
          <w:szCs w:val="21"/>
          <w:lang w:val="es-CO" w:eastAsia="en-US"/>
        </w:rPr>
      </w:pPr>
      <w:r w:rsidRPr="0011236C">
        <w:rPr>
          <w:rFonts w:ascii="Arial" w:eastAsiaTheme="minorHAnsi" w:hAnsi="Arial" w:cs="Arial"/>
          <w:sz w:val="21"/>
          <w:szCs w:val="21"/>
          <w:lang w:val="es-CO" w:eastAsia="en-US"/>
        </w:rPr>
        <w:t>De acuerdo a lo expuesto, el cierre presupuestal y de tesorería del Fondo Local de Salud para la vigencia 2020</w:t>
      </w:r>
      <w:r w:rsidRPr="0011236C">
        <w:rPr>
          <w:rFonts w:ascii="Arial" w:eastAsiaTheme="minorHAnsi" w:hAnsi="Arial" w:cs="Arial"/>
          <w:color w:val="FF0000"/>
          <w:sz w:val="21"/>
          <w:szCs w:val="21"/>
          <w:lang w:val="es-CO" w:eastAsia="en-US"/>
        </w:rPr>
        <w:t xml:space="preserve"> </w:t>
      </w:r>
      <w:r w:rsidRPr="0011236C">
        <w:rPr>
          <w:rFonts w:ascii="Arial" w:eastAsiaTheme="minorHAnsi" w:hAnsi="Arial" w:cs="Arial"/>
          <w:sz w:val="21"/>
          <w:szCs w:val="21"/>
          <w:lang w:val="es-CO" w:eastAsia="en-US"/>
        </w:rPr>
        <w:t>mostró lo siguiente:</w:t>
      </w:r>
    </w:p>
    <w:p w:rsidR="0011236C" w:rsidRPr="0011236C" w:rsidRDefault="0011236C" w:rsidP="0011236C">
      <w:pPr>
        <w:jc w:val="center"/>
        <w:rPr>
          <w:rFonts w:ascii="Arial" w:hAnsi="Arial" w:cs="Arial"/>
          <w:b/>
          <w:sz w:val="21"/>
          <w:szCs w:val="21"/>
        </w:rPr>
      </w:pPr>
      <w:r w:rsidRPr="0011236C">
        <w:rPr>
          <w:rFonts w:ascii="Arial" w:hAnsi="Arial" w:cs="Arial"/>
          <w:b/>
          <w:sz w:val="21"/>
          <w:szCs w:val="21"/>
        </w:rPr>
        <w:t>Tabla No 5</w:t>
      </w:r>
    </w:p>
    <w:p w:rsidR="0011236C" w:rsidRPr="0011236C" w:rsidRDefault="0011236C" w:rsidP="0011236C">
      <w:pPr>
        <w:jc w:val="center"/>
        <w:rPr>
          <w:rFonts w:ascii="Arial" w:hAnsi="Arial" w:cs="Arial"/>
          <w:b/>
          <w:sz w:val="18"/>
          <w:szCs w:val="18"/>
        </w:rPr>
      </w:pPr>
      <w:r w:rsidRPr="0011236C">
        <w:rPr>
          <w:rFonts w:ascii="Arial" w:eastAsia="Times New Roman" w:hAnsi="Arial" w:cs="Arial"/>
          <w:color w:val="000000"/>
          <w:sz w:val="18"/>
          <w:szCs w:val="18"/>
          <w:lang w:val="es-CO" w:eastAsia="es-CO"/>
        </w:rPr>
        <w:t>Cifras en Millones de $</w:t>
      </w:r>
    </w:p>
    <w:tbl>
      <w:tblPr>
        <w:tblW w:w="5507" w:type="dxa"/>
        <w:jc w:val="center"/>
        <w:tblCellMar>
          <w:left w:w="70" w:type="dxa"/>
          <w:right w:w="70" w:type="dxa"/>
        </w:tblCellMar>
        <w:tblLook w:val="04A0" w:firstRow="1" w:lastRow="0" w:firstColumn="1" w:lastColumn="0" w:noHBand="0" w:noVBand="1"/>
      </w:tblPr>
      <w:tblGrid>
        <w:gridCol w:w="3251"/>
        <w:gridCol w:w="2249"/>
        <w:gridCol w:w="7"/>
      </w:tblGrid>
      <w:tr w:rsidR="0011236C" w:rsidRPr="0011236C" w:rsidTr="00F76962">
        <w:trPr>
          <w:trHeight w:val="259"/>
          <w:jc w:val="center"/>
        </w:trPr>
        <w:tc>
          <w:tcPr>
            <w:tcW w:w="5507" w:type="dxa"/>
            <w:gridSpan w:val="3"/>
            <w:tcBorders>
              <w:top w:val="nil"/>
              <w:left w:val="single" w:sz="8" w:space="0" w:color="auto"/>
              <w:bottom w:val="single" w:sz="8" w:space="0" w:color="auto"/>
              <w:right w:val="single" w:sz="8" w:space="0" w:color="000000"/>
            </w:tcBorders>
            <w:shd w:val="clear" w:color="auto" w:fill="666699"/>
            <w:noWrap/>
            <w:vAlign w:val="center"/>
            <w:hideMark/>
          </w:tcPr>
          <w:p w:rsidR="0011236C" w:rsidRPr="0011236C" w:rsidRDefault="0011236C" w:rsidP="0011236C">
            <w:pPr>
              <w:rPr>
                <w:rFonts w:ascii="Arial" w:eastAsia="Times New Roman" w:hAnsi="Arial" w:cs="Arial"/>
                <w:b/>
                <w:bCs/>
                <w:color w:val="FFFFFF"/>
                <w:sz w:val="18"/>
                <w:szCs w:val="18"/>
                <w:lang w:val="es-CO" w:eastAsia="es-CO"/>
              </w:rPr>
            </w:pPr>
            <w:r w:rsidRPr="0011236C">
              <w:rPr>
                <w:rFonts w:ascii="Arial" w:eastAsia="Times New Roman" w:hAnsi="Arial" w:cs="Arial"/>
                <w:b/>
                <w:bCs/>
                <w:color w:val="FFFFFF"/>
                <w:sz w:val="18"/>
                <w:szCs w:val="18"/>
                <w:lang w:val="es-CO" w:eastAsia="es-CO"/>
              </w:rPr>
              <w:t xml:space="preserve">                        Vigencia 2020</w:t>
            </w:r>
          </w:p>
        </w:tc>
      </w:tr>
      <w:tr w:rsidR="0011236C" w:rsidRPr="0011236C" w:rsidTr="00F76962">
        <w:trPr>
          <w:gridAfter w:val="1"/>
          <w:wAfter w:w="7" w:type="dxa"/>
          <w:trHeight w:val="276"/>
          <w:jc w:val="center"/>
        </w:trPr>
        <w:tc>
          <w:tcPr>
            <w:tcW w:w="3251" w:type="dxa"/>
            <w:vMerge w:val="restart"/>
            <w:tcBorders>
              <w:top w:val="nil"/>
              <w:left w:val="single" w:sz="8" w:space="0" w:color="666699"/>
              <w:bottom w:val="single" w:sz="8" w:space="0" w:color="666699"/>
              <w:right w:val="single" w:sz="8" w:space="0" w:color="60497A"/>
            </w:tcBorders>
            <w:shd w:val="clear" w:color="auto" w:fill="CCCCFF"/>
            <w:noWrap/>
            <w:vAlign w:val="center"/>
            <w:hideMark/>
          </w:tcPr>
          <w:p w:rsidR="0011236C" w:rsidRPr="0011236C" w:rsidRDefault="0011236C" w:rsidP="0011236C">
            <w:pPr>
              <w:jc w:val="center"/>
              <w:rPr>
                <w:rFonts w:ascii="Arial" w:eastAsia="Times New Roman" w:hAnsi="Arial" w:cs="Arial"/>
                <w:b/>
                <w:bCs/>
                <w:color w:val="000000"/>
                <w:sz w:val="18"/>
                <w:szCs w:val="18"/>
                <w:lang w:val="es-CO" w:eastAsia="es-CO"/>
              </w:rPr>
            </w:pPr>
            <w:r w:rsidRPr="0011236C">
              <w:rPr>
                <w:rFonts w:ascii="Arial" w:eastAsia="Times New Roman" w:hAnsi="Arial" w:cs="Arial"/>
                <w:b/>
                <w:bCs/>
                <w:color w:val="000000"/>
                <w:sz w:val="18"/>
                <w:szCs w:val="18"/>
                <w:lang w:val="es-CO" w:eastAsia="es-CO"/>
              </w:rPr>
              <w:t>Concepto</w:t>
            </w:r>
          </w:p>
        </w:tc>
        <w:tc>
          <w:tcPr>
            <w:tcW w:w="2249" w:type="dxa"/>
            <w:vMerge w:val="restart"/>
            <w:tcBorders>
              <w:top w:val="nil"/>
              <w:left w:val="single" w:sz="8" w:space="0" w:color="60497A"/>
              <w:bottom w:val="single" w:sz="8" w:space="0" w:color="60497A"/>
              <w:right w:val="single" w:sz="8" w:space="0" w:color="60497A"/>
            </w:tcBorders>
            <w:shd w:val="clear" w:color="auto" w:fill="CCCCFF"/>
            <w:vAlign w:val="center"/>
            <w:hideMark/>
          </w:tcPr>
          <w:p w:rsidR="0011236C" w:rsidRPr="0011236C" w:rsidRDefault="0011236C" w:rsidP="0011236C">
            <w:pPr>
              <w:jc w:val="center"/>
              <w:rPr>
                <w:rFonts w:ascii="Arial" w:eastAsia="Times New Roman" w:hAnsi="Arial" w:cs="Arial"/>
                <w:b/>
                <w:bCs/>
                <w:color w:val="000000"/>
                <w:sz w:val="18"/>
                <w:szCs w:val="18"/>
                <w:lang w:val="es-CO" w:eastAsia="es-CO"/>
              </w:rPr>
            </w:pPr>
            <w:r w:rsidRPr="0011236C">
              <w:rPr>
                <w:rFonts w:ascii="Arial" w:eastAsia="Times New Roman" w:hAnsi="Arial" w:cs="Arial"/>
                <w:b/>
                <w:bCs/>
                <w:color w:val="000000"/>
                <w:sz w:val="18"/>
                <w:szCs w:val="18"/>
                <w:lang w:val="es-CO" w:eastAsia="es-CO"/>
              </w:rPr>
              <w:t>valor</w:t>
            </w:r>
          </w:p>
        </w:tc>
      </w:tr>
      <w:tr w:rsidR="0011236C" w:rsidRPr="0011236C" w:rsidTr="00F76962">
        <w:trPr>
          <w:gridAfter w:val="1"/>
          <w:wAfter w:w="7" w:type="dxa"/>
          <w:trHeight w:val="288"/>
          <w:jc w:val="center"/>
        </w:trPr>
        <w:tc>
          <w:tcPr>
            <w:tcW w:w="3251" w:type="dxa"/>
            <w:vMerge/>
            <w:tcBorders>
              <w:top w:val="nil"/>
              <w:left w:val="single" w:sz="8" w:space="0" w:color="666699"/>
              <w:bottom w:val="single" w:sz="8" w:space="0" w:color="666699"/>
              <w:right w:val="single" w:sz="8" w:space="0" w:color="60497A"/>
            </w:tcBorders>
            <w:vAlign w:val="center"/>
            <w:hideMark/>
          </w:tcPr>
          <w:p w:rsidR="0011236C" w:rsidRPr="0011236C" w:rsidRDefault="0011236C" w:rsidP="0011236C">
            <w:pPr>
              <w:rPr>
                <w:rFonts w:ascii="Arial" w:eastAsia="Times New Roman" w:hAnsi="Arial" w:cs="Arial"/>
                <w:b/>
                <w:bCs/>
                <w:color w:val="000000"/>
                <w:sz w:val="18"/>
                <w:szCs w:val="18"/>
                <w:lang w:val="es-CO" w:eastAsia="es-CO"/>
              </w:rPr>
            </w:pPr>
          </w:p>
        </w:tc>
        <w:tc>
          <w:tcPr>
            <w:tcW w:w="0" w:type="auto"/>
            <w:vMerge/>
            <w:tcBorders>
              <w:top w:val="nil"/>
              <w:left w:val="single" w:sz="8" w:space="0" w:color="60497A"/>
              <w:bottom w:val="single" w:sz="8" w:space="0" w:color="60497A"/>
              <w:right w:val="single" w:sz="8" w:space="0" w:color="60497A"/>
            </w:tcBorders>
            <w:vAlign w:val="center"/>
            <w:hideMark/>
          </w:tcPr>
          <w:p w:rsidR="0011236C" w:rsidRPr="0011236C" w:rsidRDefault="0011236C" w:rsidP="0011236C">
            <w:pPr>
              <w:rPr>
                <w:rFonts w:ascii="Arial" w:eastAsia="Times New Roman" w:hAnsi="Arial" w:cs="Arial"/>
                <w:b/>
                <w:bCs/>
                <w:color w:val="000000"/>
                <w:sz w:val="18"/>
                <w:szCs w:val="18"/>
                <w:lang w:val="es-CO" w:eastAsia="es-CO"/>
              </w:rPr>
            </w:pPr>
          </w:p>
        </w:tc>
      </w:tr>
      <w:tr w:rsidR="0011236C" w:rsidRPr="0011236C" w:rsidTr="00F76962">
        <w:trPr>
          <w:gridAfter w:val="1"/>
          <w:wAfter w:w="7" w:type="dxa"/>
          <w:trHeight w:val="246"/>
          <w:jc w:val="center"/>
        </w:trPr>
        <w:tc>
          <w:tcPr>
            <w:tcW w:w="3251" w:type="dxa"/>
            <w:tcBorders>
              <w:top w:val="nil"/>
              <w:left w:val="single" w:sz="8" w:space="0" w:color="666699"/>
              <w:bottom w:val="single" w:sz="8" w:space="0" w:color="666699"/>
              <w:right w:val="nil"/>
            </w:tcBorders>
            <w:noWrap/>
            <w:vAlign w:val="center"/>
            <w:hideMark/>
          </w:tcPr>
          <w:p w:rsidR="0011236C" w:rsidRPr="0011236C" w:rsidRDefault="0011236C" w:rsidP="0011236C">
            <w:pPr>
              <w:jc w:val="both"/>
              <w:rPr>
                <w:rFonts w:ascii="Arial" w:eastAsia="Times New Roman" w:hAnsi="Arial" w:cs="Arial"/>
                <w:sz w:val="18"/>
                <w:szCs w:val="18"/>
                <w:lang w:val="es-CO" w:eastAsia="es-CO"/>
              </w:rPr>
            </w:pPr>
            <w:r w:rsidRPr="0011236C">
              <w:rPr>
                <w:rFonts w:ascii="Arial" w:eastAsia="Times New Roman" w:hAnsi="Arial" w:cs="Arial"/>
                <w:sz w:val="18"/>
                <w:szCs w:val="18"/>
                <w:lang w:val="es-CO" w:eastAsia="es-CO"/>
              </w:rPr>
              <w:t xml:space="preserve"> 1. Ingresos (Recaudados)</w:t>
            </w:r>
          </w:p>
        </w:tc>
        <w:tc>
          <w:tcPr>
            <w:tcW w:w="2249" w:type="dxa"/>
            <w:tcBorders>
              <w:top w:val="nil"/>
              <w:left w:val="single" w:sz="8" w:space="0" w:color="60497A"/>
              <w:bottom w:val="single" w:sz="8" w:space="0" w:color="60497A"/>
              <w:right w:val="single" w:sz="8" w:space="0" w:color="60497A"/>
            </w:tcBorders>
            <w:noWrap/>
            <w:vAlign w:val="center"/>
          </w:tcPr>
          <w:p w:rsidR="0011236C" w:rsidRPr="0011236C" w:rsidRDefault="0011236C" w:rsidP="0011236C">
            <w:pPr>
              <w:jc w:val="center"/>
              <w:rPr>
                <w:rFonts w:ascii="Arial" w:eastAsia="Times New Roman" w:hAnsi="Arial" w:cs="Arial"/>
                <w:sz w:val="18"/>
                <w:szCs w:val="18"/>
                <w:lang w:val="es-CO" w:eastAsia="es-CO"/>
              </w:rPr>
            </w:pPr>
            <w:r w:rsidRPr="0011236C">
              <w:rPr>
                <w:rFonts w:ascii="Arial" w:eastAsia="Times New Roman" w:hAnsi="Arial" w:cs="Arial"/>
                <w:sz w:val="18"/>
                <w:szCs w:val="18"/>
                <w:lang w:val="es-CO" w:eastAsia="es-CO"/>
              </w:rPr>
              <w:t>103.685</w:t>
            </w:r>
          </w:p>
        </w:tc>
      </w:tr>
      <w:tr w:rsidR="0011236C" w:rsidRPr="0011236C" w:rsidTr="00F76962">
        <w:trPr>
          <w:gridAfter w:val="1"/>
          <w:wAfter w:w="7" w:type="dxa"/>
          <w:trHeight w:val="259"/>
          <w:jc w:val="center"/>
        </w:trPr>
        <w:tc>
          <w:tcPr>
            <w:tcW w:w="3251" w:type="dxa"/>
            <w:tcBorders>
              <w:top w:val="nil"/>
              <w:left w:val="single" w:sz="8" w:space="0" w:color="666699"/>
              <w:bottom w:val="single" w:sz="8" w:space="0" w:color="666699"/>
              <w:right w:val="nil"/>
            </w:tcBorders>
            <w:noWrap/>
            <w:vAlign w:val="center"/>
            <w:hideMark/>
          </w:tcPr>
          <w:p w:rsidR="0011236C" w:rsidRPr="0011236C" w:rsidRDefault="0011236C" w:rsidP="0011236C">
            <w:pPr>
              <w:jc w:val="both"/>
              <w:rPr>
                <w:rFonts w:ascii="Arial" w:eastAsia="Times New Roman" w:hAnsi="Arial" w:cs="Arial"/>
                <w:sz w:val="18"/>
                <w:szCs w:val="18"/>
                <w:lang w:val="es-CO" w:eastAsia="es-CO"/>
              </w:rPr>
            </w:pPr>
            <w:r w:rsidRPr="0011236C">
              <w:rPr>
                <w:rFonts w:ascii="Arial" w:eastAsia="Times New Roman" w:hAnsi="Arial" w:cs="Arial"/>
                <w:sz w:val="18"/>
                <w:szCs w:val="18"/>
                <w:lang w:val="es-CO" w:eastAsia="es-CO"/>
              </w:rPr>
              <w:t xml:space="preserve"> 2. Gastos (Comprometidos) </w:t>
            </w:r>
          </w:p>
        </w:tc>
        <w:tc>
          <w:tcPr>
            <w:tcW w:w="2249" w:type="dxa"/>
            <w:tcBorders>
              <w:top w:val="nil"/>
              <w:left w:val="single" w:sz="8" w:space="0" w:color="60497A"/>
              <w:bottom w:val="single" w:sz="8" w:space="0" w:color="60497A"/>
              <w:right w:val="single" w:sz="8" w:space="0" w:color="60497A"/>
            </w:tcBorders>
            <w:noWrap/>
            <w:vAlign w:val="center"/>
          </w:tcPr>
          <w:p w:rsidR="0011236C" w:rsidRPr="0011236C" w:rsidRDefault="0011236C" w:rsidP="0011236C">
            <w:pPr>
              <w:jc w:val="center"/>
              <w:rPr>
                <w:rFonts w:ascii="Arial" w:eastAsia="Times New Roman" w:hAnsi="Arial" w:cs="Arial"/>
                <w:sz w:val="18"/>
                <w:szCs w:val="18"/>
                <w:lang w:val="es-CO" w:eastAsia="es-CO"/>
              </w:rPr>
            </w:pPr>
            <w:r w:rsidRPr="0011236C">
              <w:rPr>
                <w:rFonts w:ascii="Arial" w:eastAsia="Times New Roman" w:hAnsi="Arial" w:cs="Arial"/>
                <w:sz w:val="18"/>
                <w:szCs w:val="18"/>
                <w:lang w:val="es-CO" w:eastAsia="es-CO"/>
              </w:rPr>
              <w:t>47.249</w:t>
            </w:r>
          </w:p>
        </w:tc>
      </w:tr>
      <w:tr w:rsidR="0011236C" w:rsidRPr="0011236C" w:rsidTr="00F76962">
        <w:trPr>
          <w:gridAfter w:val="1"/>
          <w:wAfter w:w="7" w:type="dxa"/>
          <w:trHeight w:val="259"/>
          <w:jc w:val="center"/>
        </w:trPr>
        <w:tc>
          <w:tcPr>
            <w:tcW w:w="3251" w:type="dxa"/>
            <w:tcBorders>
              <w:top w:val="nil"/>
              <w:left w:val="single" w:sz="8" w:space="0" w:color="666699"/>
              <w:bottom w:val="single" w:sz="8" w:space="0" w:color="666699"/>
              <w:right w:val="nil"/>
            </w:tcBorders>
            <w:noWrap/>
            <w:vAlign w:val="center"/>
            <w:hideMark/>
          </w:tcPr>
          <w:p w:rsidR="0011236C" w:rsidRPr="0011236C" w:rsidRDefault="0011236C" w:rsidP="0011236C">
            <w:pPr>
              <w:jc w:val="both"/>
              <w:rPr>
                <w:rFonts w:ascii="Arial" w:eastAsia="Times New Roman" w:hAnsi="Arial" w:cs="Arial"/>
                <w:sz w:val="18"/>
                <w:szCs w:val="18"/>
                <w:lang w:val="es-CO" w:eastAsia="es-CO"/>
              </w:rPr>
            </w:pPr>
            <w:r w:rsidRPr="0011236C">
              <w:rPr>
                <w:rFonts w:ascii="Arial" w:eastAsia="Times New Roman" w:hAnsi="Arial" w:cs="Arial"/>
                <w:sz w:val="18"/>
                <w:szCs w:val="18"/>
                <w:lang w:val="es-CO" w:eastAsia="es-CO"/>
              </w:rPr>
              <w:t xml:space="preserve"> 3. Gastos (Obligados) </w:t>
            </w:r>
          </w:p>
        </w:tc>
        <w:tc>
          <w:tcPr>
            <w:tcW w:w="2249" w:type="dxa"/>
            <w:tcBorders>
              <w:top w:val="nil"/>
              <w:left w:val="single" w:sz="8" w:space="0" w:color="60497A"/>
              <w:bottom w:val="single" w:sz="8" w:space="0" w:color="60497A"/>
              <w:right w:val="single" w:sz="8" w:space="0" w:color="60497A"/>
            </w:tcBorders>
            <w:noWrap/>
            <w:vAlign w:val="center"/>
          </w:tcPr>
          <w:p w:rsidR="0011236C" w:rsidRPr="0011236C" w:rsidRDefault="0011236C" w:rsidP="0011236C">
            <w:pPr>
              <w:jc w:val="center"/>
              <w:rPr>
                <w:rFonts w:ascii="Arial" w:eastAsia="Times New Roman" w:hAnsi="Arial" w:cs="Arial"/>
                <w:sz w:val="18"/>
                <w:szCs w:val="18"/>
                <w:lang w:val="es-CO" w:eastAsia="es-CO"/>
              </w:rPr>
            </w:pPr>
            <w:r w:rsidRPr="0011236C">
              <w:rPr>
                <w:rFonts w:ascii="Arial" w:eastAsia="Times New Roman" w:hAnsi="Arial" w:cs="Arial"/>
                <w:sz w:val="18"/>
                <w:szCs w:val="18"/>
                <w:lang w:val="es-CO" w:eastAsia="es-CO"/>
              </w:rPr>
              <w:t>35.963</w:t>
            </w:r>
          </w:p>
        </w:tc>
      </w:tr>
      <w:tr w:rsidR="0011236C" w:rsidRPr="0011236C" w:rsidTr="00F76962">
        <w:trPr>
          <w:gridAfter w:val="1"/>
          <w:wAfter w:w="7" w:type="dxa"/>
          <w:trHeight w:val="259"/>
          <w:jc w:val="center"/>
        </w:trPr>
        <w:tc>
          <w:tcPr>
            <w:tcW w:w="3251" w:type="dxa"/>
            <w:tcBorders>
              <w:top w:val="nil"/>
              <w:left w:val="single" w:sz="8" w:space="0" w:color="666699"/>
              <w:bottom w:val="single" w:sz="8" w:space="0" w:color="666699"/>
              <w:right w:val="nil"/>
            </w:tcBorders>
            <w:noWrap/>
            <w:vAlign w:val="center"/>
            <w:hideMark/>
          </w:tcPr>
          <w:p w:rsidR="0011236C" w:rsidRPr="0011236C" w:rsidRDefault="0011236C" w:rsidP="0011236C">
            <w:pPr>
              <w:jc w:val="both"/>
              <w:rPr>
                <w:rFonts w:ascii="Arial" w:eastAsia="Times New Roman" w:hAnsi="Arial" w:cs="Arial"/>
                <w:sz w:val="18"/>
                <w:szCs w:val="18"/>
                <w:lang w:val="es-CO" w:eastAsia="es-CO"/>
              </w:rPr>
            </w:pPr>
            <w:r w:rsidRPr="0011236C">
              <w:rPr>
                <w:rFonts w:ascii="Arial" w:eastAsia="Times New Roman" w:hAnsi="Arial" w:cs="Arial"/>
                <w:sz w:val="18"/>
                <w:szCs w:val="18"/>
                <w:lang w:val="es-CO" w:eastAsia="es-CO"/>
              </w:rPr>
              <w:t xml:space="preserve"> 4. Pagos </w:t>
            </w:r>
          </w:p>
        </w:tc>
        <w:tc>
          <w:tcPr>
            <w:tcW w:w="2249" w:type="dxa"/>
            <w:tcBorders>
              <w:top w:val="nil"/>
              <w:left w:val="single" w:sz="8" w:space="0" w:color="60497A"/>
              <w:bottom w:val="single" w:sz="8" w:space="0" w:color="60497A"/>
              <w:right w:val="single" w:sz="8" w:space="0" w:color="60497A"/>
            </w:tcBorders>
            <w:noWrap/>
            <w:vAlign w:val="center"/>
          </w:tcPr>
          <w:p w:rsidR="0011236C" w:rsidRPr="0011236C" w:rsidRDefault="0011236C" w:rsidP="0011236C">
            <w:pPr>
              <w:jc w:val="center"/>
              <w:rPr>
                <w:rFonts w:ascii="Arial" w:eastAsia="Times New Roman" w:hAnsi="Arial" w:cs="Arial"/>
                <w:sz w:val="18"/>
                <w:szCs w:val="18"/>
                <w:lang w:val="es-CO" w:eastAsia="es-CO"/>
              </w:rPr>
            </w:pPr>
            <w:r w:rsidRPr="0011236C">
              <w:rPr>
                <w:rFonts w:ascii="Arial" w:eastAsia="Times New Roman" w:hAnsi="Arial" w:cs="Arial"/>
                <w:sz w:val="18"/>
                <w:szCs w:val="18"/>
                <w:lang w:val="es-CO" w:eastAsia="es-CO"/>
              </w:rPr>
              <w:t>25.686</w:t>
            </w:r>
          </w:p>
        </w:tc>
      </w:tr>
      <w:tr w:rsidR="0011236C" w:rsidRPr="0011236C" w:rsidTr="00F76962">
        <w:trPr>
          <w:gridAfter w:val="1"/>
          <w:wAfter w:w="7" w:type="dxa"/>
          <w:trHeight w:val="259"/>
          <w:jc w:val="center"/>
        </w:trPr>
        <w:tc>
          <w:tcPr>
            <w:tcW w:w="3251" w:type="dxa"/>
            <w:tcBorders>
              <w:top w:val="nil"/>
              <w:left w:val="single" w:sz="8" w:space="0" w:color="666699"/>
              <w:bottom w:val="single" w:sz="8" w:space="0" w:color="666699"/>
              <w:right w:val="nil"/>
            </w:tcBorders>
            <w:noWrap/>
            <w:vAlign w:val="center"/>
            <w:hideMark/>
          </w:tcPr>
          <w:p w:rsidR="0011236C" w:rsidRPr="0011236C" w:rsidRDefault="0011236C" w:rsidP="0011236C">
            <w:pPr>
              <w:jc w:val="both"/>
              <w:rPr>
                <w:rFonts w:ascii="Arial" w:eastAsia="Times New Roman" w:hAnsi="Arial" w:cs="Arial"/>
                <w:sz w:val="18"/>
                <w:szCs w:val="18"/>
                <w:lang w:val="es-CO" w:eastAsia="es-CO"/>
              </w:rPr>
            </w:pPr>
            <w:r w:rsidRPr="0011236C">
              <w:rPr>
                <w:rFonts w:ascii="Arial" w:eastAsia="Times New Roman" w:hAnsi="Arial" w:cs="Arial"/>
                <w:sz w:val="18"/>
                <w:szCs w:val="18"/>
                <w:lang w:val="es-CO" w:eastAsia="es-CO"/>
              </w:rPr>
              <w:t xml:space="preserve"> Déficit o superávit ( 1 ) - ( 2 ) </w:t>
            </w:r>
          </w:p>
        </w:tc>
        <w:tc>
          <w:tcPr>
            <w:tcW w:w="2249" w:type="dxa"/>
            <w:tcBorders>
              <w:top w:val="nil"/>
              <w:left w:val="single" w:sz="8" w:space="0" w:color="60497A"/>
              <w:bottom w:val="single" w:sz="8" w:space="0" w:color="60497A"/>
              <w:right w:val="single" w:sz="8" w:space="0" w:color="60497A"/>
            </w:tcBorders>
            <w:noWrap/>
            <w:vAlign w:val="center"/>
          </w:tcPr>
          <w:p w:rsidR="0011236C" w:rsidRPr="0011236C" w:rsidRDefault="0011236C" w:rsidP="0011236C">
            <w:pPr>
              <w:jc w:val="center"/>
              <w:rPr>
                <w:rFonts w:ascii="Arial" w:eastAsia="Times New Roman" w:hAnsi="Arial" w:cs="Arial"/>
                <w:sz w:val="18"/>
                <w:szCs w:val="18"/>
                <w:lang w:val="es-CO" w:eastAsia="es-CO"/>
              </w:rPr>
            </w:pPr>
            <w:r w:rsidRPr="0011236C">
              <w:rPr>
                <w:rFonts w:ascii="Arial" w:eastAsia="Times New Roman" w:hAnsi="Arial" w:cs="Arial"/>
                <w:sz w:val="18"/>
                <w:szCs w:val="18"/>
                <w:lang w:val="es-CO" w:eastAsia="es-CO"/>
              </w:rPr>
              <w:t>56.436</w:t>
            </w:r>
          </w:p>
        </w:tc>
      </w:tr>
      <w:tr w:rsidR="0011236C" w:rsidRPr="0011236C" w:rsidTr="00F76962">
        <w:trPr>
          <w:gridAfter w:val="1"/>
          <w:wAfter w:w="7" w:type="dxa"/>
          <w:trHeight w:val="259"/>
          <w:jc w:val="center"/>
        </w:trPr>
        <w:tc>
          <w:tcPr>
            <w:tcW w:w="3251" w:type="dxa"/>
            <w:tcBorders>
              <w:top w:val="nil"/>
              <w:left w:val="single" w:sz="8" w:space="0" w:color="666699"/>
              <w:bottom w:val="single" w:sz="8" w:space="0" w:color="666699"/>
              <w:right w:val="nil"/>
            </w:tcBorders>
            <w:noWrap/>
            <w:vAlign w:val="center"/>
            <w:hideMark/>
          </w:tcPr>
          <w:p w:rsidR="0011236C" w:rsidRPr="0011236C" w:rsidRDefault="0011236C" w:rsidP="0011236C">
            <w:pPr>
              <w:jc w:val="both"/>
              <w:rPr>
                <w:rFonts w:ascii="Arial" w:eastAsia="Times New Roman" w:hAnsi="Arial" w:cs="Arial"/>
                <w:sz w:val="18"/>
                <w:szCs w:val="18"/>
                <w:lang w:val="es-CO" w:eastAsia="es-CO"/>
              </w:rPr>
            </w:pPr>
            <w:r w:rsidRPr="0011236C">
              <w:rPr>
                <w:rFonts w:ascii="Arial" w:eastAsia="Times New Roman" w:hAnsi="Arial" w:cs="Arial"/>
                <w:sz w:val="18"/>
                <w:szCs w:val="18"/>
                <w:lang w:val="es-CO" w:eastAsia="es-CO"/>
              </w:rPr>
              <w:t xml:space="preserve"> Reservas ( 2 ) - ( 3 ) </w:t>
            </w:r>
          </w:p>
        </w:tc>
        <w:tc>
          <w:tcPr>
            <w:tcW w:w="2249" w:type="dxa"/>
            <w:tcBorders>
              <w:top w:val="nil"/>
              <w:left w:val="single" w:sz="8" w:space="0" w:color="60497A"/>
              <w:bottom w:val="single" w:sz="8" w:space="0" w:color="60497A"/>
              <w:right w:val="single" w:sz="8" w:space="0" w:color="60497A"/>
            </w:tcBorders>
            <w:noWrap/>
            <w:vAlign w:val="center"/>
          </w:tcPr>
          <w:p w:rsidR="0011236C" w:rsidRPr="0011236C" w:rsidRDefault="0011236C" w:rsidP="0011236C">
            <w:pPr>
              <w:jc w:val="center"/>
              <w:rPr>
                <w:rFonts w:ascii="Arial" w:eastAsia="Times New Roman" w:hAnsi="Arial" w:cs="Arial"/>
                <w:sz w:val="18"/>
                <w:szCs w:val="18"/>
                <w:lang w:val="es-CO" w:eastAsia="es-CO"/>
              </w:rPr>
            </w:pPr>
            <w:r w:rsidRPr="0011236C">
              <w:rPr>
                <w:rFonts w:ascii="Arial" w:eastAsia="Times New Roman" w:hAnsi="Arial" w:cs="Arial"/>
                <w:sz w:val="18"/>
                <w:szCs w:val="18"/>
                <w:lang w:val="es-CO" w:eastAsia="es-CO"/>
              </w:rPr>
              <w:t>11.286</w:t>
            </w:r>
          </w:p>
        </w:tc>
      </w:tr>
      <w:tr w:rsidR="0011236C" w:rsidRPr="0011236C" w:rsidTr="00F76962">
        <w:trPr>
          <w:gridAfter w:val="1"/>
          <w:wAfter w:w="7" w:type="dxa"/>
          <w:trHeight w:val="259"/>
          <w:jc w:val="center"/>
        </w:trPr>
        <w:tc>
          <w:tcPr>
            <w:tcW w:w="3251" w:type="dxa"/>
            <w:tcBorders>
              <w:top w:val="nil"/>
              <w:left w:val="single" w:sz="8" w:space="0" w:color="666699"/>
              <w:bottom w:val="single" w:sz="8" w:space="0" w:color="666699"/>
              <w:right w:val="nil"/>
            </w:tcBorders>
            <w:noWrap/>
            <w:vAlign w:val="center"/>
            <w:hideMark/>
          </w:tcPr>
          <w:p w:rsidR="0011236C" w:rsidRPr="0011236C" w:rsidRDefault="0011236C" w:rsidP="0011236C">
            <w:pPr>
              <w:jc w:val="both"/>
              <w:rPr>
                <w:rFonts w:ascii="Arial" w:eastAsia="Times New Roman" w:hAnsi="Arial" w:cs="Arial"/>
                <w:sz w:val="18"/>
                <w:szCs w:val="18"/>
                <w:lang w:val="es-CO" w:eastAsia="es-CO"/>
              </w:rPr>
            </w:pPr>
            <w:r w:rsidRPr="0011236C">
              <w:rPr>
                <w:rFonts w:ascii="Arial" w:eastAsia="Times New Roman" w:hAnsi="Arial" w:cs="Arial"/>
                <w:sz w:val="18"/>
                <w:szCs w:val="18"/>
                <w:lang w:val="es-CO" w:eastAsia="es-CO"/>
              </w:rPr>
              <w:t xml:space="preserve"> Cuentas por pagar ( 3 ) - ( 4 ) </w:t>
            </w:r>
          </w:p>
        </w:tc>
        <w:tc>
          <w:tcPr>
            <w:tcW w:w="2249" w:type="dxa"/>
            <w:tcBorders>
              <w:top w:val="nil"/>
              <w:left w:val="single" w:sz="8" w:space="0" w:color="60497A"/>
              <w:bottom w:val="single" w:sz="8" w:space="0" w:color="60497A"/>
              <w:right w:val="single" w:sz="8" w:space="0" w:color="60497A"/>
            </w:tcBorders>
            <w:noWrap/>
            <w:vAlign w:val="center"/>
          </w:tcPr>
          <w:p w:rsidR="0011236C" w:rsidRPr="0011236C" w:rsidRDefault="0011236C" w:rsidP="0011236C">
            <w:pPr>
              <w:jc w:val="center"/>
              <w:rPr>
                <w:rFonts w:ascii="Arial" w:eastAsia="Times New Roman" w:hAnsi="Arial" w:cs="Arial"/>
                <w:sz w:val="18"/>
                <w:szCs w:val="18"/>
                <w:lang w:val="es-CO" w:eastAsia="es-CO"/>
              </w:rPr>
            </w:pPr>
            <w:r w:rsidRPr="0011236C">
              <w:rPr>
                <w:rFonts w:ascii="Arial" w:eastAsia="Times New Roman" w:hAnsi="Arial" w:cs="Arial"/>
                <w:sz w:val="18"/>
                <w:szCs w:val="18"/>
                <w:lang w:val="es-CO" w:eastAsia="es-CO"/>
              </w:rPr>
              <w:t>10.277</w:t>
            </w:r>
          </w:p>
        </w:tc>
      </w:tr>
      <w:tr w:rsidR="0011236C" w:rsidRPr="0011236C" w:rsidTr="00F76962">
        <w:trPr>
          <w:gridAfter w:val="1"/>
          <w:wAfter w:w="7" w:type="dxa"/>
          <w:trHeight w:val="259"/>
          <w:jc w:val="center"/>
        </w:trPr>
        <w:tc>
          <w:tcPr>
            <w:tcW w:w="3251" w:type="dxa"/>
            <w:tcBorders>
              <w:top w:val="nil"/>
              <w:left w:val="single" w:sz="8" w:space="0" w:color="666699"/>
              <w:bottom w:val="single" w:sz="8" w:space="0" w:color="60497A"/>
              <w:right w:val="nil"/>
            </w:tcBorders>
            <w:noWrap/>
            <w:vAlign w:val="center"/>
            <w:hideMark/>
          </w:tcPr>
          <w:p w:rsidR="0011236C" w:rsidRPr="0011236C" w:rsidRDefault="0011236C" w:rsidP="0011236C">
            <w:pPr>
              <w:jc w:val="both"/>
              <w:rPr>
                <w:rFonts w:ascii="Arial" w:eastAsia="Times New Roman" w:hAnsi="Arial" w:cs="Arial"/>
                <w:sz w:val="18"/>
                <w:szCs w:val="18"/>
                <w:lang w:val="es-CO" w:eastAsia="es-CO"/>
              </w:rPr>
            </w:pPr>
            <w:r w:rsidRPr="0011236C">
              <w:rPr>
                <w:rFonts w:ascii="Arial" w:eastAsia="Times New Roman" w:hAnsi="Arial" w:cs="Arial"/>
                <w:sz w:val="18"/>
                <w:szCs w:val="18"/>
                <w:lang w:val="es-CO" w:eastAsia="es-CO"/>
              </w:rPr>
              <w:t xml:space="preserve"> Saldo en Caja y Bancos ( 1 ) - ( 4 ) </w:t>
            </w:r>
          </w:p>
        </w:tc>
        <w:tc>
          <w:tcPr>
            <w:tcW w:w="2249" w:type="dxa"/>
            <w:tcBorders>
              <w:top w:val="nil"/>
              <w:left w:val="single" w:sz="8" w:space="0" w:color="60497A"/>
              <w:bottom w:val="single" w:sz="8" w:space="0" w:color="60497A"/>
              <w:right w:val="single" w:sz="8" w:space="0" w:color="60497A"/>
            </w:tcBorders>
            <w:noWrap/>
            <w:vAlign w:val="center"/>
          </w:tcPr>
          <w:p w:rsidR="0011236C" w:rsidRPr="0011236C" w:rsidRDefault="0011236C" w:rsidP="0011236C">
            <w:pPr>
              <w:jc w:val="center"/>
              <w:rPr>
                <w:rFonts w:ascii="Arial" w:eastAsia="Times New Roman" w:hAnsi="Arial" w:cs="Arial"/>
                <w:sz w:val="18"/>
                <w:szCs w:val="18"/>
                <w:lang w:val="es-CO" w:eastAsia="es-CO"/>
              </w:rPr>
            </w:pPr>
            <w:r w:rsidRPr="0011236C">
              <w:rPr>
                <w:rFonts w:ascii="Arial" w:eastAsia="Times New Roman" w:hAnsi="Arial" w:cs="Arial"/>
                <w:sz w:val="18"/>
                <w:szCs w:val="18"/>
                <w:lang w:val="es-CO" w:eastAsia="es-CO"/>
              </w:rPr>
              <w:t>77.999</w:t>
            </w:r>
          </w:p>
        </w:tc>
      </w:tr>
    </w:tbl>
    <w:p w:rsidR="0011236C" w:rsidRPr="0011236C" w:rsidRDefault="0011236C" w:rsidP="0011236C">
      <w:pPr>
        <w:jc w:val="center"/>
        <w:rPr>
          <w:rFonts w:ascii="Arial" w:hAnsi="Arial" w:cs="Arial"/>
          <w:sz w:val="18"/>
          <w:szCs w:val="18"/>
        </w:rPr>
      </w:pPr>
      <w:r w:rsidRPr="0011236C">
        <w:rPr>
          <w:rFonts w:ascii="Arial" w:hAnsi="Arial" w:cs="Arial"/>
          <w:sz w:val="18"/>
          <w:szCs w:val="18"/>
        </w:rPr>
        <w:t xml:space="preserve">Fuente: Ejecución Presupuestal FLS- reportada a través del CHIP. </w:t>
      </w:r>
    </w:p>
    <w:p w:rsidR="0011236C" w:rsidRPr="0011236C" w:rsidRDefault="0011236C" w:rsidP="0011236C">
      <w:pPr>
        <w:jc w:val="center"/>
        <w:rPr>
          <w:rFonts w:ascii="Arial" w:hAnsi="Arial" w:cs="Arial"/>
          <w:sz w:val="18"/>
          <w:szCs w:val="18"/>
        </w:rPr>
      </w:pPr>
      <w:r w:rsidRPr="0011236C">
        <w:rPr>
          <w:rFonts w:ascii="Arial" w:hAnsi="Arial" w:cs="Arial"/>
          <w:sz w:val="18"/>
          <w:szCs w:val="18"/>
        </w:rPr>
        <w:t>Corte diciembre 2020</w:t>
      </w:r>
    </w:p>
    <w:p w:rsidR="0011236C" w:rsidRPr="0011236C" w:rsidRDefault="0011236C" w:rsidP="0011236C">
      <w:pPr>
        <w:jc w:val="center"/>
        <w:rPr>
          <w:rFonts w:ascii="Arial" w:hAnsi="Arial" w:cs="Arial"/>
          <w:sz w:val="21"/>
          <w:szCs w:val="21"/>
          <w:highlight w:val="yellow"/>
        </w:rPr>
      </w:pPr>
    </w:p>
    <w:p w:rsidR="0011236C" w:rsidRPr="0011236C" w:rsidRDefault="0011236C" w:rsidP="0011236C">
      <w:pPr>
        <w:jc w:val="both"/>
        <w:rPr>
          <w:rFonts w:ascii="Arial" w:hAnsi="Arial" w:cs="Arial"/>
          <w:sz w:val="21"/>
          <w:szCs w:val="21"/>
        </w:rPr>
      </w:pPr>
      <w:r w:rsidRPr="0011236C">
        <w:rPr>
          <w:rFonts w:ascii="Arial" w:hAnsi="Arial" w:cs="Arial"/>
          <w:sz w:val="21"/>
          <w:szCs w:val="21"/>
        </w:rPr>
        <w:t xml:space="preserve">En resumen, la entidad para el sector salud durante la vigencia 2020 recaudó ingresos por $103.685 millones, comprometió recursos $47.249 millones, generó obligaciones por $35.963 millones y efectuó pagos por $25.686 millones, generando así un superávit presupuestal de $77.999 millones, debiendo entonces constituir reservas presupuestales por $11.286 millones y cuentas por pagar por $10.277 millones, identificando que estas últimas no son coherentes con el valor que la entidad territorial reporta en las matrices solicitadas ,en las que se puede observar un total de $9.093 millones existiendo una diferencia de $1.184 millones frente al valor que se infiere del resultado presupuestal, hecho que deberá ser revisado en la etapa de diagnóstico. </w:t>
      </w:r>
    </w:p>
    <w:p w:rsidR="0011236C" w:rsidRPr="0011236C" w:rsidRDefault="0011236C" w:rsidP="0011236C">
      <w:pPr>
        <w:jc w:val="both"/>
        <w:rPr>
          <w:rFonts w:ascii="Arial" w:hAnsi="Arial" w:cs="Arial"/>
          <w:sz w:val="21"/>
          <w:szCs w:val="21"/>
        </w:rPr>
      </w:pPr>
    </w:p>
    <w:p w:rsidR="0011236C" w:rsidRPr="0011236C" w:rsidRDefault="0011236C" w:rsidP="0011236C">
      <w:pPr>
        <w:jc w:val="both"/>
        <w:rPr>
          <w:rFonts w:ascii="Arial" w:hAnsi="Arial" w:cs="Arial"/>
          <w:sz w:val="21"/>
          <w:szCs w:val="21"/>
        </w:rPr>
      </w:pPr>
      <w:r w:rsidRPr="0011236C">
        <w:rPr>
          <w:rFonts w:ascii="Arial" w:hAnsi="Arial" w:cs="Arial"/>
          <w:sz w:val="21"/>
          <w:szCs w:val="21"/>
        </w:rPr>
        <w:t xml:space="preserve">Con base en la información reportada por el Departamento de Magdalena, el superávit al cierre de 2020 ascendió a $56.436 millones, los cuales fueron incorporados en la vigencia 2021 mediante el decreto 098 del 24 de marzo de 2021, es de aclarar que el valor adicionado en el decreto es inferior al valor registrado en el cierre ($49.318 millones), situación que deberá ser evaluada en la etapa de diagnóstico </w:t>
      </w:r>
    </w:p>
    <w:p w:rsidR="0011236C" w:rsidRPr="0011236C" w:rsidRDefault="0011236C" w:rsidP="0011236C">
      <w:pPr>
        <w:jc w:val="both"/>
        <w:rPr>
          <w:rFonts w:ascii="Arial" w:hAnsi="Arial" w:cs="Arial"/>
          <w:sz w:val="21"/>
          <w:szCs w:val="21"/>
          <w:highlight w:val="yellow"/>
        </w:rPr>
      </w:pPr>
    </w:p>
    <w:p w:rsidR="0011236C" w:rsidRPr="0011236C" w:rsidRDefault="0011236C" w:rsidP="0011236C">
      <w:pPr>
        <w:jc w:val="both"/>
        <w:rPr>
          <w:rFonts w:ascii="Arial" w:hAnsi="Arial" w:cs="Arial"/>
          <w:sz w:val="21"/>
          <w:szCs w:val="21"/>
        </w:rPr>
      </w:pPr>
      <w:r w:rsidRPr="0011236C">
        <w:rPr>
          <w:rFonts w:ascii="Arial" w:hAnsi="Arial" w:cs="Arial"/>
          <w:sz w:val="21"/>
          <w:szCs w:val="21"/>
        </w:rPr>
        <w:t>Por otra parte, con relación a la ejecución de reservas constituidas al cierre de la vigencia 2019, de acuerdo con la información entregada por el Departamento, al finalizar la vigencia 2020 se registraron pagos por $2.233 millones, correspondiente al 49% de la apropiación inicial. Así mismo, frente a las Cuentas por Pagar constituidas al cierre de la vigencia 2019, con base en la información reportada por la entidad territorial, se evidencia una ejecución del 77% correspondiente a pagos efectuados del orden de $1.391 millones en la vigencia 2020; y en cuanto a las cuentas por pagar de vigencias anteriores, se observaron pagos por $ 142.419 millones frente a un total de cuentas constituidas de $229.591 millones, correspondientes al 62%.</w:t>
      </w:r>
    </w:p>
    <w:p w:rsidR="0011236C" w:rsidRPr="0011236C" w:rsidRDefault="0011236C" w:rsidP="0011236C">
      <w:pPr>
        <w:jc w:val="both"/>
        <w:rPr>
          <w:rFonts w:ascii="Arial" w:hAnsi="Arial" w:cs="Arial"/>
          <w:sz w:val="21"/>
          <w:szCs w:val="21"/>
        </w:rPr>
      </w:pPr>
    </w:p>
    <w:p w:rsidR="0011236C" w:rsidRPr="0011236C" w:rsidRDefault="0011236C" w:rsidP="0011236C">
      <w:pPr>
        <w:jc w:val="both"/>
        <w:rPr>
          <w:rFonts w:ascii="Arial" w:hAnsi="Arial" w:cs="Arial"/>
          <w:sz w:val="21"/>
          <w:szCs w:val="21"/>
        </w:rPr>
      </w:pPr>
      <w:r w:rsidRPr="0011236C">
        <w:rPr>
          <w:rFonts w:ascii="Arial" w:hAnsi="Arial" w:cs="Arial"/>
          <w:sz w:val="21"/>
          <w:szCs w:val="21"/>
        </w:rPr>
        <w:t xml:space="preserve">Con respecto a la constitución de reservas presupuestales, cabe precisar que las mismas deben constituirse de manera excepcional ante la ocurrencia de eventos imprevisibles que impidan la ejecución de los recursos dentro de la vigencia, por lo cual, dicha circunstancia será objeto de verificación para poder establecer si su causa estaría relacionada a debilidades en los procesos de planeación financiera o contractual. </w:t>
      </w:r>
    </w:p>
    <w:p w:rsidR="0011236C" w:rsidRPr="0011236C" w:rsidRDefault="0011236C" w:rsidP="0011236C">
      <w:pPr>
        <w:jc w:val="both"/>
        <w:rPr>
          <w:rFonts w:ascii="Arial" w:hAnsi="Arial" w:cs="Arial"/>
          <w:sz w:val="21"/>
          <w:szCs w:val="21"/>
        </w:rPr>
      </w:pPr>
    </w:p>
    <w:p w:rsidR="0011236C" w:rsidRPr="0011236C" w:rsidRDefault="0011236C" w:rsidP="0011236C">
      <w:pPr>
        <w:jc w:val="both"/>
        <w:rPr>
          <w:rFonts w:ascii="Arial" w:hAnsi="Arial" w:cs="Arial"/>
          <w:sz w:val="21"/>
          <w:szCs w:val="21"/>
        </w:rPr>
      </w:pPr>
      <w:r w:rsidRPr="0011236C">
        <w:rPr>
          <w:rFonts w:ascii="Arial" w:hAnsi="Arial" w:cs="Arial"/>
          <w:sz w:val="21"/>
          <w:szCs w:val="21"/>
        </w:rPr>
        <w:t xml:space="preserve">Ahora bien, con corte a junio de 2021 la ejecución de reservas constituidas al cierre de 2020 ($9.093 millones) y ejecutadas a junio de 2021 reporta pagos por $2.259 millones correspondientes al 25%. Ahora en cuanto a las cuentas por pagar se registró el 100% de su ejecución. </w:t>
      </w:r>
    </w:p>
    <w:p w:rsidR="0011236C" w:rsidRPr="0011236C" w:rsidRDefault="0011236C" w:rsidP="0011236C">
      <w:pPr>
        <w:jc w:val="both"/>
        <w:rPr>
          <w:rFonts w:ascii="Arial" w:hAnsi="Arial" w:cs="Arial"/>
          <w:sz w:val="21"/>
          <w:szCs w:val="21"/>
        </w:rPr>
      </w:pPr>
    </w:p>
    <w:p w:rsidR="0011236C" w:rsidRPr="0011236C" w:rsidRDefault="0011236C" w:rsidP="0011236C">
      <w:pPr>
        <w:jc w:val="both"/>
        <w:rPr>
          <w:rFonts w:ascii="Arial" w:hAnsi="Arial" w:cs="Arial"/>
          <w:sz w:val="21"/>
          <w:szCs w:val="21"/>
        </w:rPr>
      </w:pPr>
      <w:r w:rsidRPr="0011236C">
        <w:rPr>
          <w:rFonts w:ascii="Arial" w:hAnsi="Arial" w:cs="Arial"/>
          <w:sz w:val="21"/>
          <w:szCs w:val="21"/>
        </w:rPr>
        <w:t>Por su parte, el área de presupuesto expide certificación en la que se evidencia que el Departamento no constituyó vigencias expiradas.</w:t>
      </w:r>
    </w:p>
    <w:p w:rsidR="0011236C" w:rsidRPr="0011236C" w:rsidRDefault="0011236C" w:rsidP="0011236C">
      <w:pPr>
        <w:jc w:val="both"/>
        <w:rPr>
          <w:rFonts w:ascii="Arial" w:hAnsi="Arial" w:cs="Arial"/>
          <w:sz w:val="21"/>
          <w:szCs w:val="21"/>
        </w:rPr>
      </w:pPr>
    </w:p>
    <w:p w:rsidR="0011236C" w:rsidRPr="0011236C" w:rsidRDefault="0011236C" w:rsidP="0011236C">
      <w:pPr>
        <w:jc w:val="both"/>
        <w:rPr>
          <w:rFonts w:ascii="Arial" w:hAnsi="Arial" w:cs="Arial"/>
          <w:sz w:val="21"/>
          <w:szCs w:val="21"/>
        </w:rPr>
      </w:pPr>
      <w:r w:rsidRPr="0011236C">
        <w:rPr>
          <w:rFonts w:ascii="Arial" w:hAnsi="Arial" w:cs="Arial"/>
          <w:sz w:val="21"/>
          <w:szCs w:val="21"/>
        </w:rPr>
        <w:t>De otro lado, según el reporte del formato FUT_ Tesorería_ Fondo _ Salud al cierre de la vigencia 2020</w:t>
      </w:r>
      <w:r w:rsidRPr="0011236C">
        <w:rPr>
          <w:rFonts w:ascii="Arial" w:hAnsi="Arial" w:cs="Arial"/>
          <w:color w:val="FF0000"/>
          <w:sz w:val="21"/>
          <w:szCs w:val="21"/>
        </w:rPr>
        <w:t>,</w:t>
      </w:r>
      <w:r w:rsidRPr="0011236C">
        <w:rPr>
          <w:rFonts w:ascii="Arial" w:hAnsi="Arial" w:cs="Arial"/>
          <w:sz w:val="21"/>
          <w:szCs w:val="21"/>
        </w:rPr>
        <w:t xml:space="preserve"> la entidad territorial contaba con saldos en las cuentas maestras de salud y otras cuentas de $ 75.253 millones, como se evidencia en la siguiente tabla: </w:t>
      </w:r>
    </w:p>
    <w:p w:rsidR="0011236C" w:rsidRPr="0011236C" w:rsidRDefault="0011236C" w:rsidP="0011236C">
      <w:pPr>
        <w:ind w:left="2832" w:firstLine="708"/>
        <w:jc w:val="both"/>
        <w:rPr>
          <w:rFonts w:ascii="Arial" w:hAnsi="Arial" w:cs="Arial"/>
          <w:sz w:val="21"/>
          <w:szCs w:val="21"/>
        </w:rPr>
      </w:pPr>
    </w:p>
    <w:tbl>
      <w:tblPr>
        <w:tblStyle w:val="Tablanormal2"/>
        <w:tblW w:w="0" w:type="auto"/>
        <w:jc w:val="center"/>
        <w:tblInd w:w="0" w:type="dxa"/>
        <w:tblLook w:val="04A0" w:firstRow="1" w:lastRow="0" w:firstColumn="1" w:lastColumn="0" w:noHBand="0" w:noVBand="1"/>
      </w:tblPr>
      <w:tblGrid>
        <w:gridCol w:w="2694"/>
        <w:gridCol w:w="1660"/>
        <w:gridCol w:w="364"/>
      </w:tblGrid>
      <w:tr w:rsidR="0011236C" w:rsidRPr="0011236C" w:rsidTr="00F76962">
        <w:trPr>
          <w:gridAfter w:val="1"/>
          <w:cnfStyle w:val="100000000000" w:firstRow="1" w:lastRow="0" w:firstColumn="0" w:lastColumn="0" w:oddVBand="0" w:evenVBand="0" w:oddHBand="0" w:evenHBand="0" w:firstRowFirstColumn="0" w:firstRowLastColumn="0" w:lastRowFirstColumn="0" w:lastRowLastColumn="0"/>
          <w:wAfter w:w="364" w:type="dxa"/>
          <w:trHeight w:val="756"/>
          <w:jc w:val="center"/>
        </w:trPr>
        <w:tc>
          <w:tcPr>
            <w:cnfStyle w:val="001000000000" w:firstRow="0" w:lastRow="0" w:firstColumn="1" w:lastColumn="0" w:oddVBand="0" w:evenVBand="0" w:oddHBand="0" w:evenHBand="0" w:firstRowFirstColumn="0" w:firstRowLastColumn="0" w:lastRowFirstColumn="0" w:lastRowLastColumn="0"/>
            <w:tcW w:w="2694" w:type="dxa"/>
            <w:hideMark/>
          </w:tcPr>
          <w:p w:rsidR="0011236C" w:rsidRPr="0011236C" w:rsidRDefault="0011236C" w:rsidP="0011236C">
            <w:pPr>
              <w:jc w:val="center"/>
              <w:rPr>
                <w:rFonts w:ascii="Arial" w:eastAsia="Calibri" w:hAnsi="Arial" w:cs="Arial"/>
                <w:sz w:val="18"/>
                <w:szCs w:val="18"/>
                <w:lang w:val="es-CO" w:eastAsia="en-US"/>
              </w:rPr>
            </w:pPr>
            <w:r w:rsidRPr="0011236C">
              <w:rPr>
                <w:rFonts w:ascii="Arial" w:eastAsia="Calibri" w:hAnsi="Arial" w:cs="Arial"/>
                <w:sz w:val="18"/>
                <w:szCs w:val="18"/>
                <w:lang w:val="es-CO" w:eastAsia="en-US"/>
              </w:rPr>
              <w:lastRenderedPageBreak/>
              <w:t>Componente</w:t>
            </w:r>
          </w:p>
        </w:tc>
        <w:tc>
          <w:tcPr>
            <w:tcW w:w="1660" w:type="dxa"/>
            <w:hideMark/>
          </w:tcPr>
          <w:p w:rsidR="0011236C" w:rsidRPr="0011236C" w:rsidRDefault="0011236C" w:rsidP="0011236C">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lang w:val="es-CO" w:eastAsia="en-US"/>
              </w:rPr>
            </w:pPr>
            <w:r w:rsidRPr="0011236C">
              <w:rPr>
                <w:rFonts w:ascii="Arial" w:eastAsia="Calibri" w:hAnsi="Arial" w:cs="Arial"/>
                <w:sz w:val="18"/>
                <w:szCs w:val="18"/>
                <w:lang w:val="es-CO" w:eastAsia="en-US"/>
              </w:rPr>
              <w:t>Saldo en millones de ($)</w:t>
            </w:r>
          </w:p>
        </w:tc>
      </w:tr>
      <w:tr w:rsidR="0011236C" w:rsidRPr="0011236C" w:rsidTr="00F76962">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2694" w:type="dxa"/>
            <w:hideMark/>
          </w:tcPr>
          <w:p w:rsidR="0011236C" w:rsidRPr="0011236C" w:rsidRDefault="0011236C" w:rsidP="0011236C">
            <w:pPr>
              <w:jc w:val="both"/>
              <w:rPr>
                <w:rFonts w:ascii="Arial" w:eastAsia="Calibri" w:hAnsi="Arial" w:cs="Arial"/>
                <w:sz w:val="18"/>
                <w:szCs w:val="18"/>
                <w:lang w:val="es-CO" w:eastAsia="en-US"/>
              </w:rPr>
            </w:pPr>
            <w:r w:rsidRPr="0011236C">
              <w:rPr>
                <w:rFonts w:ascii="Arial" w:eastAsia="Calibri" w:hAnsi="Arial" w:cs="Arial"/>
                <w:sz w:val="18"/>
                <w:szCs w:val="18"/>
                <w:lang w:val="es-CO" w:eastAsia="en-US"/>
              </w:rPr>
              <w:t>Régimen subsidiado</w:t>
            </w:r>
          </w:p>
        </w:tc>
        <w:tc>
          <w:tcPr>
            <w:tcW w:w="2024" w:type="dxa"/>
            <w:gridSpan w:val="2"/>
          </w:tcPr>
          <w:p w:rsidR="0011236C" w:rsidRPr="0011236C" w:rsidRDefault="0011236C" w:rsidP="0011236C">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CO" w:eastAsia="en-US"/>
              </w:rPr>
            </w:pPr>
            <w:r w:rsidRPr="0011236C">
              <w:rPr>
                <w:rFonts w:ascii="Arial" w:eastAsia="Calibri" w:hAnsi="Arial" w:cs="Arial"/>
                <w:sz w:val="18"/>
                <w:szCs w:val="18"/>
                <w:lang w:val="es-CO" w:eastAsia="en-US"/>
              </w:rPr>
              <w:t>9.577</w:t>
            </w:r>
          </w:p>
        </w:tc>
      </w:tr>
      <w:tr w:rsidR="0011236C" w:rsidRPr="0011236C" w:rsidTr="00F76962">
        <w:trPr>
          <w:trHeight w:val="241"/>
          <w:jc w:val="center"/>
        </w:trPr>
        <w:tc>
          <w:tcPr>
            <w:cnfStyle w:val="001000000000" w:firstRow="0" w:lastRow="0" w:firstColumn="1" w:lastColumn="0" w:oddVBand="0" w:evenVBand="0" w:oddHBand="0" w:evenHBand="0" w:firstRowFirstColumn="0" w:firstRowLastColumn="0" w:lastRowFirstColumn="0" w:lastRowLastColumn="0"/>
            <w:tcW w:w="2694" w:type="dxa"/>
            <w:hideMark/>
          </w:tcPr>
          <w:p w:rsidR="0011236C" w:rsidRPr="0011236C" w:rsidRDefault="0011236C" w:rsidP="0011236C">
            <w:pPr>
              <w:jc w:val="both"/>
              <w:rPr>
                <w:rFonts w:ascii="Arial" w:eastAsia="Calibri" w:hAnsi="Arial" w:cs="Arial"/>
                <w:sz w:val="18"/>
                <w:szCs w:val="18"/>
                <w:lang w:val="es-CO" w:eastAsia="en-US"/>
              </w:rPr>
            </w:pPr>
            <w:r w:rsidRPr="0011236C">
              <w:rPr>
                <w:rFonts w:ascii="Arial" w:eastAsia="Calibri" w:hAnsi="Arial" w:cs="Arial"/>
                <w:sz w:val="18"/>
                <w:szCs w:val="18"/>
                <w:lang w:val="es-CO" w:eastAsia="en-US"/>
              </w:rPr>
              <w:t>Prestación de Servicios</w:t>
            </w:r>
          </w:p>
        </w:tc>
        <w:tc>
          <w:tcPr>
            <w:tcW w:w="2024" w:type="dxa"/>
            <w:gridSpan w:val="2"/>
          </w:tcPr>
          <w:p w:rsidR="0011236C" w:rsidRPr="0011236C" w:rsidRDefault="0011236C" w:rsidP="0011236C">
            <w:pPr>
              <w:ind w:left="-135"/>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s-CO" w:eastAsia="en-US"/>
              </w:rPr>
            </w:pPr>
            <w:r w:rsidRPr="0011236C">
              <w:rPr>
                <w:rFonts w:ascii="Arial" w:eastAsia="Calibri" w:hAnsi="Arial" w:cs="Arial"/>
                <w:sz w:val="18"/>
                <w:szCs w:val="18"/>
                <w:lang w:val="es-CO" w:eastAsia="en-US"/>
              </w:rPr>
              <w:t xml:space="preserve"> 20.609</w:t>
            </w:r>
          </w:p>
        </w:tc>
      </w:tr>
      <w:tr w:rsidR="0011236C" w:rsidRPr="0011236C" w:rsidTr="00F76962">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2694" w:type="dxa"/>
          </w:tcPr>
          <w:p w:rsidR="0011236C" w:rsidRPr="0011236C" w:rsidRDefault="0011236C" w:rsidP="0011236C">
            <w:pPr>
              <w:jc w:val="both"/>
              <w:rPr>
                <w:rFonts w:ascii="Arial" w:eastAsia="Calibri" w:hAnsi="Arial" w:cs="Arial"/>
                <w:sz w:val="18"/>
                <w:szCs w:val="18"/>
                <w:lang w:val="es-CO" w:eastAsia="en-US"/>
              </w:rPr>
            </w:pPr>
            <w:r w:rsidRPr="0011236C">
              <w:rPr>
                <w:rFonts w:ascii="Arial" w:eastAsia="Calibri" w:hAnsi="Arial" w:cs="Arial"/>
                <w:sz w:val="18"/>
                <w:szCs w:val="18"/>
                <w:lang w:val="es-CO" w:eastAsia="en-US"/>
              </w:rPr>
              <w:t>Salud Pública</w:t>
            </w:r>
          </w:p>
        </w:tc>
        <w:tc>
          <w:tcPr>
            <w:tcW w:w="2024" w:type="dxa"/>
            <w:gridSpan w:val="2"/>
          </w:tcPr>
          <w:p w:rsidR="0011236C" w:rsidRPr="0011236C" w:rsidRDefault="0011236C" w:rsidP="0011236C">
            <w:pPr>
              <w:ind w:left="-135"/>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CO" w:eastAsia="en-US"/>
              </w:rPr>
            </w:pPr>
            <w:r w:rsidRPr="0011236C">
              <w:rPr>
                <w:rFonts w:ascii="Arial" w:eastAsia="Calibri" w:hAnsi="Arial" w:cs="Arial"/>
                <w:sz w:val="18"/>
                <w:szCs w:val="18"/>
                <w:lang w:val="es-CO" w:eastAsia="en-US"/>
              </w:rPr>
              <w:t xml:space="preserve"> 10.833</w:t>
            </w:r>
          </w:p>
        </w:tc>
      </w:tr>
      <w:tr w:rsidR="0011236C" w:rsidRPr="0011236C" w:rsidTr="00F76962">
        <w:trPr>
          <w:trHeight w:val="241"/>
          <w:jc w:val="center"/>
        </w:trPr>
        <w:tc>
          <w:tcPr>
            <w:cnfStyle w:val="001000000000" w:firstRow="0" w:lastRow="0" w:firstColumn="1" w:lastColumn="0" w:oddVBand="0" w:evenVBand="0" w:oddHBand="0" w:evenHBand="0" w:firstRowFirstColumn="0" w:firstRowLastColumn="0" w:lastRowFirstColumn="0" w:lastRowLastColumn="0"/>
            <w:tcW w:w="2694" w:type="dxa"/>
          </w:tcPr>
          <w:p w:rsidR="0011236C" w:rsidRPr="0011236C" w:rsidRDefault="0011236C" w:rsidP="0011236C">
            <w:pPr>
              <w:jc w:val="both"/>
              <w:rPr>
                <w:rFonts w:ascii="Arial" w:eastAsia="Calibri" w:hAnsi="Arial" w:cs="Arial"/>
                <w:sz w:val="18"/>
                <w:szCs w:val="18"/>
                <w:lang w:val="es-CO" w:eastAsia="en-US"/>
              </w:rPr>
            </w:pPr>
            <w:r w:rsidRPr="0011236C">
              <w:rPr>
                <w:rFonts w:ascii="Arial" w:eastAsia="Calibri" w:hAnsi="Arial" w:cs="Arial"/>
                <w:sz w:val="18"/>
                <w:szCs w:val="18"/>
                <w:lang w:val="es-CO" w:eastAsia="en-US"/>
              </w:rPr>
              <w:t>Otros gastos en salud</w:t>
            </w:r>
          </w:p>
        </w:tc>
        <w:tc>
          <w:tcPr>
            <w:tcW w:w="2024" w:type="dxa"/>
            <w:gridSpan w:val="2"/>
          </w:tcPr>
          <w:p w:rsidR="0011236C" w:rsidRPr="0011236C" w:rsidRDefault="0011236C" w:rsidP="0011236C">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s-CO" w:eastAsia="en-US"/>
              </w:rPr>
            </w:pPr>
            <w:r w:rsidRPr="0011236C">
              <w:rPr>
                <w:rFonts w:ascii="Arial" w:eastAsia="Calibri" w:hAnsi="Arial" w:cs="Arial"/>
                <w:sz w:val="18"/>
                <w:szCs w:val="18"/>
                <w:lang w:val="es-CO" w:eastAsia="en-US"/>
              </w:rPr>
              <w:t>28.132</w:t>
            </w:r>
          </w:p>
        </w:tc>
      </w:tr>
    </w:tbl>
    <w:p w:rsidR="0011236C" w:rsidRPr="0011236C" w:rsidRDefault="0011236C" w:rsidP="0011236C">
      <w:pPr>
        <w:jc w:val="both"/>
        <w:rPr>
          <w:rFonts w:ascii="Arial" w:hAnsi="Arial" w:cs="Arial"/>
          <w:sz w:val="21"/>
          <w:szCs w:val="21"/>
        </w:rPr>
      </w:pPr>
    </w:p>
    <w:p w:rsidR="0011236C" w:rsidRPr="0011236C" w:rsidRDefault="0011236C" w:rsidP="0011236C">
      <w:pPr>
        <w:jc w:val="both"/>
        <w:rPr>
          <w:rFonts w:ascii="Arial" w:eastAsia="Calibri" w:hAnsi="Arial" w:cs="Arial"/>
          <w:sz w:val="21"/>
          <w:szCs w:val="21"/>
          <w:lang w:val="es-CO" w:eastAsia="en-US"/>
        </w:rPr>
      </w:pPr>
      <w:r w:rsidRPr="0011236C">
        <w:rPr>
          <w:rFonts w:ascii="Arial" w:eastAsia="Calibri" w:hAnsi="Arial" w:cs="Arial"/>
          <w:sz w:val="21"/>
          <w:szCs w:val="21"/>
          <w:lang w:val="es-CO" w:eastAsia="en-US"/>
        </w:rPr>
        <w:t xml:space="preserve">Lo anterior, no es consistente con el cierre de tesorería del Fondo Local de Salud suministrado por la entidad territorial, respecto a la cuenta maestra de salud Pública $10.755 millones. Ahora, la entidad reporta 2 cuentas recaudadoras para manejar los recursos de las subcuentas de otros gastos en salud y régimen subsidiado, esta última donde se manejan los recursos transferidos a la ADRES. </w:t>
      </w:r>
    </w:p>
    <w:p w:rsidR="0011236C" w:rsidRPr="0011236C" w:rsidRDefault="0011236C" w:rsidP="0011236C">
      <w:pPr>
        <w:jc w:val="both"/>
        <w:rPr>
          <w:rFonts w:ascii="Arial" w:eastAsia="Calibri" w:hAnsi="Arial" w:cs="Arial"/>
          <w:color w:val="FF0000"/>
          <w:sz w:val="21"/>
          <w:szCs w:val="21"/>
          <w:lang w:val="es-CO" w:eastAsia="en-US"/>
        </w:rPr>
      </w:pPr>
    </w:p>
    <w:p w:rsidR="0011236C" w:rsidRPr="0011236C" w:rsidRDefault="0011236C" w:rsidP="0011236C">
      <w:pPr>
        <w:jc w:val="both"/>
        <w:rPr>
          <w:rFonts w:ascii="Arial" w:hAnsi="Arial" w:cs="Arial"/>
          <w:sz w:val="21"/>
          <w:szCs w:val="21"/>
        </w:rPr>
      </w:pPr>
      <w:r w:rsidRPr="0011236C">
        <w:rPr>
          <w:rFonts w:ascii="Arial" w:hAnsi="Arial" w:cs="Arial"/>
          <w:sz w:val="21"/>
          <w:szCs w:val="21"/>
        </w:rPr>
        <w:t xml:space="preserve">Ahora bien, teniendo en cuenta la información reportada al cierre de la vigencia 2020 en el FUT, la cual indica que la entidad territorial debía contar con un saldo mínimo en caja y bancos por $ 77.999 millones, y el valor del saldo en cuentas maestras y cuentas recaudadoras reportado en el FUT en la categoría Tesorería Fondo Salud el cual ascendió a $75.253 millones, se evidencia que además de resultar inconsistentes, este último resulta insuficiente para cubrir el valor de cuentas por pagar, reservas y saldo mínimo que debió existir en bancos al cierre de vigencia. De igual forma, dicho valor no es consistente con el reportado por la entidad territorial en el cierre de tesorería a 31 de diciembre de 2020 el cual ascendió a $ 63.004 millones. Por otro lado, en el extracto de la cuenta de prestación de servicios se evidencian operaciones de pago de nómina, los cuales deberán ser revisados en una etapa posterior por no corresponder a transacciones autorizadas por la normatividad vigente. </w:t>
      </w:r>
    </w:p>
    <w:p w:rsidR="0011236C" w:rsidRPr="0011236C" w:rsidRDefault="0011236C" w:rsidP="0011236C">
      <w:pPr>
        <w:jc w:val="both"/>
        <w:rPr>
          <w:rFonts w:ascii="Arial" w:hAnsi="Arial" w:cs="Arial"/>
          <w:sz w:val="21"/>
          <w:szCs w:val="21"/>
          <w:highlight w:val="yellow"/>
        </w:rPr>
      </w:pPr>
    </w:p>
    <w:p w:rsidR="0011236C" w:rsidRPr="0011236C" w:rsidRDefault="0011236C" w:rsidP="0011236C">
      <w:pPr>
        <w:jc w:val="both"/>
        <w:rPr>
          <w:rFonts w:ascii="Arial" w:hAnsi="Arial" w:cs="Arial"/>
          <w:sz w:val="21"/>
          <w:szCs w:val="21"/>
        </w:rPr>
      </w:pPr>
      <w:r w:rsidRPr="0011236C">
        <w:rPr>
          <w:rFonts w:ascii="Arial" w:eastAsia="Calibri" w:hAnsi="Arial" w:cs="Arial"/>
          <w:sz w:val="21"/>
          <w:szCs w:val="21"/>
          <w:lang w:val="es-CO" w:eastAsia="en-US"/>
        </w:rPr>
        <w:t xml:space="preserve">Se destaca la constitución de una cuenta recaudadora, que al cierre de la vigencia que reporta un saldo de $5.226 millones, situación que a la luz de lo dispuesto por el artículo 7 de la Resolución 4204 de 2008 deberá ser objeto de verificación, toda vez que los mismos deben ser trasladados de acuerdo con su destinación, a la cuenta correspondiente. </w:t>
      </w:r>
    </w:p>
    <w:p w:rsidR="0011236C" w:rsidRPr="0011236C" w:rsidRDefault="0011236C" w:rsidP="0011236C">
      <w:pPr>
        <w:jc w:val="both"/>
        <w:rPr>
          <w:rFonts w:ascii="Arial" w:hAnsi="Arial" w:cs="Arial"/>
          <w:sz w:val="21"/>
          <w:szCs w:val="21"/>
          <w:highlight w:val="yellow"/>
        </w:rPr>
      </w:pPr>
    </w:p>
    <w:p w:rsidR="0011236C" w:rsidRPr="0011236C" w:rsidRDefault="0011236C" w:rsidP="0011236C">
      <w:pPr>
        <w:jc w:val="both"/>
        <w:rPr>
          <w:rFonts w:ascii="Arial" w:hAnsi="Arial" w:cs="Arial"/>
          <w:sz w:val="21"/>
          <w:szCs w:val="21"/>
        </w:rPr>
      </w:pPr>
      <w:r w:rsidRPr="0011236C">
        <w:rPr>
          <w:rFonts w:ascii="Arial" w:hAnsi="Arial" w:cs="Arial"/>
          <w:sz w:val="21"/>
          <w:szCs w:val="21"/>
        </w:rPr>
        <w:t>En ese orden, situaciones como las diferencias entre la ejecución presupuestal y la tesorería, así como las diferencias entre los extractos bancarios y las ejecuciones, son tópicos que deberán ser verificados en el marco del reconocimiento institucional que se lleve a cabo, con el objeto de establecer si existen justificaciones que expliquen dicho comportamiento o identificar causas atribuibles al mismo.</w:t>
      </w:r>
    </w:p>
    <w:p w:rsidR="0011236C" w:rsidRPr="0011236C" w:rsidRDefault="0011236C" w:rsidP="0011236C">
      <w:pPr>
        <w:jc w:val="both"/>
        <w:rPr>
          <w:rFonts w:ascii="Arial" w:hAnsi="Arial" w:cs="Arial"/>
          <w:sz w:val="21"/>
          <w:szCs w:val="21"/>
        </w:rPr>
      </w:pPr>
    </w:p>
    <w:p w:rsidR="0011236C" w:rsidRPr="0011236C" w:rsidRDefault="0011236C" w:rsidP="0011236C">
      <w:pPr>
        <w:numPr>
          <w:ilvl w:val="1"/>
          <w:numId w:val="22"/>
        </w:numPr>
        <w:contextualSpacing/>
        <w:jc w:val="both"/>
        <w:rPr>
          <w:rFonts w:ascii="Arial" w:hAnsi="Arial" w:cs="Arial"/>
          <w:b/>
          <w:sz w:val="21"/>
          <w:szCs w:val="21"/>
        </w:rPr>
      </w:pPr>
      <w:r w:rsidRPr="0011236C">
        <w:rPr>
          <w:rFonts w:ascii="Arial" w:hAnsi="Arial" w:cs="Arial"/>
          <w:b/>
          <w:sz w:val="21"/>
          <w:szCs w:val="21"/>
        </w:rPr>
        <w:t xml:space="preserve">Análisis contable </w:t>
      </w:r>
    </w:p>
    <w:p w:rsidR="0011236C" w:rsidRPr="0011236C" w:rsidRDefault="0011236C" w:rsidP="0011236C">
      <w:pPr>
        <w:jc w:val="both"/>
        <w:rPr>
          <w:rFonts w:ascii="Arial" w:hAnsi="Arial" w:cs="Arial"/>
          <w:b/>
          <w:sz w:val="21"/>
          <w:szCs w:val="21"/>
        </w:rPr>
      </w:pPr>
    </w:p>
    <w:p w:rsidR="0011236C" w:rsidRPr="0011236C" w:rsidRDefault="0011236C" w:rsidP="0011236C">
      <w:pPr>
        <w:jc w:val="both"/>
        <w:rPr>
          <w:rFonts w:ascii="Arial" w:eastAsia="Calibri" w:hAnsi="Arial" w:cs="Arial"/>
          <w:sz w:val="21"/>
          <w:szCs w:val="21"/>
        </w:rPr>
      </w:pPr>
      <w:r w:rsidRPr="0011236C">
        <w:rPr>
          <w:rFonts w:ascii="Arial" w:eastAsia="Calibri" w:hAnsi="Arial" w:cs="Arial"/>
          <w:sz w:val="21"/>
          <w:szCs w:val="21"/>
        </w:rPr>
        <w:t xml:space="preserve">A nivel contable, la Entidad Territorial presenta una cuenta especial e independiente para el Fondo Local de Salud dentro del sistema contable general. Presenta como estados financieros, el documento “Estado de la Situación Financiera” del fondo local de salud. En ese orden, los códigos contables de las cuentas y subcuentas, así como las operaciones contables están ajustados de acuerdo a lo dispuesto en el Manual de Procedimientos Contables de la Contaduría General de la Nación. </w:t>
      </w:r>
    </w:p>
    <w:p w:rsidR="0011236C" w:rsidRPr="0011236C" w:rsidRDefault="0011236C" w:rsidP="0011236C">
      <w:pPr>
        <w:jc w:val="both"/>
        <w:rPr>
          <w:rFonts w:ascii="Arial" w:eastAsia="Calibri" w:hAnsi="Arial" w:cs="Arial"/>
          <w:sz w:val="21"/>
          <w:szCs w:val="21"/>
        </w:rPr>
      </w:pPr>
    </w:p>
    <w:p w:rsidR="0011236C" w:rsidRPr="0011236C" w:rsidRDefault="0011236C" w:rsidP="0011236C">
      <w:pPr>
        <w:jc w:val="both"/>
        <w:rPr>
          <w:rFonts w:ascii="Arial" w:eastAsia="Calibri" w:hAnsi="Arial" w:cs="Arial"/>
          <w:sz w:val="21"/>
          <w:szCs w:val="21"/>
        </w:rPr>
      </w:pPr>
      <w:r w:rsidRPr="0011236C">
        <w:rPr>
          <w:rFonts w:ascii="Arial" w:eastAsia="Calibri" w:hAnsi="Arial" w:cs="Arial"/>
          <w:sz w:val="21"/>
          <w:szCs w:val="21"/>
        </w:rPr>
        <w:lastRenderedPageBreak/>
        <w:t>De acuerdo con el balance general a 31 de diciembre de 2020, el activo ascendió a $75.666 billones, el pasivo a $51.751 millones y el patrimonio a $23.915 millones, Ahora, al tomar los datos reportados por la entidad en el FUT, la entidad reporta su contabilidad balanceada.</w:t>
      </w:r>
    </w:p>
    <w:p w:rsidR="0011236C" w:rsidRPr="0011236C" w:rsidRDefault="0011236C" w:rsidP="0011236C">
      <w:pPr>
        <w:jc w:val="both"/>
        <w:rPr>
          <w:rFonts w:ascii="Arial" w:eastAsia="Calibri" w:hAnsi="Arial" w:cs="Arial"/>
          <w:sz w:val="21"/>
          <w:szCs w:val="21"/>
        </w:rPr>
      </w:pPr>
    </w:p>
    <w:p w:rsidR="0011236C" w:rsidRPr="0011236C" w:rsidRDefault="0011236C" w:rsidP="0011236C">
      <w:pPr>
        <w:jc w:val="both"/>
        <w:rPr>
          <w:rFonts w:ascii="Arial" w:eastAsia="Calibri" w:hAnsi="Arial" w:cs="Arial"/>
          <w:sz w:val="21"/>
          <w:szCs w:val="21"/>
        </w:rPr>
      </w:pPr>
      <w:r w:rsidRPr="0011236C">
        <w:rPr>
          <w:rFonts w:ascii="Arial" w:eastAsia="Calibri" w:hAnsi="Arial" w:cs="Arial"/>
          <w:sz w:val="21"/>
          <w:szCs w:val="21"/>
        </w:rPr>
        <w:t>En cuanto al reporte del proceso contable, la entidad territorial tiene en el Formulario Único Territorial - FUT de la Categoría Información Contable Pública reportada la información de manera consolidada, por lo que no es posible identificar con precisión el origen y destinación de los recursos de cada una de las fuentes del Fondo Local de Salud, sin embargo, en el reporte entregado por la entidad es posible identificar la contabilidad del FLS por separado.</w:t>
      </w:r>
    </w:p>
    <w:p w:rsidR="0011236C" w:rsidRPr="0011236C" w:rsidRDefault="0011236C" w:rsidP="0011236C">
      <w:pPr>
        <w:jc w:val="both"/>
        <w:rPr>
          <w:rFonts w:ascii="Arial" w:eastAsia="Calibri" w:hAnsi="Arial" w:cs="Arial"/>
          <w:sz w:val="21"/>
          <w:szCs w:val="21"/>
        </w:rPr>
      </w:pPr>
    </w:p>
    <w:p w:rsidR="0011236C" w:rsidRPr="0011236C" w:rsidRDefault="0011236C" w:rsidP="0011236C">
      <w:pPr>
        <w:numPr>
          <w:ilvl w:val="0"/>
          <w:numId w:val="22"/>
        </w:numPr>
        <w:contextualSpacing/>
        <w:jc w:val="both"/>
        <w:rPr>
          <w:rFonts w:ascii="Arial" w:hAnsi="Arial" w:cs="Arial"/>
          <w:b/>
          <w:sz w:val="21"/>
          <w:szCs w:val="21"/>
        </w:rPr>
      </w:pPr>
      <w:r w:rsidRPr="0011236C">
        <w:rPr>
          <w:rFonts w:ascii="Arial" w:hAnsi="Arial" w:cs="Arial"/>
          <w:b/>
          <w:sz w:val="21"/>
          <w:szCs w:val="21"/>
        </w:rPr>
        <w:t>Régimen Subsidiado</w:t>
      </w:r>
    </w:p>
    <w:p w:rsidR="0011236C" w:rsidRPr="0011236C" w:rsidRDefault="0011236C" w:rsidP="0011236C">
      <w:pPr>
        <w:jc w:val="both"/>
        <w:rPr>
          <w:rFonts w:ascii="Arial" w:hAnsi="Arial" w:cs="Arial"/>
          <w:b/>
          <w:sz w:val="21"/>
          <w:szCs w:val="21"/>
        </w:rPr>
      </w:pPr>
    </w:p>
    <w:p w:rsidR="0011236C" w:rsidRPr="0011236C" w:rsidRDefault="0011236C" w:rsidP="0011236C">
      <w:pPr>
        <w:jc w:val="both"/>
        <w:rPr>
          <w:rFonts w:ascii="Arial" w:eastAsia="Calibri" w:hAnsi="Arial" w:cs="Arial"/>
          <w:sz w:val="21"/>
          <w:szCs w:val="21"/>
        </w:rPr>
      </w:pPr>
      <w:r w:rsidRPr="0011236C">
        <w:rPr>
          <w:rFonts w:ascii="Arial" w:eastAsia="Calibri" w:hAnsi="Arial" w:cs="Arial"/>
          <w:sz w:val="21"/>
          <w:szCs w:val="21"/>
        </w:rPr>
        <w:t>El Departamento es responsable de dirigir, coordinar y vigilar el sector salud y el Sistema General de Seguridad Social en Salud en el territorio de su jurisdicción. Frente al aseguramiento, le corresponde al vigilar y controlar el aseguramiento en el Sistema General de Seguridad Social en Salud y en los regímenes de excepción definidos en la Ley 100 de 1993, así como cofinanciar la prestación de servicios a la población pobre afiliada al régimen subsidiado.</w:t>
      </w:r>
    </w:p>
    <w:p w:rsidR="0011236C" w:rsidRPr="0011236C" w:rsidRDefault="0011236C" w:rsidP="0011236C">
      <w:pPr>
        <w:jc w:val="both"/>
        <w:rPr>
          <w:rFonts w:ascii="Arial" w:eastAsia="Calibri" w:hAnsi="Arial" w:cs="Arial"/>
          <w:sz w:val="21"/>
          <w:szCs w:val="21"/>
        </w:rPr>
      </w:pPr>
    </w:p>
    <w:p w:rsidR="0011236C" w:rsidRPr="0011236C" w:rsidRDefault="0011236C" w:rsidP="0011236C">
      <w:pPr>
        <w:jc w:val="both"/>
        <w:rPr>
          <w:rFonts w:ascii="Arial" w:eastAsia="Calibri" w:hAnsi="Arial" w:cs="Arial"/>
          <w:sz w:val="21"/>
          <w:szCs w:val="21"/>
        </w:rPr>
      </w:pPr>
      <w:r w:rsidRPr="0011236C">
        <w:rPr>
          <w:rFonts w:ascii="Arial" w:eastAsia="Calibri" w:hAnsi="Arial" w:cs="Arial"/>
          <w:sz w:val="21"/>
          <w:szCs w:val="21"/>
        </w:rPr>
        <w:t>En cumplimiento a los artículos 2.3.2.2.2 y 2.3.2.2.3 del Decreto 780 de 2016, la Entidad territorial expide la Resolución No052 del 19 de febrero de 2020 y la Resolución No. 011 del 15 de enero de 2021, por medio de los cuales se establece que el esfuerzo propio territorial para la vigencia 2020 sería de $20.306 millones y para la vigencia 2021 de $ 21.041 millones,</w:t>
      </w:r>
      <w:r w:rsidRPr="0011236C">
        <w:rPr>
          <w:rFonts w:ascii="Arial" w:hAnsi="Arial" w:cs="Arial"/>
          <w:sz w:val="21"/>
          <w:szCs w:val="21"/>
        </w:rPr>
        <w:t xml:space="preserve"> </w:t>
      </w:r>
      <w:r w:rsidRPr="0011236C">
        <w:rPr>
          <w:rFonts w:ascii="Arial" w:eastAsia="Calibri" w:hAnsi="Arial" w:cs="Arial"/>
          <w:sz w:val="21"/>
          <w:szCs w:val="21"/>
        </w:rPr>
        <w:t>los cuales no se ajustan a los proyectados por el MSPS en su matriz de cofinanciación, publicada en la página web del aludido Ministerio.</w:t>
      </w:r>
    </w:p>
    <w:p w:rsidR="0011236C" w:rsidRPr="0011236C" w:rsidRDefault="0011236C" w:rsidP="0011236C">
      <w:pPr>
        <w:jc w:val="both"/>
        <w:rPr>
          <w:rFonts w:ascii="Arial" w:eastAsia="Calibri" w:hAnsi="Arial" w:cs="Arial"/>
          <w:sz w:val="21"/>
          <w:szCs w:val="21"/>
          <w:highlight w:val="yellow"/>
        </w:rPr>
      </w:pPr>
    </w:p>
    <w:p w:rsidR="0011236C" w:rsidRPr="0011236C" w:rsidRDefault="0011236C" w:rsidP="0011236C">
      <w:pPr>
        <w:jc w:val="both"/>
        <w:rPr>
          <w:rFonts w:ascii="Arial" w:eastAsia="Calibri" w:hAnsi="Arial" w:cs="Arial"/>
          <w:sz w:val="21"/>
          <w:szCs w:val="21"/>
        </w:rPr>
      </w:pPr>
      <w:r w:rsidRPr="0011236C">
        <w:rPr>
          <w:rFonts w:ascii="Arial" w:eastAsia="Calibri" w:hAnsi="Arial" w:cs="Arial"/>
          <w:sz w:val="21"/>
          <w:szCs w:val="21"/>
        </w:rPr>
        <w:t>Ahora bien, de acuerdo con la Matriz de Continuidad del MSPS (Ejecución) de la vigencia 2020, el monto ejecutado de cofinanciación con recursos de esfuerzo propio se estimó en $18.438 millones ($ 14.143 millones SSF y $4.295 millones CSF), y con base en la ejecución presupuestal de gastos a cierre de 2020, se comprometieron $14.944 millones y se realizaron giros por $10.649 millones por dicho concepto, mostrando que al cierre de la vigencia 2020, la Entidad no realizó la totalidad del pago señalado por el MSPS en la Matriz de Continuidad respectiva. Así mismo, con corte a junio de la vigencia 2021 se evidencia que la entidad territorial ha efectuado giros por valor de $12.509 millones,</w:t>
      </w:r>
      <w:r w:rsidRPr="0011236C">
        <w:rPr>
          <w:rFonts w:ascii="Arial" w:hAnsi="Arial" w:cs="Arial"/>
          <w:sz w:val="21"/>
          <w:szCs w:val="21"/>
        </w:rPr>
        <w:t xml:space="preserve"> </w:t>
      </w:r>
      <w:r w:rsidRPr="0011236C">
        <w:rPr>
          <w:rFonts w:ascii="Arial" w:eastAsia="Calibri" w:hAnsi="Arial" w:cs="Arial"/>
          <w:sz w:val="21"/>
          <w:szCs w:val="21"/>
        </w:rPr>
        <w:t xml:space="preserve">de un total estimado según el MSPS para la vigencia de $21.878 millones, correspondientes al 57% del total proyectado. </w:t>
      </w:r>
    </w:p>
    <w:p w:rsidR="0011236C" w:rsidRPr="0011236C" w:rsidRDefault="0011236C" w:rsidP="0011236C">
      <w:pPr>
        <w:jc w:val="both"/>
        <w:rPr>
          <w:rFonts w:ascii="Arial" w:eastAsia="Calibri" w:hAnsi="Arial" w:cs="Arial"/>
          <w:sz w:val="21"/>
          <w:szCs w:val="21"/>
        </w:rPr>
      </w:pPr>
    </w:p>
    <w:p w:rsidR="0011236C" w:rsidRPr="0011236C" w:rsidRDefault="0011236C" w:rsidP="0011236C">
      <w:pPr>
        <w:jc w:val="both"/>
        <w:rPr>
          <w:rFonts w:ascii="Arial" w:hAnsi="Arial" w:cs="Arial"/>
          <w:sz w:val="21"/>
          <w:szCs w:val="21"/>
        </w:rPr>
      </w:pPr>
      <w:r w:rsidRPr="0011236C">
        <w:rPr>
          <w:rFonts w:ascii="Arial" w:hAnsi="Arial" w:cs="Arial"/>
          <w:sz w:val="21"/>
          <w:szCs w:val="21"/>
        </w:rPr>
        <w:t xml:space="preserve">En cuanto al seguimiento y control del régimen subsidiado el departamento informa que la Secretaria de Salud Departamental, dentro de las competencias de inspección y vigilancia a los Entes Municipales y a las EPS realiza inspección y vigilancia al régimen subsidiado a través </w:t>
      </w:r>
      <w:r w:rsidRPr="0011236C">
        <w:rPr>
          <w:rFonts w:ascii="Arial" w:hAnsi="Arial" w:cs="Arial"/>
          <w:i/>
          <w:sz w:val="21"/>
          <w:szCs w:val="21"/>
        </w:rPr>
        <w:t>del</w:t>
      </w:r>
      <w:r w:rsidRPr="0011236C">
        <w:rPr>
          <w:rFonts w:ascii="Arial" w:hAnsi="Arial" w:cs="Arial"/>
          <w:sz w:val="21"/>
          <w:szCs w:val="21"/>
        </w:rPr>
        <w:t xml:space="preserve"> monitoreo a las auditorías que desarrollan en los 29 municipios de su jurisdicción, en concordancia con las directrices dadas por la Superintendencia Nacional de Salud. </w:t>
      </w:r>
    </w:p>
    <w:p w:rsidR="0011236C" w:rsidRPr="0011236C" w:rsidRDefault="0011236C" w:rsidP="0011236C">
      <w:pPr>
        <w:jc w:val="both"/>
        <w:rPr>
          <w:rFonts w:ascii="Arial" w:hAnsi="Arial" w:cs="Arial"/>
          <w:sz w:val="21"/>
          <w:szCs w:val="21"/>
        </w:rPr>
      </w:pPr>
    </w:p>
    <w:p w:rsidR="0011236C" w:rsidRPr="0011236C" w:rsidRDefault="0011236C" w:rsidP="0011236C">
      <w:pPr>
        <w:jc w:val="both"/>
        <w:rPr>
          <w:rFonts w:ascii="Arial" w:hAnsi="Arial" w:cs="Arial"/>
          <w:sz w:val="21"/>
          <w:szCs w:val="21"/>
        </w:rPr>
      </w:pPr>
      <w:r w:rsidRPr="0011236C">
        <w:rPr>
          <w:rFonts w:ascii="Arial" w:hAnsi="Arial" w:cs="Arial"/>
          <w:sz w:val="21"/>
          <w:szCs w:val="21"/>
        </w:rPr>
        <w:t>En virtud de ello, para la vigencia 2020 la Superintendencia Nacional de Salud expidió la Circular 001 del 09 de enero de 2020, por medio de la cual se imparten instrucciones sobre el ejercicio de las funciones de inspección, vigilancia y control a nivel territorial, haciendo obligatoria la adopción e implementación de la guía de auditoría y del informe de auditoría dentro de los plazos establecidos en dicha circular.</w:t>
      </w:r>
    </w:p>
    <w:p w:rsidR="0011236C" w:rsidRPr="0011236C" w:rsidRDefault="0011236C" w:rsidP="0011236C">
      <w:pPr>
        <w:jc w:val="both"/>
        <w:rPr>
          <w:rFonts w:ascii="Arial" w:hAnsi="Arial" w:cs="Arial"/>
          <w:sz w:val="21"/>
          <w:szCs w:val="21"/>
        </w:rPr>
      </w:pPr>
    </w:p>
    <w:p w:rsidR="0011236C" w:rsidRPr="0011236C" w:rsidRDefault="0011236C" w:rsidP="0011236C">
      <w:pPr>
        <w:jc w:val="both"/>
        <w:rPr>
          <w:rFonts w:ascii="Arial" w:hAnsi="Arial" w:cs="Arial"/>
          <w:sz w:val="21"/>
          <w:szCs w:val="21"/>
        </w:rPr>
      </w:pPr>
      <w:r w:rsidRPr="0011236C">
        <w:rPr>
          <w:rFonts w:ascii="Arial" w:hAnsi="Arial" w:cs="Arial"/>
          <w:sz w:val="21"/>
          <w:szCs w:val="21"/>
        </w:rPr>
        <w:t>En cuanto al seguimiento correspondiente a segundo semestre de 2020 la entidad territorial menciona en su informe:</w:t>
      </w:r>
    </w:p>
    <w:p w:rsidR="0011236C" w:rsidRPr="0011236C" w:rsidRDefault="0011236C" w:rsidP="0011236C">
      <w:pPr>
        <w:jc w:val="both"/>
        <w:rPr>
          <w:rFonts w:ascii="Arial" w:hAnsi="Arial" w:cs="Arial"/>
          <w:sz w:val="21"/>
          <w:szCs w:val="21"/>
        </w:rPr>
      </w:pPr>
    </w:p>
    <w:p w:rsidR="0011236C" w:rsidRPr="0011236C" w:rsidRDefault="0011236C" w:rsidP="0011236C">
      <w:pPr>
        <w:jc w:val="both"/>
        <w:rPr>
          <w:rFonts w:ascii="Arial" w:hAnsi="Arial" w:cs="Arial"/>
          <w:i/>
          <w:sz w:val="21"/>
          <w:szCs w:val="21"/>
        </w:rPr>
      </w:pPr>
      <w:r w:rsidRPr="0011236C">
        <w:rPr>
          <w:rFonts w:ascii="Arial" w:hAnsi="Arial" w:cs="Arial"/>
          <w:i/>
          <w:sz w:val="21"/>
          <w:szCs w:val="21"/>
        </w:rPr>
        <w:t>“[…] La Secretaría Seccional de Salud del Magdalena encuentra que la mayor parte de reportes corresponde al presunto incumplimiento en la cobertura de vacunación de influenza por encima del 95% a la población de alto riesgo, como se encuentra dispuesto en el Plan de Acción para la Prestación de Servicios de Salud durante las Etapas de Contención y Mitigación de la Pandemia por SARS-CoV-2 (COVID19), adoptado por el artículo 1º de la Resolución No. 536 de 2020 del Ministerio de Salud y Protección Social, se evidencia que todas las EPS incumplen en la cobertura de vacunación de influenza en la población en riesgo alto.”</w:t>
      </w:r>
    </w:p>
    <w:p w:rsidR="0011236C" w:rsidRPr="0011236C" w:rsidRDefault="0011236C" w:rsidP="0011236C">
      <w:pPr>
        <w:jc w:val="both"/>
        <w:rPr>
          <w:rFonts w:ascii="Arial" w:hAnsi="Arial" w:cs="Arial"/>
          <w:sz w:val="21"/>
          <w:szCs w:val="21"/>
        </w:rPr>
      </w:pPr>
    </w:p>
    <w:p w:rsidR="0011236C" w:rsidRPr="0011236C" w:rsidRDefault="0011236C" w:rsidP="0011236C">
      <w:pPr>
        <w:autoSpaceDE w:val="0"/>
        <w:autoSpaceDN w:val="0"/>
        <w:adjustRightInd w:val="0"/>
        <w:jc w:val="both"/>
        <w:rPr>
          <w:rFonts w:ascii="Arial" w:hAnsi="Arial" w:cs="Arial"/>
          <w:sz w:val="21"/>
          <w:szCs w:val="21"/>
        </w:rPr>
      </w:pPr>
      <w:r w:rsidRPr="0011236C">
        <w:rPr>
          <w:rFonts w:ascii="Arial" w:hAnsi="Arial" w:cs="Arial"/>
          <w:sz w:val="21"/>
          <w:szCs w:val="21"/>
        </w:rPr>
        <w:t xml:space="preserve">Por último, frente al cumplimiento de lo dispuesto por el artículo 2.6.4.2.2.1.4 del Decreto 780 de 2016 modificado por el Decreto 2265 de 2017 en relación con la gestión y verificación de las rentas territoriales, la evidencia suministrada por la entidad territorial no permite la validación de dicha disposición, situación que será objeto de verificación en el marco de la etapa de reconocimiento que se efectúe posteriormente. </w:t>
      </w:r>
    </w:p>
    <w:p w:rsidR="0011236C" w:rsidRPr="0011236C" w:rsidRDefault="0011236C" w:rsidP="0011236C">
      <w:pPr>
        <w:autoSpaceDE w:val="0"/>
        <w:autoSpaceDN w:val="0"/>
        <w:adjustRightInd w:val="0"/>
        <w:jc w:val="both"/>
        <w:rPr>
          <w:rFonts w:ascii="Arial" w:hAnsi="Arial" w:cs="Arial"/>
          <w:sz w:val="21"/>
          <w:szCs w:val="21"/>
        </w:rPr>
      </w:pPr>
    </w:p>
    <w:p w:rsidR="0011236C" w:rsidRPr="0011236C" w:rsidRDefault="0011236C" w:rsidP="0011236C">
      <w:pPr>
        <w:jc w:val="both"/>
        <w:rPr>
          <w:rFonts w:ascii="Arial" w:eastAsia="Times New Roman" w:hAnsi="Arial" w:cs="Arial"/>
          <w:sz w:val="21"/>
          <w:szCs w:val="21"/>
          <w:lang w:val="es-CO" w:eastAsia="es-CO"/>
        </w:rPr>
      </w:pPr>
      <w:r w:rsidRPr="0011236C">
        <w:rPr>
          <w:rFonts w:ascii="Arial" w:eastAsia="Times New Roman" w:hAnsi="Arial" w:cs="Arial"/>
          <w:sz w:val="21"/>
          <w:szCs w:val="21"/>
          <w:lang w:val="es-CO" w:eastAsia="es-CO"/>
        </w:rPr>
        <w:t xml:space="preserve">En ese orden, situaciones como: las diferencias encontradas entre los actos administrativos de cofinanciación, y lo dispuesto por el MSPS y el reporte de los pagos por concepto de cofinanciación ejecución presupuestal, constituirán tópicos que deberán ser verificados en el marco del reconocimiento institucional que se lleve a cabo, con el objeto de establecer si existen justificaciones que expliquen dicho comportamiento o identificar causas atribuibles al mismo. </w:t>
      </w:r>
    </w:p>
    <w:p w:rsidR="0011236C" w:rsidRPr="0011236C" w:rsidRDefault="0011236C" w:rsidP="0011236C">
      <w:pPr>
        <w:jc w:val="both"/>
        <w:rPr>
          <w:rFonts w:ascii="Arial" w:hAnsi="Arial" w:cs="Arial"/>
          <w:sz w:val="21"/>
          <w:szCs w:val="21"/>
        </w:rPr>
      </w:pPr>
    </w:p>
    <w:p w:rsidR="0011236C" w:rsidRPr="0011236C" w:rsidRDefault="0011236C" w:rsidP="0011236C">
      <w:pPr>
        <w:numPr>
          <w:ilvl w:val="0"/>
          <w:numId w:val="22"/>
        </w:numPr>
        <w:contextualSpacing/>
        <w:jc w:val="both"/>
        <w:rPr>
          <w:rFonts w:ascii="Arial" w:eastAsiaTheme="minorHAnsi" w:hAnsi="Arial" w:cs="Arial"/>
          <w:sz w:val="21"/>
          <w:szCs w:val="21"/>
          <w:lang w:val="es-CO" w:eastAsia="en-US"/>
        </w:rPr>
      </w:pPr>
      <w:r w:rsidRPr="0011236C">
        <w:rPr>
          <w:rFonts w:ascii="Arial" w:hAnsi="Arial" w:cs="Arial"/>
          <w:b/>
          <w:sz w:val="21"/>
          <w:szCs w:val="21"/>
        </w:rPr>
        <w:t xml:space="preserve">Prestación </w:t>
      </w:r>
      <w:r w:rsidRPr="0011236C">
        <w:rPr>
          <w:rFonts w:ascii="Arial" w:eastAsiaTheme="minorHAnsi" w:hAnsi="Arial" w:cs="Arial"/>
          <w:b/>
          <w:sz w:val="21"/>
          <w:szCs w:val="21"/>
          <w:lang w:val="es-CO" w:eastAsia="en-US"/>
        </w:rPr>
        <w:t>de Servicios</w:t>
      </w:r>
    </w:p>
    <w:p w:rsidR="0011236C" w:rsidRPr="0011236C" w:rsidRDefault="0011236C" w:rsidP="0011236C">
      <w:pPr>
        <w:ind w:left="357"/>
        <w:contextualSpacing/>
        <w:jc w:val="both"/>
        <w:rPr>
          <w:rFonts w:ascii="Arial" w:hAnsi="Arial" w:cs="Arial"/>
          <w:b/>
          <w:sz w:val="21"/>
          <w:szCs w:val="21"/>
        </w:rPr>
      </w:pPr>
    </w:p>
    <w:p w:rsidR="0011236C" w:rsidRPr="0011236C" w:rsidRDefault="0011236C" w:rsidP="0011236C">
      <w:pPr>
        <w:jc w:val="both"/>
        <w:rPr>
          <w:rFonts w:ascii="Arial" w:hAnsi="Arial" w:cs="Arial"/>
          <w:b/>
          <w:sz w:val="21"/>
          <w:szCs w:val="21"/>
        </w:rPr>
      </w:pPr>
      <w:r w:rsidRPr="0011236C">
        <w:rPr>
          <w:rFonts w:ascii="Arial" w:hAnsi="Arial" w:cs="Arial"/>
          <w:b/>
          <w:sz w:val="21"/>
          <w:szCs w:val="21"/>
        </w:rPr>
        <w:t>3.1 Evaluación de la Reorganización de la Red Pública de Prestadores viabilizada por el MSPS</w:t>
      </w:r>
    </w:p>
    <w:p w:rsidR="0011236C" w:rsidRPr="0011236C" w:rsidRDefault="0011236C" w:rsidP="0011236C">
      <w:pPr>
        <w:jc w:val="both"/>
        <w:rPr>
          <w:rFonts w:ascii="Arial" w:hAnsi="Arial" w:cs="Arial"/>
          <w:b/>
          <w:sz w:val="21"/>
          <w:szCs w:val="21"/>
        </w:rPr>
      </w:pPr>
    </w:p>
    <w:p w:rsidR="0011236C" w:rsidRPr="0011236C" w:rsidRDefault="0011236C" w:rsidP="0011236C">
      <w:pPr>
        <w:jc w:val="both"/>
        <w:rPr>
          <w:rFonts w:ascii="Arial" w:eastAsia="Times New Roman" w:hAnsi="Arial" w:cs="Arial"/>
          <w:sz w:val="21"/>
          <w:szCs w:val="21"/>
          <w:lang w:val="es-CO" w:eastAsia="es-CO"/>
        </w:rPr>
      </w:pPr>
      <w:r w:rsidRPr="0011236C">
        <w:rPr>
          <w:rFonts w:ascii="Arial" w:eastAsia="Times New Roman" w:hAnsi="Arial" w:cs="Arial"/>
          <w:sz w:val="21"/>
          <w:szCs w:val="21"/>
          <w:lang w:val="es-CO" w:eastAsia="es-CO"/>
        </w:rPr>
        <w:t>En la vigencia 2018, la Secretaria Seccional de Salud del Magdalena, formuló y presentó ante la Dirección de Prestación de Servicios y Atención primaria (DPSAP) del Ministerio de Salud y Protección Social el documento de Actualización y Ajuste del Programa Territorial de Rediseño, Reorganización y Modernización de Redes de Empresas Sociales del Estado del Departamento del Magdalena, el cual contaba con dos (2) partes. Documento uno (1) Estudio de la Situación actual y documento dos (2) propuesta del PTRRM, frente a lo cual el MSPS expidió concepto técnico de viabilidad para la parte 1 correspondiente al estudio de la situación actual, en julio 10 de 2018, con fecha límite de tres meses para la presentación de la parte 2 :propuesta del programa territorial de reorganización, rediseño de las ESE en el Departamento, ésta segunda parte, logra su concepto técnico de viabilidad por parte del MSPS, el 6 de mayo de 2019.</w:t>
      </w:r>
    </w:p>
    <w:p w:rsidR="0011236C" w:rsidRPr="0011236C" w:rsidRDefault="0011236C" w:rsidP="0011236C">
      <w:pPr>
        <w:autoSpaceDE w:val="0"/>
        <w:autoSpaceDN w:val="0"/>
        <w:adjustRightInd w:val="0"/>
        <w:jc w:val="both"/>
        <w:rPr>
          <w:rFonts w:ascii="Arial" w:eastAsia="Times New Roman" w:hAnsi="Arial" w:cs="Arial"/>
          <w:sz w:val="21"/>
          <w:szCs w:val="21"/>
          <w:lang w:val="es-CO" w:eastAsia="es-CO"/>
        </w:rPr>
      </w:pPr>
    </w:p>
    <w:p w:rsidR="0011236C" w:rsidRPr="0011236C" w:rsidRDefault="0011236C" w:rsidP="0011236C">
      <w:pPr>
        <w:jc w:val="both"/>
        <w:rPr>
          <w:rFonts w:ascii="Arial" w:eastAsia="Times New Roman" w:hAnsi="Arial" w:cs="Arial"/>
          <w:sz w:val="21"/>
          <w:szCs w:val="21"/>
          <w:lang w:val="es-CO" w:eastAsia="es-CO"/>
        </w:rPr>
      </w:pPr>
      <w:r w:rsidRPr="0011236C">
        <w:rPr>
          <w:rFonts w:ascii="Arial" w:eastAsia="Times New Roman" w:hAnsi="Arial" w:cs="Arial"/>
          <w:sz w:val="21"/>
          <w:szCs w:val="21"/>
          <w:lang w:val="es-CO" w:eastAsia="es-CO"/>
        </w:rPr>
        <w:t>El Programa Territorial de Reorganización, Rediseño y Modernización de Redes vigente en el Departamento del Magdalena, desde el mes de mayo de 2019, estableció, teniendo en cuenta la situación financiera de las ESE, criterios habilitantes que le permitieron identificar instituciones que en sus estados financieros guardaran equilibrio entre el ingreso recaudado y el gasto; planta de personal administrativa y asistencial acorde con los servicios, su producción y el nivel de complejidad.</w:t>
      </w:r>
    </w:p>
    <w:p w:rsidR="0011236C" w:rsidRPr="0011236C" w:rsidRDefault="0011236C" w:rsidP="0011236C">
      <w:pPr>
        <w:jc w:val="both"/>
        <w:rPr>
          <w:rFonts w:ascii="Arial" w:eastAsia="Times New Roman" w:hAnsi="Arial" w:cs="Arial"/>
          <w:sz w:val="21"/>
          <w:szCs w:val="21"/>
          <w:lang w:val="es-CO" w:eastAsia="es-CO"/>
        </w:rPr>
      </w:pPr>
    </w:p>
    <w:p w:rsidR="0011236C" w:rsidRPr="0011236C" w:rsidRDefault="0011236C" w:rsidP="0011236C">
      <w:pPr>
        <w:jc w:val="both"/>
        <w:rPr>
          <w:rFonts w:ascii="Arial" w:eastAsia="Times New Roman" w:hAnsi="Arial" w:cs="Arial"/>
          <w:sz w:val="21"/>
          <w:szCs w:val="21"/>
          <w:lang w:val="es-CO" w:eastAsia="es-CO"/>
        </w:rPr>
      </w:pPr>
      <w:r w:rsidRPr="0011236C">
        <w:rPr>
          <w:rFonts w:ascii="Arial" w:eastAsia="Times New Roman" w:hAnsi="Arial" w:cs="Arial"/>
          <w:sz w:val="21"/>
          <w:szCs w:val="21"/>
          <w:lang w:val="es-CO" w:eastAsia="es-CO"/>
        </w:rPr>
        <w:t>De la documentación entregada por el Departamento se puede evidenciar que se avanza en la reorganización e implementación de la propuesta de rediseño y modernización de la red, a través de la diferenciación de las ESE por la situación financiera de las ESE, criterios habilitantes que le permitieron identificar instituciones que en sus estados financieros guardaran equilibrio entre el ingreso recaudado y el gasto; planta de personal administrativa y asistencial acorde con los servicios, su producción y el nivel de complejidad, con lo que se distribuyeron las ESE en 5 grupos así:</w:t>
      </w:r>
    </w:p>
    <w:p w:rsidR="0011236C" w:rsidRPr="0011236C" w:rsidRDefault="0011236C" w:rsidP="0011236C">
      <w:pPr>
        <w:jc w:val="both"/>
        <w:rPr>
          <w:rFonts w:ascii="Arial" w:eastAsia="Times New Roman" w:hAnsi="Arial" w:cs="Arial"/>
          <w:sz w:val="21"/>
          <w:szCs w:val="21"/>
          <w:lang w:val="es-CO" w:eastAsia="es-CO"/>
        </w:rPr>
      </w:pPr>
    </w:p>
    <w:p w:rsidR="0011236C" w:rsidRPr="0011236C" w:rsidRDefault="0011236C" w:rsidP="0011236C">
      <w:pPr>
        <w:jc w:val="both"/>
        <w:rPr>
          <w:rFonts w:ascii="Arial" w:eastAsia="Times New Roman" w:hAnsi="Arial" w:cs="Arial"/>
          <w:sz w:val="21"/>
          <w:szCs w:val="21"/>
          <w:lang w:val="es-CO" w:eastAsia="es-CO"/>
        </w:rPr>
      </w:pPr>
      <w:r w:rsidRPr="0011236C">
        <w:rPr>
          <w:rFonts w:ascii="Arial" w:eastAsia="Times New Roman" w:hAnsi="Arial" w:cs="Arial"/>
          <w:sz w:val="21"/>
          <w:szCs w:val="21"/>
          <w:lang w:val="es-CO" w:eastAsia="es-CO"/>
        </w:rPr>
        <w:t>Grupo I: Sostenibles Sin Riesgo y en Riesgo Bajo Según Resolución 2249 De 2018</w:t>
      </w:r>
    </w:p>
    <w:p w:rsidR="0011236C" w:rsidRPr="0011236C" w:rsidRDefault="0011236C" w:rsidP="0011236C">
      <w:pPr>
        <w:jc w:val="both"/>
        <w:rPr>
          <w:rFonts w:ascii="Arial" w:eastAsia="Times New Roman" w:hAnsi="Arial" w:cs="Arial"/>
          <w:sz w:val="21"/>
          <w:szCs w:val="21"/>
          <w:lang w:val="es-CO" w:eastAsia="es-CO"/>
        </w:rPr>
      </w:pPr>
      <w:r w:rsidRPr="0011236C">
        <w:rPr>
          <w:rFonts w:ascii="Arial" w:eastAsia="Times New Roman" w:hAnsi="Arial" w:cs="Arial"/>
          <w:sz w:val="21"/>
          <w:szCs w:val="21"/>
          <w:lang w:val="es-CO" w:eastAsia="es-CO"/>
        </w:rPr>
        <w:t>Grupo II. En ejecución de PSFF Viabilizado por Ministerio de Hacienda y Crédito Público</w:t>
      </w:r>
    </w:p>
    <w:p w:rsidR="0011236C" w:rsidRPr="0011236C" w:rsidRDefault="0011236C" w:rsidP="0011236C">
      <w:pPr>
        <w:jc w:val="both"/>
        <w:rPr>
          <w:rFonts w:ascii="Arial" w:eastAsia="Times New Roman" w:hAnsi="Arial" w:cs="Arial"/>
          <w:sz w:val="21"/>
          <w:szCs w:val="21"/>
          <w:lang w:val="es-CO" w:eastAsia="es-CO"/>
        </w:rPr>
      </w:pPr>
      <w:r w:rsidRPr="0011236C">
        <w:rPr>
          <w:rFonts w:ascii="Arial" w:eastAsia="Times New Roman" w:hAnsi="Arial" w:cs="Arial"/>
          <w:sz w:val="21"/>
          <w:szCs w:val="21"/>
          <w:lang w:val="es-CO" w:eastAsia="es-CO"/>
        </w:rPr>
        <w:t>Grupo III. Ejecución de PGIR Viabilizado Por Superintendencia Nacional De Salud:</w:t>
      </w:r>
    </w:p>
    <w:p w:rsidR="0011236C" w:rsidRPr="0011236C" w:rsidRDefault="0011236C" w:rsidP="0011236C">
      <w:pPr>
        <w:jc w:val="both"/>
        <w:rPr>
          <w:rFonts w:ascii="Arial" w:eastAsia="Times New Roman" w:hAnsi="Arial" w:cs="Arial"/>
          <w:sz w:val="21"/>
          <w:szCs w:val="21"/>
          <w:lang w:val="es-CO" w:eastAsia="es-CO"/>
        </w:rPr>
      </w:pPr>
      <w:r w:rsidRPr="0011236C">
        <w:rPr>
          <w:rFonts w:ascii="Arial" w:eastAsia="Times New Roman" w:hAnsi="Arial" w:cs="Arial"/>
          <w:sz w:val="21"/>
          <w:szCs w:val="21"/>
          <w:lang w:val="es-CO" w:eastAsia="es-CO"/>
        </w:rPr>
        <w:t>Grupo IV. No Sostenibles sin medida de Intervención y categorizadas en Riesgo Medio o Alto:</w:t>
      </w:r>
      <w:r w:rsidRPr="0011236C">
        <w:rPr>
          <w:rFonts w:ascii="Arial" w:eastAsia="Times New Roman" w:hAnsi="Arial" w:cs="Arial"/>
          <w:sz w:val="21"/>
          <w:szCs w:val="21"/>
          <w:lang w:val="es-CO" w:eastAsia="es-CO"/>
        </w:rPr>
        <w:br/>
        <w:t>GRUPO V. 5. ESE Sin Riesgo O Riesgo Bajo Con Características Financieras Especiales</w:t>
      </w:r>
    </w:p>
    <w:p w:rsidR="0011236C" w:rsidRPr="0011236C" w:rsidRDefault="0011236C" w:rsidP="0011236C">
      <w:pPr>
        <w:jc w:val="both"/>
        <w:rPr>
          <w:rFonts w:ascii="Arial" w:eastAsia="Times New Roman" w:hAnsi="Arial" w:cs="Arial"/>
          <w:sz w:val="21"/>
          <w:szCs w:val="21"/>
          <w:lang w:val="es-CO" w:eastAsia="es-CO"/>
        </w:rPr>
      </w:pPr>
    </w:p>
    <w:p w:rsidR="0011236C" w:rsidRPr="0011236C" w:rsidRDefault="0011236C" w:rsidP="0011236C">
      <w:pPr>
        <w:jc w:val="both"/>
        <w:rPr>
          <w:rFonts w:ascii="Arial" w:eastAsia="Times New Roman" w:hAnsi="Arial" w:cs="Arial"/>
          <w:i/>
          <w:sz w:val="21"/>
          <w:szCs w:val="21"/>
          <w:lang w:val="es-CO" w:eastAsia="es-CO"/>
        </w:rPr>
      </w:pPr>
      <w:r w:rsidRPr="0011236C">
        <w:rPr>
          <w:rFonts w:ascii="Arial" w:eastAsia="Times New Roman" w:hAnsi="Arial" w:cs="Arial"/>
          <w:sz w:val="21"/>
          <w:szCs w:val="21"/>
          <w:lang w:val="es-CO" w:eastAsia="es-CO"/>
        </w:rPr>
        <w:t xml:space="preserve">Por último, el departamento informa que: </w:t>
      </w:r>
      <w:r w:rsidRPr="0011236C">
        <w:rPr>
          <w:rFonts w:ascii="Arial" w:eastAsia="Times New Roman" w:hAnsi="Arial" w:cs="Arial"/>
          <w:i/>
          <w:sz w:val="21"/>
          <w:szCs w:val="21"/>
          <w:lang w:val="es-CO" w:eastAsia="es-CO"/>
        </w:rPr>
        <w:t>[“…la ejecución de las medidas proyectadas en el PTRRMR vigente, se ha atrasado por la declaratoria de la Pandemia Covid – 19 en marzo de 2020, situación que ha afectado los procesos y su desarrollo en las fases establecidas; sin embargo, a la fecha, se está desarrollando la propuesta para alcanzar en el cumplimiento de metas planteadas.”]</w:t>
      </w:r>
    </w:p>
    <w:p w:rsidR="0011236C" w:rsidRPr="0011236C" w:rsidRDefault="0011236C" w:rsidP="0011236C">
      <w:pPr>
        <w:jc w:val="both"/>
        <w:rPr>
          <w:rFonts w:ascii="Arial" w:eastAsia="Times New Roman" w:hAnsi="Arial" w:cs="Arial"/>
          <w:sz w:val="21"/>
          <w:szCs w:val="21"/>
          <w:lang w:val="es-CO" w:eastAsia="es-CO"/>
        </w:rPr>
      </w:pPr>
    </w:p>
    <w:p w:rsidR="0011236C" w:rsidRPr="0011236C" w:rsidRDefault="0011236C" w:rsidP="0011236C">
      <w:pPr>
        <w:jc w:val="both"/>
        <w:rPr>
          <w:rFonts w:ascii="Arial" w:hAnsi="Arial" w:cs="Arial"/>
          <w:b/>
          <w:sz w:val="21"/>
          <w:szCs w:val="21"/>
          <w:lang w:val="es-CO" w:eastAsia="en-US"/>
        </w:rPr>
      </w:pPr>
      <w:r w:rsidRPr="0011236C">
        <w:rPr>
          <w:rFonts w:ascii="Arial" w:hAnsi="Arial" w:cs="Arial"/>
          <w:b/>
          <w:sz w:val="21"/>
          <w:szCs w:val="21"/>
          <w:lang w:val="es-CO" w:eastAsia="en-US"/>
        </w:rPr>
        <w:t>3.2 Ejecución de recursos del Subsidio a la oferta</w:t>
      </w:r>
    </w:p>
    <w:p w:rsidR="0011236C" w:rsidRPr="0011236C" w:rsidRDefault="0011236C" w:rsidP="0011236C">
      <w:pPr>
        <w:rPr>
          <w:rFonts w:ascii="Arial" w:hAnsi="Arial" w:cs="Arial"/>
          <w:sz w:val="21"/>
          <w:szCs w:val="21"/>
          <w:lang w:val="es-CO" w:eastAsia="en-US"/>
        </w:rPr>
      </w:pPr>
    </w:p>
    <w:p w:rsidR="0011236C" w:rsidRDefault="0011236C" w:rsidP="0011236C">
      <w:pPr>
        <w:autoSpaceDE w:val="0"/>
        <w:autoSpaceDN w:val="0"/>
        <w:adjustRightInd w:val="0"/>
        <w:jc w:val="both"/>
        <w:rPr>
          <w:rFonts w:ascii="Arial" w:eastAsia="Calibri" w:hAnsi="Arial" w:cs="Arial"/>
          <w:sz w:val="21"/>
          <w:szCs w:val="21"/>
        </w:rPr>
      </w:pPr>
      <w:r w:rsidRPr="0011236C">
        <w:rPr>
          <w:rFonts w:ascii="Arial" w:eastAsiaTheme="minorHAnsi" w:hAnsi="Arial" w:cs="Arial"/>
          <w:sz w:val="21"/>
          <w:szCs w:val="21"/>
          <w:lang w:val="es-CO" w:eastAsia="en-US"/>
        </w:rPr>
        <w:t xml:space="preserve">De </w:t>
      </w:r>
      <w:r w:rsidRPr="0011236C">
        <w:rPr>
          <w:rFonts w:ascii="Arial" w:eastAsia="Calibri" w:hAnsi="Arial" w:cs="Arial"/>
          <w:sz w:val="21"/>
          <w:szCs w:val="21"/>
        </w:rPr>
        <w:t xml:space="preserve">acuerdo con la información remitida por el Departamento y con base en el listado de las ESE o Administradores de infraestructura pública publicado en la Web del MSPS se evidencia que las siguientes ESE corresponden a las instituciones objeto de la asignación de recursos del componente de Subsidio a la Oferta del SGP y son con quien la Entidad Territorial puede suscribir el respectivo convenio para su ejecución. </w:t>
      </w:r>
    </w:p>
    <w:p w:rsidR="0011236C" w:rsidRDefault="0011236C" w:rsidP="0011236C">
      <w:pPr>
        <w:autoSpaceDE w:val="0"/>
        <w:autoSpaceDN w:val="0"/>
        <w:adjustRightInd w:val="0"/>
        <w:jc w:val="both"/>
        <w:rPr>
          <w:rFonts w:ascii="Arial" w:eastAsia="Calibri" w:hAnsi="Arial" w:cs="Arial"/>
          <w:sz w:val="21"/>
          <w:szCs w:val="21"/>
        </w:rPr>
      </w:pPr>
    </w:p>
    <w:p w:rsidR="0011236C" w:rsidRDefault="0011236C" w:rsidP="0011236C">
      <w:pPr>
        <w:autoSpaceDE w:val="0"/>
        <w:autoSpaceDN w:val="0"/>
        <w:adjustRightInd w:val="0"/>
        <w:jc w:val="both"/>
        <w:rPr>
          <w:rFonts w:ascii="Arial" w:eastAsia="Calibri" w:hAnsi="Arial" w:cs="Arial"/>
          <w:sz w:val="21"/>
          <w:szCs w:val="21"/>
        </w:rPr>
      </w:pPr>
    </w:p>
    <w:p w:rsidR="0011236C" w:rsidRDefault="0011236C" w:rsidP="0011236C">
      <w:pPr>
        <w:autoSpaceDE w:val="0"/>
        <w:autoSpaceDN w:val="0"/>
        <w:adjustRightInd w:val="0"/>
        <w:jc w:val="both"/>
        <w:rPr>
          <w:rFonts w:ascii="Arial" w:eastAsia="Calibri" w:hAnsi="Arial" w:cs="Arial"/>
          <w:sz w:val="21"/>
          <w:szCs w:val="21"/>
        </w:rPr>
      </w:pPr>
    </w:p>
    <w:p w:rsidR="0011236C" w:rsidRDefault="0011236C" w:rsidP="0011236C">
      <w:pPr>
        <w:autoSpaceDE w:val="0"/>
        <w:autoSpaceDN w:val="0"/>
        <w:adjustRightInd w:val="0"/>
        <w:jc w:val="both"/>
        <w:rPr>
          <w:rFonts w:ascii="Arial" w:eastAsia="Calibri" w:hAnsi="Arial" w:cs="Arial"/>
          <w:sz w:val="21"/>
          <w:szCs w:val="21"/>
        </w:rPr>
      </w:pPr>
    </w:p>
    <w:p w:rsidR="0011236C" w:rsidRDefault="0011236C" w:rsidP="0011236C">
      <w:pPr>
        <w:autoSpaceDE w:val="0"/>
        <w:autoSpaceDN w:val="0"/>
        <w:adjustRightInd w:val="0"/>
        <w:jc w:val="both"/>
        <w:rPr>
          <w:rFonts w:ascii="Arial" w:eastAsia="Calibri" w:hAnsi="Arial" w:cs="Arial"/>
          <w:sz w:val="21"/>
          <w:szCs w:val="21"/>
        </w:rPr>
      </w:pPr>
    </w:p>
    <w:p w:rsidR="0011236C" w:rsidRDefault="0011236C" w:rsidP="0011236C">
      <w:pPr>
        <w:autoSpaceDE w:val="0"/>
        <w:autoSpaceDN w:val="0"/>
        <w:adjustRightInd w:val="0"/>
        <w:jc w:val="both"/>
        <w:rPr>
          <w:rFonts w:ascii="Arial" w:eastAsia="Calibri" w:hAnsi="Arial" w:cs="Arial"/>
          <w:sz w:val="21"/>
          <w:szCs w:val="21"/>
        </w:rPr>
      </w:pPr>
    </w:p>
    <w:p w:rsidR="0011236C" w:rsidRDefault="0011236C" w:rsidP="0011236C">
      <w:pPr>
        <w:autoSpaceDE w:val="0"/>
        <w:autoSpaceDN w:val="0"/>
        <w:adjustRightInd w:val="0"/>
        <w:jc w:val="both"/>
        <w:rPr>
          <w:rFonts w:ascii="Arial" w:eastAsia="Calibri" w:hAnsi="Arial" w:cs="Arial"/>
          <w:sz w:val="21"/>
          <w:szCs w:val="21"/>
        </w:rPr>
      </w:pPr>
    </w:p>
    <w:p w:rsidR="0011236C" w:rsidRDefault="0011236C" w:rsidP="0011236C">
      <w:pPr>
        <w:autoSpaceDE w:val="0"/>
        <w:autoSpaceDN w:val="0"/>
        <w:adjustRightInd w:val="0"/>
        <w:jc w:val="both"/>
        <w:rPr>
          <w:rFonts w:ascii="Arial" w:eastAsia="Calibri" w:hAnsi="Arial" w:cs="Arial"/>
          <w:sz w:val="21"/>
          <w:szCs w:val="21"/>
        </w:rPr>
      </w:pPr>
    </w:p>
    <w:p w:rsidR="0011236C" w:rsidRDefault="0011236C" w:rsidP="0011236C">
      <w:pPr>
        <w:autoSpaceDE w:val="0"/>
        <w:autoSpaceDN w:val="0"/>
        <w:adjustRightInd w:val="0"/>
        <w:jc w:val="both"/>
        <w:rPr>
          <w:rFonts w:ascii="Arial" w:eastAsia="Calibri" w:hAnsi="Arial" w:cs="Arial"/>
          <w:sz w:val="21"/>
          <w:szCs w:val="21"/>
        </w:rPr>
      </w:pPr>
    </w:p>
    <w:p w:rsidR="0011236C" w:rsidRDefault="0011236C" w:rsidP="0011236C">
      <w:pPr>
        <w:autoSpaceDE w:val="0"/>
        <w:autoSpaceDN w:val="0"/>
        <w:adjustRightInd w:val="0"/>
        <w:jc w:val="both"/>
        <w:rPr>
          <w:rFonts w:ascii="Arial" w:eastAsia="Calibri" w:hAnsi="Arial" w:cs="Arial"/>
          <w:sz w:val="21"/>
          <w:szCs w:val="21"/>
        </w:rPr>
      </w:pPr>
    </w:p>
    <w:p w:rsidR="0011236C" w:rsidRDefault="0011236C" w:rsidP="0011236C">
      <w:pPr>
        <w:autoSpaceDE w:val="0"/>
        <w:autoSpaceDN w:val="0"/>
        <w:adjustRightInd w:val="0"/>
        <w:jc w:val="both"/>
        <w:rPr>
          <w:rFonts w:ascii="Arial" w:eastAsia="Calibri" w:hAnsi="Arial" w:cs="Arial"/>
          <w:sz w:val="21"/>
          <w:szCs w:val="21"/>
        </w:rPr>
      </w:pPr>
    </w:p>
    <w:p w:rsidR="0011236C" w:rsidRDefault="0011236C" w:rsidP="0011236C">
      <w:pPr>
        <w:autoSpaceDE w:val="0"/>
        <w:autoSpaceDN w:val="0"/>
        <w:adjustRightInd w:val="0"/>
        <w:jc w:val="both"/>
        <w:rPr>
          <w:rFonts w:ascii="Arial" w:eastAsia="Calibri" w:hAnsi="Arial" w:cs="Arial"/>
          <w:sz w:val="21"/>
          <w:szCs w:val="21"/>
        </w:rPr>
      </w:pPr>
    </w:p>
    <w:p w:rsidR="0011236C" w:rsidRDefault="0011236C" w:rsidP="0011236C">
      <w:pPr>
        <w:autoSpaceDE w:val="0"/>
        <w:autoSpaceDN w:val="0"/>
        <w:adjustRightInd w:val="0"/>
        <w:jc w:val="both"/>
        <w:rPr>
          <w:rFonts w:ascii="Arial" w:eastAsia="Calibri" w:hAnsi="Arial" w:cs="Arial"/>
          <w:sz w:val="21"/>
          <w:szCs w:val="21"/>
        </w:rPr>
      </w:pPr>
    </w:p>
    <w:p w:rsidR="0011236C" w:rsidRDefault="0011236C" w:rsidP="0011236C">
      <w:pPr>
        <w:autoSpaceDE w:val="0"/>
        <w:autoSpaceDN w:val="0"/>
        <w:adjustRightInd w:val="0"/>
        <w:jc w:val="both"/>
        <w:rPr>
          <w:rFonts w:ascii="Arial" w:eastAsia="Calibri" w:hAnsi="Arial" w:cs="Arial"/>
          <w:sz w:val="21"/>
          <w:szCs w:val="21"/>
        </w:rPr>
      </w:pPr>
    </w:p>
    <w:p w:rsidR="0011236C" w:rsidRDefault="0011236C" w:rsidP="0011236C">
      <w:pPr>
        <w:autoSpaceDE w:val="0"/>
        <w:autoSpaceDN w:val="0"/>
        <w:adjustRightInd w:val="0"/>
        <w:jc w:val="both"/>
        <w:rPr>
          <w:rFonts w:ascii="Arial" w:eastAsia="Calibri" w:hAnsi="Arial" w:cs="Arial"/>
          <w:sz w:val="21"/>
          <w:szCs w:val="21"/>
        </w:rPr>
      </w:pPr>
    </w:p>
    <w:p w:rsidR="0011236C" w:rsidRDefault="0011236C" w:rsidP="0011236C">
      <w:pPr>
        <w:autoSpaceDE w:val="0"/>
        <w:autoSpaceDN w:val="0"/>
        <w:adjustRightInd w:val="0"/>
        <w:jc w:val="both"/>
        <w:rPr>
          <w:rFonts w:ascii="Arial" w:eastAsia="Calibri" w:hAnsi="Arial" w:cs="Arial"/>
          <w:sz w:val="21"/>
          <w:szCs w:val="21"/>
        </w:rPr>
      </w:pPr>
    </w:p>
    <w:p w:rsidR="0011236C" w:rsidRPr="0011236C" w:rsidRDefault="0011236C" w:rsidP="0011236C">
      <w:pPr>
        <w:autoSpaceDE w:val="0"/>
        <w:autoSpaceDN w:val="0"/>
        <w:adjustRightInd w:val="0"/>
        <w:jc w:val="both"/>
        <w:rPr>
          <w:rFonts w:ascii="Arial" w:eastAsia="Calibri" w:hAnsi="Arial" w:cs="Arial"/>
          <w:sz w:val="21"/>
          <w:szCs w:val="21"/>
        </w:rPr>
      </w:pPr>
    </w:p>
    <w:p w:rsidR="0011236C" w:rsidRPr="0011236C" w:rsidRDefault="0011236C" w:rsidP="0011236C">
      <w:pPr>
        <w:autoSpaceDE w:val="0"/>
        <w:autoSpaceDN w:val="0"/>
        <w:adjustRightInd w:val="0"/>
        <w:jc w:val="both"/>
        <w:rPr>
          <w:rFonts w:ascii="Arial" w:eastAsia="Calibri" w:hAnsi="Arial" w:cs="Arial"/>
          <w:sz w:val="21"/>
          <w:szCs w:val="21"/>
        </w:rPr>
      </w:pPr>
    </w:p>
    <w:p w:rsidR="0011236C" w:rsidRPr="0011236C" w:rsidRDefault="0011236C" w:rsidP="0011236C">
      <w:pPr>
        <w:autoSpaceDE w:val="0"/>
        <w:autoSpaceDN w:val="0"/>
        <w:adjustRightInd w:val="0"/>
        <w:jc w:val="center"/>
        <w:rPr>
          <w:rFonts w:ascii="Arial" w:hAnsi="Arial" w:cs="Arial"/>
          <w:b/>
          <w:sz w:val="21"/>
          <w:szCs w:val="21"/>
        </w:rPr>
      </w:pPr>
      <w:r w:rsidRPr="0011236C">
        <w:rPr>
          <w:rFonts w:ascii="Arial" w:hAnsi="Arial" w:cs="Arial"/>
          <w:b/>
          <w:sz w:val="21"/>
          <w:szCs w:val="21"/>
        </w:rPr>
        <w:lastRenderedPageBreak/>
        <w:t>Tabla No 6</w:t>
      </w:r>
    </w:p>
    <w:p w:rsidR="0011236C" w:rsidRPr="0011236C" w:rsidRDefault="0011236C" w:rsidP="0011236C">
      <w:pPr>
        <w:autoSpaceDE w:val="0"/>
        <w:autoSpaceDN w:val="0"/>
        <w:adjustRightInd w:val="0"/>
        <w:jc w:val="center"/>
        <w:rPr>
          <w:rFonts w:ascii="Arial" w:hAnsi="Arial" w:cs="Arial"/>
          <w:b/>
          <w:sz w:val="21"/>
          <w:szCs w:val="21"/>
        </w:rPr>
      </w:pPr>
      <w:r w:rsidRPr="0011236C">
        <w:rPr>
          <w:rFonts w:ascii="Arial" w:hAnsi="Arial" w:cs="Arial"/>
          <w:b/>
          <w:sz w:val="21"/>
          <w:szCs w:val="21"/>
        </w:rPr>
        <w:t xml:space="preserve"> Asignación recursos subsidio a la oferta 2020.   </w:t>
      </w:r>
      <w:r w:rsidRPr="0011236C">
        <w:rPr>
          <w:rFonts w:ascii="Arial" w:eastAsia="Times New Roman" w:hAnsi="Arial" w:cs="Arial"/>
          <w:color w:val="000000"/>
          <w:sz w:val="21"/>
          <w:szCs w:val="21"/>
          <w:lang w:val="es-CO" w:eastAsia="es-CO"/>
        </w:rPr>
        <w:t>Cifras en Millones de $</w:t>
      </w:r>
    </w:p>
    <w:p w:rsidR="0011236C" w:rsidRPr="0011236C" w:rsidRDefault="0011236C" w:rsidP="0011236C">
      <w:pPr>
        <w:autoSpaceDE w:val="0"/>
        <w:autoSpaceDN w:val="0"/>
        <w:adjustRightInd w:val="0"/>
        <w:jc w:val="both"/>
        <w:rPr>
          <w:rFonts w:ascii="Arial" w:hAnsi="Arial" w:cs="Arial"/>
          <w:sz w:val="21"/>
          <w:szCs w:val="21"/>
        </w:rPr>
      </w:pPr>
    </w:p>
    <w:p w:rsidR="0011236C" w:rsidRPr="0011236C" w:rsidRDefault="0011236C" w:rsidP="0011236C">
      <w:pPr>
        <w:autoSpaceDE w:val="0"/>
        <w:autoSpaceDN w:val="0"/>
        <w:adjustRightInd w:val="0"/>
        <w:jc w:val="both"/>
        <w:rPr>
          <w:rFonts w:ascii="Arial" w:hAnsi="Arial" w:cs="Arial"/>
          <w:sz w:val="21"/>
          <w:szCs w:val="21"/>
        </w:rPr>
      </w:pPr>
      <w:r w:rsidRPr="0011236C">
        <w:rPr>
          <w:rFonts w:ascii="Arial" w:eastAsiaTheme="minorHAnsi" w:hAnsi="Arial" w:cs="Arial"/>
          <w:noProof/>
          <w:color w:val="000000"/>
          <w:sz w:val="21"/>
          <w:szCs w:val="21"/>
          <w:lang w:val="es-CO" w:eastAsia="es-CO"/>
        </w:rPr>
        <w:drawing>
          <wp:inline distT="0" distB="0" distL="0" distR="0">
            <wp:extent cx="5612130" cy="4416230"/>
            <wp:effectExtent l="0" t="0" r="762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612130" cy="4416230"/>
                    </a:xfrm>
                    <a:prstGeom prst="rect">
                      <a:avLst/>
                    </a:prstGeom>
                    <a:noFill/>
                    <a:ln>
                      <a:noFill/>
                    </a:ln>
                  </pic:spPr>
                </pic:pic>
              </a:graphicData>
            </a:graphic>
          </wp:inline>
        </w:drawing>
      </w:r>
    </w:p>
    <w:p w:rsidR="0011236C" w:rsidRPr="0011236C" w:rsidRDefault="0011236C" w:rsidP="0011236C">
      <w:pPr>
        <w:autoSpaceDE w:val="0"/>
        <w:autoSpaceDN w:val="0"/>
        <w:adjustRightInd w:val="0"/>
        <w:jc w:val="both"/>
        <w:rPr>
          <w:rFonts w:ascii="Arial" w:hAnsi="Arial" w:cs="Arial"/>
          <w:sz w:val="21"/>
          <w:szCs w:val="21"/>
        </w:rPr>
      </w:pPr>
      <w:r w:rsidRPr="0011236C">
        <w:rPr>
          <w:rFonts w:ascii="Arial" w:hAnsi="Arial" w:cs="Arial"/>
          <w:sz w:val="21"/>
          <w:szCs w:val="21"/>
        </w:rPr>
        <w:t>Fuente: Información de la entidad territorial requerimiento 27.</w:t>
      </w:r>
    </w:p>
    <w:p w:rsidR="0011236C" w:rsidRPr="0011236C" w:rsidRDefault="0011236C" w:rsidP="0011236C">
      <w:pPr>
        <w:autoSpaceDE w:val="0"/>
        <w:autoSpaceDN w:val="0"/>
        <w:adjustRightInd w:val="0"/>
        <w:jc w:val="both"/>
        <w:rPr>
          <w:rFonts w:ascii="Arial" w:hAnsi="Arial" w:cs="Arial"/>
          <w:sz w:val="21"/>
          <w:szCs w:val="21"/>
        </w:rPr>
      </w:pPr>
    </w:p>
    <w:p w:rsidR="0011236C" w:rsidRPr="0011236C" w:rsidRDefault="0011236C" w:rsidP="0011236C">
      <w:pPr>
        <w:autoSpaceDE w:val="0"/>
        <w:autoSpaceDN w:val="0"/>
        <w:adjustRightInd w:val="0"/>
        <w:jc w:val="both"/>
        <w:rPr>
          <w:rFonts w:ascii="Arial" w:hAnsi="Arial" w:cs="Arial"/>
          <w:sz w:val="21"/>
          <w:szCs w:val="21"/>
        </w:rPr>
      </w:pPr>
      <w:r w:rsidRPr="0011236C">
        <w:rPr>
          <w:rFonts w:ascii="Arial" w:hAnsi="Arial" w:cs="Arial"/>
          <w:sz w:val="21"/>
          <w:szCs w:val="21"/>
        </w:rPr>
        <w:t xml:space="preserve">Al comparar los datos reportados en el cuadro anterior con los recursos distribuidos del SGP subsidio a la oferta, es posible determinar su consistencia con las once doceavas 2020 asignadas para zonas especiales (SGP-45-2020 - Anexo 5 por valor de $6.395 millones), quedando pendiente por distribuir la última doceava de 2020 que se incluye en 2021 por valor de $597 millones. </w:t>
      </w:r>
    </w:p>
    <w:p w:rsidR="0011236C" w:rsidRPr="0011236C" w:rsidRDefault="0011236C" w:rsidP="0011236C">
      <w:pPr>
        <w:autoSpaceDE w:val="0"/>
        <w:autoSpaceDN w:val="0"/>
        <w:adjustRightInd w:val="0"/>
        <w:jc w:val="both"/>
        <w:rPr>
          <w:rFonts w:ascii="Arial" w:hAnsi="Arial" w:cs="Arial"/>
          <w:sz w:val="21"/>
          <w:szCs w:val="21"/>
        </w:rPr>
      </w:pPr>
    </w:p>
    <w:p w:rsidR="0011236C" w:rsidRPr="0011236C" w:rsidRDefault="0011236C" w:rsidP="0011236C">
      <w:pPr>
        <w:autoSpaceDE w:val="0"/>
        <w:autoSpaceDN w:val="0"/>
        <w:adjustRightInd w:val="0"/>
        <w:jc w:val="both"/>
        <w:rPr>
          <w:rFonts w:ascii="Arial" w:hAnsi="Arial" w:cs="Arial"/>
          <w:sz w:val="21"/>
          <w:szCs w:val="21"/>
        </w:rPr>
      </w:pPr>
      <w:r w:rsidRPr="0011236C">
        <w:rPr>
          <w:rFonts w:ascii="Arial" w:hAnsi="Arial" w:cs="Arial"/>
          <w:sz w:val="21"/>
          <w:szCs w:val="21"/>
        </w:rPr>
        <w:t>No obstante, la Entidad remitió una relación de 20 convenios con las ESE de la Red Pública, en la cual no se identifica los valores de cada uno de los contratos, razón por la cual se limita el análisis respecto a la consistencia con los valores distribuidos y referidos en la tabla anterior. De igual forma, efectuada la verificación en la plataforma de contratación estatal SECOP, los convenios referidos no se encuentran cargados, situación que impide la validación del cumplimiento de las disposiciones legales referidas en la Resolución 857 de 2020.</w:t>
      </w:r>
    </w:p>
    <w:p w:rsidR="0011236C" w:rsidRPr="0011236C" w:rsidRDefault="0011236C" w:rsidP="0011236C">
      <w:pPr>
        <w:autoSpaceDE w:val="0"/>
        <w:autoSpaceDN w:val="0"/>
        <w:adjustRightInd w:val="0"/>
        <w:jc w:val="both"/>
        <w:rPr>
          <w:rFonts w:ascii="Arial" w:hAnsi="Arial" w:cs="Arial"/>
          <w:sz w:val="21"/>
          <w:szCs w:val="21"/>
        </w:rPr>
      </w:pPr>
    </w:p>
    <w:p w:rsidR="0011236C" w:rsidRPr="0011236C" w:rsidRDefault="0011236C" w:rsidP="0011236C">
      <w:pPr>
        <w:jc w:val="both"/>
        <w:rPr>
          <w:rFonts w:ascii="Arial" w:hAnsi="Arial" w:cs="Arial"/>
          <w:sz w:val="21"/>
          <w:szCs w:val="21"/>
        </w:rPr>
      </w:pPr>
      <w:r w:rsidRPr="0011236C">
        <w:rPr>
          <w:rFonts w:ascii="Arial" w:hAnsi="Arial" w:cs="Arial"/>
          <w:sz w:val="21"/>
          <w:szCs w:val="21"/>
        </w:rPr>
        <w:lastRenderedPageBreak/>
        <w:t>Sin perjuicio de lo anterior, el departamento envía 20 actas de seguimiento denominadas “</w:t>
      </w:r>
      <w:r w:rsidRPr="0011236C">
        <w:rPr>
          <w:rFonts w:ascii="Arial" w:hAnsi="Arial" w:cs="Arial"/>
          <w:b/>
          <w:sz w:val="21"/>
          <w:szCs w:val="21"/>
        </w:rPr>
        <w:t xml:space="preserve">ACTAS DE SEGUIMIENTO DE LAS METAS DE PRODUCCION DE SERVICIOS DE LA ESE EN CUMPLIMIENTO DEL DECRETO 268 DE 2020 y RESOLUCION 857 de 2020.”, </w:t>
      </w:r>
      <w:r w:rsidRPr="0011236C">
        <w:rPr>
          <w:rFonts w:ascii="Arial" w:hAnsi="Arial" w:cs="Arial"/>
          <w:sz w:val="21"/>
          <w:szCs w:val="21"/>
        </w:rPr>
        <w:t>frente a</w:t>
      </w:r>
      <w:r w:rsidRPr="0011236C">
        <w:rPr>
          <w:rFonts w:ascii="Arial" w:hAnsi="Arial" w:cs="Arial"/>
          <w:b/>
          <w:sz w:val="21"/>
          <w:szCs w:val="21"/>
        </w:rPr>
        <w:t xml:space="preserve"> </w:t>
      </w:r>
      <w:r w:rsidRPr="0011236C">
        <w:rPr>
          <w:rFonts w:ascii="Arial" w:hAnsi="Arial" w:cs="Arial"/>
          <w:sz w:val="21"/>
          <w:szCs w:val="21"/>
        </w:rPr>
        <w:t>las que es posible evidenciar los avances de cada una de las 20 ESE de la Red con respecto a la producción y el cumplimiento de las metas. Así mismo se evidencia como medida para las ESE que no cumplen las metas, la obligación de elaborar planes de desempeño.</w:t>
      </w:r>
    </w:p>
    <w:p w:rsidR="0011236C" w:rsidRPr="0011236C" w:rsidRDefault="0011236C" w:rsidP="0011236C">
      <w:pPr>
        <w:jc w:val="both"/>
        <w:rPr>
          <w:rFonts w:ascii="Arial" w:hAnsi="Arial" w:cs="Arial"/>
          <w:sz w:val="21"/>
          <w:szCs w:val="21"/>
        </w:rPr>
      </w:pPr>
    </w:p>
    <w:p w:rsidR="0011236C" w:rsidRPr="0011236C" w:rsidRDefault="0011236C" w:rsidP="0011236C">
      <w:pPr>
        <w:jc w:val="both"/>
        <w:rPr>
          <w:rFonts w:ascii="Arial" w:hAnsi="Arial" w:cs="Arial"/>
          <w:sz w:val="21"/>
          <w:szCs w:val="21"/>
        </w:rPr>
      </w:pPr>
      <w:r w:rsidRPr="0011236C">
        <w:rPr>
          <w:rFonts w:ascii="Arial" w:hAnsi="Arial" w:cs="Arial"/>
          <w:sz w:val="21"/>
          <w:szCs w:val="21"/>
        </w:rPr>
        <w:t xml:space="preserve">En ese orden, se evidencia la elaboración de 18 planes de mejoramiento entre las ESE y la gobernación, los cuales se encuentran en ejecución. Al interior de estos es posible identificar los problemas, los objetivos, las acciones de mejora y el avance en las metas. </w:t>
      </w:r>
    </w:p>
    <w:p w:rsidR="0011236C" w:rsidRPr="0011236C" w:rsidRDefault="0011236C" w:rsidP="0011236C">
      <w:pPr>
        <w:jc w:val="both"/>
        <w:rPr>
          <w:rFonts w:ascii="Arial" w:hAnsi="Arial" w:cs="Arial"/>
          <w:sz w:val="21"/>
          <w:szCs w:val="21"/>
        </w:rPr>
      </w:pPr>
    </w:p>
    <w:p w:rsidR="0011236C" w:rsidRPr="0011236C" w:rsidRDefault="0011236C" w:rsidP="0011236C">
      <w:pPr>
        <w:jc w:val="both"/>
        <w:rPr>
          <w:rFonts w:ascii="Arial" w:hAnsi="Arial" w:cs="Arial"/>
          <w:sz w:val="21"/>
          <w:szCs w:val="21"/>
        </w:rPr>
      </w:pPr>
      <w:r w:rsidRPr="0011236C">
        <w:rPr>
          <w:rFonts w:ascii="Arial" w:hAnsi="Arial" w:cs="Arial"/>
          <w:sz w:val="21"/>
          <w:szCs w:val="21"/>
        </w:rPr>
        <w:t>Ahora bien, frente a la vigencia 2021, la Entidad no remite a esta Dirección la información solicitada, esto es, ni la matriz de Relación Contractual, ni documentos anexos.</w:t>
      </w:r>
    </w:p>
    <w:p w:rsidR="0011236C" w:rsidRPr="0011236C" w:rsidRDefault="0011236C" w:rsidP="0011236C">
      <w:pPr>
        <w:autoSpaceDE w:val="0"/>
        <w:autoSpaceDN w:val="0"/>
        <w:adjustRightInd w:val="0"/>
        <w:jc w:val="both"/>
        <w:rPr>
          <w:rFonts w:ascii="Arial" w:hAnsi="Arial" w:cs="Arial"/>
          <w:sz w:val="21"/>
          <w:szCs w:val="21"/>
        </w:rPr>
      </w:pPr>
    </w:p>
    <w:p w:rsidR="0011236C" w:rsidRPr="0011236C" w:rsidRDefault="0011236C" w:rsidP="0011236C">
      <w:pPr>
        <w:autoSpaceDE w:val="0"/>
        <w:autoSpaceDN w:val="0"/>
        <w:adjustRightInd w:val="0"/>
        <w:jc w:val="both"/>
        <w:rPr>
          <w:rFonts w:ascii="Arial" w:hAnsi="Arial" w:cs="Arial"/>
          <w:sz w:val="21"/>
          <w:szCs w:val="21"/>
        </w:rPr>
      </w:pPr>
      <w:r w:rsidRPr="0011236C">
        <w:rPr>
          <w:rFonts w:ascii="Arial" w:hAnsi="Arial" w:cs="Arial"/>
          <w:sz w:val="21"/>
          <w:szCs w:val="21"/>
        </w:rPr>
        <w:t>No obstante, fue posible identificar la consistencia entre los valores distribuidos por el Departamento y el valor incluido en cada uno de los contratos interadministrativos, conforme a lo identificado en los informes de supervisión a los mismos. Ahora, se encontró que la fecha de contratación con las ESE no fue oportuno pues la contratación se realizó a finales de octubre.</w:t>
      </w:r>
    </w:p>
    <w:p w:rsidR="0011236C" w:rsidRPr="0011236C" w:rsidRDefault="0011236C" w:rsidP="0011236C">
      <w:pPr>
        <w:autoSpaceDE w:val="0"/>
        <w:autoSpaceDN w:val="0"/>
        <w:adjustRightInd w:val="0"/>
        <w:jc w:val="both"/>
        <w:rPr>
          <w:rFonts w:ascii="Arial" w:hAnsi="Arial" w:cs="Arial"/>
          <w:sz w:val="21"/>
          <w:szCs w:val="21"/>
        </w:rPr>
      </w:pPr>
    </w:p>
    <w:p w:rsidR="0011236C" w:rsidRPr="0011236C" w:rsidRDefault="0011236C" w:rsidP="0011236C">
      <w:pPr>
        <w:autoSpaceDE w:val="0"/>
        <w:autoSpaceDN w:val="0"/>
        <w:adjustRightInd w:val="0"/>
        <w:jc w:val="both"/>
        <w:rPr>
          <w:rFonts w:ascii="Arial" w:hAnsi="Arial" w:cs="Arial"/>
          <w:sz w:val="21"/>
          <w:szCs w:val="21"/>
        </w:rPr>
      </w:pPr>
      <w:r w:rsidRPr="0011236C">
        <w:rPr>
          <w:rFonts w:ascii="Arial" w:hAnsi="Arial" w:cs="Arial"/>
          <w:sz w:val="21"/>
          <w:szCs w:val="21"/>
        </w:rPr>
        <w:t xml:space="preserve">Al respecto, con base en los Informes de supervisión a los contratos o convenios suscritos con las ESE, y copia de las actas de pagos anticipados de las 6 ESE en la vigencia remitidos por la Entidad Territorial, se identifica el cumplimiento de las actividades contempladas en los respectivos contratos. No obstante, verificado el link correspondiente al cargue de los contratos en el SECOP I y SECOP II, que fue solicitado a la entidad territorial y corroborado éste en la página web del SECOP, no se evidencia el cargue respectivo de los convenios suscritos, por tal razón no fue posible realizar la verificación de cumplimiento a los lineamientos dispuestos en la Resolución 857 de 2020. </w:t>
      </w:r>
    </w:p>
    <w:p w:rsidR="0011236C" w:rsidRPr="0011236C" w:rsidRDefault="0011236C" w:rsidP="0011236C">
      <w:pPr>
        <w:autoSpaceDE w:val="0"/>
        <w:autoSpaceDN w:val="0"/>
        <w:adjustRightInd w:val="0"/>
        <w:jc w:val="both"/>
        <w:rPr>
          <w:rFonts w:ascii="Arial" w:hAnsi="Arial" w:cs="Arial"/>
          <w:sz w:val="21"/>
          <w:szCs w:val="21"/>
        </w:rPr>
      </w:pPr>
    </w:p>
    <w:p w:rsidR="0011236C" w:rsidRPr="0011236C" w:rsidRDefault="0011236C" w:rsidP="0011236C">
      <w:pPr>
        <w:autoSpaceDE w:val="0"/>
        <w:autoSpaceDN w:val="0"/>
        <w:adjustRightInd w:val="0"/>
        <w:jc w:val="both"/>
        <w:rPr>
          <w:rFonts w:ascii="Arial" w:hAnsi="Arial" w:cs="Arial"/>
          <w:sz w:val="21"/>
          <w:szCs w:val="21"/>
        </w:rPr>
      </w:pPr>
      <w:r w:rsidRPr="0011236C">
        <w:rPr>
          <w:rFonts w:ascii="Arial" w:hAnsi="Arial" w:cs="Arial"/>
          <w:sz w:val="21"/>
          <w:szCs w:val="21"/>
        </w:rPr>
        <w:t>Ahora para la vigencia 2021 se tiene una asignación de recursos por el mismo concepto de $6.782 millones, incluidos zonas especiales y monopolios trazadores y ultima doceava de 2020 por $597 millones.</w:t>
      </w:r>
    </w:p>
    <w:p w:rsidR="0011236C" w:rsidRPr="0011236C" w:rsidRDefault="0011236C" w:rsidP="0011236C">
      <w:pPr>
        <w:autoSpaceDE w:val="0"/>
        <w:autoSpaceDN w:val="0"/>
        <w:adjustRightInd w:val="0"/>
        <w:jc w:val="center"/>
        <w:rPr>
          <w:rFonts w:ascii="Arial" w:hAnsi="Arial" w:cs="Arial"/>
          <w:b/>
          <w:sz w:val="21"/>
          <w:szCs w:val="21"/>
        </w:rPr>
      </w:pPr>
    </w:p>
    <w:p w:rsidR="0011236C" w:rsidRPr="0011236C" w:rsidRDefault="0011236C" w:rsidP="0011236C">
      <w:pPr>
        <w:jc w:val="both"/>
        <w:rPr>
          <w:rFonts w:ascii="Arial" w:hAnsi="Arial" w:cs="Arial"/>
          <w:sz w:val="21"/>
          <w:szCs w:val="21"/>
        </w:rPr>
      </w:pPr>
      <w:r w:rsidRPr="0011236C">
        <w:rPr>
          <w:rFonts w:ascii="Arial" w:hAnsi="Arial" w:cs="Arial"/>
          <w:sz w:val="21"/>
          <w:szCs w:val="21"/>
        </w:rPr>
        <w:t>En lo concerniente a los criterios de distribución, la Entidad aporta un documento en el que informa:</w:t>
      </w:r>
    </w:p>
    <w:p w:rsidR="0011236C" w:rsidRPr="0011236C" w:rsidRDefault="0011236C" w:rsidP="0011236C">
      <w:pPr>
        <w:jc w:val="both"/>
        <w:rPr>
          <w:rFonts w:ascii="Arial" w:hAnsi="Arial" w:cs="Arial"/>
          <w:sz w:val="21"/>
          <w:szCs w:val="21"/>
        </w:rPr>
      </w:pPr>
    </w:p>
    <w:p w:rsidR="0011236C" w:rsidRPr="0011236C" w:rsidRDefault="0011236C" w:rsidP="0011236C">
      <w:pPr>
        <w:jc w:val="both"/>
        <w:rPr>
          <w:rFonts w:ascii="Arial" w:hAnsi="Arial" w:cs="Arial"/>
          <w:i/>
          <w:sz w:val="21"/>
          <w:szCs w:val="21"/>
        </w:rPr>
      </w:pPr>
      <w:r w:rsidRPr="0011236C">
        <w:rPr>
          <w:rFonts w:ascii="Arial" w:hAnsi="Arial" w:cs="Arial"/>
          <w:i/>
          <w:sz w:val="21"/>
          <w:szCs w:val="21"/>
        </w:rPr>
        <w:t>“Con base en el artículo 2.4.2.7, del Decreto 268 de 2020 emitido por el Ministerio de salud y Protección Social, que establece que “los recursos del subcomponente de Subsidio a la oferta del SGP en Salud deben destinarse a la financiación de los gastos la operación de la prestación de servicios de salud y, que por gastos de operación relacionados con la prestación del servicio de atención en salud, se entiende que aquellos que se realizan dentro del ejercicio contable”; es decir que se generaron dentro de la operación corriente.</w:t>
      </w:r>
    </w:p>
    <w:p w:rsidR="0011236C" w:rsidRPr="0011236C" w:rsidRDefault="0011236C" w:rsidP="0011236C">
      <w:pPr>
        <w:jc w:val="both"/>
        <w:rPr>
          <w:rFonts w:ascii="Arial" w:hAnsi="Arial" w:cs="Arial"/>
          <w:i/>
          <w:sz w:val="21"/>
          <w:szCs w:val="21"/>
        </w:rPr>
      </w:pPr>
    </w:p>
    <w:p w:rsidR="0011236C" w:rsidRPr="0011236C" w:rsidRDefault="0011236C" w:rsidP="0011236C">
      <w:pPr>
        <w:jc w:val="both"/>
        <w:rPr>
          <w:rFonts w:ascii="Arial" w:hAnsi="Arial" w:cs="Arial"/>
          <w:i/>
          <w:sz w:val="21"/>
          <w:szCs w:val="21"/>
        </w:rPr>
      </w:pPr>
      <w:r w:rsidRPr="0011236C">
        <w:rPr>
          <w:rFonts w:ascii="Arial" w:hAnsi="Arial" w:cs="Arial"/>
          <w:i/>
          <w:sz w:val="21"/>
          <w:szCs w:val="21"/>
        </w:rPr>
        <w:t>Para cumplir con la norma, se obtuvo el déficit de cada ESE, descontando de los ingresos netos realmente recaudados por venta de servicios de salud, los gastos comprometidos en la misma vigencia. (2020)</w:t>
      </w:r>
    </w:p>
    <w:p w:rsidR="0011236C" w:rsidRPr="0011236C" w:rsidRDefault="0011236C" w:rsidP="0011236C">
      <w:pPr>
        <w:jc w:val="both"/>
        <w:rPr>
          <w:rFonts w:ascii="Arial" w:hAnsi="Arial" w:cs="Arial"/>
          <w:i/>
          <w:sz w:val="21"/>
          <w:szCs w:val="21"/>
        </w:rPr>
      </w:pPr>
    </w:p>
    <w:p w:rsidR="0011236C" w:rsidRPr="0011236C" w:rsidRDefault="0011236C" w:rsidP="0011236C">
      <w:pPr>
        <w:jc w:val="both"/>
        <w:rPr>
          <w:rFonts w:ascii="Arial" w:hAnsi="Arial" w:cs="Arial"/>
          <w:i/>
          <w:sz w:val="21"/>
          <w:szCs w:val="21"/>
        </w:rPr>
      </w:pPr>
      <w:r w:rsidRPr="0011236C">
        <w:rPr>
          <w:rFonts w:ascii="Arial" w:hAnsi="Arial" w:cs="Arial"/>
          <w:i/>
          <w:sz w:val="21"/>
          <w:szCs w:val="21"/>
        </w:rPr>
        <w:lastRenderedPageBreak/>
        <w:t>Dado el monto de los recursos asignados para el subsidio a la oferta a 2021, se estableció un porcentaje promedio equitativo del 38.37% sobre el déficit total, el cual es el resultado de la división del valor total de subsidio a la oferta ($6.395.071.352) entre el valor de la sumatoria del déficit (16.668.231.754) generado por todas la ESE a 31 de diciembre de 2020; la distribución de los recursos es equitativa y resultante de aplicar el mismo porcentaje (38.37%) obtenido del ejercicio anterior, para cubrir el déficit generado por cada ESE; el valor asignado de cada uno, varía de acuerdo al valor del déficit de la operación corriente en cada entidad.”</w:t>
      </w:r>
    </w:p>
    <w:p w:rsidR="0011236C" w:rsidRPr="0011236C" w:rsidRDefault="0011236C" w:rsidP="0011236C">
      <w:pPr>
        <w:autoSpaceDE w:val="0"/>
        <w:autoSpaceDN w:val="0"/>
        <w:adjustRightInd w:val="0"/>
        <w:jc w:val="both"/>
        <w:rPr>
          <w:rFonts w:ascii="Arial" w:hAnsi="Arial" w:cs="Arial"/>
          <w:sz w:val="21"/>
          <w:szCs w:val="21"/>
        </w:rPr>
      </w:pPr>
    </w:p>
    <w:p w:rsidR="0011236C" w:rsidRPr="0011236C" w:rsidRDefault="0011236C" w:rsidP="0011236C">
      <w:pPr>
        <w:autoSpaceDE w:val="0"/>
        <w:autoSpaceDN w:val="0"/>
        <w:adjustRightInd w:val="0"/>
        <w:jc w:val="both"/>
        <w:rPr>
          <w:rFonts w:ascii="Arial" w:hAnsi="Arial" w:cs="Arial"/>
          <w:sz w:val="21"/>
          <w:szCs w:val="21"/>
        </w:rPr>
      </w:pPr>
      <w:r w:rsidRPr="0011236C">
        <w:rPr>
          <w:rFonts w:ascii="Arial" w:hAnsi="Arial" w:cs="Arial"/>
          <w:sz w:val="21"/>
          <w:szCs w:val="21"/>
        </w:rPr>
        <w:t xml:space="preserve">Al identificar la ausencia de criterios que son definidos en el Resolución 857 de 2020 para la distribución de los recursos, será necesaria su verificación en la etapa de reconocimiento institucional a realizar. </w:t>
      </w:r>
    </w:p>
    <w:p w:rsidR="0011236C" w:rsidRPr="0011236C" w:rsidRDefault="0011236C" w:rsidP="0011236C">
      <w:pPr>
        <w:autoSpaceDE w:val="0"/>
        <w:autoSpaceDN w:val="0"/>
        <w:adjustRightInd w:val="0"/>
        <w:jc w:val="both"/>
        <w:rPr>
          <w:rFonts w:ascii="Arial" w:hAnsi="Arial" w:cs="Arial"/>
          <w:sz w:val="21"/>
          <w:szCs w:val="21"/>
        </w:rPr>
      </w:pPr>
    </w:p>
    <w:p w:rsidR="0011236C" w:rsidRPr="0011236C" w:rsidRDefault="0011236C" w:rsidP="0011236C">
      <w:pPr>
        <w:autoSpaceDE w:val="0"/>
        <w:autoSpaceDN w:val="0"/>
        <w:adjustRightInd w:val="0"/>
        <w:jc w:val="both"/>
        <w:rPr>
          <w:rFonts w:ascii="Arial" w:hAnsi="Arial" w:cs="Arial"/>
          <w:sz w:val="21"/>
          <w:szCs w:val="21"/>
        </w:rPr>
      </w:pPr>
      <w:r w:rsidRPr="0011236C">
        <w:rPr>
          <w:rFonts w:ascii="Arial" w:hAnsi="Arial" w:cs="Arial"/>
          <w:sz w:val="21"/>
          <w:szCs w:val="21"/>
        </w:rPr>
        <w:t>En cuanto a la relación de las sedes que son monopolio de servicios trazadores de las ESE o Administradores de infraestructura pública, la entidad informa de la inexistencia de las mismas.</w:t>
      </w:r>
    </w:p>
    <w:p w:rsidR="0011236C" w:rsidRPr="0011236C" w:rsidRDefault="0011236C" w:rsidP="0011236C">
      <w:pPr>
        <w:jc w:val="both"/>
        <w:rPr>
          <w:rFonts w:ascii="Arial" w:hAnsi="Arial" w:cs="Arial"/>
          <w:sz w:val="21"/>
          <w:szCs w:val="21"/>
          <w:lang w:val="es-CO" w:eastAsia="en-US"/>
        </w:rPr>
      </w:pPr>
    </w:p>
    <w:p w:rsidR="0011236C" w:rsidRPr="0011236C" w:rsidRDefault="0011236C" w:rsidP="0011236C">
      <w:pPr>
        <w:numPr>
          <w:ilvl w:val="0"/>
          <w:numId w:val="22"/>
        </w:numPr>
        <w:contextualSpacing/>
        <w:jc w:val="both"/>
        <w:rPr>
          <w:rFonts w:ascii="Arial" w:eastAsia="Times New Roman" w:hAnsi="Arial" w:cs="Arial"/>
          <w:b/>
          <w:sz w:val="21"/>
          <w:szCs w:val="21"/>
        </w:rPr>
      </w:pPr>
      <w:r w:rsidRPr="0011236C">
        <w:rPr>
          <w:rFonts w:ascii="Arial" w:eastAsia="Times New Roman" w:hAnsi="Arial" w:cs="Arial"/>
          <w:b/>
          <w:sz w:val="21"/>
          <w:szCs w:val="21"/>
        </w:rPr>
        <w:t>Salud Pública</w:t>
      </w:r>
    </w:p>
    <w:p w:rsidR="0011236C" w:rsidRPr="0011236C" w:rsidRDefault="0011236C" w:rsidP="0011236C">
      <w:pPr>
        <w:jc w:val="both"/>
        <w:rPr>
          <w:rFonts w:ascii="Arial" w:eastAsia="Times New Roman" w:hAnsi="Arial" w:cs="Arial"/>
          <w:b/>
          <w:sz w:val="21"/>
          <w:szCs w:val="21"/>
        </w:rPr>
      </w:pPr>
    </w:p>
    <w:p w:rsidR="0011236C" w:rsidRPr="0011236C" w:rsidRDefault="0011236C" w:rsidP="0011236C">
      <w:pPr>
        <w:jc w:val="both"/>
        <w:rPr>
          <w:rFonts w:ascii="Arial" w:hAnsi="Arial" w:cs="Arial"/>
          <w:b/>
          <w:bCs/>
          <w:sz w:val="21"/>
          <w:szCs w:val="21"/>
        </w:rPr>
      </w:pPr>
      <w:r w:rsidRPr="0011236C">
        <w:rPr>
          <w:rFonts w:ascii="Arial" w:hAnsi="Arial" w:cs="Arial"/>
          <w:b/>
          <w:bCs/>
          <w:sz w:val="21"/>
          <w:szCs w:val="21"/>
        </w:rPr>
        <w:t>4.1 Planeación Integral de Los Recursos</w:t>
      </w:r>
    </w:p>
    <w:p w:rsidR="0011236C" w:rsidRPr="0011236C" w:rsidRDefault="0011236C" w:rsidP="0011236C">
      <w:pPr>
        <w:jc w:val="both"/>
        <w:rPr>
          <w:rFonts w:ascii="Arial" w:hAnsi="Arial" w:cs="Arial"/>
          <w:sz w:val="21"/>
          <w:szCs w:val="21"/>
        </w:rPr>
      </w:pPr>
    </w:p>
    <w:p w:rsidR="0011236C" w:rsidRPr="0011236C" w:rsidRDefault="0011236C" w:rsidP="0011236C">
      <w:pPr>
        <w:jc w:val="both"/>
        <w:rPr>
          <w:rFonts w:ascii="Arial" w:hAnsi="Arial" w:cs="Arial"/>
          <w:sz w:val="21"/>
          <w:szCs w:val="21"/>
        </w:rPr>
      </w:pPr>
      <w:r w:rsidRPr="0011236C">
        <w:rPr>
          <w:rFonts w:ascii="Arial" w:hAnsi="Arial" w:cs="Arial"/>
          <w:sz w:val="21"/>
          <w:szCs w:val="21"/>
        </w:rPr>
        <w:t xml:space="preserve">Se evidenció que la Entidad Territorial cuenta con las herramientas de planeación como, Plan de Acción en Salud- PAS y Componente Operativo y de Inversiones en Salud- COAI. En cuanto al Plan Territorial en Salud se verificó la publicación en la página web de la entidad y hace parte integral del Plan de Desarrollo de la Entidad Territorial. </w:t>
      </w:r>
    </w:p>
    <w:p w:rsidR="0011236C" w:rsidRPr="0011236C" w:rsidRDefault="0011236C" w:rsidP="0011236C">
      <w:pPr>
        <w:jc w:val="both"/>
        <w:rPr>
          <w:rFonts w:ascii="Arial" w:hAnsi="Arial" w:cs="Arial"/>
          <w:sz w:val="21"/>
          <w:szCs w:val="21"/>
        </w:rPr>
      </w:pPr>
    </w:p>
    <w:p w:rsidR="0011236C" w:rsidRPr="0011236C" w:rsidRDefault="0011236C" w:rsidP="0011236C">
      <w:pPr>
        <w:jc w:val="both"/>
        <w:rPr>
          <w:rFonts w:ascii="Arial" w:hAnsi="Arial" w:cs="Arial"/>
          <w:sz w:val="21"/>
          <w:szCs w:val="21"/>
        </w:rPr>
      </w:pPr>
      <w:r w:rsidRPr="0011236C">
        <w:rPr>
          <w:rFonts w:ascii="Arial" w:hAnsi="Arial" w:cs="Arial"/>
          <w:sz w:val="21"/>
          <w:szCs w:val="21"/>
        </w:rPr>
        <w:t xml:space="preserve">De acuerdo con el PAS presentado por la Entidad Territorial para la vigencia 2020 y 2021 es posible identificar las dimensiones, componentes, el código del subprograma y el BPIN del proyecto de inversión, así mismo se incluye la línea acción, la cual distingue entre PIC y GESTION y el avance en las actividades realizadas por trimestre. </w:t>
      </w:r>
    </w:p>
    <w:p w:rsidR="0011236C" w:rsidRPr="0011236C" w:rsidRDefault="0011236C" w:rsidP="0011236C">
      <w:pPr>
        <w:jc w:val="both"/>
        <w:rPr>
          <w:rFonts w:ascii="Arial" w:hAnsi="Arial" w:cs="Arial"/>
          <w:sz w:val="21"/>
          <w:szCs w:val="21"/>
        </w:rPr>
      </w:pPr>
    </w:p>
    <w:p w:rsidR="0011236C" w:rsidRPr="0011236C" w:rsidRDefault="0011236C" w:rsidP="0011236C">
      <w:pPr>
        <w:jc w:val="both"/>
        <w:rPr>
          <w:rFonts w:ascii="Arial" w:hAnsi="Arial" w:cs="Arial"/>
          <w:sz w:val="21"/>
          <w:szCs w:val="21"/>
        </w:rPr>
      </w:pPr>
      <w:r w:rsidRPr="0011236C">
        <w:rPr>
          <w:rFonts w:ascii="Arial" w:hAnsi="Arial" w:cs="Arial"/>
          <w:sz w:val="21"/>
          <w:szCs w:val="21"/>
        </w:rPr>
        <w:t>Por otro lado, al revisar la hoja denominada COAI 2020 enviada por la Entidad Territorial, se identifica que no cumple con los requisitos mínimos de planeación, solo es posible identificar el valor asignado a cada una de las dimensiones en el Plan de Intervenciones Colectivas ($5.275 millones) y Gestión ($8.608 millones.)</w:t>
      </w:r>
    </w:p>
    <w:p w:rsidR="0011236C" w:rsidRPr="0011236C" w:rsidRDefault="0011236C" w:rsidP="0011236C">
      <w:pPr>
        <w:jc w:val="both"/>
        <w:rPr>
          <w:rFonts w:ascii="Arial" w:hAnsi="Arial" w:cs="Arial"/>
          <w:sz w:val="21"/>
          <w:szCs w:val="21"/>
        </w:rPr>
      </w:pPr>
    </w:p>
    <w:p w:rsidR="0011236C" w:rsidRPr="0011236C" w:rsidRDefault="0011236C" w:rsidP="0011236C">
      <w:pPr>
        <w:jc w:val="both"/>
        <w:rPr>
          <w:rFonts w:ascii="Arial" w:hAnsi="Arial" w:cs="Arial"/>
          <w:sz w:val="21"/>
          <w:szCs w:val="21"/>
        </w:rPr>
      </w:pPr>
      <w:r w:rsidRPr="0011236C">
        <w:rPr>
          <w:rFonts w:ascii="Arial" w:hAnsi="Arial" w:cs="Arial"/>
          <w:sz w:val="21"/>
          <w:szCs w:val="21"/>
        </w:rPr>
        <w:t xml:space="preserve">Las situaciones expuestas en el análisis de la vigencia 2020 se reiteran en la vigencia 2021, de tal forma que se identifica la asignación de recursos para PIC por $5.475 millones y de $7.563 para Gestión. </w:t>
      </w:r>
    </w:p>
    <w:p w:rsidR="0011236C" w:rsidRPr="0011236C" w:rsidRDefault="0011236C" w:rsidP="0011236C">
      <w:pPr>
        <w:jc w:val="both"/>
        <w:rPr>
          <w:rFonts w:ascii="Arial" w:hAnsi="Arial" w:cs="Arial"/>
          <w:sz w:val="21"/>
          <w:szCs w:val="21"/>
        </w:rPr>
      </w:pPr>
    </w:p>
    <w:p w:rsidR="0011236C" w:rsidRPr="0011236C" w:rsidRDefault="0011236C" w:rsidP="0011236C">
      <w:pPr>
        <w:jc w:val="both"/>
        <w:rPr>
          <w:rFonts w:ascii="Arial" w:eastAsiaTheme="minorHAnsi" w:hAnsi="Arial" w:cs="Arial"/>
          <w:bCs/>
          <w:sz w:val="21"/>
          <w:szCs w:val="21"/>
          <w:lang w:val="es-CO" w:eastAsia="en-US"/>
        </w:rPr>
      </w:pPr>
      <w:r w:rsidRPr="0011236C">
        <w:rPr>
          <w:rFonts w:ascii="Arial" w:eastAsiaTheme="minorHAnsi" w:hAnsi="Arial" w:cs="Arial"/>
          <w:bCs/>
          <w:sz w:val="21"/>
          <w:szCs w:val="21"/>
          <w:lang w:val="es-CO" w:eastAsia="en-US"/>
        </w:rPr>
        <w:t>De otro lado, respecto al avance de las intervenciones aprobadas en el Plan de Acción en Salud y la evaluación de las metas sanitarias del Plan Territorial de Salud, la entidad reporta lo siguiente para las vigencias 2020 y 2021:</w:t>
      </w:r>
    </w:p>
    <w:p w:rsidR="0011236C" w:rsidRPr="0011236C" w:rsidRDefault="0011236C" w:rsidP="0011236C">
      <w:pPr>
        <w:jc w:val="both"/>
        <w:rPr>
          <w:rFonts w:ascii="Arial" w:eastAsiaTheme="minorHAnsi" w:hAnsi="Arial" w:cs="Arial"/>
          <w:bCs/>
          <w:sz w:val="21"/>
          <w:szCs w:val="21"/>
          <w:lang w:val="es-CO" w:eastAsia="en-US"/>
        </w:rPr>
      </w:pPr>
    </w:p>
    <w:tbl>
      <w:tblPr>
        <w:tblW w:w="5000" w:type="pct"/>
        <w:tblCellMar>
          <w:left w:w="70" w:type="dxa"/>
          <w:right w:w="70" w:type="dxa"/>
        </w:tblCellMar>
        <w:tblLook w:val="04A0" w:firstRow="1" w:lastRow="0" w:firstColumn="1" w:lastColumn="0" w:noHBand="0" w:noVBand="1"/>
      </w:tblPr>
      <w:tblGrid>
        <w:gridCol w:w="1970"/>
        <w:gridCol w:w="722"/>
        <w:gridCol w:w="722"/>
        <w:gridCol w:w="1699"/>
        <w:gridCol w:w="870"/>
        <w:gridCol w:w="720"/>
        <w:gridCol w:w="779"/>
        <w:gridCol w:w="749"/>
        <w:gridCol w:w="597"/>
      </w:tblGrid>
      <w:tr w:rsidR="0011236C" w:rsidRPr="0011236C" w:rsidTr="00F76962">
        <w:trPr>
          <w:trHeight w:val="200"/>
          <w:tblHeader/>
        </w:trPr>
        <w:tc>
          <w:tcPr>
            <w:tcW w:w="1116" w:type="pct"/>
            <w:vMerge w:val="restart"/>
            <w:tcBorders>
              <w:top w:val="single" w:sz="4" w:space="0" w:color="auto"/>
              <w:left w:val="single" w:sz="4" w:space="0" w:color="auto"/>
              <w:bottom w:val="single" w:sz="4" w:space="0" w:color="auto"/>
              <w:right w:val="single" w:sz="4" w:space="0" w:color="auto"/>
            </w:tcBorders>
            <w:shd w:val="clear" w:color="FF6600" w:fill="FF6600"/>
            <w:vAlign w:val="center"/>
            <w:hideMark/>
          </w:tcPr>
          <w:p w:rsidR="0011236C" w:rsidRPr="0011236C" w:rsidRDefault="0011236C" w:rsidP="0011236C">
            <w:pPr>
              <w:jc w:val="center"/>
              <w:rPr>
                <w:rFonts w:ascii="Arial" w:eastAsia="Times New Roman" w:hAnsi="Arial" w:cs="Arial"/>
                <w:b/>
                <w:bCs/>
                <w:color w:val="000000"/>
                <w:sz w:val="16"/>
                <w:szCs w:val="16"/>
                <w:lang w:eastAsia="es-CO"/>
              </w:rPr>
            </w:pPr>
            <w:r w:rsidRPr="0011236C">
              <w:rPr>
                <w:rFonts w:ascii="Arial" w:eastAsia="Times New Roman" w:hAnsi="Arial" w:cs="Arial"/>
                <w:b/>
                <w:bCs/>
                <w:color w:val="000000"/>
                <w:sz w:val="16"/>
                <w:szCs w:val="16"/>
                <w:lang w:eastAsia="es-CO"/>
              </w:rPr>
              <w:lastRenderedPageBreak/>
              <w:t>METAS E INDICADORES DE RESULTADO</w:t>
            </w:r>
          </w:p>
        </w:tc>
        <w:tc>
          <w:tcPr>
            <w:tcW w:w="409" w:type="pct"/>
            <w:vMerge w:val="restart"/>
            <w:tcBorders>
              <w:top w:val="single" w:sz="4" w:space="0" w:color="auto"/>
              <w:left w:val="single" w:sz="4" w:space="0" w:color="auto"/>
              <w:bottom w:val="single" w:sz="4" w:space="0" w:color="auto"/>
              <w:right w:val="single" w:sz="4" w:space="0" w:color="auto"/>
            </w:tcBorders>
            <w:shd w:val="clear" w:color="FF6600" w:fill="FF6600"/>
            <w:vAlign w:val="center"/>
            <w:hideMark/>
          </w:tcPr>
          <w:p w:rsidR="0011236C" w:rsidRPr="0011236C" w:rsidRDefault="0011236C" w:rsidP="0011236C">
            <w:pPr>
              <w:jc w:val="center"/>
              <w:rPr>
                <w:rFonts w:ascii="Arial" w:eastAsia="Times New Roman" w:hAnsi="Arial" w:cs="Arial"/>
                <w:b/>
                <w:bCs/>
                <w:color w:val="000000"/>
                <w:sz w:val="16"/>
                <w:szCs w:val="16"/>
                <w:lang w:eastAsia="es-CO"/>
              </w:rPr>
            </w:pPr>
            <w:r w:rsidRPr="0011236C">
              <w:rPr>
                <w:rFonts w:ascii="Arial" w:eastAsia="Times New Roman" w:hAnsi="Arial" w:cs="Arial"/>
                <w:b/>
                <w:bCs/>
                <w:color w:val="000000"/>
                <w:sz w:val="16"/>
                <w:szCs w:val="16"/>
                <w:lang w:eastAsia="es-CO"/>
              </w:rPr>
              <w:t>Línea Base</w:t>
            </w:r>
          </w:p>
        </w:tc>
        <w:tc>
          <w:tcPr>
            <w:tcW w:w="409" w:type="pct"/>
            <w:vMerge w:val="restart"/>
            <w:tcBorders>
              <w:top w:val="single" w:sz="4" w:space="0" w:color="auto"/>
              <w:left w:val="single" w:sz="4" w:space="0" w:color="auto"/>
              <w:bottom w:val="single" w:sz="4" w:space="0" w:color="auto"/>
              <w:right w:val="single" w:sz="4" w:space="0" w:color="auto"/>
            </w:tcBorders>
            <w:shd w:val="clear" w:color="FF6600" w:fill="FF6600"/>
            <w:vAlign w:val="center"/>
            <w:hideMark/>
          </w:tcPr>
          <w:p w:rsidR="0011236C" w:rsidRPr="0011236C" w:rsidRDefault="0011236C" w:rsidP="0011236C">
            <w:pPr>
              <w:jc w:val="center"/>
              <w:rPr>
                <w:rFonts w:ascii="Arial" w:eastAsia="Times New Roman" w:hAnsi="Arial" w:cs="Arial"/>
                <w:b/>
                <w:bCs/>
                <w:color w:val="000000"/>
                <w:sz w:val="16"/>
                <w:szCs w:val="16"/>
                <w:lang w:eastAsia="es-CO"/>
              </w:rPr>
            </w:pPr>
            <w:r w:rsidRPr="0011236C">
              <w:rPr>
                <w:rFonts w:ascii="Arial" w:eastAsia="Times New Roman" w:hAnsi="Arial" w:cs="Arial"/>
                <w:b/>
                <w:bCs/>
                <w:color w:val="000000"/>
                <w:sz w:val="16"/>
                <w:szCs w:val="16"/>
                <w:lang w:eastAsia="es-CO"/>
              </w:rPr>
              <w:t>Meta</w:t>
            </w:r>
          </w:p>
        </w:tc>
        <w:tc>
          <w:tcPr>
            <w:tcW w:w="962" w:type="pct"/>
            <w:vMerge w:val="restart"/>
            <w:tcBorders>
              <w:top w:val="single" w:sz="4" w:space="0" w:color="auto"/>
              <w:left w:val="single" w:sz="4" w:space="0" w:color="auto"/>
              <w:bottom w:val="single" w:sz="4" w:space="0" w:color="auto"/>
              <w:right w:val="single" w:sz="4" w:space="0" w:color="auto"/>
            </w:tcBorders>
            <w:shd w:val="clear" w:color="FF6600" w:fill="FF6600"/>
            <w:vAlign w:val="center"/>
            <w:hideMark/>
          </w:tcPr>
          <w:p w:rsidR="0011236C" w:rsidRPr="0011236C" w:rsidRDefault="0011236C" w:rsidP="0011236C">
            <w:pPr>
              <w:jc w:val="center"/>
              <w:rPr>
                <w:rFonts w:ascii="Arial" w:eastAsia="Times New Roman" w:hAnsi="Arial" w:cs="Arial"/>
                <w:b/>
                <w:bCs/>
                <w:color w:val="000000"/>
                <w:sz w:val="16"/>
                <w:szCs w:val="16"/>
                <w:lang w:eastAsia="es-CO"/>
              </w:rPr>
            </w:pPr>
            <w:r w:rsidRPr="0011236C">
              <w:rPr>
                <w:rFonts w:ascii="Arial" w:eastAsia="Times New Roman" w:hAnsi="Arial" w:cs="Arial"/>
                <w:b/>
                <w:bCs/>
                <w:color w:val="000000"/>
                <w:sz w:val="16"/>
                <w:szCs w:val="16"/>
                <w:lang w:eastAsia="es-CO"/>
              </w:rPr>
              <w:t>INDICADOR</w:t>
            </w:r>
          </w:p>
        </w:tc>
        <w:tc>
          <w:tcPr>
            <w:tcW w:w="1342" w:type="pct"/>
            <w:gridSpan w:val="3"/>
            <w:tcBorders>
              <w:top w:val="single" w:sz="4" w:space="0" w:color="auto"/>
              <w:left w:val="nil"/>
              <w:bottom w:val="single" w:sz="4" w:space="0" w:color="auto"/>
              <w:right w:val="single" w:sz="4" w:space="0" w:color="auto"/>
            </w:tcBorders>
            <w:shd w:val="clear" w:color="FF6600" w:fill="FF6600"/>
            <w:hideMark/>
          </w:tcPr>
          <w:p w:rsidR="0011236C" w:rsidRPr="0011236C" w:rsidRDefault="0011236C" w:rsidP="0011236C">
            <w:pPr>
              <w:jc w:val="center"/>
              <w:rPr>
                <w:rFonts w:ascii="Arial" w:eastAsia="Times New Roman" w:hAnsi="Arial" w:cs="Arial"/>
                <w:b/>
                <w:bCs/>
                <w:color w:val="000000"/>
                <w:sz w:val="16"/>
                <w:szCs w:val="16"/>
                <w:lang w:eastAsia="es-CO"/>
              </w:rPr>
            </w:pPr>
            <w:r w:rsidRPr="0011236C">
              <w:rPr>
                <w:rFonts w:ascii="Arial" w:eastAsia="Times New Roman" w:hAnsi="Arial" w:cs="Arial"/>
                <w:b/>
                <w:bCs/>
                <w:color w:val="000000"/>
                <w:sz w:val="16"/>
                <w:szCs w:val="16"/>
                <w:lang w:eastAsia="es-CO"/>
              </w:rPr>
              <w:t>datos VSP</w:t>
            </w:r>
          </w:p>
        </w:tc>
        <w:tc>
          <w:tcPr>
            <w:tcW w:w="763" w:type="pct"/>
            <w:gridSpan w:val="2"/>
            <w:tcBorders>
              <w:top w:val="single" w:sz="4" w:space="0" w:color="auto"/>
              <w:left w:val="nil"/>
              <w:bottom w:val="single" w:sz="4" w:space="0" w:color="auto"/>
              <w:right w:val="single" w:sz="4" w:space="0" w:color="auto"/>
            </w:tcBorders>
            <w:shd w:val="clear" w:color="FF6600" w:fill="FF6600"/>
            <w:hideMark/>
          </w:tcPr>
          <w:p w:rsidR="0011236C" w:rsidRPr="0011236C" w:rsidRDefault="0011236C" w:rsidP="0011236C">
            <w:pPr>
              <w:jc w:val="center"/>
              <w:rPr>
                <w:rFonts w:ascii="Arial" w:eastAsia="Times New Roman" w:hAnsi="Arial" w:cs="Arial"/>
                <w:b/>
                <w:bCs/>
                <w:color w:val="000000"/>
                <w:sz w:val="16"/>
                <w:szCs w:val="16"/>
                <w:lang w:eastAsia="es-CO"/>
              </w:rPr>
            </w:pPr>
            <w:r w:rsidRPr="0011236C">
              <w:rPr>
                <w:rFonts w:ascii="Arial" w:eastAsia="Times New Roman" w:hAnsi="Arial" w:cs="Arial"/>
                <w:b/>
                <w:bCs/>
                <w:color w:val="000000"/>
                <w:sz w:val="16"/>
                <w:szCs w:val="16"/>
                <w:lang w:eastAsia="es-CO"/>
              </w:rPr>
              <w:t>datos ASIS</w:t>
            </w:r>
          </w:p>
        </w:tc>
      </w:tr>
      <w:tr w:rsidR="0011236C" w:rsidRPr="0011236C" w:rsidTr="00F76962">
        <w:trPr>
          <w:trHeight w:val="60"/>
          <w:tblHeader/>
        </w:trPr>
        <w:tc>
          <w:tcPr>
            <w:tcW w:w="1116" w:type="pct"/>
            <w:vMerge/>
            <w:tcBorders>
              <w:top w:val="single" w:sz="4" w:space="0" w:color="auto"/>
              <w:left w:val="single" w:sz="4" w:space="0" w:color="auto"/>
              <w:bottom w:val="single" w:sz="4" w:space="0" w:color="auto"/>
              <w:right w:val="single" w:sz="4" w:space="0" w:color="auto"/>
            </w:tcBorders>
            <w:vAlign w:val="center"/>
            <w:hideMark/>
          </w:tcPr>
          <w:p w:rsidR="0011236C" w:rsidRPr="0011236C" w:rsidRDefault="0011236C" w:rsidP="0011236C">
            <w:pPr>
              <w:rPr>
                <w:rFonts w:ascii="Arial" w:eastAsia="Times New Roman" w:hAnsi="Arial" w:cs="Arial"/>
                <w:b/>
                <w:bCs/>
                <w:color w:val="000000"/>
                <w:sz w:val="16"/>
                <w:szCs w:val="16"/>
                <w:lang w:eastAsia="es-CO"/>
              </w:rPr>
            </w:pPr>
          </w:p>
        </w:tc>
        <w:tc>
          <w:tcPr>
            <w:tcW w:w="409" w:type="pct"/>
            <w:vMerge/>
            <w:tcBorders>
              <w:top w:val="single" w:sz="4" w:space="0" w:color="auto"/>
              <w:left w:val="single" w:sz="4" w:space="0" w:color="auto"/>
              <w:bottom w:val="single" w:sz="4" w:space="0" w:color="auto"/>
              <w:right w:val="single" w:sz="4" w:space="0" w:color="auto"/>
            </w:tcBorders>
            <w:vAlign w:val="center"/>
            <w:hideMark/>
          </w:tcPr>
          <w:p w:rsidR="0011236C" w:rsidRPr="0011236C" w:rsidRDefault="0011236C" w:rsidP="0011236C">
            <w:pPr>
              <w:rPr>
                <w:rFonts w:ascii="Arial" w:eastAsia="Times New Roman" w:hAnsi="Arial" w:cs="Arial"/>
                <w:b/>
                <w:bCs/>
                <w:color w:val="000000"/>
                <w:sz w:val="16"/>
                <w:szCs w:val="16"/>
                <w:lang w:eastAsia="es-CO"/>
              </w:rPr>
            </w:pPr>
          </w:p>
        </w:tc>
        <w:tc>
          <w:tcPr>
            <w:tcW w:w="409" w:type="pct"/>
            <w:vMerge/>
            <w:tcBorders>
              <w:top w:val="single" w:sz="4" w:space="0" w:color="auto"/>
              <w:left w:val="single" w:sz="4" w:space="0" w:color="auto"/>
              <w:bottom w:val="single" w:sz="4" w:space="0" w:color="auto"/>
              <w:right w:val="single" w:sz="4" w:space="0" w:color="auto"/>
            </w:tcBorders>
            <w:vAlign w:val="center"/>
            <w:hideMark/>
          </w:tcPr>
          <w:p w:rsidR="0011236C" w:rsidRPr="0011236C" w:rsidRDefault="0011236C" w:rsidP="0011236C">
            <w:pPr>
              <w:rPr>
                <w:rFonts w:ascii="Arial" w:eastAsia="Times New Roman" w:hAnsi="Arial" w:cs="Arial"/>
                <w:b/>
                <w:bCs/>
                <w:color w:val="000000"/>
                <w:sz w:val="16"/>
                <w:szCs w:val="16"/>
                <w:lang w:eastAsia="es-CO"/>
              </w:rPr>
            </w:pPr>
          </w:p>
        </w:tc>
        <w:tc>
          <w:tcPr>
            <w:tcW w:w="962" w:type="pct"/>
            <w:vMerge/>
            <w:tcBorders>
              <w:top w:val="single" w:sz="4" w:space="0" w:color="auto"/>
              <w:left w:val="single" w:sz="4" w:space="0" w:color="auto"/>
              <w:bottom w:val="single" w:sz="4" w:space="0" w:color="auto"/>
              <w:right w:val="single" w:sz="4" w:space="0" w:color="auto"/>
            </w:tcBorders>
            <w:vAlign w:val="center"/>
            <w:hideMark/>
          </w:tcPr>
          <w:p w:rsidR="0011236C" w:rsidRPr="0011236C" w:rsidRDefault="0011236C" w:rsidP="0011236C">
            <w:pPr>
              <w:rPr>
                <w:rFonts w:ascii="Arial" w:eastAsia="Times New Roman" w:hAnsi="Arial" w:cs="Arial"/>
                <w:b/>
                <w:bCs/>
                <w:color w:val="000000"/>
                <w:sz w:val="16"/>
                <w:szCs w:val="16"/>
                <w:lang w:eastAsia="es-CO"/>
              </w:rPr>
            </w:pPr>
          </w:p>
        </w:tc>
        <w:tc>
          <w:tcPr>
            <w:tcW w:w="493" w:type="pct"/>
            <w:tcBorders>
              <w:top w:val="nil"/>
              <w:left w:val="nil"/>
              <w:bottom w:val="single" w:sz="4" w:space="0" w:color="auto"/>
              <w:right w:val="single" w:sz="4" w:space="0" w:color="auto"/>
            </w:tcBorders>
            <w:shd w:val="clear" w:color="FF6600" w:fill="FF6600"/>
            <w:vAlign w:val="center"/>
            <w:hideMark/>
          </w:tcPr>
          <w:p w:rsidR="0011236C" w:rsidRPr="0011236C" w:rsidRDefault="0011236C" w:rsidP="0011236C">
            <w:pPr>
              <w:jc w:val="center"/>
              <w:rPr>
                <w:rFonts w:ascii="Arial" w:eastAsia="Times New Roman" w:hAnsi="Arial" w:cs="Arial"/>
                <w:b/>
                <w:bCs/>
                <w:color w:val="000000"/>
                <w:sz w:val="16"/>
                <w:szCs w:val="16"/>
                <w:lang w:eastAsia="es-CO"/>
              </w:rPr>
            </w:pPr>
            <w:r w:rsidRPr="0011236C">
              <w:rPr>
                <w:rFonts w:ascii="Arial" w:eastAsia="Times New Roman" w:hAnsi="Arial" w:cs="Arial"/>
                <w:b/>
                <w:bCs/>
                <w:color w:val="000000"/>
                <w:sz w:val="16"/>
                <w:szCs w:val="16"/>
                <w:lang w:eastAsia="es-CO"/>
              </w:rPr>
              <w:t>2020</w:t>
            </w:r>
          </w:p>
        </w:tc>
        <w:tc>
          <w:tcPr>
            <w:tcW w:w="408" w:type="pct"/>
            <w:tcBorders>
              <w:top w:val="nil"/>
              <w:left w:val="nil"/>
              <w:bottom w:val="single" w:sz="4" w:space="0" w:color="auto"/>
              <w:right w:val="single" w:sz="4" w:space="0" w:color="auto"/>
            </w:tcBorders>
            <w:shd w:val="clear" w:color="FF6600" w:fill="FF6600"/>
            <w:vAlign w:val="center"/>
            <w:hideMark/>
          </w:tcPr>
          <w:p w:rsidR="0011236C" w:rsidRPr="0011236C" w:rsidRDefault="0011236C" w:rsidP="0011236C">
            <w:pPr>
              <w:jc w:val="center"/>
              <w:rPr>
                <w:rFonts w:ascii="Arial" w:eastAsia="Times New Roman" w:hAnsi="Arial" w:cs="Arial"/>
                <w:b/>
                <w:bCs/>
                <w:color w:val="000000"/>
                <w:sz w:val="16"/>
                <w:szCs w:val="16"/>
                <w:lang w:eastAsia="es-CO"/>
              </w:rPr>
            </w:pPr>
            <w:r w:rsidRPr="0011236C">
              <w:rPr>
                <w:rFonts w:ascii="Arial" w:eastAsia="Times New Roman" w:hAnsi="Arial" w:cs="Arial"/>
                <w:b/>
                <w:bCs/>
                <w:color w:val="000000"/>
                <w:sz w:val="16"/>
                <w:szCs w:val="16"/>
                <w:lang w:eastAsia="es-CO"/>
              </w:rPr>
              <w:t>I sem 2020</w:t>
            </w:r>
          </w:p>
        </w:tc>
        <w:tc>
          <w:tcPr>
            <w:tcW w:w="440" w:type="pct"/>
            <w:tcBorders>
              <w:top w:val="nil"/>
              <w:left w:val="nil"/>
              <w:bottom w:val="single" w:sz="4" w:space="0" w:color="auto"/>
              <w:right w:val="single" w:sz="4" w:space="0" w:color="auto"/>
            </w:tcBorders>
            <w:shd w:val="clear" w:color="FF6600" w:fill="FF6600"/>
            <w:vAlign w:val="center"/>
            <w:hideMark/>
          </w:tcPr>
          <w:p w:rsidR="0011236C" w:rsidRPr="0011236C" w:rsidRDefault="0011236C" w:rsidP="0011236C">
            <w:pPr>
              <w:jc w:val="center"/>
              <w:rPr>
                <w:rFonts w:ascii="Arial" w:eastAsia="Times New Roman" w:hAnsi="Arial" w:cs="Arial"/>
                <w:b/>
                <w:bCs/>
                <w:color w:val="000000"/>
                <w:sz w:val="16"/>
                <w:szCs w:val="16"/>
                <w:lang w:eastAsia="es-CO"/>
              </w:rPr>
            </w:pPr>
            <w:r w:rsidRPr="0011236C">
              <w:rPr>
                <w:rFonts w:ascii="Arial" w:eastAsia="Times New Roman" w:hAnsi="Arial" w:cs="Arial"/>
                <w:b/>
                <w:bCs/>
                <w:color w:val="000000"/>
                <w:sz w:val="16"/>
                <w:szCs w:val="16"/>
                <w:lang w:eastAsia="es-CO"/>
              </w:rPr>
              <w:t>I sem 2021</w:t>
            </w:r>
          </w:p>
        </w:tc>
        <w:tc>
          <w:tcPr>
            <w:tcW w:w="424" w:type="pct"/>
            <w:tcBorders>
              <w:top w:val="nil"/>
              <w:left w:val="nil"/>
              <w:bottom w:val="single" w:sz="4" w:space="0" w:color="auto"/>
              <w:right w:val="single" w:sz="4" w:space="0" w:color="auto"/>
            </w:tcBorders>
            <w:shd w:val="clear" w:color="FF6600" w:fill="FF6600"/>
            <w:vAlign w:val="center"/>
            <w:hideMark/>
          </w:tcPr>
          <w:p w:rsidR="0011236C" w:rsidRPr="0011236C" w:rsidRDefault="0011236C" w:rsidP="0011236C">
            <w:pPr>
              <w:jc w:val="center"/>
              <w:rPr>
                <w:rFonts w:ascii="Arial" w:eastAsia="Times New Roman" w:hAnsi="Arial" w:cs="Arial"/>
                <w:b/>
                <w:bCs/>
                <w:color w:val="000000"/>
                <w:sz w:val="16"/>
                <w:szCs w:val="16"/>
                <w:lang w:eastAsia="es-CO"/>
              </w:rPr>
            </w:pPr>
            <w:r w:rsidRPr="0011236C">
              <w:rPr>
                <w:rFonts w:ascii="Arial" w:eastAsia="Times New Roman" w:hAnsi="Arial" w:cs="Arial"/>
                <w:b/>
                <w:bCs/>
                <w:color w:val="000000"/>
                <w:sz w:val="16"/>
                <w:szCs w:val="16"/>
                <w:lang w:eastAsia="es-CO"/>
              </w:rPr>
              <w:t>2020</w:t>
            </w:r>
          </w:p>
        </w:tc>
        <w:tc>
          <w:tcPr>
            <w:tcW w:w="339" w:type="pct"/>
            <w:tcBorders>
              <w:top w:val="nil"/>
              <w:left w:val="nil"/>
              <w:bottom w:val="single" w:sz="4" w:space="0" w:color="auto"/>
              <w:right w:val="single" w:sz="4" w:space="0" w:color="auto"/>
            </w:tcBorders>
            <w:shd w:val="clear" w:color="FF6600" w:fill="FF6600"/>
            <w:vAlign w:val="center"/>
            <w:hideMark/>
          </w:tcPr>
          <w:p w:rsidR="0011236C" w:rsidRPr="0011236C" w:rsidRDefault="0011236C" w:rsidP="0011236C">
            <w:pPr>
              <w:jc w:val="center"/>
              <w:rPr>
                <w:rFonts w:ascii="Arial" w:eastAsia="Times New Roman" w:hAnsi="Arial" w:cs="Arial"/>
                <w:b/>
                <w:bCs/>
                <w:color w:val="000000"/>
                <w:sz w:val="16"/>
                <w:szCs w:val="16"/>
                <w:lang w:eastAsia="es-CO"/>
              </w:rPr>
            </w:pPr>
            <w:r w:rsidRPr="0011236C">
              <w:rPr>
                <w:rFonts w:ascii="Arial" w:eastAsia="Times New Roman" w:hAnsi="Arial" w:cs="Arial"/>
                <w:b/>
                <w:bCs/>
                <w:color w:val="000000"/>
                <w:sz w:val="16"/>
                <w:szCs w:val="16"/>
                <w:lang w:eastAsia="es-CO"/>
              </w:rPr>
              <w:t>I sem 2021</w:t>
            </w:r>
          </w:p>
        </w:tc>
      </w:tr>
      <w:tr w:rsidR="0011236C" w:rsidRPr="0011236C" w:rsidTr="00F76962">
        <w:trPr>
          <w:trHeight w:val="623"/>
        </w:trPr>
        <w:tc>
          <w:tcPr>
            <w:tcW w:w="1116" w:type="pct"/>
            <w:tcBorders>
              <w:top w:val="nil"/>
              <w:left w:val="single" w:sz="4" w:space="0" w:color="auto"/>
              <w:bottom w:val="single" w:sz="4" w:space="0" w:color="auto"/>
              <w:right w:val="single" w:sz="4" w:space="0" w:color="auto"/>
            </w:tcBorders>
            <w:shd w:val="clear" w:color="FFFFFF" w:fill="FFFFFF"/>
            <w:vAlign w:val="center"/>
            <w:hideMark/>
          </w:tcPr>
          <w:p w:rsidR="0011236C" w:rsidRPr="0011236C" w:rsidRDefault="0011236C" w:rsidP="0011236C">
            <w:pPr>
              <w:jc w:val="both"/>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Evitar que la tasa de mortalidad en menores de 5 años esté por encima de 15,21. (Indicador de la Niñez) Se calcula sobre menores de 5 años teniendo en cuenta que se trata del indicador de Niñez que por SISPRO se utiliza como denominador NV</w:t>
            </w:r>
          </w:p>
        </w:tc>
        <w:tc>
          <w:tcPr>
            <w:tcW w:w="409" w:type="pct"/>
            <w:tcBorders>
              <w:top w:val="nil"/>
              <w:left w:val="nil"/>
              <w:bottom w:val="single" w:sz="4" w:space="0" w:color="auto"/>
              <w:right w:val="single" w:sz="4" w:space="0" w:color="auto"/>
            </w:tcBorders>
            <w:shd w:val="clear" w:color="FFFFFF" w:fill="FFFFFF"/>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15,21</w:t>
            </w:r>
          </w:p>
        </w:tc>
        <w:tc>
          <w:tcPr>
            <w:tcW w:w="409" w:type="pct"/>
            <w:tcBorders>
              <w:top w:val="nil"/>
              <w:left w:val="nil"/>
              <w:bottom w:val="single" w:sz="4" w:space="0" w:color="auto"/>
              <w:right w:val="single" w:sz="4" w:space="0" w:color="auto"/>
            </w:tcBorders>
            <w:shd w:val="clear" w:color="FFFFFF" w:fill="FFFFFF"/>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15,21</w:t>
            </w:r>
          </w:p>
        </w:tc>
        <w:tc>
          <w:tcPr>
            <w:tcW w:w="962" w:type="pct"/>
            <w:tcBorders>
              <w:top w:val="nil"/>
              <w:left w:val="nil"/>
              <w:bottom w:val="single" w:sz="4" w:space="0" w:color="auto"/>
              <w:right w:val="single" w:sz="4" w:space="0" w:color="auto"/>
            </w:tcBorders>
            <w:shd w:val="clear" w:color="FFFFFF" w:fill="FFFFFF"/>
            <w:vAlign w:val="center"/>
            <w:hideMark/>
          </w:tcPr>
          <w:p w:rsidR="0011236C" w:rsidRPr="0011236C" w:rsidRDefault="0011236C" w:rsidP="0011236C">
            <w:pPr>
              <w:jc w:val="both"/>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Mortalidad en menores de 5 años (Por 100.000 menores de 5 años - ASIS 2019 datos 2017)</w:t>
            </w:r>
          </w:p>
        </w:tc>
        <w:tc>
          <w:tcPr>
            <w:tcW w:w="493" w:type="pct"/>
            <w:tcBorders>
              <w:top w:val="nil"/>
              <w:left w:val="nil"/>
              <w:bottom w:val="single" w:sz="4" w:space="0" w:color="auto"/>
              <w:right w:val="single" w:sz="4" w:space="0" w:color="auto"/>
            </w:tcBorders>
            <w:shd w:val="clear" w:color="000000" w:fill="70AD47"/>
            <w:noWrap/>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15,9</w:t>
            </w:r>
          </w:p>
        </w:tc>
        <w:tc>
          <w:tcPr>
            <w:tcW w:w="408" w:type="pct"/>
            <w:tcBorders>
              <w:top w:val="nil"/>
              <w:left w:val="nil"/>
              <w:bottom w:val="single" w:sz="4" w:space="0" w:color="auto"/>
              <w:right w:val="single" w:sz="4" w:space="0" w:color="auto"/>
            </w:tcBorders>
            <w:shd w:val="clear" w:color="000000" w:fill="70AD47"/>
            <w:noWrap/>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9,4</w:t>
            </w:r>
          </w:p>
        </w:tc>
        <w:tc>
          <w:tcPr>
            <w:tcW w:w="440" w:type="pct"/>
            <w:tcBorders>
              <w:top w:val="nil"/>
              <w:left w:val="nil"/>
              <w:bottom w:val="single" w:sz="4" w:space="0" w:color="auto"/>
              <w:right w:val="single" w:sz="4" w:space="0" w:color="auto"/>
            </w:tcBorders>
            <w:shd w:val="clear" w:color="000000" w:fill="70AD47"/>
            <w:noWrap/>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6,5</w:t>
            </w:r>
          </w:p>
        </w:tc>
        <w:tc>
          <w:tcPr>
            <w:tcW w:w="424" w:type="pct"/>
            <w:tcBorders>
              <w:top w:val="nil"/>
              <w:left w:val="nil"/>
              <w:bottom w:val="single" w:sz="4" w:space="0" w:color="auto"/>
              <w:right w:val="single" w:sz="4" w:space="0" w:color="auto"/>
            </w:tcBorders>
            <w:shd w:val="clear" w:color="000000" w:fill="70AD47"/>
            <w:noWrap/>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12,48</w:t>
            </w:r>
          </w:p>
        </w:tc>
        <w:tc>
          <w:tcPr>
            <w:tcW w:w="339" w:type="pct"/>
            <w:tcBorders>
              <w:top w:val="nil"/>
              <w:left w:val="nil"/>
              <w:bottom w:val="single" w:sz="4" w:space="0" w:color="auto"/>
              <w:right w:val="single" w:sz="4" w:space="0" w:color="auto"/>
            </w:tcBorders>
            <w:shd w:val="clear" w:color="000000" w:fill="70AD47"/>
            <w:noWrap/>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3,94</w:t>
            </w:r>
          </w:p>
        </w:tc>
      </w:tr>
      <w:tr w:rsidR="0011236C" w:rsidRPr="0011236C" w:rsidTr="00F76962">
        <w:trPr>
          <w:trHeight w:val="491"/>
        </w:trPr>
        <w:tc>
          <w:tcPr>
            <w:tcW w:w="1116" w:type="pct"/>
            <w:tcBorders>
              <w:top w:val="nil"/>
              <w:left w:val="single" w:sz="4" w:space="0" w:color="auto"/>
              <w:bottom w:val="single" w:sz="4" w:space="0" w:color="auto"/>
              <w:right w:val="single" w:sz="4" w:space="0" w:color="auto"/>
            </w:tcBorders>
            <w:shd w:val="clear" w:color="FFFFFF" w:fill="FFFFFF"/>
            <w:vAlign w:val="center"/>
            <w:hideMark/>
          </w:tcPr>
          <w:p w:rsidR="0011236C" w:rsidRPr="0011236C" w:rsidRDefault="0011236C" w:rsidP="0011236C">
            <w:pPr>
              <w:jc w:val="both"/>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Evitar que la razón de mortalidad materna esté por encima de 93,75. Incluye información de Santa Marta porque la línea base así lo trae</w:t>
            </w:r>
          </w:p>
        </w:tc>
        <w:tc>
          <w:tcPr>
            <w:tcW w:w="409" w:type="pct"/>
            <w:tcBorders>
              <w:top w:val="nil"/>
              <w:left w:val="nil"/>
              <w:bottom w:val="single" w:sz="4" w:space="0" w:color="auto"/>
              <w:right w:val="single" w:sz="4" w:space="0" w:color="auto"/>
            </w:tcBorders>
            <w:shd w:val="clear" w:color="FFFFFF" w:fill="FFFFFF"/>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93,75</w:t>
            </w:r>
          </w:p>
        </w:tc>
        <w:tc>
          <w:tcPr>
            <w:tcW w:w="409" w:type="pct"/>
            <w:tcBorders>
              <w:top w:val="nil"/>
              <w:left w:val="nil"/>
              <w:bottom w:val="single" w:sz="4" w:space="0" w:color="auto"/>
              <w:right w:val="single" w:sz="4" w:space="0" w:color="auto"/>
            </w:tcBorders>
            <w:shd w:val="clear" w:color="FFFFFF" w:fill="FFFFFF"/>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93,75</w:t>
            </w:r>
          </w:p>
        </w:tc>
        <w:tc>
          <w:tcPr>
            <w:tcW w:w="962" w:type="pct"/>
            <w:tcBorders>
              <w:top w:val="nil"/>
              <w:left w:val="nil"/>
              <w:bottom w:val="single" w:sz="4" w:space="0" w:color="auto"/>
              <w:right w:val="single" w:sz="4" w:space="0" w:color="auto"/>
            </w:tcBorders>
            <w:shd w:val="clear" w:color="FFFFFF" w:fill="FFFFFF"/>
            <w:vAlign w:val="center"/>
            <w:hideMark/>
          </w:tcPr>
          <w:p w:rsidR="0011236C" w:rsidRPr="0011236C" w:rsidRDefault="0011236C" w:rsidP="0011236C">
            <w:pPr>
              <w:jc w:val="both"/>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Mortalidad materna (Por 100.000 nacidos vivos - ASIS 2019 datos 2017</w:t>
            </w:r>
          </w:p>
        </w:tc>
        <w:tc>
          <w:tcPr>
            <w:tcW w:w="493" w:type="pct"/>
            <w:tcBorders>
              <w:top w:val="nil"/>
              <w:left w:val="nil"/>
              <w:bottom w:val="single" w:sz="4" w:space="0" w:color="auto"/>
              <w:right w:val="single" w:sz="4" w:space="0" w:color="auto"/>
            </w:tcBorders>
            <w:shd w:val="clear" w:color="000000" w:fill="FF0000"/>
            <w:noWrap/>
            <w:vAlign w:val="center"/>
            <w:hideMark/>
          </w:tcPr>
          <w:p w:rsidR="0011236C" w:rsidRPr="0011236C" w:rsidRDefault="0011236C" w:rsidP="0011236C">
            <w:pPr>
              <w:jc w:val="center"/>
              <w:rPr>
                <w:rFonts w:ascii="Arial" w:eastAsia="Times New Roman" w:hAnsi="Arial" w:cs="Arial"/>
                <w:b/>
                <w:bCs/>
                <w:color w:val="FFFFFF"/>
                <w:sz w:val="16"/>
                <w:szCs w:val="16"/>
                <w:lang w:eastAsia="es-CO"/>
              </w:rPr>
            </w:pPr>
            <w:r w:rsidRPr="0011236C">
              <w:rPr>
                <w:rFonts w:ascii="Arial" w:eastAsia="Times New Roman" w:hAnsi="Arial" w:cs="Arial"/>
                <w:b/>
                <w:bCs/>
                <w:color w:val="FFFFFF"/>
                <w:sz w:val="16"/>
                <w:szCs w:val="16"/>
                <w:lang w:eastAsia="es-CO"/>
              </w:rPr>
              <w:t>144,9</w:t>
            </w:r>
          </w:p>
        </w:tc>
        <w:tc>
          <w:tcPr>
            <w:tcW w:w="408" w:type="pct"/>
            <w:tcBorders>
              <w:top w:val="nil"/>
              <w:left w:val="nil"/>
              <w:bottom w:val="single" w:sz="4" w:space="0" w:color="auto"/>
              <w:right w:val="single" w:sz="4" w:space="0" w:color="auto"/>
            </w:tcBorders>
            <w:shd w:val="clear" w:color="000000" w:fill="70AD47"/>
            <w:noWrap/>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61,6</w:t>
            </w:r>
          </w:p>
        </w:tc>
        <w:tc>
          <w:tcPr>
            <w:tcW w:w="440" w:type="pct"/>
            <w:tcBorders>
              <w:top w:val="nil"/>
              <w:left w:val="nil"/>
              <w:bottom w:val="single" w:sz="4" w:space="0" w:color="auto"/>
              <w:right w:val="single" w:sz="4" w:space="0" w:color="auto"/>
            </w:tcBorders>
            <w:shd w:val="clear" w:color="000000" w:fill="FF0000"/>
            <w:noWrap/>
            <w:vAlign w:val="center"/>
            <w:hideMark/>
          </w:tcPr>
          <w:p w:rsidR="0011236C" w:rsidRPr="0011236C" w:rsidRDefault="0011236C" w:rsidP="0011236C">
            <w:pPr>
              <w:jc w:val="center"/>
              <w:rPr>
                <w:rFonts w:ascii="Arial" w:eastAsia="Times New Roman" w:hAnsi="Arial" w:cs="Arial"/>
                <w:b/>
                <w:bCs/>
                <w:color w:val="FFFFFF"/>
                <w:sz w:val="16"/>
                <w:szCs w:val="16"/>
                <w:lang w:eastAsia="es-CO"/>
              </w:rPr>
            </w:pPr>
            <w:r w:rsidRPr="0011236C">
              <w:rPr>
                <w:rFonts w:ascii="Arial" w:eastAsia="Times New Roman" w:hAnsi="Arial" w:cs="Arial"/>
                <w:b/>
                <w:bCs/>
                <w:color w:val="FFFFFF"/>
                <w:sz w:val="16"/>
                <w:szCs w:val="16"/>
                <w:lang w:eastAsia="es-CO"/>
              </w:rPr>
              <w:t>134,7</w:t>
            </w:r>
          </w:p>
        </w:tc>
        <w:tc>
          <w:tcPr>
            <w:tcW w:w="424" w:type="pct"/>
            <w:tcBorders>
              <w:top w:val="nil"/>
              <w:left w:val="nil"/>
              <w:bottom w:val="single" w:sz="4" w:space="0" w:color="auto"/>
              <w:right w:val="single" w:sz="4" w:space="0" w:color="auto"/>
            </w:tcBorders>
            <w:shd w:val="clear" w:color="000000" w:fill="FF0000"/>
            <w:noWrap/>
            <w:vAlign w:val="center"/>
            <w:hideMark/>
          </w:tcPr>
          <w:p w:rsidR="0011236C" w:rsidRPr="0011236C" w:rsidRDefault="0011236C" w:rsidP="0011236C">
            <w:pPr>
              <w:jc w:val="center"/>
              <w:rPr>
                <w:rFonts w:ascii="Arial" w:eastAsia="Times New Roman" w:hAnsi="Arial" w:cs="Arial"/>
                <w:b/>
                <w:bCs/>
                <w:color w:val="FFFFFF"/>
                <w:sz w:val="16"/>
                <w:szCs w:val="16"/>
                <w:lang w:eastAsia="es-CO"/>
              </w:rPr>
            </w:pPr>
            <w:r w:rsidRPr="0011236C">
              <w:rPr>
                <w:rFonts w:ascii="Arial" w:eastAsia="Times New Roman" w:hAnsi="Arial" w:cs="Arial"/>
                <w:b/>
                <w:bCs/>
                <w:color w:val="FFFFFF"/>
                <w:sz w:val="16"/>
                <w:szCs w:val="16"/>
                <w:lang w:eastAsia="es-CO"/>
              </w:rPr>
              <w:t>167,57</w:t>
            </w:r>
          </w:p>
        </w:tc>
        <w:tc>
          <w:tcPr>
            <w:tcW w:w="339" w:type="pct"/>
            <w:tcBorders>
              <w:top w:val="nil"/>
              <w:left w:val="nil"/>
              <w:bottom w:val="single" w:sz="4" w:space="0" w:color="auto"/>
              <w:right w:val="single" w:sz="4" w:space="0" w:color="auto"/>
            </w:tcBorders>
            <w:shd w:val="clear" w:color="auto" w:fill="auto"/>
            <w:noWrap/>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0,796</w:t>
            </w:r>
          </w:p>
        </w:tc>
      </w:tr>
      <w:tr w:rsidR="0011236C" w:rsidRPr="0011236C" w:rsidTr="00F76962">
        <w:trPr>
          <w:trHeight w:val="491"/>
        </w:trPr>
        <w:tc>
          <w:tcPr>
            <w:tcW w:w="1116" w:type="pct"/>
            <w:tcBorders>
              <w:top w:val="nil"/>
              <w:left w:val="single" w:sz="4" w:space="0" w:color="auto"/>
              <w:bottom w:val="single" w:sz="4" w:space="0" w:color="auto"/>
              <w:right w:val="single" w:sz="4" w:space="0" w:color="auto"/>
            </w:tcBorders>
            <w:shd w:val="clear" w:color="FFFFFF" w:fill="FFFFFF"/>
            <w:vAlign w:val="center"/>
            <w:hideMark/>
          </w:tcPr>
          <w:p w:rsidR="0011236C" w:rsidRPr="0011236C" w:rsidRDefault="0011236C" w:rsidP="0011236C">
            <w:pPr>
              <w:jc w:val="both"/>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Mantener en 0 la tasa de mortalidad por rabia humana.</w:t>
            </w:r>
          </w:p>
        </w:tc>
        <w:tc>
          <w:tcPr>
            <w:tcW w:w="409" w:type="pct"/>
            <w:tcBorders>
              <w:top w:val="nil"/>
              <w:left w:val="nil"/>
              <w:bottom w:val="single" w:sz="4" w:space="0" w:color="auto"/>
              <w:right w:val="single" w:sz="4" w:space="0" w:color="auto"/>
            </w:tcBorders>
            <w:shd w:val="clear" w:color="FFFFFF" w:fill="FFFFFF"/>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0</w:t>
            </w:r>
          </w:p>
        </w:tc>
        <w:tc>
          <w:tcPr>
            <w:tcW w:w="409" w:type="pct"/>
            <w:tcBorders>
              <w:top w:val="nil"/>
              <w:left w:val="nil"/>
              <w:bottom w:val="single" w:sz="4" w:space="0" w:color="auto"/>
              <w:right w:val="single" w:sz="4" w:space="0" w:color="auto"/>
            </w:tcBorders>
            <w:shd w:val="clear" w:color="FFFFFF" w:fill="FFFFFF"/>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0</w:t>
            </w:r>
          </w:p>
        </w:tc>
        <w:tc>
          <w:tcPr>
            <w:tcW w:w="962" w:type="pct"/>
            <w:tcBorders>
              <w:top w:val="nil"/>
              <w:left w:val="nil"/>
              <w:bottom w:val="single" w:sz="4" w:space="0" w:color="auto"/>
              <w:right w:val="single" w:sz="4" w:space="0" w:color="auto"/>
            </w:tcBorders>
            <w:shd w:val="clear" w:color="FFFFFF" w:fill="FFFFFF"/>
            <w:vAlign w:val="center"/>
            <w:hideMark/>
          </w:tcPr>
          <w:p w:rsidR="0011236C" w:rsidRPr="0011236C" w:rsidRDefault="0011236C" w:rsidP="0011236C">
            <w:pPr>
              <w:jc w:val="both"/>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Mortalidad por rabia humana</w:t>
            </w:r>
          </w:p>
        </w:tc>
        <w:tc>
          <w:tcPr>
            <w:tcW w:w="493" w:type="pct"/>
            <w:tcBorders>
              <w:top w:val="nil"/>
              <w:left w:val="nil"/>
              <w:bottom w:val="single" w:sz="4" w:space="0" w:color="auto"/>
              <w:right w:val="single" w:sz="4" w:space="0" w:color="auto"/>
            </w:tcBorders>
            <w:shd w:val="clear" w:color="000000" w:fill="70AD47"/>
            <w:noWrap/>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0</w:t>
            </w:r>
          </w:p>
        </w:tc>
        <w:tc>
          <w:tcPr>
            <w:tcW w:w="408" w:type="pct"/>
            <w:tcBorders>
              <w:top w:val="nil"/>
              <w:left w:val="nil"/>
              <w:bottom w:val="single" w:sz="4" w:space="0" w:color="auto"/>
              <w:right w:val="single" w:sz="4" w:space="0" w:color="auto"/>
            </w:tcBorders>
            <w:shd w:val="clear" w:color="000000" w:fill="70AD47"/>
            <w:noWrap/>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0</w:t>
            </w:r>
          </w:p>
        </w:tc>
        <w:tc>
          <w:tcPr>
            <w:tcW w:w="440" w:type="pct"/>
            <w:tcBorders>
              <w:top w:val="nil"/>
              <w:left w:val="nil"/>
              <w:bottom w:val="single" w:sz="4" w:space="0" w:color="auto"/>
              <w:right w:val="single" w:sz="4" w:space="0" w:color="auto"/>
            </w:tcBorders>
            <w:shd w:val="clear" w:color="000000" w:fill="70AD47"/>
            <w:noWrap/>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0</w:t>
            </w:r>
          </w:p>
        </w:tc>
        <w:tc>
          <w:tcPr>
            <w:tcW w:w="424" w:type="pct"/>
            <w:tcBorders>
              <w:top w:val="nil"/>
              <w:left w:val="nil"/>
              <w:bottom w:val="single" w:sz="4" w:space="0" w:color="auto"/>
              <w:right w:val="single" w:sz="4" w:space="0" w:color="auto"/>
            </w:tcBorders>
            <w:shd w:val="clear" w:color="000000" w:fill="70AD47"/>
            <w:noWrap/>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0</w:t>
            </w:r>
          </w:p>
        </w:tc>
        <w:tc>
          <w:tcPr>
            <w:tcW w:w="339" w:type="pct"/>
            <w:tcBorders>
              <w:top w:val="nil"/>
              <w:left w:val="nil"/>
              <w:bottom w:val="single" w:sz="4" w:space="0" w:color="auto"/>
              <w:right w:val="single" w:sz="4" w:space="0" w:color="auto"/>
            </w:tcBorders>
            <w:shd w:val="clear" w:color="000000" w:fill="70AD47"/>
            <w:noWrap/>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0</w:t>
            </w:r>
          </w:p>
        </w:tc>
      </w:tr>
      <w:tr w:rsidR="0011236C" w:rsidRPr="0011236C" w:rsidTr="00F76962">
        <w:trPr>
          <w:trHeight w:val="713"/>
        </w:trPr>
        <w:tc>
          <w:tcPr>
            <w:tcW w:w="1116" w:type="pct"/>
            <w:tcBorders>
              <w:top w:val="nil"/>
              <w:left w:val="single" w:sz="4" w:space="0" w:color="auto"/>
              <w:bottom w:val="single" w:sz="4" w:space="0" w:color="auto"/>
              <w:right w:val="single" w:sz="4" w:space="0" w:color="auto"/>
            </w:tcBorders>
            <w:shd w:val="clear" w:color="FFFFFF" w:fill="FFFFFF"/>
            <w:vAlign w:val="center"/>
            <w:hideMark/>
          </w:tcPr>
          <w:p w:rsidR="0011236C" w:rsidRPr="0011236C" w:rsidRDefault="0011236C" w:rsidP="0011236C">
            <w:pPr>
              <w:jc w:val="both"/>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Evitar que la tasa de mortalidad por EDA esté por encima de 4,33. (menor de 5 años) Incluye datos de Santa Marta por estar incluidos en la línea base. La población que se toma es según censo 2005 por la misma razón (línea base)</w:t>
            </w:r>
          </w:p>
        </w:tc>
        <w:tc>
          <w:tcPr>
            <w:tcW w:w="409" w:type="pct"/>
            <w:tcBorders>
              <w:top w:val="nil"/>
              <w:left w:val="nil"/>
              <w:bottom w:val="single" w:sz="4" w:space="0" w:color="auto"/>
              <w:right w:val="single" w:sz="4" w:space="0" w:color="auto"/>
            </w:tcBorders>
            <w:shd w:val="clear" w:color="FFFFFF" w:fill="FFFFFF"/>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4,33</w:t>
            </w:r>
          </w:p>
        </w:tc>
        <w:tc>
          <w:tcPr>
            <w:tcW w:w="409" w:type="pct"/>
            <w:tcBorders>
              <w:top w:val="nil"/>
              <w:left w:val="nil"/>
              <w:bottom w:val="single" w:sz="4" w:space="0" w:color="auto"/>
              <w:right w:val="single" w:sz="4" w:space="0" w:color="auto"/>
            </w:tcBorders>
            <w:shd w:val="clear" w:color="FFFFFF" w:fill="FFFFFF"/>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4,33</w:t>
            </w:r>
          </w:p>
        </w:tc>
        <w:tc>
          <w:tcPr>
            <w:tcW w:w="962" w:type="pct"/>
            <w:tcBorders>
              <w:top w:val="nil"/>
              <w:left w:val="nil"/>
              <w:bottom w:val="single" w:sz="4" w:space="0" w:color="auto"/>
              <w:right w:val="single" w:sz="4" w:space="0" w:color="auto"/>
            </w:tcBorders>
            <w:shd w:val="clear" w:color="FFFFFF" w:fill="FFFFFF"/>
            <w:vAlign w:val="center"/>
            <w:hideMark/>
          </w:tcPr>
          <w:p w:rsidR="0011236C" w:rsidRPr="0011236C" w:rsidRDefault="0011236C" w:rsidP="0011236C">
            <w:pPr>
              <w:jc w:val="both"/>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Mortalidad por EDA (Por 100.000 menores de 5 años (ASIS 2017)</w:t>
            </w:r>
          </w:p>
        </w:tc>
        <w:tc>
          <w:tcPr>
            <w:tcW w:w="493" w:type="pct"/>
            <w:tcBorders>
              <w:top w:val="nil"/>
              <w:left w:val="nil"/>
              <w:bottom w:val="single" w:sz="4" w:space="0" w:color="auto"/>
              <w:right w:val="single" w:sz="4" w:space="0" w:color="auto"/>
            </w:tcBorders>
            <w:shd w:val="clear" w:color="000000" w:fill="FF0000"/>
            <w:noWrap/>
            <w:vAlign w:val="center"/>
            <w:hideMark/>
          </w:tcPr>
          <w:p w:rsidR="0011236C" w:rsidRPr="0011236C" w:rsidRDefault="0011236C" w:rsidP="0011236C">
            <w:pPr>
              <w:jc w:val="center"/>
              <w:rPr>
                <w:rFonts w:ascii="Arial" w:eastAsia="Times New Roman" w:hAnsi="Arial" w:cs="Arial"/>
                <w:b/>
                <w:bCs/>
                <w:color w:val="FFFFFF"/>
                <w:sz w:val="16"/>
                <w:szCs w:val="16"/>
                <w:lang w:eastAsia="es-CO"/>
              </w:rPr>
            </w:pPr>
            <w:r w:rsidRPr="0011236C">
              <w:rPr>
                <w:rFonts w:ascii="Arial" w:eastAsia="Times New Roman" w:hAnsi="Arial" w:cs="Arial"/>
                <w:b/>
                <w:bCs/>
                <w:color w:val="FFFFFF"/>
                <w:sz w:val="16"/>
                <w:szCs w:val="16"/>
                <w:lang w:eastAsia="es-CO"/>
              </w:rPr>
              <w:t>5,1</w:t>
            </w:r>
          </w:p>
        </w:tc>
        <w:tc>
          <w:tcPr>
            <w:tcW w:w="408" w:type="pct"/>
            <w:tcBorders>
              <w:top w:val="nil"/>
              <w:left w:val="nil"/>
              <w:bottom w:val="single" w:sz="4" w:space="0" w:color="auto"/>
              <w:right w:val="single" w:sz="4" w:space="0" w:color="auto"/>
            </w:tcBorders>
            <w:shd w:val="clear" w:color="000000" w:fill="70AD47"/>
            <w:noWrap/>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2,9</w:t>
            </w:r>
          </w:p>
        </w:tc>
        <w:tc>
          <w:tcPr>
            <w:tcW w:w="440" w:type="pct"/>
            <w:tcBorders>
              <w:top w:val="nil"/>
              <w:left w:val="nil"/>
              <w:bottom w:val="single" w:sz="4" w:space="0" w:color="auto"/>
              <w:right w:val="single" w:sz="4" w:space="0" w:color="auto"/>
            </w:tcBorders>
            <w:shd w:val="clear" w:color="000000" w:fill="70AD47"/>
            <w:noWrap/>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0</w:t>
            </w:r>
          </w:p>
        </w:tc>
        <w:tc>
          <w:tcPr>
            <w:tcW w:w="424" w:type="pct"/>
            <w:tcBorders>
              <w:top w:val="nil"/>
              <w:left w:val="nil"/>
              <w:bottom w:val="single" w:sz="4" w:space="0" w:color="auto"/>
              <w:right w:val="single" w:sz="4" w:space="0" w:color="auto"/>
            </w:tcBorders>
            <w:shd w:val="clear" w:color="000000" w:fill="FF0000"/>
            <w:noWrap/>
            <w:vAlign w:val="center"/>
            <w:hideMark/>
          </w:tcPr>
          <w:p w:rsidR="0011236C" w:rsidRPr="0011236C" w:rsidRDefault="0011236C" w:rsidP="0011236C">
            <w:pPr>
              <w:jc w:val="center"/>
              <w:rPr>
                <w:rFonts w:ascii="Arial" w:eastAsia="Times New Roman" w:hAnsi="Arial" w:cs="Arial"/>
                <w:b/>
                <w:bCs/>
                <w:color w:val="FFFFFF"/>
                <w:sz w:val="16"/>
                <w:szCs w:val="16"/>
                <w:lang w:eastAsia="es-CO"/>
              </w:rPr>
            </w:pPr>
            <w:r w:rsidRPr="0011236C">
              <w:rPr>
                <w:rFonts w:ascii="Arial" w:eastAsia="Times New Roman" w:hAnsi="Arial" w:cs="Arial"/>
                <w:b/>
                <w:bCs/>
                <w:color w:val="FFFFFF"/>
                <w:sz w:val="16"/>
                <w:szCs w:val="16"/>
                <w:lang w:eastAsia="es-CO"/>
              </w:rPr>
              <w:t>5,46</w:t>
            </w:r>
          </w:p>
        </w:tc>
        <w:tc>
          <w:tcPr>
            <w:tcW w:w="339" w:type="pct"/>
            <w:tcBorders>
              <w:top w:val="nil"/>
              <w:left w:val="nil"/>
              <w:bottom w:val="single" w:sz="4" w:space="0" w:color="auto"/>
              <w:right w:val="single" w:sz="4" w:space="0" w:color="auto"/>
            </w:tcBorders>
            <w:shd w:val="clear" w:color="000000" w:fill="70AD47"/>
            <w:noWrap/>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0,75</w:t>
            </w:r>
          </w:p>
        </w:tc>
      </w:tr>
      <w:tr w:rsidR="0011236C" w:rsidRPr="0011236C" w:rsidTr="00F76962">
        <w:trPr>
          <w:trHeight w:val="491"/>
        </w:trPr>
        <w:tc>
          <w:tcPr>
            <w:tcW w:w="1116" w:type="pct"/>
            <w:tcBorders>
              <w:top w:val="nil"/>
              <w:left w:val="single" w:sz="4" w:space="0" w:color="auto"/>
              <w:bottom w:val="single" w:sz="4" w:space="0" w:color="auto"/>
              <w:right w:val="single" w:sz="4" w:space="0" w:color="auto"/>
            </w:tcBorders>
            <w:shd w:val="clear" w:color="FFFFFF" w:fill="FFFFFF"/>
            <w:vAlign w:val="center"/>
            <w:hideMark/>
          </w:tcPr>
          <w:p w:rsidR="0011236C" w:rsidRPr="0011236C" w:rsidRDefault="0011236C" w:rsidP="0011236C">
            <w:pPr>
              <w:jc w:val="both"/>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 xml:space="preserve">Mantener por debajo del 11% la tasa de letalidad por dengue grave. </w:t>
            </w:r>
          </w:p>
        </w:tc>
        <w:tc>
          <w:tcPr>
            <w:tcW w:w="409" w:type="pct"/>
            <w:tcBorders>
              <w:top w:val="nil"/>
              <w:left w:val="nil"/>
              <w:bottom w:val="single" w:sz="4" w:space="0" w:color="auto"/>
              <w:right w:val="single" w:sz="4" w:space="0" w:color="auto"/>
            </w:tcBorders>
            <w:shd w:val="clear" w:color="FFFFFF" w:fill="FFFFFF"/>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 xml:space="preserve">15.4 </w:t>
            </w:r>
          </w:p>
        </w:tc>
        <w:tc>
          <w:tcPr>
            <w:tcW w:w="409" w:type="pct"/>
            <w:tcBorders>
              <w:top w:val="nil"/>
              <w:left w:val="nil"/>
              <w:bottom w:val="single" w:sz="4" w:space="0" w:color="auto"/>
              <w:right w:val="single" w:sz="4" w:space="0" w:color="auto"/>
            </w:tcBorders>
            <w:shd w:val="clear" w:color="FFFFFF" w:fill="FFFFFF"/>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 xml:space="preserve"> &lt; 11</w:t>
            </w:r>
          </w:p>
        </w:tc>
        <w:tc>
          <w:tcPr>
            <w:tcW w:w="962" w:type="pct"/>
            <w:tcBorders>
              <w:top w:val="nil"/>
              <w:left w:val="nil"/>
              <w:bottom w:val="single" w:sz="4" w:space="0" w:color="auto"/>
              <w:right w:val="single" w:sz="4" w:space="0" w:color="auto"/>
            </w:tcBorders>
            <w:shd w:val="clear" w:color="FFFFFF" w:fill="FFFFFF"/>
            <w:vAlign w:val="center"/>
            <w:hideMark/>
          </w:tcPr>
          <w:p w:rsidR="0011236C" w:rsidRPr="0011236C" w:rsidRDefault="0011236C" w:rsidP="0011236C">
            <w:pPr>
              <w:jc w:val="both"/>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 xml:space="preserve">Letalidad por dengue grave </w:t>
            </w:r>
          </w:p>
        </w:tc>
        <w:tc>
          <w:tcPr>
            <w:tcW w:w="493" w:type="pct"/>
            <w:tcBorders>
              <w:top w:val="nil"/>
              <w:left w:val="nil"/>
              <w:bottom w:val="single" w:sz="4" w:space="0" w:color="auto"/>
              <w:right w:val="single" w:sz="4" w:space="0" w:color="auto"/>
            </w:tcBorders>
            <w:shd w:val="clear" w:color="000000" w:fill="FF0000"/>
            <w:noWrap/>
            <w:vAlign w:val="center"/>
            <w:hideMark/>
          </w:tcPr>
          <w:p w:rsidR="0011236C" w:rsidRPr="0011236C" w:rsidRDefault="0011236C" w:rsidP="0011236C">
            <w:pPr>
              <w:jc w:val="center"/>
              <w:rPr>
                <w:rFonts w:ascii="Arial" w:eastAsia="Times New Roman" w:hAnsi="Arial" w:cs="Arial"/>
                <w:b/>
                <w:bCs/>
                <w:color w:val="FFFFFF"/>
                <w:sz w:val="16"/>
                <w:szCs w:val="16"/>
                <w:lang w:eastAsia="es-CO"/>
              </w:rPr>
            </w:pPr>
            <w:r w:rsidRPr="0011236C">
              <w:rPr>
                <w:rFonts w:ascii="Arial" w:eastAsia="Times New Roman" w:hAnsi="Arial" w:cs="Arial"/>
                <w:b/>
                <w:bCs/>
                <w:color w:val="FFFFFF"/>
                <w:sz w:val="16"/>
                <w:szCs w:val="16"/>
                <w:lang w:eastAsia="es-CO"/>
              </w:rPr>
              <w:t>21%</w:t>
            </w:r>
          </w:p>
        </w:tc>
        <w:tc>
          <w:tcPr>
            <w:tcW w:w="408" w:type="pct"/>
            <w:tcBorders>
              <w:top w:val="nil"/>
              <w:left w:val="nil"/>
              <w:bottom w:val="single" w:sz="4" w:space="0" w:color="auto"/>
              <w:right w:val="single" w:sz="4" w:space="0" w:color="auto"/>
            </w:tcBorders>
            <w:shd w:val="clear" w:color="000000" w:fill="FF0000"/>
            <w:noWrap/>
            <w:vAlign w:val="center"/>
            <w:hideMark/>
          </w:tcPr>
          <w:p w:rsidR="0011236C" w:rsidRPr="0011236C" w:rsidRDefault="0011236C" w:rsidP="0011236C">
            <w:pPr>
              <w:jc w:val="center"/>
              <w:rPr>
                <w:rFonts w:ascii="Arial" w:eastAsia="Times New Roman" w:hAnsi="Arial" w:cs="Arial"/>
                <w:b/>
                <w:bCs/>
                <w:color w:val="FFFFFF"/>
                <w:sz w:val="16"/>
                <w:szCs w:val="16"/>
                <w:lang w:eastAsia="es-CO"/>
              </w:rPr>
            </w:pPr>
            <w:r w:rsidRPr="0011236C">
              <w:rPr>
                <w:rFonts w:ascii="Arial" w:eastAsia="Times New Roman" w:hAnsi="Arial" w:cs="Arial"/>
                <w:b/>
                <w:bCs/>
                <w:color w:val="FFFFFF"/>
                <w:sz w:val="16"/>
                <w:szCs w:val="16"/>
                <w:lang w:eastAsia="es-CO"/>
              </w:rPr>
              <w:t>14%</w:t>
            </w:r>
          </w:p>
        </w:tc>
        <w:tc>
          <w:tcPr>
            <w:tcW w:w="440" w:type="pct"/>
            <w:tcBorders>
              <w:top w:val="nil"/>
              <w:left w:val="nil"/>
              <w:bottom w:val="single" w:sz="4" w:space="0" w:color="auto"/>
              <w:right w:val="single" w:sz="4" w:space="0" w:color="auto"/>
            </w:tcBorders>
            <w:shd w:val="clear" w:color="000000" w:fill="FF0000"/>
            <w:noWrap/>
            <w:vAlign w:val="center"/>
            <w:hideMark/>
          </w:tcPr>
          <w:p w:rsidR="0011236C" w:rsidRPr="0011236C" w:rsidRDefault="0011236C" w:rsidP="0011236C">
            <w:pPr>
              <w:jc w:val="center"/>
              <w:rPr>
                <w:rFonts w:ascii="Arial" w:eastAsia="Times New Roman" w:hAnsi="Arial" w:cs="Arial"/>
                <w:b/>
                <w:bCs/>
                <w:color w:val="FFFFFF"/>
                <w:sz w:val="16"/>
                <w:szCs w:val="16"/>
                <w:lang w:eastAsia="es-CO"/>
              </w:rPr>
            </w:pPr>
            <w:r w:rsidRPr="0011236C">
              <w:rPr>
                <w:rFonts w:ascii="Arial" w:eastAsia="Times New Roman" w:hAnsi="Arial" w:cs="Arial"/>
                <w:b/>
                <w:bCs/>
                <w:color w:val="FFFFFF"/>
                <w:sz w:val="16"/>
                <w:szCs w:val="16"/>
                <w:lang w:eastAsia="es-CO"/>
              </w:rPr>
              <w:t>50%</w:t>
            </w:r>
          </w:p>
        </w:tc>
        <w:tc>
          <w:tcPr>
            <w:tcW w:w="424" w:type="pct"/>
            <w:tcBorders>
              <w:top w:val="nil"/>
              <w:left w:val="nil"/>
              <w:bottom w:val="single" w:sz="4" w:space="0" w:color="auto"/>
              <w:right w:val="single" w:sz="4" w:space="0" w:color="auto"/>
            </w:tcBorders>
            <w:shd w:val="clear" w:color="000000" w:fill="FF0000"/>
            <w:noWrap/>
            <w:vAlign w:val="center"/>
            <w:hideMark/>
          </w:tcPr>
          <w:p w:rsidR="0011236C" w:rsidRPr="0011236C" w:rsidRDefault="0011236C" w:rsidP="0011236C">
            <w:pPr>
              <w:jc w:val="center"/>
              <w:rPr>
                <w:rFonts w:ascii="Arial" w:eastAsia="Times New Roman" w:hAnsi="Arial" w:cs="Arial"/>
                <w:b/>
                <w:bCs/>
                <w:color w:val="FFFFFF"/>
                <w:sz w:val="16"/>
                <w:szCs w:val="16"/>
                <w:lang w:eastAsia="es-CO"/>
              </w:rPr>
            </w:pPr>
            <w:r w:rsidRPr="0011236C">
              <w:rPr>
                <w:rFonts w:ascii="Arial" w:eastAsia="Times New Roman" w:hAnsi="Arial" w:cs="Arial"/>
                <w:b/>
                <w:bCs/>
                <w:color w:val="FFFFFF"/>
                <w:sz w:val="16"/>
                <w:szCs w:val="16"/>
                <w:lang w:eastAsia="es-CO"/>
              </w:rPr>
              <w:t>21%</w:t>
            </w:r>
          </w:p>
        </w:tc>
        <w:tc>
          <w:tcPr>
            <w:tcW w:w="339" w:type="pct"/>
            <w:tcBorders>
              <w:top w:val="nil"/>
              <w:left w:val="nil"/>
              <w:bottom w:val="single" w:sz="4" w:space="0" w:color="auto"/>
              <w:right w:val="single" w:sz="4" w:space="0" w:color="auto"/>
            </w:tcBorders>
            <w:shd w:val="clear" w:color="000000" w:fill="FF0000"/>
            <w:noWrap/>
            <w:vAlign w:val="center"/>
            <w:hideMark/>
          </w:tcPr>
          <w:p w:rsidR="0011236C" w:rsidRPr="0011236C" w:rsidRDefault="0011236C" w:rsidP="0011236C">
            <w:pPr>
              <w:jc w:val="center"/>
              <w:rPr>
                <w:rFonts w:ascii="Arial" w:eastAsia="Times New Roman" w:hAnsi="Arial" w:cs="Arial"/>
                <w:b/>
                <w:bCs/>
                <w:color w:val="FFFFFF"/>
                <w:sz w:val="16"/>
                <w:szCs w:val="16"/>
                <w:lang w:eastAsia="es-CO"/>
              </w:rPr>
            </w:pPr>
            <w:r w:rsidRPr="0011236C">
              <w:rPr>
                <w:rFonts w:ascii="Arial" w:eastAsia="Times New Roman" w:hAnsi="Arial" w:cs="Arial"/>
                <w:b/>
                <w:bCs/>
                <w:color w:val="FFFFFF"/>
                <w:sz w:val="16"/>
                <w:szCs w:val="16"/>
                <w:lang w:eastAsia="es-CO"/>
              </w:rPr>
              <w:t>50%</w:t>
            </w:r>
          </w:p>
        </w:tc>
      </w:tr>
      <w:tr w:rsidR="0011236C" w:rsidRPr="0011236C" w:rsidTr="00F76962">
        <w:trPr>
          <w:trHeight w:val="491"/>
        </w:trPr>
        <w:tc>
          <w:tcPr>
            <w:tcW w:w="1116" w:type="pct"/>
            <w:tcBorders>
              <w:top w:val="nil"/>
              <w:left w:val="single" w:sz="4" w:space="0" w:color="auto"/>
              <w:bottom w:val="single" w:sz="4" w:space="0" w:color="auto"/>
              <w:right w:val="single" w:sz="4" w:space="0" w:color="auto"/>
            </w:tcBorders>
            <w:shd w:val="clear" w:color="FFFFFF" w:fill="FFFFFF"/>
            <w:vAlign w:val="center"/>
            <w:hideMark/>
          </w:tcPr>
          <w:p w:rsidR="0011236C" w:rsidRPr="0011236C" w:rsidRDefault="0011236C" w:rsidP="0011236C">
            <w:pPr>
              <w:jc w:val="both"/>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Mantener en 0 la tasa de mortalidad por malaria.</w:t>
            </w:r>
          </w:p>
        </w:tc>
        <w:tc>
          <w:tcPr>
            <w:tcW w:w="409" w:type="pct"/>
            <w:tcBorders>
              <w:top w:val="nil"/>
              <w:left w:val="nil"/>
              <w:bottom w:val="single" w:sz="4" w:space="0" w:color="auto"/>
              <w:right w:val="single" w:sz="4" w:space="0" w:color="auto"/>
            </w:tcBorders>
            <w:shd w:val="clear" w:color="FFFFFF" w:fill="FFFFFF"/>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0</w:t>
            </w:r>
          </w:p>
        </w:tc>
        <w:tc>
          <w:tcPr>
            <w:tcW w:w="409" w:type="pct"/>
            <w:tcBorders>
              <w:top w:val="nil"/>
              <w:left w:val="nil"/>
              <w:bottom w:val="single" w:sz="4" w:space="0" w:color="auto"/>
              <w:right w:val="single" w:sz="4" w:space="0" w:color="auto"/>
            </w:tcBorders>
            <w:shd w:val="clear" w:color="FFFFFF" w:fill="FFFFFF"/>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0</w:t>
            </w:r>
          </w:p>
        </w:tc>
        <w:tc>
          <w:tcPr>
            <w:tcW w:w="962" w:type="pct"/>
            <w:tcBorders>
              <w:top w:val="nil"/>
              <w:left w:val="nil"/>
              <w:bottom w:val="single" w:sz="4" w:space="0" w:color="auto"/>
              <w:right w:val="single" w:sz="4" w:space="0" w:color="auto"/>
            </w:tcBorders>
            <w:shd w:val="clear" w:color="FFFFFF" w:fill="FFFFFF"/>
            <w:vAlign w:val="center"/>
            <w:hideMark/>
          </w:tcPr>
          <w:p w:rsidR="0011236C" w:rsidRPr="0011236C" w:rsidRDefault="0011236C" w:rsidP="0011236C">
            <w:pPr>
              <w:jc w:val="both"/>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Mortalidad por Malaria</w:t>
            </w:r>
          </w:p>
        </w:tc>
        <w:tc>
          <w:tcPr>
            <w:tcW w:w="493" w:type="pct"/>
            <w:tcBorders>
              <w:top w:val="nil"/>
              <w:left w:val="nil"/>
              <w:bottom w:val="single" w:sz="4" w:space="0" w:color="auto"/>
              <w:right w:val="single" w:sz="4" w:space="0" w:color="auto"/>
            </w:tcBorders>
            <w:shd w:val="clear" w:color="000000" w:fill="70AD47"/>
            <w:noWrap/>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0</w:t>
            </w:r>
          </w:p>
        </w:tc>
        <w:tc>
          <w:tcPr>
            <w:tcW w:w="408" w:type="pct"/>
            <w:tcBorders>
              <w:top w:val="nil"/>
              <w:left w:val="nil"/>
              <w:bottom w:val="single" w:sz="4" w:space="0" w:color="auto"/>
              <w:right w:val="single" w:sz="4" w:space="0" w:color="auto"/>
            </w:tcBorders>
            <w:shd w:val="clear" w:color="000000" w:fill="70AD47"/>
            <w:noWrap/>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0</w:t>
            </w:r>
          </w:p>
        </w:tc>
        <w:tc>
          <w:tcPr>
            <w:tcW w:w="440" w:type="pct"/>
            <w:tcBorders>
              <w:top w:val="nil"/>
              <w:left w:val="nil"/>
              <w:bottom w:val="single" w:sz="4" w:space="0" w:color="auto"/>
              <w:right w:val="single" w:sz="4" w:space="0" w:color="auto"/>
            </w:tcBorders>
            <w:shd w:val="clear" w:color="000000" w:fill="70AD47"/>
            <w:noWrap/>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0</w:t>
            </w:r>
          </w:p>
        </w:tc>
        <w:tc>
          <w:tcPr>
            <w:tcW w:w="424" w:type="pct"/>
            <w:tcBorders>
              <w:top w:val="nil"/>
              <w:left w:val="nil"/>
              <w:bottom w:val="single" w:sz="4" w:space="0" w:color="auto"/>
              <w:right w:val="single" w:sz="4" w:space="0" w:color="auto"/>
            </w:tcBorders>
            <w:shd w:val="clear" w:color="000000" w:fill="70AD47"/>
            <w:noWrap/>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0</w:t>
            </w:r>
          </w:p>
        </w:tc>
        <w:tc>
          <w:tcPr>
            <w:tcW w:w="339" w:type="pct"/>
            <w:tcBorders>
              <w:top w:val="nil"/>
              <w:left w:val="nil"/>
              <w:bottom w:val="single" w:sz="4" w:space="0" w:color="auto"/>
              <w:right w:val="single" w:sz="4" w:space="0" w:color="auto"/>
            </w:tcBorders>
            <w:shd w:val="clear" w:color="000000" w:fill="70AD47"/>
            <w:noWrap/>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0</w:t>
            </w:r>
          </w:p>
        </w:tc>
      </w:tr>
      <w:tr w:rsidR="0011236C" w:rsidRPr="0011236C" w:rsidTr="00F76962">
        <w:trPr>
          <w:trHeight w:val="613"/>
        </w:trPr>
        <w:tc>
          <w:tcPr>
            <w:tcW w:w="1116" w:type="pct"/>
            <w:tcBorders>
              <w:top w:val="nil"/>
              <w:left w:val="single" w:sz="4" w:space="0" w:color="auto"/>
              <w:bottom w:val="single" w:sz="4" w:space="0" w:color="auto"/>
              <w:right w:val="single" w:sz="4" w:space="0" w:color="auto"/>
            </w:tcBorders>
            <w:shd w:val="clear" w:color="FFFFFF" w:fill="FFFFFF"/>
            <w:vAlign w:val="center"/>
            <w:hideMark/>
          </w:tcPr>
          <w:p w:rsidR="0011236C" w:rsidRPr="0011236C" w:rsidRDefault="0011236C" w:rsidP="0011236C">
            <w:pPr>
              <w:jc w:val="both"/>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Evitar que la tasa de mortalidad por tuberculosis esté por encima de 1,9. Se calcula sobre el total del departamento, tanto defunciones como población, por la línea base. La población que se utilizo es proyección censo 2005 para establecer comparación</w:t>
            </w:r>
          </w:p>
        </w:tc>
        <w:tc>
          <w:tcPr>
            <w:tcW w:w="409" w:type="pct"/>
            <w:tcBorders>
              <w:top w:val="nil"/>
              <w:left w:val="nil"/>
              <w:bottom w:val="single" w:sz="4" w:space="0" w:color="auto"/>
              <w:right w:val="single" w:sz="4" w:space="0" w:color="auto"/>
            </w:tcBorders>
            <w:shd w:val="clear" w:color="FFFFFF" w:fill="FFFFFF"/>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1,9</w:t>
            </w:r>
          </w:p>
        </w:tc>
        <w:tc>
          <w:tcPr>
            <w:tcW w:w="409" w:type="pct"/>
            <w:tcBorders>
              <w:top w:val="nil"/>
              <w:left w:val="nil"/>
              <w:bottom w:val="single" w:sz="4" w:space="0" w:color="auto"/>
              <w:right w:val="single" w:sz="4" w:space="0" w:color="auto"/>
            </w:tcBorders>
            <w:shd w:val="clear" w:color="FFFFFF" w:fill="FFFFFF"/>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1,9</w:t>
            </w:r>
          </w:p>
        </w:tc>
        <w:tc>
          <w:tcPr>
            <w:tcW w:w="962" w:type="pct"/>
            <w:tcBorders>
              <w:top w:val="nil"/>
              <w:left w:val="nil"/>
              <w:bottom w:val="single" w:sz="4" w:space="0" w:color="auto"/>
              <w:right w:val="single" w:sz="4" w:space="0" w:color="auto"/>
            </w:tcBorders>
            <w:shd w:val="clear" w:color="FFFFFF" w:fill="FFFFFF"/>
            <w:vAlign w:val="center"/>
            <w:hideMark/>
          </w:tcPr>
          <w:p w:rsidR="0011236C" w:rsidRPr="0011236C" w:rsidRDefault="0011236C" w:rsidP="0011236C">
            <w:pPr>
              <w:jc w:val="both"/>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Mortalidad por Tuberculosis (Por 100.000 habitantes - ASIS 2019 datos 2017</w:t>
            </w:r>
          </w:p>
        </w:tc>
        <w:tc>
          <w:tcPr>
            <w:tcW w:w="493" w:type="pct"/>
            <w:tcBorders>
              <w:top w:val="nil"/>
              <w:left w:val="nil"/>
              <w:bottom w:val="single" w:sz="4" w:space="0" w:color="auto"/>
              <w:right w:val="single" w:sz="4" w:space="0" w:color="auto"/>
            </w:tcBorders>
            <w:shd w:val="clear" w:color="000000" w:fill="70AD47"/>
            <w:noWrap/>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0.22(2)</w:t>
            </w:r>
          </w:p>
        </w:tc>
        <w:tc>
          <w:tcPr>
            <w:tcW w:w="408" w:type="pct"/>
            <w:tcBorders>
              <w:top w:val="nil"/>
              <w:left w:val="nil"/>
              <w:bottom w:val="single" w:sz="4" w:space="0" w:color="auto"/>
              <w:right w:val="single" w:sz="4" w:space="0" w:color="auto"/>
            </w:tcBorders>
            <w:shd w:val="clear" w:color="000000" w:fill="70AD47"/>
            <w:noWrap/>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0,08</w:t>
            </w:r>
          </w:p>
        </w:tc>
        <w:tc>
          <w:tcPr>
            <w:tcW w:w="440" w:type="pct"/>
            <w:tcBorders>
              <w:top w:val="nil"/>
              <w:left w:val="nil"/>
              <w:bottom w:val="single" w:sz="4" w:space="0" w:color="auto"/>
              <w:right w:val="single" w:sz="4" w:space="0" w:color="auto"/>
            </w:tcBorders>
            <w:shd w:val="clear" w:color="000000" w:fill="70AD47"/>
            <w:noWrap/>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0.33(3)</w:t>
            </w:r>
          </w:p>
        </w:tc>
        <w:tc>
          <w:tcPr>
            <w:tcW w:w="424" w:type="pct"/>
            <w:tcBorders>
              <w:top w:val="nil"/>
              <w:left w:val="nil"/>
              <w:bottom w:val="single" w:sz="4" w:space="0" w:color="auto"/>
              <w:right w:val="single" w:sz="4" w:space="0" w:color="auto"/>
            </w:tcBorders>
            <w:shd w:val="clear" w:color="000000" w:fill="FF0000"/>
            <w:noWrap/>
            <w:vAlign w:val="center"/>
            <w:hideMark/>
          </w:tcPr>
          <w:p w:rsidR="0011236C" w:rsidRPr="0011236C" w:rsidRDefault="0011236C" w:rsidP="0011236C">
            <w:pPr>
              <w:jc w:val="center"/>
              <w:rPr>
                <w:rFonts w:ascii="Arial" w:eastAsia="Times New Roman" w:hAnsi="Arial" w:cs="Arial"/>
                <w:b/>
                <w:bCs/>
                <w:color w:val="FFFFFF"/>
                <w:sz w:val="16"/>
                <w:szCs w:val="16"/>
                <w:lang w:eastAsia="es-CO"/>
              </w:rPr>
            </w:pPr>
            <w:r w:rsidRPr="0011236C">
              <w:rPr>
                <w:rFonts w:ascii="Arial" w:eastAsia="Times New Roman" w:hAnsi="Arial" w:cs="Arial"/>
                <w:b/>
                <w:bCs/>
                <w:color w:val="FFFFFF"/>
                <w:sz w:val="16"/>
                <w:szCs w:val="16"/>
                <w:lang w:eastAsia="es-CO"/>
              </w:rPr>
              <w:t>2,04</w:t>
            </w:r>
          </w:p>
        </w:tc>
        <w:tc>
          <w:tcPr>
            <w:tcW w:w="339" w:type="pct"/>
            <w:tcBorders>
              <w:top w:val="nil"/>
              <w:left w:val="nil"/>
              <w:bottom w:val="single" w:sz="4" w:space="0" w:color="auto"/>
              <w:right w:val="single" w:sz="4" w:space="0" w:color="auto"/>
            </w:tcBorders>
            <w:shd w:val="clear" w:color="auto" w:fill="auto"/>
            <w:noWrap/>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0,55</w:t>
            </w:r>
          </w:p>
        </w:tc>
      </w:tr>
      <w:tr w:rsidR="0011236C" w:rsidRPr="0011236C" w:rsidTr="00F76962">
        <w:trPr>
          <w:trHeight w:val="854"/>
        </w:trPr>
        <w:tc>
          <w:tcPr>
            <w:tcW w:w="1116" w:type="pct"/>
            <w:tcBorders>
              <w:top w:val="nil"/>
              <w:left w:val="single" w:sz="4" w:space="0" w:color="auto"/>
              <w:bottom w:val="single" w:sz="4" w:space="0" w:color="auto"/>
              <w:right w:val="single" w:sz="4" w:space="0" w:color="auto"/>
            </w:tcBorders>
            <w:shd w:val="clear" w:color="FFFFFF" w:fill="FFFFFF"/>
            <w:vAlign w:val="center"/>
            <w:hideMark/>
          </w:tcPr>
          <w:p w:rsidR="0011236C" w:rsidRPr="0011236C" w:rsidRDefault="0011236C" w:rsidP="0011236C">
            <w:pPr>
              <w:jc w:val="both"/>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 xml:space="preserve">Evitar que la tasa de incidencia de la enfermedad de Hansen esté por encima de 1,39. (se tuvo en cuenta en la respuesta solo casos notificados por el Dpto Magdalena, no incluye DTCH. Por tanto, en la población también se </w:t>
            </w:r>
            <w:r w:rsidRPr="0011236C">
              <w:rPr>
                <w:rFonts w:ascii="Arial" w:eastAsia="Times New Roman" w:hAnsi="Arial" w:cs="Arial"/>
                <w:color w:val="000000"/>
                <w:sz w:val="16"/>
                <w:szCs w:val="16"/>
                <w:lang w:eastAsia="es-CO"/>
              </w:rPr>
              <w:lastRenderedPageBreak/>
              <w:t xml:space="preserve">excluye el distrito. Para 2020 se toma población sin DTCH según censo 2005 y para 2021 pob. total según censo 2018 sin DTCH </w:t>
            </w:r>
          </w:p>
        </w:tc>
        <w:tc>
          <w:tcPr>
            <w:tcW w:w="409" w:type="pct"/>
            <w:tcBorders>
              <w:top w:val="nil"/>
              <w:left w:val="nil"/>
              <w:bottom w:val="single" w:sz="4" w:space="0" w:color="auto"/>
              <w:right w:val="single" w:sz="4" w:space="0" w:color="auto"/>
            </w:tcBorders>
            <w:shd w:val="clear" w:color="FFFFFF" w:fill="FFFFFF"/>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lastRenderedPageBreak/>
              <w:t>1,39</w:t>
            </w:r>
          </w:p>
        </w:tc>
        <w:tc>
          <w:tcPr>
            <w:tcW w:w="409" w:type="pct"/>
            <w:tcBorders>
              <w:top w:val="nil"/>
              <w:left w:val="nil"/>
              <w:bottom w:val="single" w:sz="4" w:space="0" w:color="auto"/>
              <w:right w:val="single" w:sz="4" w:space="0" w:color="auto"/>
            </w:tcBorders>
            <w:shd w:val="clear" w:color="FFFFFF" w:fill="FFFFFF"/>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1,39</w:t>
            </w:r>
          </w:p>
        </w:tc>
        <w:tc>
          <w:tcPr>
            <w:tcW w:w="962" w:type="pct"/>
            <w:tcBorders>
              <w:top w:val="nil"/>
              <w:left w:val="nil"/>
              <w:bottom w:val="single" w:sz="4" w:space="0" w:color="auto"/>
              <w:right w:val="single" w:sz="4" w:space="0" w:color="auto"/>
            </w:tcBorders>
            <w:shd w:val="clear" w:color="FFFFFF" w:fill="FFFFFF"/>
            <w:vAlign w:val="center"/>
            <w:hideMark/>
          </w:tcPr>
          <w:p w:rsidR="0011236C" w:rsidRPr="0011236C" w:rsidRDefault="0011236C" w:rsidP="0011236C">
            <w:pPr>
              <w:jc w:val="both"/>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Incidencia de enfermedad de Hansen</w:t>
            </w:r>
          </w:p>
        </w:tc>
        <w:tc>
          <w:tcPr>
            <w:tcW w:w="493" w:type="pct"/>
            <w:tcBorders>
              <w:top w:val="nil"/>
              <w:left w:val="nil"/>
              <w:bottom w:val="single" w:sz="4" w:space="0" w:color="auto"/>
              <w:right w:val="single" w:sz="4" w:space="0" w:color="auto"/>
            </w:tcBorders>
            <w:shd w:val="clear" w:color="000000" w:fill="70AD47"/>
            <w:noWrap/>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0,5</w:t>
            </w:r>
          </w:p>
        </w:tc>
        <w:tc>
          <w:tcPr>
            <w:tcW w:w="408" w:type="pct"/>
            <w:tcBorders>
              <w:top w:val="nil"/>
              <w:left w:val="nil"/>
              <w:bottom w:val="single" w:sz="4" w:space="0" w:color="auto"/>
              <w:right w:val="single" w:sz="4" w:space="0" w:color="auto"/>
            </w:tcBorders>
            <w:shd w:val="clear" w:color="000000" w:fill="70AD47"/>
            <w:noWrap/>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0,12</w:t>
            </w:r>
          </w:p>
        </w:tc>
        <w:tc>
          <w:tcPr>
            <w:tcW w:w="440" w:type="pct"/>
            <w:tcBorders>
              <w:top w:val="nil"/>
              <w:left w:val="nil"/>
              <w:bottom w:val="single" w:sz="4" w:space="0" w:color="auto"/>
              <w:right w:val="single" w:sz="4" w:space="0" w:color="auto"/>
            </w:tcBorders>
            <w:shd w:val="clear" w:color="000000" w:fill="70AD47"/>
            <w:noWrap/>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0,37</w:t>
            </w:r>
          </w:p>
        </w:tc>
        <w:tc>
          <w:tcPr>
            <w:tcW w:w="424" w:type="pct"/>
            <w:tcBorders>
              <w:top w:val="nil"/>
              <w:left w:val="nil"/>
              <w:bottom w:val="single" w:sz="4" w:space="0" w:color="auto"/>
              <w:right w:val="single" w:sz="4" w:space="0" w:color="auto"/>
            </w:tcBorders>
            <w:shd w:val="clear" w:color="000000" w:fill="70AD47"/>
            <w:noWrap/>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0,5</w:t>
            </w:r>
          </w:p>
        </w:tc>
        <w:tc>
          <w:tcPr>
            <w:tcW w:w="339" w:type="pct"/>
            <w:tcBorders>
              <w:top w:val="nil"/>
              <w:left w:val="nil"/>
              <w:bottom w:val="single" w:sz="4" w:space="0" w:color="auto"/>
              <w:right w:val="single" w:sz="4" w:space="0" w:color="auto"/>
            </w:tcBorders>
            <w:shd w:val="clear" w:color="000000" w:fill="70AD47"/>
            <w:noWrap/>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0,33</w:t>
            </w:r>
          </w:p>
        </w:tc>
      </w:tr>
      <w:tr w:rsidR="0011236C" w:rsidRPr="0011236C" w:rsidTr="00F76962">
        <w:trPr>
          <w:trHeight w:val="491"/>
        </w:trPr>
        <w:tc>
          <w:tcPr>
            <w:tcW w:w="1116" w:type="pct"/>
            <w:tcBorders>
              <w:top w:val="nil"/>
              <w:left w:val="single" w:sz="4" w:space="0" w:color="auto"/>
              <w:bottom w:val="single" w:sz="4" w:space="0" w:color="auto"/>
              <w:right w:val="single" w:sz="4" w:space="0" w:color="auto"/>
            </w:tcBorders>
            <w:shd w:val="clear" w:color="FFFFFF" w:fill="FFFFFF"/>
            <w:vAlign w:val="center"/>
            <w:hideMark/>
          </w:tcPr>
          <w:p w:rsidR="0011236C" w:rsidRPr="0011236C" w:rsidRDefault="0011236C" w:rsidP="0011236C">
            <w:pPr>
              <w:jc w:val="both"/>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Evitar que la tasa de Incidencia del VIH en población de 15-49 esté por encima de 7,9 -  EL 2020 de acuerdo con SIVIGILA cierre año 2020 y semana 26 de 2021</w:t>
            </w:r>
          </w:p>
        </w:tc>
        <w:tc>
          <w:tcPr>
            <w:tcW w:w="409" w:type="pct"/>
            <w:tcBorders>
              <w:top w:val="nil"/>
              <w:left w:val="nil"/>
              <w:bottom w:val="single" w:sz="4" w:space="0" w:color="auto"/>
              <w:right w:val="single" w:sz="4" w:space="0" w:color="auto"/>
            </w:tcBorders>
            <w:shd w:val="clear" w:color="FFFFFF" w:fill="FFFFFF"/>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7,9</w:t>
            </w:r>
          </w:p>
        </w:tc>
        <w:tc>
          <w:tcPr>
            <w:tcW w:w="409" w:type="pct"/>
            <w:tcBorders>
              <w:top w:val="nil"/>
              <w:left w:val="nil"/>
              <w:bottom w:val="single" w:sz="4" w:space="0" w:color="auto"/>
              <w:right w:val="single" w:sz="4" w:space="0" w:color="auto"/>
            </w:tcBorders>
            <w:shd w:val="clear" w:color="FFFFFF" w:fill="FFFFFF"/>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7,9</w:t>
            </w:r>
          </w:p>
        </w:tc>
        <w:tc>
          <w:tcPr>
            <w:tcW w:w="962" w:type="pct"/>
            <w:tcBorders>
              <w:top w:val="nil"/>
              <w:left w:val="nil"/>
              <w:bottom w:val="single" w:sz="4" w:space="0" w:color="auto"/>
              <w:right w:val="single" w:sz="4" w:space="0" w:color="auto"/>
            </w:tcBorders>
            <w:shd w:val="clear" w:color="FFFFFF" w:fill="FFFFFF"/>
            <w:vAlign w:val="center"/>
            <w:hideMark/>
          </w:tcPr>
          <w:p w:rsidR="0011236C" w:rsidRPr="0011236C" w:rsidRDefault="0011236C" w:rsidP="0011236C">
            <w:pPr>
              <w:jc w:val="both"/>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Incidencia del VIH</w:t>
            </w:r>
          </w:p>
        </w:tc>
        <w:tc>
          <w:tcPr>
            <w:tcW w:w="493" w:type="pct"/>
            <w:tcBorders>
              <w:top w:val="nil"/>
              <w:left w:val="nil"/>
              <w:bottom w:val="single" w:sz="4" w:space="0" w:color="auto"/>
              <w:right w:val="single" w:sz="4" w:space="0" w:color="auto"/>
            </w:tcBorders>
            <w:shd w:val="clear" w:color="000000" w:fill="FF0000"/>
            <w:noWrap/>
            <w:vAlign w:val="center"/>
            <w:hideMark/>
          </w:tcPr>
          <w:p w:rsidR="0011236C" w:rsidRPr="0011236C" w:rsidRDefault="0011236C" w:rsidP="0011236C">
            <w:pPr>
              <w:jc w:val="center"/>
              <w:rPr>
                <w:rFonts w:ascii="Arial" w:eastAsia="Times New Roman" w:hAnsi="Arial" w:cs="Arial"/>
                <w:b/>
                <w:bCs/>
                <w:color w:val="FFFFFF"/>
                <w:sz w:val="16"/>
                <w:szCs w:val="16"/>
                <w:lang w:eastAsia="es-CO"/>
              </w:rPr>
            </w:pPr>
            <w:r w:rsidRPr="0011236C">
              <w:rPr>
                <w:rFonts w:ascii="Arial" w:eastAsia="Times New Roman" w:hAnsi="Arial" w:cs="Arial"/>
                <w:b/>
                <w:bCs/>
                <w:color w:val="FFFFFF"/>
                <w:sz w:val="16"/>
                <w:szCs w:val="16"/>
                <w:lang w:eastAsia="es-CO"/>
              </w:rPr>
              <w:t>32.3(142)</w:t>
            </w:r>
          </w:p>
        </w:tc>
        <w:tc>
          <w:tcPr>
            <w:tcW w:w="408" w:type="pct"/>
            <w:tcBorders>
              <w:top w:val="nil"/>
              <w:left w:val="nil"/>
              <w:bottom w:val="single" w:sz="4" w:space="0" w:color="auto"/>
              <w:right w:val="single" w:sz="4" w:space="0" w:color="auto"/>
            </w:tcBorders>
            <w:shd w:val="clear" w:color="000000" w:fill="70AD47"/>
            <w:noWrap/>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9,03</w:t>
            </w:r>
          </w:p>
        </w:tc>
        <w:tc>
          <w:tcPr>
            <w:tcW w:w="440" w:type="pct"/>
            <w:tcBorders>
              <w:top w:val="nil"/>
              <w:left w:val="nil"/>
              <w:bottom w:val="single" w:sz="4" w:space="0" w:color="auto"/>
              <w:right w:val="single" w:sz="4" w:space="0" w:color="auto"/>
            </w:tcBorders>
            <w:shd w:val="clear" w:color="000000" w:fill="FF0000"/>
            <w:noWrap/>
            <w:vAlign w:val="center"/>
            <w:hideMark/>
          </w:tcPr>
          <w:p w:rsidR="0011236C" w:rsidRPr="0011236C" w:rsidRDefault="0011236C" w:rsidP="0011236C">
            <w:pPr>
              <w:jc w:val="center"/>
              <w:rPr>
                <w:rFonts w:ascii="Arial" w:eastAsia="Times New Roman" w:hAnsi="Arial" w:cs="Arial"/>
                <w:b/>
                <w:bCs/>
                <w:color w:val="FFFFFF"/>
                <w:sz w:val="16"/>
                <w:szCs w:val="16"/>
                <w:lang w:eastAsia="es-CO"/>
              </w:rPr>
            </w:pPr>
            <w:r w:rsidRPr="0011236C">
              <w:rPr>
                <w:rFonts w:ascii="Arial" w:eastAsia="Times New Roman" w:hAnsi="Arial" w:cs="Arial"/>
                <w:b/>
                <w:bCs/>
                <w:color w:val="FFFFFF"/>
                <w:sz w:val="16"/>
                <w:szCs w:val="16"/>
                <w:lang w:eastAsia="es-CO"/>
              </w:rPr>
              <w:t>10.2(46)</w:t>
            </w:r>
          </w:p>
        </w:tc>
        <w:tc>
          <w:tcPr>
            <w:tcW w:w="424" w:type="pct"/>
            <w:tcBorders>
              <w:top w:val="nil"/>
              <w:left w:val="nil"/>
              <w:bottom w:val="single" w:sz="4" w:space="0" w:color="auto"/>
              <w:right w:val="single" w:sz="4" w:space="0" w:color="auto"/>
            </w:tcBorders>
            <w:shd w:val="clear" w:color="auto" w:fill="auto"/>
            <w:noWrap/>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w:t>
            </w:r>
          </w:p>
        </w:tc>
        <w:tc>
          <w:tcPr>
            <w:tcW w:w="339" w:type="pct"/>
            <w:tcBorders>
              <w:top w:val="nil"/>
              <w:left w:val="nil"/>
              <w:bottom w:val="single" w:sz="4" w:space="0" w:color="auto"/>
              <w:right w:val="single" w:sz="4" w:space="0" w:color="auto"/>
            </w:tcBorders>
            <w:shd w:val="clear" w:color="auto" w:fill="auto"/>
            <w:noWrap/>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w:t>
            </w:r>
          </w:p>
        </w:tc>
      </w:tr>
      <w:tr w:rsidR="0011236C" w:rsidRPr="0011236C" w:rsidTr="00F76962">
        <w:trPr>
          <w:trHeight w:val="491"/>
        </w:trPr>
        <w:tc>
          <w:tcPr>
            <w:tcW w:w="1116" w:type="pct"/>
            <w:tcBorders>
              <w:top w:val="nil"/>
              <w:left w:val="single" w:sz="4" w:space="0" w:color="auto"/>
              <w:bottom w:val="single" w:sz="4" w:space="0" w:color="auto"/>
              <w:right w:val="single" w:sz="4" w:space="0" w:color="auto"/>
            </w:tcBorders>
            <w:shd w:val="clear" w:color="000000" w:fill="FFFFFF"/>
            <w:vAlign w:val="center"/>
            <w:hideMark/>
          </w:tcPr>
          <w:p w:rsidR="0011236C" w:rsidRPr="0011236C" w:rsidRDefault="0011236C" w:rsidP="0011236C">
            <w:pPr>
              <w:jc w:val="both"/>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Evitar que el porcentaje de nacidos vivos con bajo peso al nacer, supere el 8,33%. Se incluyen datos del DTCH porque están contenidos en la Línea Base.</w:t>
            </w:r>
          </w:p>
        </w:tc>
        <w:tc>
          <w:tcPr>
            <w:tcW w:w="409" w:type="pct"/>
            <w:tcBorders>
              <w:top w:val="nil"/>
              <w:left w:val="nil"/>
              <w:bottom w:val="single" w:sz="4" w:space="0" w:color="auto"/>
              <w:right w:val="single" w:sz="4" w:space="0" w:color="auto"/>
            </w:tcBorders>
            <w:shd w:val="clear" w:color="FFFFFF" w:fill="FFFFFF"/>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8,33%</w:t>
            </w:r>
          </w:p>
        </w:tc>
        <w:tc>
          <w:tcPr>
            <w:tcW w:w="409" w:type="pct"/>
            <w:tcBorders>
              <w:top w:val="nil"/>
              <w:left w:val="nil"/>
              <w:bottom w:val="single" w:sz="4" w:space="0" w:color="auto"/>
              <w:right w:val="single" w:sz="4" w:space="0" w:color="auto"/>
            </w:tcBorders>
            <w:shd w:val="clear" w:color="FFFFFF" w:fill="FFFFFF"/>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8,33%</w:t>
            </w:r>
          </w:p>
        </w:tc>
        <w:tc>
          <w:tcPr>
            <w:tcW w:w="962" w:type="pct"/>
            <w:tcBorders>
              <w:top w:val="nil"/>
              <w:left w:val="nil"/>
              <w:bottom w:val="single" w:sz="4" w:space="0" w:color="auto"/>
              <w:right w:val="single" w:sz="4" w:space="0" w:color="auto"/>
            </w:tcBorders>
            <w:shd w:val="clear" w:color="FFFFFF" w:fill="FFFFFF"/>
            <w:vAlign w:val="center"/>
            <w:hideMark/>
          </w:tcPr>
          <w:p w:rsidR="0011236C" w:rsidRPr="0011236C" w:rsidRDefault="0011236C" w:rsidP="0011236C">
            <w:pPr>
              <w:jc w:val="both"/>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Nacidos vivos con bajo peso al nacer</w:t>
            </w:r>
          </w:p>
        </w:tc>
        <w:tc>
          <w:tcPr>
            <w:tcW w:w="493" w:type="pct"/>
            <w:tcBorders>
              <w:top w:val="nil"/>
              <w:left w:val="nil"/>
              <w:bottom w:val="single" w:sz="4" w:space="0" w:color="auto"/>
              <w:right w:val="single" w:sz="4" w:space="0" w:color="auto"/>
            </w:tcBorders>
            <w:shd w:val="clear" w:color="auto" w:fill="auto"/>
            <w:noWrap/>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w:t>
            </w:r>
          </w:p>
        </w:tc>
        <w:tc>
          <w:tcPr>
            <w:tcW w:w="440" w:type="pct"/>
            <w:tcBorders>
              <w:top w:val="nil"/>
              <w:left w:val="nil"/>
              <w:bottom w:val="single" w:sz="4" w:space="0" w:color="auto"/>
              <w:right w:val="single" w:sz="4" w:space="0" w:color="auto"/>
            </w:tcBorders>
            <w:shd w:val="clear" w:color="auto" w:fill="auto"/>
            <w:noWrap/>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w:t>
            </w:r>
          </w:p>
        </w:tc>
        <w:tc>
          <w:tcPr>
            <w:tcW w:w="424" w:type="pct"/>
            <w:tcBorders>
              <w:top w:val="nil"/>
              <w:left w:val="nil"/>
              <w:bottom w:val="single" w:sz="4" w:space="0" w:color="auto"/>
              <w:right w:val="single" w:sz="4" w:space="0" w:color="auto"/>
            </w:tcBorders>
            <w:shd w:val="clear" w:color="000000" w:fill="70AD47"/>
            <w:noWrap/>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7,65</w:t>
            </w:r>
          </w:p>
        </w:tc>
        <w:tc>
          <w:tcPr>
            <w:tcW w:w="339" w:type="pct"/>
            <w:tcBorders>
              <w:top w:val="nil"/>
              <w:left w:val="nil"/>
              <w:bottom w:val="single" w:sz="4" w:space="0" w:color="auto"/>
              <w:right w:val="single" w:sz="4" w:space="0" w:color="auto"/>
            </w:tcBorders>
            <w:shd w:val="clear" w:color="000000" w:fill="FF0000"/>
            <w:noWrap/>
            <w:vAlign w:val="center"/>
            <w:hideMark/>
          </w:tcPr>
          <w:p w:rsidR="0011236C" w:rsidRPr="0011236C" w:rsidRDefault="0011236C" w:rsidP="0011236C">
            <w:pPr>
              <w:jc w:val="center"/>
              <w:rPr>
                <w:rFonts w:ascii="Arial" w:eastAsia="Times New Roman" w:hAnsi="Arial" w:cs="Arial"/>
                <w:b/>
                <w:bCs/>
                <w:color w:val="FFFFFF"/>
                <w:sz w:val="16"/>
                <w:szCs w:val="16"/>
                <w:lang w:eastAsia="es-CO"/>
              </w:rPr>
            </w:pPr>
            <w:r w:rsidRPr="0011236C">
              <w:rPr>
                <w:rFonts w:ascii="Arial" w:eastAsia="Times New Roman" w:hAnsi="Arial" w:cs="Arial"/>
                <w:b/>
                <w:bCs/>
                <w:color w:val="FFFFFF"/>
                <w:sz w:val="16"/>
                <w:szCs w:val="16"/>
                <w:lang w:eastAsia="es-CO"/>
              </w:rPr>
              <w:t>27,02</w:t>
            </w:r>
          </w:p>
        </w:tc>
      </w:tr>
      <w:tr w:rsidR="0011236C" w:rsidRPr="0011236C" w:rsidTr="00F76962">
        <w:trPr>
          <w:trHeight w:val="491"/>
        </w:trPr>
        <w:tc>
          <w:tcPr>
            <w:tcW w:w="1116" w:type="pct"/>
            <w:tcBorders>
              <w:top w:val="nil"/>
              <w:left w:val="single" w:sz="4" w:space="0" w:color="auto"/>
              <w:bottom w:val="single" w:sz="4" w:space="0" w:color="auto"/>
              <w:right w:val="single" w:sz="4" w:space="0" w:color="auto"/>
            </w:tcBorders>
            <w:shd w:val="clear" w:color="000000" w:fill="FFFFFF"/>
            <w:vAlign w:val="center"/>
            <w:hideMark/>
          </w:tcPr>
          <w:p w:rsidR="0011236C" w:rsidRPr="0011236C" w:rsidRDefault="0011236C" w:rsidP="0011236C">
            <w:pPr>
              <w:jc w:val="both"/>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Evitar que la tasa de mortalidad por desnutrición en menores de 5 años, esté por encima de 15,87. Se incluyen datos del DTCH porque están contenidos en la Línea Base.</w:t>
            </w:r>
          </w:p>
        </w:tc>
        <w:tc>
          <w:tcPr>
            <w:tcW w:w="409" w:type="pct"/>
            <w:tcBorders>
              <w:top w:val="nil"/>
              <w:left w:val="nil"/>
              <w:bottom w:val="single" w:sz="4" w:space="0" w:color="auto"/>
              <w:right w:val="single" w:sz="4" w:space="0" w:color="auto"/>
            </w:tcBorders>
            <w:shd w:val="clear" w:color="FFFFFF" w:fill="FFFFFF"/>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15,87%</w:t>
            </w:r>
          </w:p>
        </w:tc>
        <w:tc>
          <w:tcPr>
            <w:tcW w:w="409" w:type="pct"/>
            <w:tcBorders>
              <w:top w:val="nil"/>
              <w:left w:val="nil"/>
              <w:bottom w:val="single" w:sz="4" w:space="0" w:color="auto"/>
              <w:right w:val="single" w:sz="4" w:space="0" w:color="auto"/>
            </w:tcBorders>
            <w:shd w:val="clear" w:color="FFFFFF" w:fill="FFFFFF"/>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15,87%</w:t>
            </w:r>
          </w:p>
        </w:tc>
        <w:tc>
          <w:tcPr>
            <w:tcW w:w="962" w:type="pct"/>
            <w:tcBorders>
              <w:top w:val="nil"/>
              <w:left w:val="nil"/>
              <w:bottom w:val="single" w:sz="4" w:space="0" w:color="auto"/>
              <w:right w:val="single" w:sz="4" w:space="0" w:color="auto"/>
            </w:tcBorders>
            <w:shd w:val="clear" w:color="FFFFFF" w:fill="FFFFFF"/>
            <w:vAlign w:val="center"/>
            <w:hideMark/>
          </w:tcPr>
          <w:p w:rsidR="0011236C" w:rsidRPr="0011236C" w:rsidRDefault="0011236C" w:rsidP="0011236C">
            <w:pPr>
              <w:jc w:val="both"/>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Mortalidad por desnutrición en menores de 5 años</w:t>
            </w:r>
          </w:p>
        </w:tc>
        <w:tc>
          <w:tcPr>
            <w:tcW w:w="493" w:type="pct"/>
            <w:tcBorders>
              <w:top w:val="nil"/>
              <w:left w:val="nil"/>
              <w:bottom w:val="single" w:sz="4" w:space="0" w:color="auto"/>
              <w:right w:val="single" w:sz="4" w:space="0" w:color="auto"/>
            </w:tcBorders>
            <w:shd w:val="clear" w:color="000000" w:fill="70AD47"/>
            <w:noWrap/>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4,3</w:t>
            </w:r>
          </w:p>
        </w:tc>
        <w:tc>
          <w:tcPr>
            <w:tcW w:w="408" w:type="pct"/>
            <w:tcBorders>
              <w:top w:val="nil"/>
              <w:left w:val="nil"/>
              <w:bottom w:val="single" w:sz="4" w:space="0" w:color="auto"/>
              <w:right w:val="single" w:sz="4" w:space="0" w:color="auto"/>
            </w:tcBorders>
            <w:shd w:val="clear" w:color="000000" w:fill="70AD47"/>
            <w:noWrap/>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3,6</w:t>
            </w:r>
          </w:p>
        </w:tc>
        <w:tc>
          <w:tcPr>
            <w:tcW w:w="440" w:type="pct"/>
            <w:tcBorders>
              <w:top w:val="nil"/>
              <w:left w:val="nil"/>
              <w:bottom w:val="single" w:sz="4" w:space="0" w:color="auto"/>
              <w:right w:val="single" w:sz="4" w:space="0" w:color="auto"/>
            </w:tcBorders>
            <w:shd w:val="clear" w:color="000000" w:fill="70AD47"/>
            <w:noWrap/>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4,3</w:t>
            </w:r>
          </w:p>
        </w:tc>
        <w:tc>
          <w:tcPr>
            <w:tcW w:w="424" w:type="pct"/>
            <w:tcBorders>
              <w:top w:val="nil"/>
              <w:left w:val="nil"/>
              <w:bottom w:val="single" w:sz="4" w:space="0" w:color="auto"/>
              <w:right w:val="single" w:sz="4" w:space="0" w:color="auto"/>
            </w:tcBorders>
            <w:shd w:val="clear" w:color="000000" w:fill="FF0000"/>
            <w:noWrap/>
            <w:vAlign w:val="center"/>
            <w:hideMark/>
          </w:tcPr>
          <w:p w:rsidR="0011236C" w:rsidRPr="0011236C" w:rsidRDefault="0011236C" w:rsidP="0011236C">
            <w:pPr>
              <w:jc w:val="center"/>
              <w:rPr>
                <w:rFonts w:ascii="Arial" w:eastAsia="Times New Roman" w:hAnsi="Arial" w:cs="Arial"/>
                <w:b/>
                <w:bCs/>
                <w:color w:val="FFFFFF"/>
                <w:sz w:val="16"/>
                <w:szCs w:val="16"/>
                <w:lang w:eastAsia="es-CO"/>
              </w:rPr>
            </w:pPr>
            <w:r w:rsidRPr="0011236C">
              <w:rPr>
                <w:rFonts w:ascii="Arial" w:eastAsia="Times New Roman" w:hAnsi="Arial" w:cs="Arial"/>
                <w:b/>
                <w:bCs/>
                <w:color w:val="FFFFFF"/>
                <w:sz w:val="16"/>
                <w:szCs w:val="16"/>
                <w:lang w:eastAsia="es-CO"/>
              </w:rPr>
              <w:t>20,73</w:t>
            </w:r>
          </w:p>
        </w:tc>
        <w:tc>
          <w:tcPr>
            <w:tcW w:w="339" w:type="pct"/>
            <w:tcBorders>
              <w:top w:val="nil"/>
              <w:left w:val="nil"/>
              <w:bottom w:val="single" w:sz="4" w:space="0" w:color="auto"/>
              <w:right w:val="single" w:sz="4" w:space="0" w:color="auto"/>
            </w:tcBorders>
            <w:shd w:val="clear" w:color="auto" w:fill="auto"/>
            <w:noWrap/>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3,75</w:t>
            </w:r>
          </w:p>
        </w:tc>
      </w:tr>
      <w:tr w:rsidR="0011236C" w:rsidRPr="0011236C" w:rsidTr="00F76962">
        <w:trPr>
          <w:trHeight w:val="723"/>
        </w:trPr>
        <w:tc>
          <w:tcPr>
            <w:tcW w:w="1116" w:type="pct"/>
            <w:tcBorders>
              <w:top w:val="nil"/>
              <w:left w:val="single" w:sz="4" w:space="0" w:color="auto"/>
              <w:bottom w:val="single" w:sz="4" w:space="0" w:color="auto"/>
              <w:right w:val="single" w:sz="4" w:space="0" w:color="auto"/>
            </w:tcBorders>
            <w:shd w:val="clear" w:color="000000" w:fill="FFFFFF"/>
            <w:vAlign w:val="center"/>
            <w:hideMark/>
          </w:tcPr>
          <w:p w:rsidR="0011236C" w:rsidRPr="0011236C" w:rsidRDefault="0011236C" w:rsidP="0011236C">
            <w:pPr>
              <w:jc w:val="both"/>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Promover la vigilancia epidemiológica, sanitaria y por laboratorio en el 100% de los Eventos de Interés en Salud Pública - EISP notificados.</w:t>
            </w:r>
          </w:p>
        </w:tc>
        <w:tc>
          <w:tcPr>
            <w:tcW w:w="409" w:type="pct"/>
            <w:tcBorders>
              <w:top w:val="nil"/>
              <w:left w:val="nil"/>
              <w:bottom w:val="single" w:sz="4" w:space="0" w:color="auto"/>
              <w:right w:val="single" w:sz="4" w:space="0" w:color="auto"/>
            </w:tcBorders>
            <w:shd w:val="clear" w:color="FFFFFF" w:fill="FFFFFF"/>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100%</w:t>
            </w:r>
          </w:p>
        </w:tc>
        <w:tc>
          <w:tcPr>
            <w:tcW w:w="409" w:type="pct"/>
            <w:tcBorders>
              <w:top w:val="nil"/>
              <w:left w:val="nil"/>
              <w:bottom w:val="single" w:sz="4" w:space="0" w:color="auto"/>
              <w:right w:val="single" w:sz="4" w:space="0" w:color="auto"/>
            </w:tcBorders>
            <w:shd w:val="clear" w:color="FFFFFF" w:fill="FFFFFF"/>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100%</w:t>
            </w:r>
          </w:p>
        </w:tc>
        <w:tc>
          <w:tcPr>
            <w:tcW w:w="962" w:type="pct"/>
            <w:tcBorders>
              <w:top w:val="nil"/>
              <w:left w:val="nil"/>
              <w:bottom w:val="single" w:sz="4" w:space="0" w:color="auto"/>
              <w:right w:val="single" w:sz="4" w:space="0" w:color="auto"/>
            </w:tcBorders>
            <w:shd w:val="clear" w:color="FFFFFF" w:fill="FFFFFF"/>
            <w:vAlign w:val="center"/>
            <w:hideMark/>
          </w:tcPr>
          <w:p w:rsidR="0011236C" w:rsidRPr="0011236C" w:rsidRDefault="0011236C" w:rsidP="0011236C">
            <w:pPr>
              <w:jc w:val="both"/>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EISP notificados que son objeto de vigilancia epidemiológica, sanitaria y por laboratorio</w:t>
            </w:r>
          </w:p>
        </w:tc>
        <w:tc>
          <w:tcPr>
            <w:tcW w:w="493" w:type="pct"/>
            <w:tcBorders>
              <w:top w:val="nil"/>
              <w:left w:val="nil"/>
              <w:bottom w:val="single" w:sz="4" w:space="0" w:color="auto"/>
              <w:right w:val="single" w:sz="4" w:space="0" w:color="auto"/>
            </w:tcBorders>
            <w:shd w:val="clear" w:color="000000" w:fill="70AD47"/>
            <w:noWrap/>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100</w:t>
            </w:r>
          </w:p>
        </w:tc>
        <w:tc>
          <w:tcPr>
            <w:tcW w:w="408" w:type="pct"/>
            <w:tcBorders>
              <w:top w:val="nil"/>
              <w:left w:val="nil"/>
              <w:bottom w:val="single" w:sz="4" w:space="0" w:color="auto"/>
              <w:right w:val="single" w:sz="4" w:space="0" w:color="auto"/>
            </w:tcBorders>
            <w:shd w:val="clear" w:color="000000" w:fill="70AD47"/>
            <w:noWrap/>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100</w:t>
            </w:r>
          </w:p>
        </w:tc>
        <w:tc>
          <w:tcPr>
            <w:tcW w:w="440" w:type="pct"/>
            <w:tcBorders>
              <w:top w:val="nil"/>
              <w:left w:val="nil"/>
              <w:bottom w:val="single" w:sz="4" w:space="0" w:color="auto"/>
              <w:right w:val="single" w:sz="4" w:space="0" w:color="auto"/>
            </w:tcBorders>
            <w:shd w:val="clear" w:color="000000" w:fill="70AD47"/>
            <w:noWrap/>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100</w:t>
            </w:r>
          </w:p>
        </w:tc>
        <w:tc>
          <w:tcPr>
            <w:tcW w:w="424" w:type="pct"/>
            <w:tcBorders>
              <w:top w:val="nil"/>
              <w:left w:val="nil"/>
              <w:bottom w:val="single" w:sz="4" w:space="0" w:color="auto"/>
              <w:right w:val="single" w:sz="4" w:space="0" w:color="auto"/>
            </w:tcBorders>
            <w:shd w:val="clear" w:color="auto" w:fill="auto"/>
            <w:noWrap/>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w:t>
            </w:r>
          </w:p>
        </w:tc>
        <w:tc>
          <w:tcPr>
            <w:tcW w:w="339" w:type="pct"/>
            <w:tcBorders>
              <w:top w:val="nil"/>
              <w:left w:val="nil"/>
              <w:bottom w:val="single" w:sz="4" w:space="0" w:color="auto"/>
              <w:right w:val="single" w:sz="4" w:space="0" w:color="auto"/>
            </w:tcBorders>
            <w:shd w:val="clear" w:color="auto" w:fill="auto"/>
            <w:noWrap/>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w:t>
            </w:r>
          </w:p>
        </w:tc>
      </w:tr>
      <w:tr w:rsidR="0011236C" w:rsidRPr="0011236C" w:rsidTr="00F76962">
        <w:trPr>
          <w:trHeight w:val="692"/>
        </w:trPr>
        <w:tc>
          <w:tcPr>
            <w:tcW w:w="1116" w:type="pct"/>
            <w:tcBorders>
              <w:top w:val="nil"/>
              <w:left w:val="single" w:sz="4" w:space="0" w:color="auto"/>
              <w:bottom w:val="single" w:sz="4" w:space="0" w:color="auto"/>
              <w:right w:val="single" w:sz="4" w:space="0" w:color="auto"/>
            </w:tcBorders>
            <w:shd w:val="clear" w:color="000000" w:fill="FFFFFF"/>
            <w:vAlign w:val="center"/>
            <w:hideMark/>
          </w:tcPr>
          <w:p w:rsidR="0011236C" w:rsidRPr="0011236C" w:rsidRDefault="0011236C" w:rsidP="0011236C">
            <w:pPr>
              <w:jc w:val="both"/>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Evitar que la tasa ajustada de mortalidad por lesiones auto infligidas intencionalmente (suicidios), esté por encima de 4,06.</w:t>
            </w:r>
          </w:p>
        </w:tc>
        <w:tc>
          <w:tcPr>
            <w:tcW w:w="409" w:type="pct"/>
            <w:tcBorders>
              <w:top w:val="nil"/>
              <w:left w:val="nil"/>
              <w:bottom w:val="single" w:sz="4" w:space="0" w:color="auto"/>
              <w:right w:val="single" w:sz="4" w:space="0" w:color="auto"/>
            </w:tcBorders>
            <w:shd w:val="clear" w:color="FFFFFF" w:fill="FFFFFF"/>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4,06</w:t>
            </w:r>
          </w:p>
        </w:tc>
        <w:tc>
          <w:tcPr>
            <w:tcW w:w="409" w:type="pct"/>
            <w:tcBorders>
              <w:top w:val="nil"/>
              <w:left w:val="nil"/>
              <w:bottom w:val="single" w:sz="4" w:space="0" w:color="auto"/>
              <w:right w:val="single" w:sz="4" w:space="0" w:color="auto"/>
            </w:tcBorders>
            <w:shd w:val="clear" w:color="FFFFFF" w:fill="FFFFFF"/>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4,06</w:t>
            </w:r>
          </w:p>
        </w:tc>
        <w:tc>
          <w:tcPr>
            <w:tcW w:w="962" w:type="pct"/>
            <w:tcBorders>
              <w:top w:val="nil"/>
              <w:left w:val="nil"/>
              <w:bottom w:val="single" w:sz="4" w:space="0" w:color="auto"/>
              <w:right w:val="single" w:sz="4" w:space="0" w:color="auto"/>
            </w:tcBorders>
            <w:shd w:val="clear" w:color="FFFFFF" w:fill="FFFFFF"/>
            <w:vAlign w:val="center"/>
            <w:hideMark/>
          </w:tcPr>
          <w:p w:rsidR="0011236C" w:rsidRPr="0011236C" w:rsidRDefault="0011236C" w:rsidP="0011236C">
            <w:pPr>
              <w:jc w:val="both"/>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 xml:space="preserve">Mortalidad por lesiones auto infligidas intencionalmente (suicidios) </w:t>
            </w:r>
          </w:p>
        </w:tc>
        <w:tc>
          <w:tcPr>
            <w:tcW w:w="493" w:type="pct"/>
            <w:tcBorders>
              <w:top w:val="nil"/>
              <w:left w:val="nil"/>
              <w:bottom w:val="single" w:sz="4" w:space="0" w:color="auto"/>
              <w:right w:val="single" w:sz="4" w:space="0" w:color="auto"/>
            </w:tcBorders>
            <w:shd w:val="clear" w:color="auto" w:fill="auto"/>
            <w:noWrap/>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w:t>
            </w:r>
          </w:p>
        </w:tc>
        <w:tc>
          <w:tcPr>
            <w:tcW w:w="440" w:type="pct"/>
            <w:tcBorders>
              <w:top w:val="nil"/>
              <w:left w:val="nil"/>
              <w:bottom w:val="single" w:sz="4" w:space="0" w:color="auto"/>
              <w:right w:val="single" w:sz="4" w:space="0" w:color="auto"/>
            </w:tcBorders>
            <w:shd w:val="clear" w:color="auto" w:fill="auto"/>
            <w:noWrap/>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w:t>
            </w:r>
          </w:p>
        </w:tc>
        <w:tc>
          <w:tcPr>
            <w:tcW w:w="424" w:type="pct"/>
            <w:tcBorders>
              <w:top w:val="nil"/>
              <w:left w:val="nil"/>
              <w:bottom w:val="single" w:sz="4" w:space="0" w:color="auto"/>
              <w:right w:val="single" w:sz="4" w:space="0" w:color="auto"/>
            </w:tcBorders>
            <w:shd w:val="clear" w:color="000000" w:fill="70AD47"/>
            <w:noWrap/>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3,77</w:t>
            </w:r>
          </w:p>
        </w:tc>
        <w:tc>
          <w:tcPr>
            <w:tcW w:w="339" w:type="pct"/>
            <w:tcBorders>
              <w:top w:val="nil"/>
              <w:left w:val="nil"/>
              <w:bottom w:val="single" w:sz="4" w:space="0" w:color="auto"/>
              <w:right w:val="single" w:sz="4" w:space="0" w:color="auto"/>
            </w:tcBorders>
            <w:shd w:val="clear" w:color="000000" w:fill="70AD47"/>
            <w:noWrap/>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0,83</w:t>
            </w:r>
          </w:p>
        </w:tc>
      </w:tr>
      <w:tr w:rsidR="0011236C" w:rsidRPr="0011236C" w:rsidTr="00F76962">
        <w:trPr>
          <w:trHeight w:val="491"/>
        </w:trPr>
        <w:tc>
          <w:tcPr>
            <w:tcW w:w="1116" w:type="pct"/>
            <w:tcBorders>
              <w:top w:val="nil"/>
              <w:left w:val="single" w:sz="4" w:space="0" w:color="auto"/>
              <w:bottom w:val="single" w:sz="4" w:space="0" w:color="auto"/>
              <w:right w:val="single" w:sz="4" w:space="0" w:color="auto"/>
            </w:tcBorders>
            <w:shd w:val="clear" w:color="FFFFFF" w:fill="FFFFFF"/>
            <w:vAlign w:val="center"/>
            <w:hideMark/>
          </w:tcPr>
          <w:p w:rsidR="0011236C" w:rsidRPr="0011236C" w:rsidRDefault="0011236C" w:rsidP="0011236C">
            <w:pPr>
              <w:jc w:val="both"/>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Disminuir a 41% la proporción de embarazo adolescente. (El indicador 2020 se calculó sobre embarazos en mujeres de 10 a 17 años) fuente RUAF ND con corte a 26 de junio de 2020</w:t>
            </w:r>
          </w:p>
        </w:tc>
        <w:tc>
          <w:tcPr>
            <w:tcW w:w="409" w:type="pct"/>
            <w:tcBorders>
              <w:top w:val="nil"/>
              <w:left w:val="nil"/>
              <w:bottom w:val="single" w:sz="4" w:space="0" w:color="auto"/>
              <w:right w:val="single" w:sz="4" w:space="0" w:color="auto"/>
            </w:tcBorders>
            <w:shd w:val="clear" w:color="FFFFFF" w:fill="FFFFFF"/>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46%</w:t>
            </w:r>
          </w:p>
        </w:tc>
        <w:tc>
          <w:tcPr>
            <w:tcW w:w="409" w:type="pct"/>
            <w:tcBorders>
              <w:top w:val="nil"/>
              <w:left w:val="nil"/>
              <w:bottom w:val="single" w:sz="4" w:space="0" w:color="auto"/>
              <w:right w:val="single" w:sz="4" w:space="0" w:color="auto"/>
            </w:tcBorders>
            <w:shd w:val="clear" w:color="FFFFFF" w:fill="FFFFFF"/>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41%</w:t>
            </w:r>
          </w:p>
        </w:tc>
        <w:tc>
          <w:tcPr>
            <w:tcW w:w="962" w:type="pct"/>
            <w:tcBorders>
              <w:top w:val="nil"/>
              <w:left w:val="nil"/>
              <w:bottom w:val="single" w:sz="4" w:space="0" w:color="auto"/>
              <w:right w:val="single" w:sz="4" w:space="0" w:color="auto"/>
            </w:tcBorders>
            <w:shd w:val="clear" w:color="FFFFFF" w:fill="FFFFFF"/>
            <w:vAlign w:val="center"/>
            <w:hideMark/>
          </w:tcPr>
          <w:p w:rsidR="0011236C" w:rsidRPr="0011236C" w:rsidRDefault="0011236C" w:rsidP="0011236C">
            <w:pPr>
              <w:jc w:val="both"/>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Proporción de embarazo en adolescente</w:t>
            </w:r>
          </w:p>
        </w:tc>
        <w:tc>
          <w:tcPr>
            <w:tcW w:w="493" w:type="pct"/>
            <w:tcBorders>
              <w:top w:val="nil"/>
              <w:left w:val="nil"/>
              <w:bottom w:val="single" w:sz="4" w:space="0" w:color="auto"/>
              <w:right w:val="single" w:sz="4" w:space="0" w:color="auto"/>
            </w:tcBorders>
            <w:shd w:val="clear" w:color="auto" w:fill="auto"/>
            <w:noWrap/>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w:t>
            </w:r>
          </w:p>
        </w:tc>
        <w:tc>
          <w:tcPr>
            <w:tcW w:w="408" w:type="pct"/>
            <w:tcBorders>
              <w:top w:val="nil"/>
              <w:left w:val="nil"/>
              <w:bottom w:val="single" w:sz="4" w:space="0" w:color="auto"/>
              <w:right w:val="single" w:sz="4" w:space="0" w:color="auto"/>
            </w:tcBorders>
            <w:shd w:val="clear" w:color="auto" w:fill="auto"/>
            <w:noWrap/>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w:t>
            </w:r>
          </w:p>
        </w:tc>
        <w:tc>
          <w:tcPr>
            <w:tcW w:w="440" w:type="pct"/>
            <w:tcBorders>
              <w:top w:val="nil"/>
              <w:left w:val="nil"/>
              <w:bottom w:val="single" w:sz="4" w:space="0" w:color="auto"/>
              <w:right w:val="single" w:sz="4" w:space="0" w:color="auto"/>
            </w:tcBorders>
            <w:shd w:val="clear" w:color="auto" w:fill="auto"/>
            <w:noWrap/>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w:t>
            </w:r>
          </w:p>
        </w:tc>
        <w:tc>
          <w:tcPr>
            <w:tcW w:w="424" w:type="pct"/>
            <w:tcBorders>
              <w:top w:val="nil"/>
              <w:left w:val="nil"/>
              <w:bottom w:val="single" w:sz="4" w:space="0" w:color="auto"/>
              <w:right w:val="single" w:sz="4" w:space="0" w:color="auto"/>
            </w:tcBorders>
            <w:shd w:val="clear" w:color="000000" w:fill="70AD47"/>
            <w:noWrap/>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12,4</w:t>
            </w:r>
          </w:p>
        </w:tc>
        <w:tc>
          <w:tcPr>
            <w:tcW w:w="339" w:type="pct"/>
            <w:tcBorders>
              <w:top w:val="nil"/>
              <w:left w:val="nil"/>
              <w:bottom w:val="single" w:sz="4" w:space="0" w:color="auto"/>
              <w:right w:val="single" w:sz="4" w:space="0" w:color="auto"/>
            </w:tcBorders>
            <w:shd w:val="clear" w:color="000000" w:fill="70AD47"/>
            <w:noWrap/>
            <w:vAlign w:val="center"/>
            <w:hideMark/>
          </w:tcPr>
          <w:p w:rsidR="0011236C" w:rsidRPr="0011236C" w:rsidRDefault="0011236C" w:rsidP="0011236C">
            <w:pPr>
              <w:jc w:val="center"/>
              <w:rPr>
                <w:rFonts w:ascii="Arial" w:eastAsia="Times New Roman" w:hAnsi="Arial" w:cs="Arial"/>
                <w:color w:val="000000"/>
                <w:sz w:val="16"/>
                <w:szCs w:val="16"/>
                <w:lang w:eastAsia="es-CO"/>
              </w:rPr>
            </w:pPr>
            <w:r w:rsidRPr="0011236C">
              <w:rPr>
                <w:rFonts w:ascii="Arial" w:eastAsia="Times New Roman" w:hAnsi="Arial" w:cs="Arial"/>
                <w:color w:val="000000"/>
                <w:sz w:val="16"/>
                <w:szCs w:val="16"/>
                <w:lang w:eastAsia="es-CO"/>
              </w:rPr>
              <w:t>12</w:t>
            </w:r>
          </w:p>
        </w:tc>
      </w:tr>
    </w:tbl>
    <w:p w:rsidR="0011236C" w:rsidRPr="0011236C" w:rsidRDefault="0011236C" w:rsidP="0011236C">
      <w:pPr>
        <w:jc w:val="both"/>
        <w:rPr>
          <w:rFonts w:ascii="Arial" w:eastAsiaTheme="minorHAnsi" w:hAnsi="Arial" w:cs="Arial"/>
          <w:bCs/>
          <w:sz w:val="21"/>
          <w:szCs w:val="21"/>
          <w:lang w:val="es-CO" w:eastAsia="en-US"/>
        </w:rPr>
      </w:pPr>
      <w:r w:rsidRPr="0011236C">
        <w:rPr>
          <w:rFonts w:ascii="Arial" w:eastAsiaTheme="minorHAnsi" w:hAnsi="Arial" w:cs="Arial"/>
          <w:bCs/>
          <w:sz w:val="21"/>
          <w:szCs w:val="21"/>
          <w:lang w:val="es-CO" w:eastAsia="en-US"/>
        </w:rPr>
        <w:t>Fuente: Entidad territorial.</w:t>
      </w:r>
    </w:p>
    <w:p w:rsidR="0011236C" w:rsidRPr="0011236C" w:rsidRDefault="0011236C" w:rsidP="0011236C">
      <w:pPr>
        <w:jc w:val="both"/>
        <w:rPr>
          <w:rFonts w:ascii="Arial" w:eastAsiaTheme="minorHAnsi" w:hAnsi="Arial" w:cs="Arial"/>
          <w:bCs/>
          <w:sz w:val="21"/>
          <w:szCs w:val="21"/>
          <w:lang w:val="es-CO" w:eastAsia="en-US"/>
        </w:rPr>
      </w:pPr>
    </w:p>
    <w:p w:rsidR="0011236C" w:rsidRPr="0011236C" w:rsidRDefault="0011236C" w:rsidP="0011236C">
      <w:pPr>
        <w:jc w:val="both"/>
        <w:rPr>
          <w:rFonts w:ascii="Arial" w:eastAsiaTheme="minorHAnsi" w:hAnsi="Arial" w:cs="Arial"/>
          <w:bCs/>
          <w:sz w:val="21"/>
          <w:szCs w:val="21"/>
          <w:lang w:val="es-CO" w:eastAsia="en-US"/>
        </w:rPr>
      </w:pPr>
      <w:r w:rsidRPr="0011236C">
        <w:rPr>
          <w:rFonts w:ascii="Arial" w:eastAsiaTheme="minorHAnsi" w:hAnsi="Arial" w:cs="Arial"/>
          <w:bCs/>
          <w:sz w:val="21"/>
          <w:szCs w:val="21"/>
          <w:lang w:val="es-CO" w:eastAsia="en-US"/>
        </w:rPr>
        <w:t xml:space="preserve">No obstante, el comportamiento evidenciado, la Entidad no presenta el análisis correspondiente que permita identificar las causas asociadas o riesgos atribuibles a dichos resultados. </w:t>
      </w:r>
    </w:p>
    <w:p w:rsidR="0011236C" w:rsidRPr="0011236C" w:rsidRDefault="0011236C" w:rsidP="0011236C">
      <w:pPr>
        <w:jc w:val="both"/>
        <w:rPr>
          <w:rFonts w:ascii="Arial" w:eastAsiaTheme="minorHAnsi" w:hAnsi="Arial" w:cs="Arial"/>
          <w:bCs/>
          <w:sz w:val="21"/>
          <w:szCs w:val="21"/>
          <w:lang w:val="es-CO" w:eastAsia="en-US"/>
        </w:rPr>
      </w:pPr>
    </w:p>
    <w:p w:rsidR="0011236C" w:rsidRPr="0011236C" w:rsidRDefault="0011236C" w:rsidP="0011236C">
      <w:pPr>
        <w:jc w:val="both"/>
        <w:rPr>
          <w:rFonts w:ascii="Arial" w:hAnsi="Arial" w:cs="Arial"/>
          <w:sz w:val="21"/>
          <w:szCs w:val="21"/>
        </w:rPr>
      </w:pPr>
      <w:r w:rsidRPr="0011236C">
        <w:rPr>
          <w:rFonts w:ascii="Arial" w:hAnsi="Arial" w:cs="Arial"/>
          <w:sz w:val="21"/>
          <w:szCs w:val="21"/>
        </w:rPr>
        <w:lastRenderedPageBreak/>
        <w:t xml:space="preserve">Así las cosas, es posible inferir que los instrumentos de planeación remitidos por la Entidad Territorial, especialmente el relacionado al COAI, no cumplen con lo dispuesto por el Ministerio de Salud y Protección Social en materia de Planeación Integral de Salud, razón por la cual no es posible identificar la correcta planeación de las acciones en salud, la identificación de las fuentes asignadas, su correlación con la ejecución presentada y las causales de posibles incumplimientos. </w:t>
      </w:r>
    </w:p>
    <w:p w:rsidR="0011236C" w:rsidRPr="0011236C" w:rsidRDefault="0011236C" w:rsidP="0011236C">
      <w:pPr>
        <w:jc w:val="both"/>
        <w:rPr>
          <w:rFonts w:ascii="Arial" w:hAnsi="Arial" w:cs="Arial"/>
          <w:sz w:val="21"/>
          <w:szCs w:val="21"/>
        </w:rPr>
      </w:pPr>
    </w:p>
    <w:p w:rsidR="0011236C" w:rsidRPr="0011236C" w:rsidRDefault="0011236C" w:rsidP="0011236C">
      <w:pPr>
        <w:jc w:val="both"/>
        <w:rPr>
          <w:rFonts w:ascii="Arial" w:hAnsi="Arial" w:cs="Arial"/>
          <w:b/>
          <w:bCs/>
          <w:sz w:val="21"/>
          <w:szCs w:val="21"/>
        </w:rPr>
      </w:pPr>
      <w:r w:rsidRPr="0011236C">
        <w:rPr>
          <w:rFonts w:ascii="Arial" w:hAnsi="Arial" w:cs="Arial"/>
          <w:b/>
          <w:bCs/>
          <w:sz w:val="21"/>
          <w:szCs w:val="21"/>
        </w:rPr>
        <w:t>4.2 Análisis de PIC</w:t>
      </w:r>
    </w:p>
    <w:p w:rsidR="0011236C" w:rsidRPr="0011236C" w:rsidRDefault="0011236C" w:rsidP="0011236C">
      <w:pPr>
        <w:jc w:val="both"/>
        <w:rPr>
          <w:rFonts w:ascii="Arial" w:hAnsi="Arial" w:cs="Arial"/>
          <w:b/>
          <w:bCs/>
          <w:sz w:val="21"/>
          <w:szCs w:val="21"/>
        </w:rPr>
      </w:pPr>
    </w:p>
    <w:p w:rsidR="0011236C" w:rsidRPr="0011236C" w:rsidRDefault="0011236C" w:rsidP="0011236C">
      <w:pPr>
        <w:jc w:val="both"/>
        <w:rPr>
          <w:rFonts w:ascii="Arial" w:hAnsi="Arial" w:cs="Arial"/>
          <w:sz w:val="21"/>
          <w:szCs w:val="21"/>
        </w:rPr>
      </w:pPr>
      <w:r w:rsidRPr="0011236C">
        <w:rPr>
          <w:rFonts w:ascii="Arial" w:hAnsi="Arial" w:cs="Arial"/>
          <w:sz w:val="21"/>
          <w:szCs w:val="21"/>
        </w:rPr>
        <w:t>Para la vigencia 2020 la Entidad suscribió contratos con cada una de las ESE del Departamento como se muestra en la siguiente tabal, los cuales tienen por objeto “</w:t>
      </w:r>
      <w:r w:rsidRPr="0011236C">
        <w:rPr>
          <w:rFonts w:ascii="Arial" w:hAnsi="Arial" w:cs="Arial"/>
          <w:i/>
          <w:iCs/>
          <w:sz w:val="21"/>
          <w:szCs w:val="21"/>
        </w:rPr>
        <w:t>contratar los servicios para el desarrollo de las acciones del Plan de Intervenciones Colectivas de la secretaria de Salud Departamental, en la vigencia 2020</w:t>
      </w:r>
      <w:r w:rsidRPr="0011236C">
        <w:rPr>
          <w:rFonts w:ascii="Arial" w:hAnsi="Arial" w:cs="Arial"/>
          <w:sz w:val="21"/>
          <w:szCs w:val="21"/>
        </w:rPr>
        <w:t xml:space="preserve">”, financiados con recursos del SGP Salud Publica, iniciando su ejecución en el mes de agosto de 2020, lo cual va en contra vía del principio de oportunidad y del artículo 16 de la Resolución 518 de 2015 donde se establece que se debe garantizar la continuidad de las intervenciones, procedimientos, actividades e insumos del PIC, mediante la contratación oportuna del mismo. El valor total de los contratos fue de $5.168 millones, lo cual difiere con los valores consignados en la ejecución presupuestal de la Entidad Territorial que para las acciones de gestión del Riesgo y Promoción de la salud identifica un total de compromisos por $6.395 millones, obligaciones por $3.197 millones, sin embargo, en el FUT no se reportan pagos. Situación que deberá ser validada en la etapa de reconocimiento. </w:t>
      </w:r>
    </w:p>
    <w:p w:rsidR="0011236C" w:rsidRPr="0011236C" w:rsidRDefault="0011236C" w:rsidP="0011236C">
      <w:pPr>
        <w:jc w:val="both"/>
        <w:rPr>
          <w:rFonts w:ascii="Arial" w:hAnsi="Arial" w:cs="Arial"/>
          <w:sz w:val="21"/>
          <w:szCs w:val="21"/>
        </w:rPr>
      </w:pPr>
    </w:p>
    <w:p w:rsidR="0011236C" w:rsidRPr="0011236C" w:rsidRDefault="0011236C" w:rsidP="0011236C">
      <w:pPr>
        <w:autoSpaceDE w:val="0"/>
        <w:autoSpaceDN w:val="0"/>
        <w:adjustRightInd w:val="0"/>
        <w:jc w:val="center"/>
        <w:rPr>
          <w:rFonts w:ascii="Arial" w:hAnsi="Arial" w:cs="Arial"/>
          <w:b/>
          <w:sz w:val="21"/>
          <w:szCs w:val="21"/>
        </w:rPr>
      </w:pPr>
      <w:r w:rsidRPr="0011236C">
        <w:rPr>
          <w:rFonts w:ascii="Arial" w:hAnsi="Arial" w:cs="Arial"/>
          <w:b/>
          <w:sz w:val="21"/>
          <w:szCs w:val="21"/>
        </w:rPr>
        <w:t>Tabla No 8</w:t>
      </w:r>
    </w:p>
    <w:p w:rsidR="0011236C" w:rsidRPr="0011236C" w:rsidRDefault="0011236C" w:rsidP="0011236C">
      <w:pPr>
        <w:jc w:val="center"/>
        <w:rPr>
          <w:rFonts w:ascii="Arial" w:hAnsi="Arial" w:cs="Arial"/>
          <w:b/>
          <w:sz w:val="21"/>
          <w:szCs w:val="21"/>
        </w:rPr>
      </w:pPr>
      <w:r w:rsidRPr="0011236C">
        <w:rPr>
          <w:rFonts w:ascii="Arial" w:hAnsi="Arial" w:cs="Arial"/>
          <w:b/>
          <w:sz w:val="21"/>
          <w:szCs w:val="21"/>
        </w:rPr>
        <w:t>Contratación PIC 2020</w:t>
      </w:r>
    </w:p>
    <w:p w:rsidR="0011236C" w:rsidRPr="0011236C" w:rsidRDefault="0011236C" w:rsidP="0011236C">
      <w:pPr>
        <w:autoSpaceDE w:val="0"/>
        <w:autoSpaceDN w:val="0"/>
        <w:adjustRightInd w:val="0"/>
        <w:jc w:val="right"/>
        <w:rPr>
          <w:rFonts w:ascii="Arial" w:hAnsi="Arial" w:cs="Arial"/>
          <w:b/>
          <w:sz w:val="18"/>
          <w:szCs w:val="18"/>
        </w:rPr>
      </w:pPr>
      <w:r w:rsidRPr="0011236C">
        <w:rPr>
          <w:rFonts w:ascii="Arial" w:eastAsia="Times New Roman" w:hAnsi="Arial" w:cs="Arial"/>
          <w:color w:val="000000"/>
          <w:sz w:val="18"/>
          <w:szCs w:val="18"/>
          <w:lang w:val="es-CO" w:eastAsia="es-CO"/>
        </w:rPr>
        <w:t>Cifras en Millones de $</w:t>
      </w:r>
    </w:p>
    <w:tbl>
      <w:tblPr>
        <w:tblW w:w="4965" w:type="pct"/>
        <w:tblCellMar>
          <w:left w:w="70" w:type="dxa"/>
          <w:right w:w="70" w:type="dxa"/>
        </w:tblCellMar>
        <w:tblLook w:val="04A0" w:firstRow="1" w:lastRow="0" w:firstColumn="1" w:lastColumn="0" w:noHBand="0" w:noVBand="1"/>
      </w:tblPr>
      <w:tblGrid>
        <w:gridCol w:w="1861"/>
        <w:gridCol w:w="1900"/>
        <w:gridCol w:w="4033"/>
        <w:gridCol w:w="962"/>
      </w:tblGrid>
      <w:tr w:rsidR="0011236C" w:rsidRPr="0011236C" w:rsidTr="00F76962">
        <w:trPr>
          <w:trHeight w:val="631"/>
        </w:trPr>
        <w:tc>
          <w:tcPr>
            <w:tcW w:w="997" w:type="pct"/>
            <w:tcBorders>
              <w:top w:val="single" w:sz="8" w:space="0" w:color="000000"/>
              <w:left w:val="single" w:sz="8" w:space="0" w:color="000000"/>
              <w:bottom w:val="nil"/>
              <w:right w:val="single" w:sz="8" w:space="0" w:color="000000"/>
            </w:tcBorders>
            <w:shd w:val="clear" w:color="000000" w:fill="305496"/>
            <w:vAlign w:val="center"/>
            <w:hideMark/>
          </w:tcPr>
          <w:p w:rsidR="0011236C" w:rsidRPr="0011236C" w:rsidRDefault="0011236C" w:rsidP="0011236C">
            <w:pPr>
              <w:jc w:val="center"/>
              <w:rPr>
                <w:rFonts w:ascii="Arial" w:eastAsia="Times New Roman" w:hAnsi="Arial" w:cs="Arial"/>
                <w:b/>
                <w:bCs/>
                <w:color w:val="FFFFFF"/>
                <w:sz w:val="18"/>
                <w:szCs w:val="18"/>
                <w:lang w:val="es-CO" w:eastAsia="es-CO"/>
              </w:rPr>
            </w:pPr>
            <w:r w:rsidRPr="0011236C">
              <w:rPr>
                <w:rFonts w:ascii="Arial" w:eastAsia="Times New Roman" w:hAnsi="Arial" w:cs="Arial"/>
                <w:b/>
                <w:bCs/>
                <w:color w:val="FFFFFF"/>
                <w:sz w:val="18"/>
                <w:szCs w:val="18"/>
                <w:lang w:val="es-CO" w:eastAsia="es-CO"/>
              </w:rPr>
              <w:t>No. DE CONTRATO / ACTO ADMINISTRATIVO*1</w:t>
            </w:r>
          </w:p>
        </w:tc>
        <w:tc>
          <w:tcPr>
            <w:tcW w:w="1107" w:type="pct"/>
            <w:tcBorders>
              <w:top w:val="single" w:sz="8" w:space="0" w:color="000000"/>
              <w:left w:val="nil"/>
              <w:bottom w:val="nil"/>
              <w:right w:val="single" w:sz="8" w:space="0" w:color="000000"/>
            </w:tcBorders>
            <w:shd w:val="clear" w:color="000000" w:fill="305496"/>
            <w:vAlign w:val="center"/>
            <w:hideMark/>
          </w:tcPr>
          <w:p w:rsidR="0011236C" w:rsidRPr="0011236C" w:rsidRDefault="0011236C" w:rsidP="0011236C">
            <w:pPr>
              <w:jc w:val="center"/>
              <w:rPr>
                <w:rFonts w:ascii="Arial" w:eastAsia="Times New Roman" w:hAnsi="Arial" w:cs="Arial"/>
                <w:b/>
                <w:bCs/>
                <w:color w:val="FFFFFF"/>
                <w:sz w:val="18"/>
                <w:szCs w:val="18"/>
                <w:lang w:val="es-CO" w:eastAsia="es-CO"/>
              </w:rPr>
            </w:pPr>
            <w:r w:rsidRPr="0011236C">
              <w:rPr>
                <w:rFonts w:ascii="Arial" w:eastAsia="Times New Roman" w:hAnsi="Arial" w:cs="Arial"/>
                <w:b/>
                <w:bCs/>
                <w:color w:val="FFFFFF"/>
                <w:sz w:val="18"/>
                <w:szCs w:val="18"/>
                <w:lang w:val="es-CO" w:eastAsia="es-CO"/>
              </w:rPr>
              <w:t>FECHA DE SUSCRIPCIÓN</w:t>
            </w:r>
          </w:p>
        </w:tc>
        <w:tc>
          <w:tcPr>
            <w:tcW w:w="2325" w:type="pct"/>
            <w:tcBorders>
              <w:top w:val="single" w:sz="8" w:space="0" w:color="000000"/>
              <w:left w:val="nil"/>
              <w:bottom w:val="nil"/>
              <w:right w:val="single" w:sz="8" w:space="0" w:color="000000"/>
            </w:tcBorders>
            <w:shd w:val="clear" w:color="000000" w:fill="305496"/>
            <w:vAlign w:val="center"/>
            <w:hideMark/>
          </w:tcPr>
          <w:p w:rsidR="0011236C" w:rsidRPr="0011236C" w:rsidRDefault="0011236C" w:rsidP="0011236C">
            <w:pPr>
              <w:jc w:val="center"/>
              <w:rPr>
                <w:rFonts w:ascii="Arial" w:eastAsia="Times New Roman" w:hAnsi="Arial" w:cs="Arial"/>
                <w:b/>
                <w:bCs/>
                <w:color w:val="FFFFFF"/>
                <w:sz w:val="18"/>
                <w:szCs w:val="18"/>
                <w:lang w:val="es-CO" w:eastAsia="es-CO"/>
              </w:rPr>
            </w:pPr>
            <w:r w:rsidRPr="0011236C">
              <w:rPr>
                <w:rFonts w:ascii="Arial" w:eastAsia="Times New Roman" w:hAnsi="Arial" w:cs="Arial"/>
                <w:b/>
                <w:bCs/>
                <w:color w:val="FFFFFF"/>
                <w:sz w:val="18"/>
                <w:szCs w:val="18"/>
                <w:lang w:val="es-CO" w:eastAsia="es-CO"/>
              </w:rPr>
              <w:t>CONTRATISTA</w:t>
            </w:r>
          </w:p>
        </w:tc>
        <w:tc>
          <w:tcPr>
            <w:tcW w:w="571" w:type="pct"/>
            <w:tcBorders>
              <w:top w:val="single" w:sz="8" w:space="0" w:color="000000"/>
              <w:left w:val="nil"/>
              <w:bottom w:val="nil"/>
              <w:right w:val="single" w:sz="8" w:space="0" w:color="000000"/>
            </w:tcBorders>
            <w:shd w:val="clear" w:color="000000" w:fill="305496"/>
            <w:vAlign w:val="center"/>
            <w:hideMark/>
          </w:tcPr>
          <w:p w:rsidR="0011236C" w:rsidRPr="0011236C" w:rsidRDefault="0011236C" w:rsidP="0011236C">
            <w:pPr>
              <w:jc w:val="center"/>
              <w:rPr>
                <w:rFonts w:ascii="Arial" w:eastAsia="Times New Roman" w:hAnsi="Arial" w:cs="Arial"/>
                <w:b/>
                <w:bCs/>
                <w:color w:val="FFFFFF"/>
                <w:sz w:val="18"/>
                <w:szCs w:val="18"/>
                <w:lang w:val="es-CO" w:eastAsia="es-CO"/>
              </w:rPr>
            </w:pPr>
            <w:r w:rsidRPr="0011236C">
              <w:rPr>
                <w:rFonts w:ascii="Arial" w:eastAsia="Times New Roman" w:hAnsi="Arial" w:cs="Arial"/>
                <w:b/>
                <w:bCs/>
                <w:color w:val="FFFFFF"/>
                <w:sz w:val="18"/>
                <w:szCs w:val="18"/>
                <w:lang w:val="es-CO" w:eastAsia="es-CO"/>
              </w:rPr>
              <w:t>VALOR</w:t>
            </w:r>
          </w:p>
        </w:tc>
      </w:tr>
      <w:tr w:rsidR="0011236C" w:rsidRPr="0011236C" w:rsidTr="00F76962">
        <w:trPr>
          <w:trHeight w:val="217"/>
        </w:trPr>
        <w:tc>
          <w:tcPr>
            <w:tcW w:w="9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529</w:t>
            </w:r>
          </w:p>
        </w:tc>
        <w:tc>
          <w:tcPr>
            <w:tcW w:w="1107" w:type="pct"/>
            <w:tcBorders>
              <w:top w:val="single" w:sz="4" w:space="0" w:color="auto"/>
              <w:left w:val="nil"/>
              <w:bottom w:val="single" w:sz="4" w:space="0" w:color="auto"/>
              <w:right w:val="single" w:sz="4" w:space="0" w:color="auto"/>
            </w:tcBorders>
            <w:shd w:val="clear" w:color="auto" w:fill="auto"/>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26/08/2020</w:t>
            </w:r>
          </w:p>
        </w:tc>
        <w:tc>
          <w:tcPr>
            <w:tcW w:w="2325" w:type="pct"/>
            <w:tcBorders>
              <w:top w:val="single" w:sz="4" w:space="0" w:color="auto"/>
              <w:left w:val="nil"/>
              <w:bottom w:val="single" w:sz="4" w:space="0" w:color="auto"/>
              <w:right w:val="single" w:sz="4" w:space="0" w:color="auto"/>
            </w:tcBorders>
            <w:shd w:val="clear" w:color="auto" w:fill="auto"/>
            <w:vAlign w:val="center"/>
            <w:hideMark/>
          </w:tcPr>
          <w:p w:rsidR="0011236C" w:rsidRPr="0011236C" w:rsidRDefault="0011236C" w:rsidP="0011236C">
            <w:pP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 xml:space="preserve">E.S.E HOSPITAL LOCAL ALGARROBO </w:t>
            </w:r>
          </w:p>
        </w:tc>
        <w:tc>
          <w:tcPr>
            <w:tcW w:w="571" w:type="pct"/>
            <w:tcBorders>
              <w:top w:val="single" w:sz="4" w:space="0" w:color="auto"/>
              <w:left w:val="nil"/>
              <w:bottom w:val="single" w:sz="4" w:space="0" w:color="auto"/>
              <w:right w:val="single" w:sz="4" w:space="0" w:color="auto"/>
            </w:tcBorders>
            <w:shd w:val="clear" w:color="auto" w:fill="auto"/>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 xml:space="preserve"> $   161 </w:t>
            </w:r>
          </w:p>
        </w:tc>
      </w:tr>
      <w:tr w:rsidR="0011236C" w:rsidRPr="0011236C" w:rsidTr="00F76962">
        <w:trPr>
          <w:trHeight w:val="217"/>
        </w:trPr>
        <w:tc>
          <w:tcPr>
            <w:tcW w:w="997" w:type="pct"/>
            <w:tcBorders>
              <w:top w:val="nil"/>
              <w:left w:val="single" w:sz="4" w:space="0" w:color="auto"/>
              <w:bottom w:val="single" w:sz="4" w:space="0" w:color="auto"/>
              <w:right w:val="single" w:sz="4" w:space="0" w:color="auto"/>
            </w:tcBorders>
            <w:shd w:val="clear" w:color="auto" w:fill="auto"/>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535</w:t>
            </w:r>
          </w:p>
        </w:tc>
        <w:tc>
          <w:tcPr>
            <w:tcW w:w="1107" w:type="pct"/>
            <w:tcBorders>
              <w:top w:val="nil"/>
              <w:left w:val="nil"/>
              <w:bottom w:val="single" w:sz="4" w:space="0" w:color="auto"/>
              <w:right w:val="single" w:sz="4" w:space="0" w:color="auto"/>
            </w:tcBorders>
            <w:shd w:val="clear" w:color="auto" w:fill="auto"/>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19/08/2020</w:t>
            </w:r>
          </w:p>
        </w:tc>
        <w:tc>
          <w:tcPr>
            <w:tcW w:w="2325" w:type="pct"/>
            <w:tcBorders>
              <w:top w:val="nil"/>
              <w:left w:val="nil"/>
              <w:bottom w:val="single" w:sz="4" w:space="0" w:color="auto"/>
              <w:right w:val="single" w:sz="4" w:space="0" w:color="auto"/>
            </w:tcBorders>
            <w:shd w:val="clear" w:color="auto" w:fill="auto"/>
            <w:vAlign w:val="center"/>
            <w:hideMark/>
          </w:tcPr>
          <w:p w:rsidR="0011236C" w:rsidRPr="0011236C" w:rsidRDefault="0011236C" w:rsidP="0011236C">
            <w:pP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 xml:space="preserve">E.S.E HOSPITAL SAN CRISTOBAL DE CIENAGA </w:t>
            </w:r>
          </w:p>
        </w:tc>
        <w:tc>
          <w:tcPr>
            <w:tcW w:w="571" w:type="pct"/>
            <w:tcBorders>
              <w:top w:val="nil"/>
              <w:left w:val="nil"/>
              <w:bottom w:val="single" w:sz="4" w:space="0" w:color="auto"/>
              <w:right w:val="single" w:sz="4" w:space="0" w:color="auto"/>
            </w:tcBorders>
            <w:shd w:val="clear" w:color="auto" w:fill="auto"/>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 xml:space="preserve"> $   456 </w:t>
            </w:r>
          </w:p>
        </w:tc>
      </w:tr>
      <w:tr w:rsidR="0011236C" w:rsidRPr="0011236C" w:rsidTr="00F76962">
        <w:trPr>
          <w:trHeight w:val="217"/>
        </w:trPr>
        <w:tc>
          <w:tcPr>
            <w:tcW w:w="997" w:type="pct"/>
            <w:tcBorders>
              <w:top w:val="nil"/>
              <w:left w:val="single" w:sz="4" w:space="0" w:color="auto"/>
              <w:bottom w:val="single" w:sz="4" w:space="0" w:color="auto"/>
              <w:right w:val="single" w:sz="4" w:space="0" w:color="auto"/>
            </w:tcBorders>
            <w:shd w:val="clear" w:color="auto" w:fill="auto"/>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530</w:t>
            </w:r>
          </w:p>
        </w:tc>
        <w:tc>
          <w:tcPr>
            <w:tcW w:w="1107" w:type="pct"/>
            <w:tcBorders>
              <w:top w:val="nil"/>
              <w:left w:val="nil"/>
              <w:bottom w:val="single" w:sz="4" w:space="0" w:color="auto"/>
              <w:right w:val="single" w:sz="4" w:space="0" w:color="auto"/>
            </w:tcBorders>
            <w:shd w:val="clear" w:color="auto" w:fill="auto"/>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28/08/2020</w:t>
            </w:r>
          </w:p>
        </w:tc>
        <w:tc>
          <w:tcPr>
            <w:tcW w:w="2325" w:type="pct"/>
            <w:tcBorders>
              <w:top w:val="nil"/>
              <w:left w:val="nil"/>
              <w:bottom w:val="single" w:sz="4" w:space="0" w:color="auto"/>
              <w:right w:val="single" w:sz="4" w:space="0" w:color="auto"/>
            </w:tcBorders>
            <w:shd w:val="clear" w:color="auto" w:fill="auto"/>
            <w:vAlign w:val="center"/>
            <w:hideMark/>
          </w:tcPr>
          <w:p w:rsidR="0011236C" w:rsidRPr="0011236C" w:rsidRDefault="0011236C" w:rsidP="0011236C">
            <w:pP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 xml:space="preserve">E.S.E HOSPITAL LOCAL DE CONCORDIA </w:t>
            </w:r>
          </w:p>
        </w:tc>
        <w:tc>
          <w:tcPr>
            <w:tcW w:w="571" w:type="pct"/>
            <w:tcBorders>
              <w:top w:val="nil"/>
              <w:left w:val="nil"/>
              <w:bottom w:val="single" w:sz="4" w:space="0" w:color="auto"/>
              <w:right w:val="single" w:sz="4" w:space="0" w:color="auto"/>
            </w:tcBorders>
            <w:shd w:val="clear" w:color="auto" w:fill="auto"/>
            <w:noWrap/>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 xml:space="preserve"> $   159 </w:t>
            </w:r>
          </w:p>
        </w:tc>
      </w:tr>
      <w:tr w:rsidR="0011236C" w:rsidRPr="0011236C" w:rsidTr="00F76962">
        <w:trPr>
          <w:trHeight w:val="217"/>
        </w:trPr>
        <w:tc>
          <w:tcPr>
            <w:tcW w:w="997" w:type="pct"/>
            <w:tcBorders>
              <w:top w:val="nil"/>
              <w:left w:val="single" w:sz="4" w:space="0" w:color="auto"/>
              <w:bottom w:val="single" w:sz="4" w:space="0" w:color="auto"/>
              <w:right w:val="single" w:sz="4" w:space="0" w:color="auto"/>
            </w:tcBorders>
            <w:shd w:val="clear" w:color="auto" w:fill="auto"/>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528</w:t>
            </w:r>
          </w:p>
        </w:tc>
        <w:tc>
          <w:tcPr>
            <w:tcW w:w="1107" w:type="pct"/>
            <w:tcBorders>
              <w:top w:val="nil"/>
              <w:left w:val="nil"/>
              <w:bottom w:val="single" w:sz="4" w:space="0" w:color="auto"/>
              <w:right w:val="single" w:sz="4" w:space="0" w:color="auto"/>
            </w:tcBorders>
            <w:shd w:val="clear" w:color="auto" w:fill="auto"/>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31/08/2020</w:t>
            </w:r>
          </w:p>
        </w:tc>
        <w:tc>
          <w:tcPr>
            <w:tcW w:w="2325" w:type="pct"/>
            <w:tcBorders>
              <w:top w:val="nil"/>
              <w:left w:val="nil"/>
              <w:bottom w:val="single" w:sz="4" w:space="0" w:color="auto"/>
              <w:right w:val="single" w:sz="4" w:space="0" w:color="auto"/>
            </w:tcBorders>
            <w:shd w:val="clear" w:color="auto" w:fill="auto"/>
            <w:vAlign w:val="center"/>
            <w:hideMark/>
          </w:tcPr>
          <w:p w:rsidR="0011236C" w:rsidRPr="0011236C" w:rsidRDefault="0011236C" w:rsidP="0011236C">
            <w:pP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E.S.E HOSPITAL ALEJANDRO MAESTRE SIERRA</w:t>
            </w:r>
          </w:p>
        </w:tc>
        <w:tc>
          <w:tcPr>
            <w:tcW w:w="571" w:type="pct"/>
            <w:tcBorders>
              <w:top w:val="nil"/>
              <w:left w:val="nil"/>
              <w:bottom w:val="single" w:sz="4" w:space="0" w:color="auto"/>
              <w:right w:val="single" w:sz="4" w:space="0" w:color="auto"/>
            </w:tcBorders>
            <w:shd w:val="clear" w:color="auto" w:fill="auto"/>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 xml:space="preserve"> $   164 </w:t>
            </w:r>
          </w:p>
        </w:tc>
      </w:tr>
      <w:tr w:rsidR="0011236C" w:rsidRPr="0011236C" w:rsidTr="00F76962">
        <w:trPr>
          <w:trHeight w:val="217"/>
        </w:trPr>
        <w:tc>
          <w:tcPr>
            <w:tcW w:w="997" w:type="pct"/>
            <w:tcBorders>
              <w:top w:val="nil"/>
              <w:left w:val="single" w:sz="4" w:space="0" w:color="auto"/>
              <w:bottom w:val="single" w:sz="4" w:space="0" w:color="auto"/>
              <w:right w:val="single" w:sz="4" w:space="0" w:color="auto"/>
            </w:tcBorders>
            <w:shd w:val="clear" w:color="auto" w:fill="auto"/>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522</w:t>
            </w:r>
          </w:p>
        </w:tc>
        <w:tc>
          <w:tcPr>
            <w:tcW w:w="1107" w:type="pct"/>
            <w:tcBorders>
              <w:top w:val="nil"/>
              <w:left w:val="nil"/>
              <w:bottom w:val="single" w:sz="4" w:space="0" w:color="auto"/>
              <w:right w:val="single" w:sz="4" w:space="0" w:color="auto"/>
            </w:tcBorders>
            <w:shd w:val="clear" w:color="auto" w:fill="auto"/>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20/08/2020</w:t>
            </w:r>
          </w:p>
        </w:tc>
        <w:tc>
          <w:tcPr>
            <w:tcW w:w="2325" w:type="pct"/>
            <w:tcBorders>
              <w:top w:val="nil"/>
              <w:left w:val="nil"/>
              <w:bottom w:val="single" w:sz="4" w:space="0" w:color="auto"/>
              <w:right w:val="single" w:sz="4" w:space="0" w:color="auto"/>
            </w:tcBorders>
            <w:shd w:val="clear" w:color="auto" w:fill="auto"/>
            <w:vAlign w:val="center"/>
            <w:hideMark/>
          </w:tcPr>
          <w:p w:rsidR="0011236C" w:rsidRPr="0011236C" w:rsidRDefault="0011236C" w:rsidP="0011236C">
            <w:pP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E.S.E HOSPITAL LOCAL CERRO DE SAN ANTONIO</w:t>
            </w:r>
          </w:p>
        </w:tc>
        <w:tc>
          <w:tcPr>
            <w:tcW w:w="571" w:type="pct"/>
            <w:tcBorders>
              <w:top w:val="nil"/>
              <w:left w:val="nil"/>
              <w:bottom w:val="single" w:sz="4" w:space="0" w:color="auto"/>
              <w:right w:val="single" w:sz="4" w:space="0" w:color="auto"/>
            </w:tcBorders>
            <w:shd w:val="clear" w:color="auto" w:fill="auto"/>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 xml:space="preserve"> $   158 </w:t>
            </w:r>
          </w:p>
        </w:tc>
      </w:tr>
      <w:tr w:rsidR="0011236C" w:rsidRPr="0011236C" w:rsidTr="00F76962">
        <w:trPr>
          <w:trHeight w:val="217"/>
        </w:trPr>
        <w:tc>
          <w:tcPr>
            <w:tcW w:w="997" w:type="pct"/>
            <w:tcBorders>
              <w:top w:val="nil"/>
              <w:left w:val="single" w:sz="4" w:space="0" w:color="auto"/>
              <w:bottom w:val="single" w:sz="4" w:space="0" w:color="auto"/>
              <w:right w:val="single" w:sz="4" w:space="0" w:color="auto"/>
            </w:tcBorders>
            <w:shd w:val="clear" w:color="auto" w:fill="auto"/>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527</w:t>
            </w:r>
          </w:p>
        </w:tc>
        <w:tc>
          <w:tcPr>
            <w:tcW w:w="1107" w:type="pct"/>
            <w:tcBorders>
              <w:top w:val="nil"/>
              <w:left w:val="nil"/>
              <w:bottom w:val="single" w:sz="4" w:space="0" w:color="auto"/>
              <w:right w:val="single" w:sz="4" w:space="0" w:color="auto"/>
            </w:tcBorders>
            <w:shd w:val="clear" w:color="auto" w:fill="auto"/>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25/08/2020</w:t>
            </w:r>
          </w:p>
        </w:tc>
        <w:tc>
          <w:tcPr>
            <w:tcW w:w="2325" w:type="pct"/>
            <w:tcBorders>
              <w:top w:val="nil"/>
              <w:left w:val="nil"/>
              <w:bottom w:val="single" w:sz="4" w:space="0" w:color="auto"/>
              <w:right w:val="single" w:sz="4" w:space="0" w:color="auto"/>
            </w:tcBorders>
            <w:shd w:val="clear" w:color="auto" w:fill="auto"/>
            <w:vAlign w:val="center"/>
            <w:hideMark/>
          </w:tcPr>
          <w:p w:rsidR="0011236C" w:rsidRPr="0011236C" w:rsidRDefault="0011236C" w:rsidP="0011236C">
            <w:pP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E.S.E HOSPITAL LA CANDELARIA</w:t>
            </w:r>
          </w:p>
        </w:tc>
        <w:tc>
          <w:tcPr>
            <w:tcW w:w="571" w:type="pct"/>
            <w:tcBorders>
              <w:top w:val="nil"/>
              <w:left w:val="nil"/>
              <w:bottom w:val="single" w:sz="4" w:space="0" w:color="auto"/>
              <w:right w:val="single" w:sz="4" w:space="0" w:color="auto"/>
            </w:tcBorders>
            <w:shd w:val="clear" w:color="auto" w:fill="auto"/>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 xml:space="preserve"> $   839 </w:t>
            </w:r>
          </w:p>
        </w:tc>
      </w:tr>
      <w:tr w:rsidR="0011236C" w:rsidRPr="0011236C" w:rsidTr="00F76962">
        <w:trPr>
          <w:trHeight w:val="217"/>
        </w:trPr>
        <w:tc>
          <w:tcPr>
            <w:tcW w:w="997" w:type="pct"/>
            <w:tcBorders>
              <w:top w:val="nil"/>
              <w:left w:val="single" w:sz="4" w:space="0" w:color="auto"/>
              <w:bottom w:val="single" w:sz="4" w:space="0" w:color="auto"/>
              <w:right w:val="single" w:sz="4" w:space="0" w:color="auto"/>
            </w:tcBorders>
            <w:shd w:val="clear" w:color="auto" w:fill="auto"/>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525</w:t>
            </w:r>
          </w:p>
        </w:tc>
        <w:tc>
          <w:tcPr>
            <w:tcW w:w="1107" w:type="pct"/>
            <w:tcBorders>
              <w:top w:val="nil"/>
              <w:left w:val="nil"/>
              <w:bottom w:val="single" w:sz="4" w:space="0" w:color="auto"/>
              <w:right w:val="single" w:sz="4" w:space="0" w:color="auto"/>
            </w:tcBorders>
            <w:shd w:val="clear" w:color="auto" w:fill="auto"/>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19/08/2020</w:t>
            </w:r>
          </w:p>
        </w:tc>
        <w:tc>
          <w:tcPr>
            <w:tcW w:w="2325" w:type="pct"/>
            <w:tcBorders>
              <w:top w:val="nil"/>
              <w:left w:val="nil"/>
              <w:bottom w:val="single" w:sz="4" w:space="0" w:color="auto"/>
              <w:right w:val="single" w:sz="4" w:space="0" w:color="auto"/>
            </w:tcBorders>
            <w:shd w:val="clear" w:color="auto" w:fill="auto"/>
            <w:vAlign w:val="center"/>
            <w:hideMark/>
          </w:tcPr>
          <w:p w:rsidR="0011236C" w:rsidRPr="0011236C" w:rsidRDefault="0011236C" w:rsidP="0011236C">
            <w:pP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E.S.E HOSPITAL DEPARTAMENTAL SAN RAFAEL</w:t>
            </w:r>
          </w:p>
        </w:tc>
        <w:tc>
          <w:tcPr>
            <w:tcW w:w="571" w:type="pct"/>
            <w:tcBorders>
              <w:top w:val="nil"/>
              <w:left w:val="nil"/>
              <w:bottom w:val="single" w:sz="4" w:space="0" w:color="auto"/>
              <w:right w:val="single" w:sz="4" w:space="0" w:color="auto"/>
            </w:tcBorders>
            <w:shd w:val="clear" w:color="auto" w:fill="auto"/>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 xml:space="preserve"> $   516 </w:t>
            </w:r>
          </w:p>
        </w:tc>
      </w:tr>
      <w:tr w:rsidR="0011236C" w:rsidRPr="0011236C" w:rsidTr="00F76962">
        <w:trPr>
          <w:trHeight w:val="217"/>
        </w:trPr>
        <w:tc>
          <w:tcPr>
            <w:tcW w:w="997" w:type="pct"/>
            <w:tcBorders>
              <w:top w:val="nil"/>
              <w:left w:val="single" w:sz="4" w:space="0" w:color="auto"/>
              <w:bottom w:val="single" w:sz="4" w:space="0" w:color="auto"/>
              <w:right w:val="single" w:sz="4" w:space="0" w:color="auto"/>
            </w:tcBorders>
            <w:shd w:val="clear" w:color="auto" w:fill="auto"/>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524</w:t>
            </w:r>
          </w:p>
        </w:tc>
        <w:tc>
          <w:tcPr>
            <w:tcW w:w="1107" w:type="pct"/>
            <w:tcBorders>
              <w:top w:val="nil"/>
              <w:left w:val="nil"/>
              <w:bottom w:val="single" w:sz="4" w:space="0" w:color="auto"/>
              <w:right w:val="single" w:sz="4" w:space="0" w:color="auto"/>
            </w:tcBorders>
            <w:shd w:val="clear" w:color="auto" w:fill="auto"/>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21/08/2020</w:t>
            </w:r>
          </w:p>
        </w:tc>
        <w:tc>
          <w:tcPr>
            <w:tcW w:w="2325" w:type="pct"/>
            <w:tcBorders>
              <w:top w:val="nil"/>
              <w:left w:val="nil"/>
              <w:bottom w:val="single" w:sz="4" w:space="0" w:color="auto"/>
              <w:right w:val="single" w:sz="4" w:space="0" w:color="auto"/>
            </w:tcBorders>
            <w:shd w:val="clear" w:color="auto" w:fill="auto"/>
            <w:vAlign w:val="center"/>
            <w:hideMark/>
          </w:tcPr>
          <w:p w:rsidR="0011236C" w:rsidRPr="0011236C" w:rsidRDefault="0011236C" w:rsidP="0011236C">
            <w:pP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E.S.E HOSPITAL NUESTRA SEÑORA DEL CARMEN</w:t>
            </w:r>
          </w:p>
        </w:tc>
        <w:tc>
          <w:tcPr>
            <w:tcW w:w="571" w:type="pct"/>
            <w:tcBorders>
              <w:top w:val="nil"/>
              <w:left w:val="nil"/>
              <w:bottom w:val="single" w:sz="4" w:space="0" w:color="auto"/>
              <w:right w:val="single" w:sz="4" w:space="0" w:color="auto"/>
            </w:tcBorders>
            <w:shd w:val="clear" w:color="auto" w:fill="auto"/>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 xml:space="preserve"> $   182 </w:t>
            </w:r>
          </w:p>
        </w:tc>
      </w:tr>
      <w:tr w:rsidR="0011236C" w:rsidRPr="0011236C" w:rsidTr="00F76962">
        <w:trPr>
          <w:trHeight w:val="217"/>
        </w:trPr>
        <w:tc>
          <w:tcPr>
            <w:tcW w:w="997" w:type="pct"/>
            <w:tcBorders>
              <w:top w:val="nil"/>
              <w:left w:val="single" w:sz="4" w:space="0" w:color="auto"/>
              <w:bottom w:val="single" w:sz="4" w:space="0" w:color="auto"/>
              <w:right w:val="single" w:sz="4" w:space="0" w:color="auto"/>
            </w:tcBorders>
            <w:shd w:val="clear" w:color="auto" w:fill="auto"/>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526</w:t>
            </w:r>
          </w:p>
        </w:tc>
        <w:tc>
          <w:tcPr>
            <w:tcW w:w="1107" w:type="pct"/>
            <w:tcBorders>
              <w:top w:val="nil"/>
              <w:left w:val="nil"/>
              <w:bottom w:val="single" w:sz="4" w:space="0" w:color="auto"/>
              <w:right w:val="single" w:sz="4" w:space="0" w:color="auto"/>
            </w:tcBorders>
            <w:shd w:val="clear" w:color="auto" w:fill="auto"/>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21/08/2020</w:t>
            </w:r>
          </w:p>
        </w:tc>
        <w:tc>
          <w:tcPr>
            <w:tcW w:w="2325" w:type="pct"/>
            <w:tcBorders>
              <w:top w:val="nil"/>
              <w:left w:val="nil"/>
              <w:bottom w:val="single" w:sz="4" w:space="0" w:color="auto"/>
              <w:right w:val="single" w:sz="4" w:space="0" w:color="auto"/>
            </w:tcBorders>
            <w:shd w:val="clear" w:color="auto" w:fill="auto"/>
            <w:vAlign w:val="center"/>
            <w:hideMark/>
          </w:tcPr>
          <w:p w:rsidR="0011236C" w:rsidRPr="0011236C" w:rsidRDefault="0011236C" w:rsidP="0011236C">
            <w:pP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E.S.E HOSPITAL DE PEDRAZA</w:t>
            </w:r>
          </w:p>
        </w:tc>
        <w:tc>
          <w:tcPr>
            <w:tcW w:w="571" w:type="pct"/>
            <w:tcBorders>
              <w:top w:val="nil"/>
              <w:left w:val="nil"/>
              <w:bottom w:val="single" w:sz="4" w:space="0" w:color="auto"/>
              <w:right w:val="single" w:sz="4" w:space="0" w:color="auto"/>
            </w:tcBorders>
            <w:shd w:val="clear" w:color="auto" w:fill="auto"/>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 xml:space="preserve"> $   159 </w:t>
            </w:r>
          </w:p>
        </w:tc>
      </w:tr>
      <w:tr w:rsidR="0011236C" w:rsidRPr="0011236C" w:rsidTr="00F76962">
        <w:trPr>
          <w:trHeight w:val="217"/>
        </w:trPr>
        <w:tc>
          <w:tcPr>
            <w:tcW w:w="997" w:type="pct"/>
            <w:tcBorders>
              <w:top w:val="nil"/>
              <w:left w:val="single" w:sz="4" w:space="0" w:color="auto"/>
              <w:bottom w:val="single" w:sz="4" w:space="0" w:color="auto"/>
              <w:right w:val="single" w:sz="4" w:space="0" w:color="auto"/>
            </w:tcBorders>
            <w:shd w:val="clear" w:color="auto" w:fill="auto"/>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532</w:t>
            </w:r>
          </w:p>
        </w:tc>
        <w:tc>
          <w:tcPr>
            <w:tcW w:w="1107" w:type="pct"/>
            <w:tcBorders>
              <w:top w:val="nil"/>
              <w:left w:val="nil"/>
              <w:bottom w:val="single" w:sz="4" w:space="0" w:color="auto"/>
              <w:right w:val="single" w:sz="4" w:space="0" w:color="auto"/>
            </w:tcBorders>
            <w:shd w:val="clear" w:color="auto" w:fill="auto"/>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25/08/2020</w:t>
            </w:r>
          </w:p>
        </w:tc>
        <w:tc>
          <w:tcPr>
            <w:tcW w:w="2325" w:type="pct"/>
            <w:tcBorders>
              <w:top w:val="nil"/>
              <w:left w:val="nil"/>
              <w:bottom w:val="single" w:sz="4" w:space="0" w:color="auto"/>
              <w:right w:val="single" w:sz="4" w:space="0" w:color="auto"/>
            </w:tcBorders>
            <w:shd w:val="clear" w:color="auto" w:fill="auto"/>
            <w:vAlign w:val="center"/>
            <w:hideMark/>
          </w:tcPr>
          <w:p w:rsidR="0011236C" w:rsidRPr="0011236C" w:rsidRDefault="0011236C" w:rsidP="0011236C">
            <w:pP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E.S.E HOSPITAL LOCAL PIJIÑO DEL CARMEN</w:t>
            </w:r>
          </w:p>
        </w:tc>
        <w:tc>
          <w:tcPr>
            <w:tcW w:w="571" w:type="pct"/>
            <w:tcBorders>
              <w:top w:val="nil"/>
              <w:left w:val="nil"/>
              <w:bottom w:val="single" w:sz="4" w:space="0" w:color="auto"/>
              <w:right w:val="single" w:sz="4" w:space="0" w:color="auto"/>
            </w:tcBorders>
            <w:shd w:val="clear" w:color="auto" w:fill="auto"/>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 xml:space="preserve"> $   162 </w:t>
            </w:r>
          </w:p>
        </w:tc>
      </w:tr>
      <w:tr w:rsidR="0011236C" w:rsidRPr="0011236C" w:rsidTr="00F76962">
        <w:trPr>
          <w:trHeight w:val="217"/>
        </w:trPr>
        <w:tc>
          <w:tcPr>
            <w:tcW w:w="997" w:type="pct"/>
            <w:tcBorders>
              <w:top w:val="nil"/>
              <w:left w:val="single" w:sz="4" w:space="0" w:color="auto"/>
              <w:bottom w:val="single" w:sz="4" w:space="0" w:color="auto"/>
              <w:right w:val="single" w:sz="4" w:space="0" w:color="auto"/>
            </w:tcBorders>
            <w:shd w:val="clear" w:color="auto" w:fill="auto"/>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520</w:t>
            </w:r>
          </w:p>
        </w:tc>
        <w:tc>
          <w:tcPr>
            <w:tcW w:w="1107" w:type="pct"/>
            <w:tcBorders>
              <w:top w:val="nil"/>
              <w:left w:val="nil"/>
              <w:bottom w:val="single" w:sz="4" w:space="0" w:color="auto"/>
              <w:right w:val="single" w:sz="4" w:space="0" w:color="auto"/>
            </w:tcBorders>
            <w:shd w:val="clear" w:color="auto" w:fill="auto"/>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19/08/2020</w:t>
            </w:r>
          </w:p>
        </w:tc>
        <w:tc>
          <w:tcPr>
            <w:tcW w:w="2325" w:type="pct"/>
            <w:tcBorders>
              <w:top w:val="nil"/>
              <w:left w:val="nil"/>
              <w:bottom w:val="single" w:sz="4" w:space="0" w:color="auto"/>
              <w:right w:val="single" w:sz="4" w:space="0" w:color="auto"/>
            </w:tcBorders>
            <w:shd w:val="clear" w:color="auto" w:fill="auto"/>
            <w:vAlign w:val="center"/>
            <w:hideMark/>
          </w:tcPr>
          <w:p w:rsidR="0011236C" w:rsidRPr="0011236C" w:rsidRDefault="0011236C" w:rsidP="0011236C">
            <w:pP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E.S.E HOSPITAL SANTANDER HERRERA DE PIVIJAY</w:t>
            </w:r>
          </w:p>
        </w:tc>
        <w:tc>
          <w:tcPr>
            <w:tcW w:w="571" w:type="pct"/>
            <w:tcBorders>
              <w:top w:val="nil"/>
              <w:left w:val="nil"/>
              <w:bottom w:val="single" w:sz="4" w:space="0" w:color="auto"/>
              <w:right w:val="single" w:sz="4" w:space="0" w:color="auto"/>
            </w:tcBorders>
            <w:shd w:val="clear" w:color="auto" w:fill="auto"/>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 xml:space="preserve"> $   801 </w:t>
            </w:r>
          </w:p>
        </w:tc>
      </w:tr>
      <w:tr w:rsidR="0011236C" w:rsidRPr="0011236C" w:rsidTr="00F76962">
        <w:trPr>
          <w:trHeight w:val="217"/>
        </w:trPr>
        <w:tc>
          <w:tcPr>
            <w:tcW w:w="997" w:type="pct"/>
            <w:tcBorders>
              <w:top w:val="nil"/>
              <w:left w:val="single" w:sz="4" w:space="0" w:color="auto"/>
              <w:bottom w:val="single" w:sz="4" w:space="0" w:color="auto"/>
              <w:right w:val="single" w:sz="4" w:space="0" w:color="auto"/>
            </w:tcBorders>
            <w:shd w:val="clear" w:color="auto" w:fill="auto"/>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531</w:t>
            </w:r>
          </w:p>
        </w:tc>
        <w:tc>
          <w:tcPr>
            <w:tcW w:w="1107" w:type="pct"/>
            <w:tcBorders>
              <w:top w:val="nil"/>
              <w:left w:val="nil"/>
              <w:bottom w:val="single" w:sz="4" w:space="0" w:color="auto"/>
              <w:right w:val="single" w:sz="4" w:space="0" w:color="auto"/>
            </w:tcBorders>
            <w:shd w:val="clear" w:color="auto" w:fill="auto"/>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28/08/2020</w:t>
            </w:r>
          </w:p>
        </w:tc>
        <w:tc>
          <w:tcPr>
            <w:tcW w:w="2325" w:type="pct"/>
            <w:tcBorders>
              <w:top w:val="nil"/>
              <w:left w:val="nil"/>
              <w:bottom w:val="single" w:sz="4" w:space="0" w:color="auto"/>
              <w:right w:val="single" w:sz="4" w:space="0" w:color="auto"/>
            </w:tcBorders>
            <w:shd w:val="clear" w:color="auto" w:fill="auto"/>
            <w:vAlign w:val="center"/>
            <w:hideMark/>
          </w:tcPr>
          <w:p w:rsidR="0011236C" w:rsidRPr="0011236C" w:rsidRDefault="0011236C" w:rsidP="0011236C">
            <w:pP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E.S.E HOSPITAL FRAY LUIS DE LEON</w:t>
            </w:r>
          </w:p>
        </w:tc>
        <w:tc>
          <w:tcPr>
            <w:tcW w:w="571" w:type="pct"/>
            <w:tcBorders>
              <w:top w:val="nil"/>
              <w:left w:val="nil"/>
              <w:bottom w:val="single" w:sz="4" w:space="0" w:color="auto"/>
              <w:right w:val="single" w:sz="4" w:space="0" w:color="auto"/>
            </w:tcBorders>
            <w:shd w:val="clear" w:color="auto" w:fill="auto"/>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 xml:space="preserve"> $   658 </w:t>
            </w:r>
          </w:p>
        </w:tc>
      </w:tr>
      <w:tr w:rsidR="0011236C" w:rsidRPr="0011236C" w:rsidTr="00F76962">
        <w:trPr>
          <w:trHeight w:val="217"/>
        </w:trPr>
        <w:tc>
          <w:tcPr>
            <w:tcW w:w="997" w:type="pct"/>
            <w:tcBorders>
              <w:top w:val="nil"/>
              <w:left w:val="single" w:sz="4" w:space="0" w:color="auto"/>
              <w:bottom w:val="single" w:sz="4" w:space="0" w:color="auto"/>
              <w:right w:val="single" w:sz="4" w:space="0" w:color="auto"/>
            </w:tcBorders>
            <w:shd w:val="clear" w:color="auto" w:fill="auto"/>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533</w:t>
            </w:r>
          </w:p>
        </w:tc>
        <w:tc>
          <w:tcPr>
            <w:tcW w:w="1107" w:type="pct"/>
            <w:tcBorders>
              <w:top w:val="nil"/>
              <w:left w:val="nil"/>
              <w:bottom w:val="single" w:sz="4" w:space="0" w:color="auto"/>
              <w:right w:val="single" w:sz="4" w:space="0" w:color="auto"/>
            </w:tcBorders>
            <w:shd w:val="clear" w:color="auto" w:fill="auto"/>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26/08/2020</w:t>
            </w:r>
          </w:p>
        </w:tc>
        <w:tc>
          <w:tcPr>
            <w:tcW w:w="2325" w:type="pct"/>
            <w:tcBorders>
              <w:top w:val="nil"/>
              <w:left w:val="nil"/>
              <w:bottom w:val="single" w:sz="4" w:space="0" w:color="auto"/>
              <w:right w:val="single" w:sz="4" w:space="0" w:color="auto"/>
            </w:tcBorders>
            <w:shd w:val="clear" w:color="auto" w:fill="auto"/>
            <w:vAlign w:val="center"/>
            <w:hideMark/>
          </w:tcPr>
          <w:p w:rsidR="0011236C" w:rsidRPr="0011236C" w:rsidRDefault="0011236C" w:rsidP="0011236C">
            <w:pP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E.S.E HOSPITAL LOCAL SABANAS DE SAN ANGEL</w:t>
            </w:r>
          </w:p>
        </w:tc>
        <w:tc>
          <w:tcPr>
            <w:tcW w:w="571" w:type="pct"/>
            <w:tcBorders>
              <w:top w:val="nil"/>
              <w:left w:val="nil"/>
              <w:bottom w:val="single" w:sz="4" w:space="0" w:color="auto"/>
              <w:right w:val="single" w:sz="4" w:space="0" w:color="auto"/>
            </w:tcBorders>
            <w:shd w:val="clear" w:color="auto" w:fill="auto"/>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 xml:space="preserve"> $   162 </w:t>
            </w:r>
          </w:p>
        </w:tc>
      </w:tr>
      <w:tr w:rsidR="0011236C" w:rsidRPr="0011236C" w:rsidTr="00F76962">
        <w:trPr>
          <w:trHeight w:val="217"/>
        </w:trPr>
        <w:tc>
          <w:tcPr>
            <w:tcW w:w="997" w:type="pct"/>
            <w:tcBorders>
              <w:top w:val="nil"/>
              <w:left w:val="single" w:sz="4" w:space="0" w:color="auto"/>
              <w:bottom w:val="single" w:sz="4" w:space="0" w:color="auto"/>
              <w:right w:val="single" w:sz="4" w:space="0" w:color="auto"/>
            </w:tcBorders>
            <w:shd w:val="clear" w:color="auto" w:fill="auto"/>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lastRenderedPageBreak/>
              <w:t>521</w:t>
            </w:r>
          </w:p>
        </w:tc>
        <w:tc>
          <w:tcPr>
            <w:tcW w:w="1107" w:type="pct"/>
            <w:tcBorders>
              <w:top w:val="nil"/>
              <w:left w:val="nil"/>
              <w:bottom w:val="single" w:sz="4" w:space="0" w:color="auto"/>
              <w:right w:val="single" w:sz="4" w:space="0" w:color="auto"/>
            </w:tcBorders>
            <w:shd w:val="clear" w:color="auto" w:fill="auto"/>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25/08/2020</w:t>
            </w:r>
          </w:p>
        </w:tc>
        <w:tc>
          <w:tcPr>
            <w:tcW w:w="2325" w:type="pct"/>
            <w:tcBorders>
              <w:top w:val="nil"/>
              <w:left w:val="nil"/>
              <w:bottom w:val="single" w:sz="4" w:space="0" w:color="auto"/>
              <w:right w:val="single" w:sz="4" w:space="0" w:color="auto"/>
            </w:tcBorders>
            <w:shd w:val="clear" w:color="auto" w:fill="auto"/>
            <w:vAlign w:val="center"/>
            <w:hideMark/>
          </w:tcPr>
          <w:p w:rsidR="0011236C" w:rsidRPr="0011236C" w:rsidRDefault="0011236C" w:rsidP="0011236C">
            <w:pP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E.S.E CENTRO DE SALUD DE ZAPAYAN</w:t>
            </w:r>
          </w:p>
        </w:tc>
        <w:tc>
          <w:tcPr>
            <w:tcW w:w="571" w:type="pct"/>
            <w:tcBorders>
              <w:top w:val="nil"/>
              <w:left w:val="nil"/>
              <w:bottom w:val="single" w:sz="4" w:space="0" w:color="auto"/>
              <w:right w:val="single" w:sz="4" w:space="0" w:color="auto"/>
            </w:tcBorders>
            <w:shd w:val="clear" w:color="auto" w:fill="auto"/>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 xml:space="preserve"> $   159 </w:t>
            </w:r>
          </w:p>
        </w:tc>
      </w:tr>
      <w:tr w:rsidR="0011236C" w:rsidRPr="0011236C" w:rsidTr="00F76962">
        <w:trPr>
          <w:trHeight w:val="217"/>
        </w:trPr>
        <w:tc>
          <w:tcPr>
            <w:tcW w:w="997" w:type="pct"/>
            <w:tcBorders>
              <w:top w:val="nil"/>
              <w:left w:val="single" w:sz="4" w:space="0" w:color="auto"/>
              <w:bottom w:val="single" w:sz="4" w:space="0" w:color="auto"/>
              <w:right w:val="single" w:sz="4" w:space="0" w:color="auto"/>
            </w:tcBorders>
            <w:shd w:val="clear" w:color="auto" w:fill="auto"/>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523</w:t>
            </w:r>
          </w:p>
        </w:tc>
        <w:tc>
          <w:tcPr>
            <w:tcW w:w="1107" w:type="pct"/>
            <w:tcBorders>
              <w:top w:val="nil"/>
              <w:left w:val="nil"/>
              <w:bottom w:val="single" w:sz="4" w:space="0" w:color="auto"/>
              <w:right w:val="single" w:sz="4" w:space="0" w:color="auto"/>
            </w:tcBorders>
            <w:shd w:val="clear" w:color="auto" w:fill="auto"/>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31/08/2020</w:t>
            </w:r>
          </w:p>
        </w:tc>
        <w:tc>
          <w:tcPr>
            <w:tcW w:w="2325" w:type="pct"/>
            <w:tcBorders>
              <w:top w:val="nil"/>
              <w:left w:val="nil"/>
              <w:bottom w:val="single" w:sz="4" w:space="0" w:color="auto"/>
              <w:right w:val="single" w:sz="4" w:space="0" w:color="auto"/>
            </w:tcBorders>
            <w:shd w:val="clear" w:color="auto" w:fill="auto"/>
            <w:vAlign w:val="center"/>
            <w:hideMark/>
          </w:tcPr>
          <w:p w:rsidR="0011236C" w:rsidRPr="0011236C" w:rsidRDefault="0011236C" w:rsidP="0011236C">
            <w:pP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E.S.E HOSPITAL LOCAL SITIO NUEVO</w:t>
            </w:r>
          </w:p>
        </w:tc>
        <w:tc>
          <w:tcPr>
            <w:tcW w:w="571" w:type="pct"/>
            <w:tcBorders>
              <w:top w:val="nil"/>
              <w:left w:val="nil"/>
              <w:bottom w:val="single" w:sz="4" w:space="0" w:color="auto"/>
              <w:right w:val="single" w:sz="4" w:space="0" w:color="auto"/>
            </w:tcBorders>
            <w:shd w:val="clear" w:color="auto" w:fill="auto"/>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 xml:space="preserve"> $   160 </w:t>
            </w:r>
          </w:p>
        </w:tc>
      </w:tr>
      <w:tr w:rsidR="0011236C" w:rsidRPr="0011236C" w:rsidTr="00F76962">
        <w:trPr>
          <w:trHeight w:val="217"/>
        </w:trPr>
        <w:tc>
          <w:tcPr>
            <w:tcW w:w="997" w:type="pct"/>
            <w:tcBorders>
              <w:top w:val="nil"/>
              <w:left w:val="single" w:sz="4" w:space="0" w:color="auto"/>
              <w:bottom w:val="single" w:sz="4" w:space="0" w:color="auto"/>
              <w:right w:val="single" w:sz="4" w:space="0" w:color="auto"/>
            </w:tcBorders>
            <w:shd w:val="clear" w:color="auto" w:fill="auto"/>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534</w:t>
            </w:r>
          </w:p>
        </w:tc>
        <w:tc>
          <w:tcPr>
            <w:tcW w:w="1107" w:type="pct"/>
            <w:tcBorders>
              <w:top w:val="nil"/>
              <w:left w:val="nil"/>
              <w:bottom w:val="single" w:sz="4" w:space="0" w:color="auto"/>
              <w:right w:val="single" w:sz="4" w:space="0" w:color="auto"/>
            </w:tcBorders>
            <w:shd w:val="clear" w:color="auto" w:fill="auto"/>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25/08/2020</w:t>
            </w:r>
          </w:p>
        </w:tc>
        <w:tc>
          <w:tcPr>
            <w:tcW w:w="2325" w:type="pct"/>
            <w:tcBorders>
              <w:top w:val="nil"/>
              <w:left w:val="nil"/>
              <w:bottom w:val="single" w:sz="4" w:space="0" w:color="auto"/>
              <w:right w:val="single" w:sz="4" w:space="0" w:color="auto"/>
            </w:tcBorders>
            <w:shd w:val="clear" w:color="auto" w:fill="auto"/>
            <w:vAlign w:val="center"/>
            <w:hideMark/>
          </w:tcPr>
          <w:p w:rsidR="0011236C" w:rsidRPr="0011236C" w:rsidRDefault="0011236C" w:rsidP="0011236C">
            <w:pP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E.S.E HOSPITAL LOCAL ZONA BANANERA</w:t>
            </w:r>
          </w:p>
        </w:tc>
        <w:tc>
          <w:tcPr>
            <w:tcW w:w="571" w:type="pct"/>
            <w:tcBorders>
              <w:top w:val="nil"/>
              <w:left w:val="nil"/>
              <w:bottom w:val="single" w:sz="4" w:space="0" w:color="auto"/>
              <w:right w:val="single" w:sz="4" w:space="0" w:color="auto"/>
            </w:tcBorders>
            <w:shd w:val="clear" w:color="auto" w:fill="auto"/>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 xml:space="preserve"> $   176 </w:t>
            </w:r>
          </w:p>
        </w:tc>
      </w:tr>
      <w:tr w:rsidR="0011236C" w:rsidRPr="0011236C" w:rsidTr="00F76962">
        <w:trPr>
          <w:trHeight w:val="392"/>
        </w:trPr>
        <w:tc>
          <w:tcPr>
            <w:tcW w:w="997" w:type="pct"/>
            <w:tcBorders>
              <w:top w:val="nil"/>
              <w:left w:val="single" w:sz="4" w:space="0" w:color="auto"/>
              <w:bottom w:val="single" w:sz="4" w:space="0" w:color="auto"/>
              <w:right w:val="single" w:sz="4" w:space="0" w:color="auto"/>
            </w:tcBorders>
            <w:shd w:val="clear" w:color="auto" w:fill="auto"/>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847</w:t>
            </w:r>
          </w:p>
        </w:tc>
        <w:tc>
          <w:tcPr>
            <w:tcW w:w="1107" w:type="pct"/>
            <w:tcBorders>
              <w:top w:val="nil"/>
              <w:left w:val="nil"/>
              <w:bottom w:val="single" w:sz="4" w:space="0" w:color="auto"/>
              <w:right w:val="single" w:sz="4" w:space="0" w:color="auto"/>
            </w:tcBorders>
            <w:shd w:val="clear" w:color="auto" w:fill="auto"/>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30/11/2020</w:t>
            </w:r>
          </w:p>
        </w:tc>
        <w:tc>
          <w:tcPr>
            <w:tcW w:w="2325" w:type="pct"/>
            <w:tcBorders>
              <w:top w:val="nil"/>
              <w:left w:val="nil"/>
              <w:bottom w:val="single" w:sz="4" w:space="0" w:color="auto"/>
              <w:right w:val="single" w:sz="4" w:space="0" w:color="auto"/>
            </w:tcBorders>
            <w:shd w:val="clear" w:color="auto" w:fill="auto"/>
            <w:vAlign w:val="bottom"/>
            <w:hideMark/>
          </w:tcPr>
          <w:p w:rsidR="0011236C" w:rsidRPr="0011236C" w:rsidRDefault="0011236C" w:rsidP="0011236C">
            <w:pPr>
              <w:rPr>
                <w:rFonts w:ascii="Arial" w:eastAsia="Times New Roman" w:hAnsi="Arial" w:cs="Arial"/>
                <w:sz w:val="18"/>
                <w:szCs w:val="18"/>
                <w:lang w:val="es-CO" w:eastAsia="es-CO"/>
              </w:rPr>
            </w:pPr>
            <w:r w:rsidRPr="0011236C">
              <w:rPr>
                <w:rFonts w:ascii="Arial" w:eastAsia="Times New Roman" w:hAnsi="Arial" w:cs="Arial"/>
                <w:sz w:val="18"/>
                <w:szCs w:val="18"/>
                <w:lang w:val="es-CO" w:eastAsia="es-CO"/>
              </w:rPr>
              <w:t>GONAWINDUA ETTE ENNAKA INSTITUCION PUBLICA DE SALUD INDIGENA</w:t>
            </w:r>
          </w:p>
        </w:tc>
        <w:tc>
          <w:tcPr>
            <w:tcW w:w="571" w:type="pct"/>
            <w:tcBorders>
              <w:top w:val="nil"/>
              <w:left w:val="nil"/>
              <w:bottom w:val="single" w:sz="4" w:space="0" w:color="auto"/>
              <w:right w:val="single" w:sz="4" w:space="0" w:color="auto"/>
            </w:tcBorders>
            <w:shd w:val="clear" w:color="auto" w:fill="auto"/>
            <w:vAlign w:val="center"/>
            <w:hideMark/>
          </w:tcPr>
          <w:p w:rsidR="0011236C" w:rsidRPr="0011236C" w:rsidRDefault="0011236C" w:rsidP="0011236C">
            <w:pPr>
              <w:rPr>
                <w:rFonts w:ascii="Arial" w:eastAsia="Times New Roman" w:hAnsi="Arial" w:cs="Arial"/>
                <w:sz w:val="18"/>
                <w:szCs w:val="18"/>
                <w:lang w:val="es-CO" w:eastAsia="es-CO"/>
              </w:rPr>
            </w:pPr>
            <w:r w:rsidRPr="0011236C">
              <w:rPr>
                <w:rFonts w:ascii="Arial" w:eastAsia="Times New Roman" w:hAnsi="Arial" w:cs="Arial"/>
                <w:sz w:val="18"/>
                <w:szCs w:val="18"/>
                <w:lang w:val="es-CO" w:eastAsia="es-CO"/>
              </w:rPr>
              <w:t xml:space="preserve"> $    97 </w:t>
            </w:r>
          </w:p>
        </w:tc>
      </w:tr>
      <w:tr w:rsidR="0011236C" w:rsidRPr="0011236C" w:rsidTr="00F76962">
        <w:trPr>
          <w:trHeight w:val="228"/>
        </w:trPr>
        <w:tc>
          <w:tcPr>
            <w:tcW w:w="4429"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Total</w:t>
            </w:r>
          </w:p>
        </w:tc>
        <w:tc>
          <w:tcPr>
            <w:tcW w:w="571" w:type="pct"/>
            <w:tcBorders>
              <w:top w:val="nil"/>
              <w:left w:val="nil"/>
              <w:bottom w:val="single" w:sz="8" w:space="0" w:color="000000"/>
              <w:right w:val="single" w:sz="8" w:space="0" w:color="000000"/>
            </w:tcBorders>
            <w:shd w:val="clear" w:color="auto" w:fill="auto"/>
            <w:noWrap/>
            <w:vAlign w:val="center"/>
            <w:hideMark/>
          </w:tcPr>
          <w:p w:rsidR="0011236C" w:rsidRPr="0011236C" w:rsidRDefault="0011236C" w:rsidP="0011236C">
            <w:pPr>
              <w:jc w:val="center"/>
              <w:rPr>
                <w:rFonts w:ascii="Arial" w:eastAsia="Times New Roman" w:hAnsi="Arial" w:cs="Arial"/>
                <w:b/>
                <w:bCs/>
                <w:color w:val="000000"/>
                <w:sz w:val="18"/>
                <w:szCs w:val="18"/>
                <w:lang w:val="es-CO" w:eastAsia="es-CO"/>
              </w:rPr>
            </w:pPr>
            <w:r w:rsidRPr="0011236C">
              <w:rPr>
                <w:rFonts w:ascii="Arial" w:eastAsia="Times New Roman" w:hAnsi="Arial" w:cs="Arial"/>
                <w:b/>
                <w:bCs/>
                <w:color w:val="000000"/>
                <w:sz w:val="18"/>
                <w:szCs w:val="18"/>
                <w:lang w:val="es-CO" w:eastAsia="es-CO"/>
              </w:rPr>
              <w:t xml:space="preserve"> $    5.168 </w:t>
            </w:r>
          </w:p>
        </w:tc>
      </w:tr>
    </w:tbl>
    <w:p w:rsidR="0011236C" w:rsidRPr="0011236C" w:rsidRDefault="0011236C" w:rsidP="0011236C">
      <w:pPr>
        <w:jc w:val="both"/>
        <w:rPr>
          <w:rFonts w:ascii="Arial" w:hAnsi="Arial" w:cs="Arial"/>
          <w:sz w:val="21"/>
          <w:szCs w:val="21"/>
        </w:rPr>
      </w:pPr>
      <w:r w:rsidRPr="0011236C">
        <w:rPr>
          <w:rFonts w:ascii="Arial" w:hAnsi="Arial" w:cs="Arial"/>
          <w:sz w:val="21"/>
          <w:szCs w:val="21"/>
        </w:rPr>
        <w:t>Fuente: Información de la entidad territorial</w:t>
      </w:r>
    </w:p>
    <w:p w:rsidR="0011236C" w:rsidRPr="0011236C" w:rsidRDefault="0011236C" w:rsidP="0011236C">
      <w:pPr>
        <w:jc w:val="both"/>
        <w:rPr>
          <w:rFonts w:ascii="Arial" w:hAnsi="Arial" w:cs="Arial"/>
          <w:sz w:val="21"/>
          <w:szCs w:val="21"/>
        </w:rPr>
      </w:pPr>
    </w:p>
    <w:p w:rsidR="0011236C" w:rsidRPr="0011236C" w:rsidRDefault="0011236C" w:rsidP="0011236C">
      <w:pPr>
        <w:jc w:val="both"/>
        <w:rPr>
          <w:rFonts w:ascii="Arial" w:hAnsi="Arial" w:cs="Arial"/>
          <w:bCs/>
          <w:sz w:val="21"/>
          <w:szCs w:val="21"/>
        </w:rPr>
      </w:pPr>
      <w:r w:rsidRPr="0011236C">
        <w:rPr>
          <w:rFonts w:ascii="Arial" w:hAnsi="Arial" w:cs="Arial"/>
          <w:bCs/>
          <w:sz w:val="21"/>
          <w:szCs w:val="21"/>
        </w:rPr>
        <w:t xml:space="preserve">Frente a la ejecución de las acciones de PIC en la vigencia 2021, la Entidad no remite información diligenciada en el requerimiento solicitado. No obstante, verificado el reporte de información en el FUT-Fondo Local de Salud se identifica la ausencia de recursos comprometidos por dicho concepto, por lo que es posible inferir que con corte a junio de 2021 no se habría efectuado la correspondiente contratación de los mismos. </w:t>
      </w:r>
    </w:p>
    <w:p w:rsidR="0011236C" w:rsidRPr="0011236C" w:rsidRDefault="0011236C" w:rsidP="0011236C">
      <w:pPr>
        <w:jc w:val="both"/>
        <w:rPr>
          <w:rFonts w:ascii="Arial" w:hAnsi="Arial" w:cs="Arial"/>
          <w:bCs/>
          <w:sz w:val="21"/>
          <w:szCs w:val="21"/>
        </w:rPr>
      </w:pPr>
    </w:p>
    <w:p w:rsidR="0011236C" w:rsidRPr="0011236C" w:rsidRDefault="0011236C" w:rsidP="0011236C">
      <w:pPr>
        <w:jc w:val="both"/>
        <w:rPr>
          <w:rFonts w:ascii="Arial" w:hAnsi="Arial" w:cs="Arial"/>
          <w:bCs/>
          <w:sz w:val="21"/>
          <w:szCs w:val="21"/>
        </w:rPr>
      </w:pPr>
      <w:r w:rsidRPr="0011236C">
        <w:rPr>
          <w:rFonts w:ascii="Arial" w:hAnsi="Arial" w:cs="Arial"/>
          <w:bCs/>
          <w:sz w:val="21"/>
          <w:szCs w:val="21"/>
        </w:rPr>
        <w:t xml:space="preserve">Por lo anterior, la verificación de los </w:t>
      </w:r>
      <w:r w:rsidRPr="0011236C">
        <w:rPr>
          <w:rFonts w:ascii="Arial" w:hAnsi="Arial" w:cs="Arial"/>
          <w:sz w:val="21"/>
          <w:szCs w:val="21"/>
        </w:rPr>
        <w:t>parámetros de contratación establecidos en la Resolución 518 de 2015, y 3280 de 2018 para las intervenciones colectivas</w:t>
      </w:r>
      <w:r w:rsidRPr="0011236C">
        <w:rPr>
          <w:rFonts w:ascii="Arial" w:hAnsi="Arial" w:cs="Arial"/>
          <w:bCs/>
          <w:sz w:val="21"/>
          <w:szCs w:val="21"/>
        </w:rPr>
        <w:t xml:space="preserve"> no fue posible, situación que en el marco del reconocimiento institucional que se realice deberá ser tenida en cuenta. </w:t>
      </w:r>
    </w:p>
    <w:p w:rsidR="0011236C" w:rsidRPr="0011236C" w:rsidRDefault="0011236C" w:rsidP="0011236C">
      <w:pPr>
        <w:jc w:val="both"/>
        <w:rPr>
          <w:rFonts w:ascii="Arial" w:hAnsi="Arial" w:cs="Arial"/>
          <w:bCs/>
          <w:sz w:val="21"/>
          <w:szCs w:val="21"/>
        </w:rPr>
      </w:pPr>
    </w:p>
    <w:p w:rsidR="0011236C" w:rsidRPr="0011236C" w:rsidRDefault="0011236C" w:rsidP="0011236C">
      <w:pPr>
        <w:jc w:val="both"/>
        <w:rPr>
          <w:rFonts w:ascii="Arial" w:hAnsi="Arial" w:cs="Arial"/>
          <w:b/>
          <w:bCs/>
          <w:sz w:val="21"/>
          <w:szCs w:val="21"/>
        </w:rPr>
      </w:pPr>
      <w:r w:rsidRPr="0011236C">
        <w:rPr>
          <w:rFonts w:ascii="Arial" w:hAnsi="Arial" w:cs="Arial"/>
          <w:b/>
          <w:bCs/>
          <w:sz w:val="21"/>
          <w:szCs w:val="21"/>
        </w:rPr>
        <w:t>4.3 Gestión en Salud Publica</w:t>
      </w:r>
    </w:p>
    <w:p w:rsidR="0011236C" w:rsidRPr="0011236C" w:rsidRDefault="0011236C" w:rsidP="0011236C">
      <w:pPr>
        <w:jc w:val="both"/>
        <w:rPr>
          <w:rFonts w:ascii="Arial" w:hAnsi="Arial" w:cs="Arial"/>
          <w:b/>
          <w:bCs/>
          <w:sz w:val="21"/>
          <w:szCs w:val="21"/>
        </w:rPr>
      </w:pPr>
    </w:p>
    <w:p w:rsidR="0011236C" w:rsidRPr="0011236C" w:rsidRDefault="0011236C" w:rsidP="0011236C">
      <w:pPr>
        <w:jc w:val="both"/>
        <w:rPr>
          <w:rFonts w:ascii="Arial" w:hAnsi="Arial" w:cs="Arial"/>
          <w:b/>
          <w:bCs/>
          <w:sz w:val="21"/>
          <w:szCs w:val="21"/>
        </w:rPr>
      </w:pPr>
      <w:r w:rsidRPr="0011236C">
        <w:rPr>
          <w:rFonts w:ascii="Arial" w:hAnsi="Arial" w:cs="Arial"/>
          <w:b/>
          <w:bCs/>
          <w:sz w:val="21"/>
          <w:szCs w:val="21"/>
        </w:rPr>
        <w:t>4.3.1 Análisis de los Procesos de Gestión de la Salud Publica Financiados con el SGP:</w:t>
      </w:r>
    </w:p>
    <w:p w:rsidR="0011236C" w:rsidRPr="0011236C" w:rsidRDefault="0011236C" w:rsidP="0011236C">
      <w:pPr>
        <w:jc w:val="both"/>
        <w:rPr>
          <w:rFonts w:ascii="Arial" w:hAnsi="Arial" w:cs="Arial"/>
          <w:b/>
          <w:bCs/>
          <w:sz w:val="21"/>
          <w:szCs w:val="21"/>
        </w:rPr>
      </w:pPr>
    </w:p>
    <w:p w:rsidR="0011236C" w:rsidRPr="0011236C" w:rsidRDefault="0011236C" w:rsidP="0011236C">
      <w:pPr>
        <w:jc w:val="both"/>
        <w:rPr>
          <w:rFonts w:ascii="Arial" w:hAnsi="Arial" w:cs="Arial"/>
          <w:sz w:val="21"/>
          <w:szCs w:val="21"/>
        </w:rPr>
      </w:pPr>
      <w:r w:rsidRPr="0011236C">
        <w:rPr>
          <w:rFonts w:ascii="Arial" w:hAnsi="Arial" w:cs="Arial"/>
          <w:sz w:val="21"/>
          <w:szCs w:val="21"/>
        </w:rPr>
        <w:t xml:space="preserve">En atención al requerimiento efectuado por esta Dirección asociado a </w:t>
      </w:r>
      <w:r w:rsidRPr="0011236C">
        <w:rPr>
          <w:rFonts w:ascii="Arial" w:hAnsi="Arial" w:cs="Arial"/>
          <w:i/>
          <w:sz w:val="21"/>
          <w:szCs w:val="21"/>
        </w:rPr>
        <w:t>“informe Ejecutivo en donde se permita evidenciar las acciones y productos esperados frente a cada proceso de gestión de la salud pública que son financiados con el SGP de acuerdo a lo previsto en el Documento técnico”, “Directrices para la caracterización y ejecución de los procesos para la Gestión de la Salud Pública en el contexto de la Política de Atención Integral en Salud"</w:t>
      </w:r>
      <w:r w:rsidRPr="0011236C">
        <w:rPr>
          <w:rFonts w:ascii="Arial" w:hAnsi="Arial" w:cs="Arial"/>
          <w:sz w:val="21"/>
          <w:szCs w:val="21"/>
        </w:rPr>
        <w:t xml:space="preserve"> , la entidad territorial aporta un documento que en resumen manifiesta: </w:t>
      </w:r>
    </w:p>
    <w:p w:rsidR="0011236C" w:rsidRPr="0011236C" w:rsidRDefault="0011236C" w:rsidP="0011236C">
      <w:pPr>
        <w:jc w:val="both"/>
        <w:rPr>
          <w:rFonts w:ascii="Arial" w:hAnsi="Arial" w:cs="Arial"/>
          <w:sz w:val="21"/>
          <w:szCs w:val="21"/>
        </w:rPr>
      </w:pPr>
    </w:p>
    <w:p w:rsidR="0011236C" w:rsidRPr="0011236C" w:rsidRDefault="0011236C" w:rsidP="0011236C">
      <w:pPr>
        <w:jc w:val="both"/>
        <w:rPr>
          <w:rFonts w:ascii="Arial" w:eastAsiaTheme="minorHAnsi" w:hAnsi="Arial" w:cs="Arial"/>
          <w:i/>
          <w:sz w:val="21"/>
          <w:szCs w:val="21"/>
          <w:lang w:val="es-CO" w:eastAsia="en-US"/>
        </w:rPr>
      </w:pPr>
      <w:r w:rsidRPr="0011236C">
        <w:rPr>
          <w:rFonts w:ascii="Arial" w:eastAsiaTheme="minorHAnsi" w:hAnsi="Arial" w:cs="Arial"/>
          <w:i/>
          <w:sz w:val="21"/>
          <w:szCs w:val="21"/>
          <w:lang w:val="es-CO" w:eastAsia="en-US"/>
        </w:rPr>
        <w:t>“[…] El Plan Decenal de Salud Pública adoptado en la Resolución 1841 de 2013 establece que su implementación se concreta en la ejecución de acciones enmarcadas en tres líneas operativas: a) Promoción de la Salud, b) Gestión del Riesgo y c) Gestión de la Salud Pública. Para delimitar o categorizar las acciones a ejecutar en el marco de estas líneas operativas, a continuación, se presentan las acciones por Dimensión, Producto anual, actividades y línea operativa de la Gestión en Salud Publica para la vigencia 2020.</w:t>
      </w:r>
      <w:r w:rsidRPr="0011236C">
        <w:rPr>
          <w:rFonts w:ascii="Arial" w:hAnsi="Arial" w:cs="Arial"/>
          <w:i/>
          <w:sz w:val="21"/>
          <w:szCs w:val="21"/>
        </w:rPr>
        <w:t xml:space="preserve"> </w:t>
      </w:r>
      <w:r w:rsidRPr="0011236C">
        <w:rPr>
          <w:rFonts w:ascii="Arial" w:eastAsiaTheme="minorHAnsi" w:hAnsi="Arial" w:cs="Arial"/>
          <w:i/>
          <w:sz w:val="21"/>
          <w:szCs w:val="21"/>
          <w:lang w:val="es-CO" w:eastAsia="en-US"/>
        </w:rPr>
        <w:t>En la vigencia 2020 se ejecutó el 80% de las acciones planteadas para el departamento del Magdalena”.</w:t>
      </w:r>
    </w:p>
    <w:p w:rsidR="0011236C" w:rsidRPr="0011236C" w:rsidRDefault="0011236C" w:rsidP="0011236C">
      <w:pPr>
        <w:jc w:val="both"/>
        <w:rPr>
          <w:rFonts w:ascii="Arial" w:hAnsi="Arial" w:cs="Arial"/>
          <w:sz w:val="21"/>
          <w:szCs w:val="21"/>
        </w:rPr>
      </w:pPr>
    </w:p>
    <w:p w:rsidR="0011236C" w:rsidRPr="0011236C" w:rsidRDefault="0011236C" w:rsidP="0011236C">
      <w:pPr>
        <w:jc w:val="both"/>
        <w:rPr>
          <w:rFonts w:ascii="Arial" w:hAnsi="Arial" w:cs="Arial"/>
          <w:sz w:val="21"/>
          <w:szCs w:val="21"/>
        </w:rPr>
      </w:pPr>
      <w:r w:rsidRPr="0011236C">
        <w:rPr>
          <w:rFonts w:ascii="Arial" w:hAnsi="Arial" w:cs="Arial"/>
          <w:sz w:val="21"/>
          <w:szCs w:val="21"/>
        </w:rPr>
        <w:t xml:space="preserve">No obstante, la información suministrada no permite analizar el cumplimiento detallado de las acciones por cada proceso, como tampoco si la fuente de financiación utilizada para su ejecución correspondió a los recursos del SGP- Salud Pública. </w:t>
      </w:r>
    </w:p>
    <w:p w:rsidR="0011236C" w:rsidRPr="0011236C" w:rsidRDefault="0011236C" w:rsidP="0011236C">
      <w:pPr>
        <w:jc w:val="both"/>
        <w:rPr>
          <w:rFonts w:ascii="Arial" w:hAnsi="Arial" w:cs="Arial"/>
          <w:sz w:val="21"/>
          <w:szCs w:val="21"/>
        </w:rPr>
      </w:pPr>
    </w:p>
    <w:p w:rsidR="0011236C" w:rsidRPr="0011236C" w:rsidRDefault="0011236C" w:rsidP="0011236C">
      <w:pPr>
        <w:jc w:val="both"/>
        <w:rPr>
          <w:rFonts w:ascii="Arial" w:hAnsi="Arial" w:cs="Arial"/>
          <w:b/>
          <w:bCs/>
          <w:sz w:val="21"/>
          <w:szCs w:val="21"/>
        </w:rPr>
      </w:pPr>
      <w:r w:rsidRPr="0011236C">
        <w:rPr>
          <w:rFonts w:ascii="Arial" w:hAnsi="Arial" w:cs="Arial"/>
          <w:b/>
          <w:bCs/>
          <w:sz w:val="21"/>
          <w:szCs w:val="21"/>
        </w:rPr>
        <w:t>4.3.2 Contratación De la Salud Pública</w:t>
      </w:r>
    </w:p>
    <w:p w:rsidR="0011236C" w:rsidRPr="0011236C" w:rsidRDefault="0011236C" w:rsidP="0011236C">
      <w:pPr>
        <w:jc w:val="both"/>
        <w:rPr>
          <w:rFonts w:ascii="Arial" w:hAnsi="Arial" w:cs="Arial"/>
          <w:b/>
          <w:bCs/>
          <w:sz w:val="21"/>
          <w:szCs w:val="21"/>
        </w:rPr>
      </w:pPr>
    </w:p>
    <w:p w:rsidR="0011236C" w:rsidRPr="0011236C" w:rsidRDefault="0011236C" w:rsidP="0011236C">
      <w:pPr>
        <w:jc w:val="both"/>
        <w:rPr>
          <w:rFonts w:ascii="Arial" w:hAnsi="Arial" w:cs="Arial"/>
          <w:b/>
          <w:bCs/>
          <w:sz w:val="21"/>
          <w:szCs w:val="21"/>
        </w:rPr>
      </w:pPr>
      <w:r w:rsidRPr="0011236C">
        <w:rPr>
          <w:rFonts w:ascii="Arial" w:hAnsi="Arial" w:cs="Arial"/>
          <w:b/>
          <w:bCs/>
          <w:sz w:val="21"/>
          <w:szCs w:val="21"/>
        </w:rPr>
        <w:t>VIGENCIA 2020</w:t>
      </w:r>
    </w:p>
    <w:p w:rsidR="0011236C" w:rsidRPr="0011236C" w:rsidRDefault="0011236C" w:rsidP="0011236C">
      <w:pPr>
        <w:jc w:val="both"/>
        <w:rPr>
          <w:rFonts w:ascii="Arial" w:hAnsi="Arial" w:cs="Arial"/>
          <w:b/>
          <w:bCs/>
          <w:sz w:val="21"/>
          <w:szCs w:val="21"/>
        </w:rPr>
      </w:pPr>
    </w:p>
    <w:p w:rsidR="0011236C" w:rsidRPr="0011236C" w:rsidRDefault="0011236C" w:rsidP="0011236C">
      <w:pPr>
        <w:jc w:val="both"/>
        <w:rPr>
          <w:rFonts w:ascii="Arial" w:hAnsi="Arial" w:cs="Arial"/>
          <w:bCs/>
          <w:sz w:val="21"/>
          <w:szCs w:val="21"/>
        </w:rPr>
      </w:pPr>
      <w:r w:rsidRPr="0011236C">
        <w:rPr>
          <w:rFonts w:ascii="Arial" w:hAnsi="Arial" w:cs="Arial"/>
          <w:bCs/>
          <w:sz w:val="21"/>
          <w:szCs w:val="21"/>
        </w:rPr>
        <w:t xml:space="preserve">Para la ejecución de acciones relacionadas con la gestión de la salud pública la entidad reporta un total de 7 contratos, comprometiendo un total de $446 millones provenientes del SGP- Salud </w:t>
      </w:r>
      <w:r w:rsidRPr="0011236C">
        <w:rPr>
          <w:rFonts w:ascii="Arial" w:hAnsi="Arial" w:cs="Arial"/>
          <w:bCs/>
          <w:sz w:val="21"/>
          <w:szCs w:val="21"/>
        </w:rPr>
        <w:lastRenderedPageBreak/>
        <w:t>Pública, frente a la cual no se identifica el tipo de contrato realizado. En ese orden de acuerdo a la modalidad de selección se evidenció lo siguiente:</w:t>
      </w:r>
    </w:p>
    <w:p w:rsidR="0011236C" w:rsidRPr="0011236C" w:rsidRDefault="0011236C" w:rsidP="0011236C">
      <w:pPr>
        <w:jc w:val="both"/>
        <w:rPr>
          <w:rFonts w:ascii="Arial" w:hAnsi="Arial" w:cs="Arial"/>
          <w:bCs/>
          <w:sz w:val="21"/>
          <w:szCs w:val="21"/>
        </w:rPr>
      </w:pPr>
    </w:p>
    <w:p w:rsidR="0011236C" w:rsidRPr="0011236C" w:rsidRDefault="0011236C" w:rsidP="0011236C">
      <w:pPr>
        <w:ind w:left="4248"/>
        <w:jc w:val="center"/>
        <w:rPr>
          <w:rFonts w:ascii="Arial" w:hAnsi="Arial" w:cs="Arial"/>
          <w:bCs/>
          <w:sz w:val="18"/>
          <w:szCs w:val="18"/>
        </w:rPr>
      </w:pPr>
      <w:r w:rsidRPr="0011236C">
        <w:rPr>
          <w:rFonts w:ascii="Arial" w:hAnsi="Arial" w:cs="Arial"/>
          <w:b/>
          <w:bCs/>
          <w:sz w:val="18"/>
          <w:szCs w:val="18"/>
        </w:rPr>
        <w:t>TABLA No 10</w:t>
      </w:r>
      <w:r w:rsidRPr="0011236C">
        <w:rPr>
          <w:rFonts w:ascii="Arial" w:hAnsi="Arial" w:cs="Arial"/>
          <w:b/>
          <w:bCs/>
          <w:sz w:val="18"/>
          <w:szCs w:val="18"/>
        </w:rPr>
        <w:tab/>
      </w:r>
      <w:r w:rsidRPr="0011236C">
        <w:rPr>
          <w:rFonts w:ascii="Arial" w:hAnsi="Arial" w:cs="Arial"/>
          <w:bCs/>
          <w:sz w:val="18"/>
          <w:szCs w:val="18"/>
        </w:rPr>
        <w:tab/>
      </w:r>
      <w:r w:rsidRPr="0011236C">
        <w:rPr>
          <w:rFonts w:ascii="Arial" w:hAnsi="Arial" w:cs="Arial"/>
          <w:bCs/>
          <w:sz w:val="18"/>
          <w:szCs w:val="18"/>
        </w:rPr>
        <w:tab/>
      </w:r>
      <w:r w:rsidRPr="0011236C">
        <w:rPr>
          <w:rFonts w:ascii="Arial" w:hAnsi="Arial" w:cs="Arial"/>
          <w:bCs/>
          <w:sz w:val="18"/>
          <w:szCs w:val="18"/>
        </w:rPr>
        <w:tab/>
      </w:r>
      <w:r w:rsidRPr="0011236C">
        <w:rPr>
          <w:rFonts w:ascii="Arial" w:hAnsi="Arial" w:cs="Arial"/>
          <w:bCs/>
          <w:sz w:val="18"/>
          <w:szCs w:val="18"/>
        </w:rPr>
        <w:tab/>
      </w:r>
      <w:r w:rsidRPr="0011236C">
        <w:rPr>
          <w:rFonts w:ascii="Arial" w:hAnsi="Arial" w:cs="Arial"/>
          <w:bCs/>
          <w:sz w:val="18"/>
          <w:szCs w:val="18"/>
        </w:rPr>
        <w:tab/>
      </w:r>
      <w:r w:rsidRPr="0011236C">
        <w:rPr>
          <w:rFonts w:ascii="Arial" w:hAnsi="Arial" w:cs="Arial"/>
          <w:bCs/>
          <w:sz w:val="18"/>
          <w:szCs w:val="18"/>
        </w:rPr>
        <w:tab/>
      </w:r>
      <w:r w:rsidRPr="0011236C">
        <w:rPr>
          <w:rFonts w:ascii="Arial" w:hAnsi="Arial" w:cs="Arial"/>
          <w:bCs/>
          <w:sz w:val="18"/>
          <w:szCs w:val="18"/>
        </w:rPr>
        <w:tab/>
      </w:r>
      <w:r w:rsidRPr="0011236C">
        <w:rPr>
          <w:rFonts w:ascii="Arial" w:hAnsi="Arial" w:cs="Arial"/>
          <w:bCs/>
          <w:sz w:val="18"/>
          <w:szCs w:val="18"/>
        </w:rPr>
        <w:tab/>
        <w:t xml:space="preserve">      valores en pesos</w:t>
      </w:r>
    </w:p>
    <w:tbl>
      <w:tblPr>
        <w:tblW w:w="8808" w:type="dxa"/>
        <w:tblInd w:w="-10" w:type="dxa"/>
        <w:tblCellMar>
          <w:left w:w="70" w:type="dxa"/>
          <w:right w:w="70" w:type="dxa"/>
        </w:tblCellMar>
        <w:tblLook w:val="04A0" w:firstRow="1" w:lastRow="0" w:firstColumn="1" w:lastColumn="0" w:noHBand="0" w:noVBand="1"/>
      </w:tblPr>
      <w:tblGrid>
        <w:gridCol w:w="1084"/>
        <w:gridCol w:w="2097"/>
        <w:gridCol w:w="3566"/>
        <w:gridCol w:w="2061"/>
      </w:tblGrid>
      <w:tr w:rsidR="0011236C" w:rsidRPr="0011236C" w:rsidTr="00F76962">
        <w:trPr>
          <w:trHeight w:val="231"/>
        </w:trPr>
        <w:tc>
          <w:tcPr>
            <w:tcW w:w="1084" w:type="dxa"/>
            <w:tcBorders>
              <w:top w:val="single" w:sz="8" w:space="0" w:color="auto"/>
              <w:left w:val="single" w:sz="8" w:space="0" w:color="auto"/>
              <w:bottom w:val="nil"/>
              <w:right w:val="single" w:sz="8" w:space="0" w:color="auto"/>
            </w:tcBorders>
            <w:shd w:val="clear" w:color="000000" w:fill="365F91"/>
            <w:noWrap/>
            <w:vAlign w:val="center"/>
            <w:hideMark/>
          </w:tcPr>
          <w:p w:rsidR="0011236C" w:rsidRPr="0011236C" w:rsidRDefault="0011236C" w:rsidP="0011236C">
            <w:pPr>
              <w:jc w:val="center"/>
              <w:rPr>
                <w:rFonts w:ascii="Arial" w:eastAsia="Times New Roman" w:hAnsi="Arial" w:cs="Arial"/>
                <w:b/>
                <w:bCs/>
                <w:color w:val="FFFFFF"/>
                <w:sz w:val="18"/>
                <w:szCs w:val="18"/>
                <w:lang w:val="es-CO" w:eastAsia="es-CO"/>
              </w:rPr>
            </w:pPr>
            <w:r w:rsidRPr="0011236C">
              <w:rPr>
                <w:rFonts w:ascii="Arial" w:eastAsia="Times New Roman" w:hAnsi="Arial" w:cs="Arial"/>
                <w:b/>
                <w:bCs/>
                <w:color w:val="FFFFFF"/>
                <w:sz w:val="18"/>
                <w:szCs w:val="18"/>
                <w:lang w:val="es-CO" w:eastAsia="es-CO"/>
              </w:rPr>
              <w:t>#</w:t>
            </w:r>
          </w:p>
        </w:tc>
        <w:tc>
          <w:tcPr>
            <w:tcW w:w="2097" w:type="dxa"/>
            <w:tcBorders>
              <w:top w:val="single" w:sz="8" w:space="0" w:color="auto"/>
              <w:left w:val="nil"/>
              <w:bottom w:val="nil"/>
              <w:right w:val="single" w:sz="8" w:space="0" w:color="auto"/>
            </w:tcBorders>
            <w:shd w:val="clear" w:color="000000" w:fill="365F91"/>
            <w:noWrap/>
            <w:vAlign w:val="center"/>
            <w:hideMark/>
          </w:tcPr>
          <w:p w:rsidR="0011236C" w:rsidRPr="0011236C" w:rsidRDefault="0011236C" w:rsidP="0011236C">
            <w:pPr>
              <w:jc w:val="center"/>
              <w:rPr>
                <w:rFonts w:ascii="Arial" w:eastAsia="Times New Roman" w:hAnsi="Arial" w:cs="Arial"/>
                <w:b/>
                <w:bCs/>
                <w:color w:val="FFFFFF"/>
                <w:sz w:val="18"/>
                <w:szCs w:val="18"/>
                <w:lang w:val="es-CO" w:eastAsia="es-CO"/>
              </w:rPr>
            </w:pPr>
            <w:r w:rsidRPr="0011236C">
              <w:rPr>
                <w:rFonts w:ascii="Arial" w:eastAsia="Times New Roman" w:hAnsi="Arial" w:cs="Arial"/>
                <w:b/>
                <w:bCs/>
                <w:color w:val="FFFFFF"/>
                <w:sz w:val="18"/>
                <w:szCs w:val="18"/>
                <w:lang w:val="es-CO" w:eastAsia="es-CO"/>
              </w:rPr>
              <w:t>Modalidad de selección</w:t>
            </w:r>
          </w:p>
        </w:tc>
        <w:tc>
          <w:tcPr>
            <w:tcW w:w="3564" w:type="dxa"/>
            <w:tcBorders>
              <w:top w:val="single" w:sz="8" w:space="0" w:color="auto"/>
              <w:left w:val="nil"/>
              <w:bottom w:val="nil"/>
              <w:right w:val="single" w:sz="8" w:space="0" w:color="auto"/>
            </w:tcBorders>
            <w:shd w:val="clear" w:color="000000" w:fill="365F91"/>
            <w:noWrap/>
            <w:vAlign w:val="center"/>
            <w:hideMark/>
          </w:tcPr>
          <w:p w:rsidR="0011236C" w:rsidRPr="0011236C" w:rsidRDefault="0011236C" w:rsidP="0011236C">
            <w:pPr>
              <w:jc w:val="center"/>
              <w:rPr>
                <w:rFonts w:ascii="Arial" w:eastAsia="Times New Roman" w:hAnsi="Arial" w:cs="Arial"/>
                <w:b/>
                <w:bCs/>
                <w:color w:val="FFFFFF"/>
                <w:sz w:val="18"/>
                <w:szCs w:val="18"/>
                <w:lang w:val="es-CO" w:eastAsia="es-CO"/>
              </w:rPr>
            </w:pPr>
            <w:r w:rsidRPr="0011236C">
              <w:rPr>
                <w:rFonts w:ascii="Arial" w:eastAsia="Times New Roman" w:hAnsi="Arial" w:cs="Arial"/>
                <w:b/>
                <w:bCs/>
                <w:color w:val="FFFFFF"/>
                <w:sz w:val="18"/>
                <w:szCs w:val="18"/>
                <w:lang w:val="es-CO" w:eastAsia="es-CO"/>
              </w:rPr>
              <w:t>Contratista</w:t>
            </w:r>
          </w:p>
        </w:tc>
        <w:tc>
          <w:tcPr>
            <w:tcW w:w="2061" w:type="dxa"/>
            <w:tcBorders>
              <w:top w:val="single" w:sz="8" w:space="0" w:color="auto"/>
              <w:left w:val="nil"/>
              <w:bottom w:val="nil"/>
              <w:right w:val="single" w:sz="8" w:space="0" w:color="auto"/>
            </w:tcBorders>
            <w:shd w:val="clear" w:color="000000" w:fill="365F91"/>
            <w:noWrap/>
            <w:vAlign w:val="center"/>
            <w:hideMark/>
          </w:tcPr>
          <w:p w:rsidR="0011236C" w:rsidRPr="0011236C" w:rsidRDefault="0011236C" w:rsidP="0011236C">
            <w:pPr>
              <w:jc w:val="center"/>
              <w:rPr>
                <w:rFonts w:ascii="Arial" w:eastAsia="Times New Roman" w:hAnsi="Arial" w:cs="Arial"/>
                <w:b/>
                <w:bCs/>
                <w:color w:val="FFFFFF"/>
                <w:sz w:val="18"/>
                <w:szCs w:val="18"/>
                <w:lang w:val="es-CO" w:eastAsia="es-CO"/>
              </w:rPr>
            </w:pPr>
            <w:r w:rsidRPr="0011236C">
              <w:rPr>
                <w:rFonts w:ascii="Arial" w:eastAsia="Times New Roman" w:hAnsi="Arial" w:cs="Arial"/>
                <w:b/>
                <w:bCs/>
                <w:color w:val="FFFFFF"/>
                <w:sz w:val="18"/>
                <w:szCs w:val="18"/>
                <w:lang w:val="es-CO" w:eastAsia="es-CO"/>
              </w:rPr>
              <w:t>Valor Final del Contrato</w:t>
            </w:r>
          </w:p>
        </w:tc>
      </w:tr>
      <w:tr w:rsidR="0011236C" w:rsidRPr="0011236C" w:rsidTr="00F76962">
        <w:trPr>
          <w:trHeight w:val="231"/>
        </w:trPr>
        <w:tc>
          <w:tcPr>
            <w:tcW w:w="10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803</w:t>
            </w:r>
          </w:p>
        </w:tc>
        <w:tc>
          <w:tcPr>
            <w:tcW w:w="2097" w:type="dxa"/>
            <w:tcBorders>
              <w:top w:val="single" w:sz="4" w:space="0" w:color="auto"/>
              <w:left w:val="nil"/>
              <w:bottom w:val="single" w:sz="4" w:space="0" w:color="auto"/>
              <w:right w:val="single" w:sz="4" w:space="0" w:color="auto"/>
            </w:tcBorders>
            <w:shd w:val="clear" w:color="auto" w:fill="auto"/>
            <w:noWrap/>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la entidad no informa</w:t>
            </w:r>
          </w:p>
        </w:tc>
        <w:tc>
          <w:tcPr>
            <w:tcW w:w="3564" w:type="dxa"/>
            <w:tcBorders>
              <w:top w:val="single" w:sz="4" w:space="0" w:color="auto"/>
              <w:left w:val="nil"/>
              <w:bottom w:val="single" w:sz="4" w:space="0" w:color="auto"/>
              <w:right w:val="single" w:sz="4" w:space="0" w:color="auto"/>
            </w:tcBorders>
            <w:shd w:val="clear" w:color="auto" w:fill="auto"/>
            <w:noWrap/>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FUNDESOLIDARIO</w:t>
            </w:r>
          </w:p>
        </w:tc>
        <w:tc>
          <w:tcPr>
            <w:tcW w:w="2061" w:type="dxa"/>
            <w:tcBorders>
              <w:top w:val="single" w:sz="4" w:space="0" w:color="auto"/>
              <w:left w:val="nil"/>
              <w:bottom w:val="single" w:sz="4" w:space="0" w:color="auto"/>
              <w:right w:val="single" w:sz="4" w:space="0" w:color="auto"/>
            </w:tcBorders>
            <w:shd w:val="clear" w:color="auto" w:fill="auto"/>
            <w:vAlign w:val="center"/>
            <w:hideMark/>
          </w:tcPr>
          <w:p w:rsidR="0011236C" w:rsidRPr="0011236C" w:rsidRDefault="0011236C" w:rsidP="0011236C">
            <w:pPr>
              <w:jc w:val="right"/>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 xml:space="preserve"> $     339.880.270,00 </w:t>
            </w:r>
          </w:p>
        </w:tc>
      </w:tr>
      <w:tr w:rsidR="0011236C" w:rsidRPr="0011236C" w:rsidTr="00F76962">
        <w:trPr>
          <w:trHeight w:val="231"/>
        </w:trPr>
        <w:tc>
          <w:tcPr>
            <w:tcW w:w="1084" w:type="dxa"/>
            <w:tcBorders>
              <w:top w:val="nil"/>
              <w:left w:val="single" w:sz="4" w:space="0" w:color="auto"/>
              <w:bottom w:val="single" w:sz="4" w:space="0" w:color="auto"/>
              <w:right w:val="single" w:sz="4" w:space="0" w:color="auto"/>
            </w:tcBorders>
            <w:shd w:val="clear" w:color="auto" w:fill="auto"/>
            <w:noWrap/>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626</w:t>
            </w:r>
          </w:p>
        </w:tc>
        <w:tc>
          <w:tcPr>
            <w:tcW w:w="2097" w:type="dxa"/>
            <w:tcBorders>
              <w:top w:val="nil"/>
              <w:left w:val="nil"/>
              <w:bottom w:val="single" w:sz="4" w:space="0" w:color="auto"/>
              <w:right w:val="single" w:sz="4" w:space="0" w:color="auto"/>
            </w:tcBorders>
            <w:shd w:val="clear" w:color="auto" w:fill="auto"/>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MINIMA CUANTIA</w:t>
            </w:r>
          </w:p>
        </w:tc>
        <w:tc>
          <w:tcPr>
            <w:tcW w:w="3564" w:type="dxa"/>
            <w:tcBorders>
              <w:top w:val="nil"/>
              <w:left w:val="nil"/>
              <w:bottom w:val="single" w:sz="4" w:space="0" w:color="auto"/>
              <w:right w:val="single" w:sz="4" w:space="0" w:color="auto"/>
            </w:tcBorders>
            <w:shd w:val="clear" w:color="auto" w:fill="auto"/>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Comercializadora Romo</w:t>
            </w:r>
          </w:p>
        </w:tc>
        <w:tc>
          <w:tcPr>
            <w:tcW w:w="2061" w:type="dxa"/>
            <w:tcBorders>
              <w:top w:val="nil"/>
              <w:left w:val="nil"/>
              <w:bottom w:val="single" w:sz="4" w:space="0" w:color="auto"/>
              <w:right w:val="single" w:sz="4" w:space="0" w:color="auto"/>
            </w:tcBorders>
            <w:shd w:val="clear" w:color="auto" w:fill="auto"/>
            <w:vAlign w:val="bottom"/>
            <w:hideMark/>
          </w:tcPr>
          <w:p w:rsidR="0011236C" w:rsidRPr="0011236C" w:rsidRDefault="0011236C" w:rsidP="0011236C">
            <w:pPr>
              <w:jc w:val="right"/>
              <w:rPr>
                <w:rFonts w:ascii="Arial" w:eastAsia="Times New Roman" w:hAnsi="Arial" w:cs="Arial"/>
                <w:sz w:val="18"/>
                <w:szCs w:val="18"/>
                <w:lang w:val="es-CO" w:eastAsia="es-CO"/>
              </w:rPr>
            </w:pPr>
            <w:r w:rsidRPr="0011236C">
              <w:rPr>
                <w:rFonts w:ascii="Arial" w:eastAsia="Times New Roman" w:hAnsi="Arial" w:cs="Arial"/>
                <w:sz w:val="18"/>
                <w:szCs w:val="18"/>
                <w:lang w:val="es-CO" w:eastAsia="es-CO"/>
              </w:rPr>
              <w:t xml:space="preserve"> $       9.377.200,00 </w:t>
            </w:r>
          </w:p>
        </w:tc>
      </w:tr>
      <w:tr w:rsidR="0011236C" w:rsidRPr="0011236C" w:rsidTr="00F76962">
        <w:trPr>
          <w:trHeight w:val="231"/>
        </w:trPr>
        <w:tc>
          <w:tcPr>
            <w:tcW w:w="1084" w:type="dxa"/>
            <w:tcBorders>
              <w:top w:val="nil"/>
              <w:left w:val="single" w:sz="4" w:space="0" w:color="auto"/>
              <w:bottom w:val="single" w:sz="4" w:space="0" w:color="auto"/>
              <w:right w:val="single" w:sz="4" w:space="0" w:color="auto"/>
            </w:tcBorders>
            <w:shd w:val="clear" w:color="auto" w:fill="auto"/>
            <w:noWrap/>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418</w:t>
            </w:r>
          </w:p>
        </w:tc>
        <w:tc>
          <w:tcPr>
            <w:tcW w:w="2097" w:type="dxa"/>
            <w:tcBorders>
              <w:top w:val="nil"/>
              <w:left w:val="nil"/>
              <w:bottom w:val="single" w:sz="4" w:space="0" w:color="auto"/>
              <w:right w:val="single" w:sz="4" w:space="0" w:color="auto"/>
            </w:tcBorders>
            <w:shd w:val="clear" w:color="auto" w:fill="auto"/>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MINIMA CUANTIA</w:t>
            </w:r>
          </w:p>
        </w:tc>
        <w:tc>
          <w:tcPr>
            <w:tcW w:w="3564" w:type="dxa"/>
            <w:tcBorders>
              <w:top w:val="nil"/>
              <w:left w:val="nil"/>
              <w:bottom w:val="single" w:sz="4" w:space="0" w:color="auto"/>
              <w:right w:val="single" w:sz="4" w:space="0" w:color="auto"/>
            </w:tcBorders>
            <w:shd w:val="clear" w:color="auto" w:fill="auto"/>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TERMEC</w:t>
            </w:r>
          </w:p>
        </w:tc>
        <w:tc>
          <w:tcPr>
            <w:tcW w:w="2061" w:type="dxa"/>
            <w:tcBorders>
              <w:top w:val="nil"/>
              <w:left w:val="nil"/>
              <w:bottom w:val="single" w:sz="4" w:space="0" w:color="auto"/>
              <w:right w:val="single" w:sz="4" w:space="0" w:color="auto"/>
            </w:tcBorders>
            <w:shd w:val="clear" w:color="auto" w:fill="auto"/>
            <w:vAlign w:val="bottom"/>
            <w:hideMark/>
          </w:tcPr>
          <w:p w:rsidR="0011236C" w:rsidRPr="0011236C" w:rsidRDefault="0011236C" w:rsidP="0011236C">
            <w:pPr>
              <w:jc w:val="right"/>
              <w:rPr>
                <w:rFonts w:ascii="Arial" w:eastAsia="Times New Roman" w:hAnsi="Arial" w:cs="Arial"/>
                <w:sz w:val="18"/>
                <w:szCs w:val="18"/>
                <w:lang w:val="es-CO" w:eastAsia="es-CO"/>
              </w:rPr>
            </w:pPr>
            <w:r w:rsidRPr="0011236C">
              <w:rPr>
                <w:rFonts w:ascii="Arial" w:eastAsia="Times New Roman" w:hAnsi="Arial" w:cs="Arial"/>
                <w:sz w:val="18"/>
                <w:szCs w:val="18"/>
                <w:lang w:val="es-CO" w:eastAsia="es-CO"/>
              </w:rPr>
              <w:t xml:space="preserve"> $      20.000.000,00 </w:t>
            </w:r>
          </w:p>
        </w:tc>
      </w:tr>
      <w:tr w:rsidR="0011236C" w:rsidRPr="0011236C" w:rsidTr="00F76962">
        <w:trPr>
          <w:trHeight w:val="231"/>
        </w:trPr>
        <w:tc>
          <w:tcPr>
            <w:tcW w:w="1084" w:type="dxa"/>
            <w:tcBorders>
              <w:top w:val="nil"/>
              <w:left w:val="single" w:sz="4" w:space="0" w:color="auto"/>
              <w:bottom w:val="single" w:sz="4" w:space="0" w:color="auto"/>
              <w:right w:val="single" w:sz="4" w:space="0" w:color="auto"/>
            </w:tcBorders>
            <w:shd w:val="clear" w:color="auto" w:fill="auto"/>
            <w:noWrap/>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596</w:t>
            </w:r>
          </w:p>
        </w:tc>
        <w:tc>
          <w:tcPr>
            <w:tcW w:w="2097" w:type="dxa"/>
            <w:tcBorders>
              <w:top w:val="nil"/>
              <w:left w:val="nil"/>
              <w:bottom w:val="single" w:sz="4" w:space="0" w:color="auto"/>
              <w:right w:val="single" w:sz="4" w:space="0" w:color="auto"/>
            </w:tcBorders>
            <w:shd w:val="clear" w:color="auto" w:fill="auto"/>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MINIMA CUANTIA</w:t>
            </w:r>
          </w:p>
        </w:tc>
        <w:tc>
          <w:tcPr>
            <w:tcW w:w="3564" w:type="dxa"/>
            <w:tcBorders>
              <w:top w:val="nil"/>
              <w:left w:val="nil"/>
              <w:bottom w:val="single" w:sz="4" w:space="0" w:color="auto"/>
              <w:right w:val="single" w:sz="4" w:space="0" w:color="auto"/>
            </w:tcBorders>
            <w:shd w:val="clear" w:color="auto" w:fill="auto"/>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TERMEC</w:t>
            </w:r>
          </w:p>
        </w:tc>
        <w:tc>
          <w:tcPr>
            <w:tcW w:w="2061" w:type="dxa"/>
            <w:tcBorders>
              <w:top w:val="nil"/>
              <w:left w:val="nil"/>
              <w:bottom w:val="single" w:sz="4" w:space="0" w:color="auto"/>
              <w:right w:val="single" w:sz="4" w:space="0" w:color="auto"/>
            </w:tcBorders>
            <w:shd w:val="clear" w:color="auto" w:fill="auto"/>
            <w:vAlign w:val="bottom"/>
            <w:hideMark/>
          </w:tcPr>
          <w:p w:rsidR="0011236C" w:rsidRPr="0011236C" w:rsidRDefault="0011236C" w:rsidP="0011236C">
            <w:pPr>
              <w:jc w:val="right"/>
              <w:rPr>
                <w:rFonts w:ascii="Arial" w:eastAsia="Times New Roman" w:hAnsi="Arial" w:cs="Arial"/>
                <w:sz w:val="18"/>
                <w:szCs w:val="18"/>
                <w:lang w:val="es-CO" w:eastAsia="es-CO"/>
              </w:rPr>
            </w:pPr>
            <w:r w:rsidRPr="0011236C">
              <w:rPr>
                <w:rFonts w:ascii="Arial" w:eastAsia="Times New Roman" w:hAnsi="Arial" w:cs="Arial"/>
                <w:sz w:val="18"/>
                <w:szCs w:val="18"/>
                <w:lang w:val="es-CO" w:eastAsia="es-CO"/>
              </w:rPr>
              <w:t xml:space="preserve"> $      15.999.550,00 </w:t>
            </w:r>
          </w:p>
        </w:tc>
      </w:tr>
      <w:tr w:rsidR="0011236C" w:rsidRPr="0011236C" w:rsidTr="00F76962">
        <w:trPr>
          <w:trHeight w:val="231"/>
        </w:trPr>
        <w:tc>
          <w:tcPr>
            <w:tcW w:w="1084" w:type="dxa"/>
            <w:tcBorders>
              <w:top w:val="nil"/>
              <w:left w:val="single" w:sz="4" w:space="0" w:color="auto"/>
              <w:bottom w:val="single" w:sz="4" w:space="0" w:color="auto"/>
              <w:right w:val="single" w:sz="4" w:space="0" w:color="auto"/>
            </w:tcBorders>
            <w:shd w:val="clear" w:color="auto" w:fill="auto"/>
            <w:noWrap/>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0815</w:t>
            </w:r>
          </w:p>
        </w:tc>
        <w:tc>
          <w:tcPr>
            <w:tcW w:w="2097" w:type="dxa"/>
            <w:tcBorders>
              <w:top w:val="nil"/>
              <w:left w:val="nil"/>
              <w:bottom w:val="single" w:sz="4" w:space="0" w:color="auto"/>
              <w:right w:val="single" w:sz="4" w:space="0" w:color="auto"/>
            </w:tcBorders>
            <w:shd w:val="clear" w:color="auto" w:fill="auto"/>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MINIMA CUANTIA</w:t>
            </w:r>
          </w:p>
        </w:tc>
        <w:tc>
          <w:tcPr>
            <w:tcW w:w="3564" w:type="dxa"/>
            <w:tcBorders>
              <w:top w:val="nil"/>
              <w:left w:val="nil"/>
              <w:bottom w:val="single" w:sz="4" w:space="0" w:color="auto"/>
              <w:right w:val="single" w:sz="4" w:space="0" w:color="auto"/>
            </w:tcBorders>
            <w:shd w:val="clear" w:color="auto" w:fill="auto"/>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PC ENSAMBLE'S</w:t>
            </w:r>
          </w:p>
        </w:tc>
        <w:tc>
          <w:tcPr>
            <w:tcW w:w="2061" w:type="dxa"/>
            <w:tcBorders>
              <w:top w:val="nil"/>
              <w:left w:val="nil"/>
              <w:bottom w:val="single" w:sz="4" w:space="0" w:color="auto"/>
              <w:right w:val="single" w:sz="4" w:space="0" w:color="auto"/>
            </w:tcBorders>
            <w:shd w:val="clear" w:color="auto" w:fill="auto"/>
            <w:vAlign w:val="center"/>
            <w:hideMark/>
          </w:tcPr>
          <w:p w:rsidR="0011236C" w:rsidRPr="0011236C" w:rsidRDefault="0011236C" w:rsidP="0011236C">
            <w:pPr>
              <w:jc w:val="right"/>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 xml:space="preserve"> $       6.485.500,00 </w:t>
            </w:r>
          </w:p>
        </w:tc>
      </w:tr>
      <w:tr w:rsidR="0011236C" w:rsidRPr="0011236C" w:rsidTr="00F76962">
        <w:trPr>
          <w:trHeight w:val="231"/>
        </w:trPr>
        <w:tc>
          <w:tcPr>
            <w:tcW w:w="1084" w:type="dxa"/>
            <w:tcBorders>
              <w:top w:val="nil"/>
              <w:left w:val="single" w:sz="4" w:space="0" w:color="auto"/>
              <w:bottom w:val="single" w:sz="4" w:space="0" w:color="auto"/>
              <w:right w:val="single" w:sz="4" w:space="0" w:color="auto"/>
            </w:tcBorders>
            <w:shd w:val="clear" w:color="auto" w:fill="auto"/>
            <w:noWrap/>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0835</w:t>
            </w:r>
          </w:p>
        </w:tc>
        <w:tc>
          <w:tcPr>
            <w:tcW w:w="2097" w:type="dxa"/>
            <w:tcBorders>
              <w:top w:val="nil"/>
              <w:left w:val="nil"/>
              <w:bottom w:val="single" w:sz="4" w:space="0" w:color="auto"/>
              <w:right w:val="single" w:sz="4" w:space="0" w:color="auto"/>
            </w:tcBorders>
            <w:shd w:val="clear" w:color="auto" w:fill="auto"/>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MINIMA CUANTIA</w:t>
            </w:r>
          </w:p>
        </w:tc>
        <w:tc>
          <w:tcPr>
            <w:tcW w:w="3564" w:type="dxa"/>
            <w:tcBorders>
              <w:top w:val="nil"/>
              <w:left w:val="nil"/>
              <w:bottom w:val="single" w:sz="4" w:space="0" w:color="auto"/>
              <w:right w:val="single" w:sz="4" w:space="0" w:color="auto"/>
            </w:tcBorders>
            <w:shd w:val="clear" w:color="auto" w:fill="auto"/>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DESCONT S.A E.S.P</w:t>
            </w:r>
          </w:p>
        </w:tc>
        <w:tc>
          <w:tcPr>
            <w:tcW w:w="2061" w:type="dxa"/>
            <w:tcBorders>
              <w:top w:val="nil"/>
              <w:left w:val="nil"/>
              <w:bottom w:val="single" w:sz="4" w:space="0" w:color="auto"/>
              <w:right w:val="single" w:sz="4" w:space="0" w:color="auto"/>
            </w:tcBorders>
            <w:shd w:val="clear" w:color="auto" w:fill="auto"/>
            <w:vAlign w:val="center"/>
            <w:hideMark/>
          </w:tcPr>
          <w:p w:rsidR="0011236C" w:rsidRPr="0011236C" w:rsidRDefault="0011236C" w:rsidP="0011236C">
            <w:pPr>
              <w:jc w:val="right"/>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 xml:space="preserve"> $       9.600.000,00 </w:t>
            </w:r>
          </w:p>
        </w:tc>
      </w:tr>
      <w:tr w:rsidR="0011236C" w:rsidRPr="0011236C" w:rsidTr="00F76962">
        <w:trPr>
          <w:trHeight w:val="231"/>
        </w:trPr>
        <w:tc>
          <w:tcPr>
            <w:tcW w:w="1084" w:type="dxa"/>
            <w:tcBorders>
              <w:top w:val="nil"/>
              <w:left w:val="single" w:sz="4" w:space="0" w:color="auto"/>
              <w:bottom w:val="single" w:sz="4" w:space="0" w:color="auto"/>
              <w:right w:val="single" w:sz="4" w:space="0" w:color="auto"/>
            </w:tcBorders>
            <w:shd w:val="clear" w:color="auto" w:fill="auto"/>
            <w:noWrap/>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0146</w:t>
            </w:r>
          </w:p>
        </w:tc>
        <w:tc>
          <w:tcPr>
            <w:tcW w:w="2097" w:type="dxa"/>
            <w:tcBorders>
              <w:top w:val="nil"/>
              <w:left w:val="nil"/>
              <w:bottom w:val="single" w:sz="4" w:space="0" w:color="auto"/>
              <w:right w:val="single" w:sz="4" w:space="0" w:color="auto"/>
            </w:tcBorders>
            <w:shd w:val="clear" w:color="auto" w:fill="auto"/>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MINIMA CUANTIA</w:t>
            </w:r>
          </w:p>
        </w:tc>
        <w:tc>
          <w:tcPr>
            <w:tcW w:w="3564" w:type="dxa"/>
            <w:tcBorders>
              <w:top w:val="nil"/>
              <w:left w:val="nil"/>
              <w:bottom w:val="single" w:sz="4" w:space="0" w:color="auto"/>
              <w:right w:val="single" w:sz="4" w:space="0" w:color="auto"/>
            </w:tcBorders>
            <w:shd w:val="clear" w:color="auto" w:fill="auto"/>
            <w:vAlign w:val="center"/>
            <w:hideMark/>
          </w:tcPr>
          <w:p w:rsidR="0011236C" w:rsidRPr="0011236C" w:rsidRDefault="0011236C" w:rsidP="0011236C">
            <w:pPr>
              <w:jc w:val="center"/>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ELITE LOGISTICA Y RENDIMIENTO S.A.S</w:t>
            </w:r>
          </w:p>
        </w:tc>
        <w:tc>
          <w:tcPr>
            <w:tcW w:w="2061" w:type="dxa"/>
            <w:tcBorders>
              <w:top w:val="nil"/>
              <w:left w:val="nil"/>
              <w:bottom w:val="single" w:sz="4" w:space="0" w:color="auto"/>
              <w:right w:val="single" w:sz="4" w:space="0" w:color="auto"/>
            </w:tcBorders>
            <w:shd w:val="clear" w:color="auto" w:fill="auto"/>
            <w:vAlign w:val="center"/>
            <w:hideMark/>
          </w:tcPr>
          <w:p w:rsidR="0011236C" w:rsidRPr="0011236C" w:rsidRDefault="0011236C" w:rsidP="0011236C">
            <w:pPr>
              <w:jc w:val="right"/>
              <w:rPr>
                <w:rFonts w:ascii="Arial" w:eastAsia="Times New Roman" w:hAnsi="Arial" w:cs="Arial"/>
                <w:color w:val="000000"/>
                <w:sz w:val="18"/>
                <w:szCs w:val="18"/>
                <w:lang w:val="es-CO" w:eastAsia="es-CO"/>
              </w:rPr>
            </w:pPr>
            <w:r w:rsidRPr="0011236C">
              <w:rPr>
                <w:rFonts w:ascii="Arial" w:eastAsia="Times New Roman" w:hAnsi="Arial" w:cs="Arial"/>
                <w:color w:val="000000"/>
                <w:sz w:val="18"/>
                <w:szCs w:val="18"/>
                <w:lang w:val="es-CO" w:eastAsia="es-CO"/>
              </w:rPr>
              <w:t xml:space="preserve"> $      45.000.000,00 </w:t>
            </w:r>
          </w:p>
        </w:tc>
      </w:tr>
      <w:tr w:rsidR="0011236C" w:rsidRPr="0011236C" w:rsidTr="00F76962">
        <w:trPr>
          <w:trHeight w:val="241"/>
        </w:trPr>
        <w:tc>
          <w:tcPr>
            <w:tcW w:w="6747" w:type="dxa"/>
            <w:gridSpan w:val="3"/>
            <w:tcBorders>
              <w:top w:val="nil"/>
              <w:left w:val="single" w:sz="8" w:space="0" w:color="auto"/>
              <w:bottom w:val="single" w:sz="8" w:space="0" w:color="auto"/>
              <w:right w:val="nil"/>
            </w:tcBorders>
            <w:shd w:val="clear" w:color="000000" w:fill="365F91"/>
            <w:noWrap/>
            <w:vAlign w:val="center"/>
            <w:hideMark/>
          </w:tcPr>
          <w:p w:rsidR="0011236C" w:rsidRPr="0011236C" w:rsidRDefault="0011236C" w:rsidP="0011236C">
            <w:pPr>
              <w:jc w:val="center"/>
              <w:rPr>
                <w:rFonts w:ascii="Arial" w:eastAsia="Times New Roman" w:hAnsi="Arial" w:cs="Arial"/>
                <w:b/>
                <w:bCs/>
                <w:color w:val="FFFFFF"/>
                <w:sz w:val="18"/>
                <w:szCs w:val="18"/>
                <w:lang w:val="es-CO" w:eastAsia="es-CO"/>
              </w:rPr>
            </w:pPr>
            <w:r w:rsidRPr="0011236C">
              <w:rPr>
                <w:rFonts w:ascii="Arial" w:eastAsia="Times New Roman" w:hAnsi="Arial" w:cs="Arial"/>
                <w:b/>
                <w:bCs/>
                <w:color w:val="FFFFFF"/>
                <w:sz w:val="18"/>
                <w:szCs w:val="18"/>
                <w:lang w:val="es-CO" w:eastAsia="es-CO"/>
              </w:rPr>
              <w:t>TOTAL</w:t>
            </w:r>
          </w:p>
        </w:tc>
        <w:tc>
          <w:tcPr>
            <w:tcW w:w="2061" w:type="dxa"/>
            <w:tcBorders>
              <w:top w:val="nil"/>
              <w:left w:val="nil"/>
              <w:bottom w:val="single" w:sz="8" w:space="0" w:color="auto"/>
              <w:right w:val="single" w:sz="8" w:space="0" w:color="auto"/>
            </w:tcBorders>
            <w:shd w:val="clear" w:color="000000" w:fill="365F91"/>
            <w:noWrap/>
            <w:vAlign w:val="center"/>
            <w:hideMark/>
          </w:tcPr>
          <w:p w:rsidR="0011236C" w:rsidRPr="0011236C" w:rsidRDefault="0011236C" w:rsidP="0011236C">
            <w:pPr>
              <w:jc w:val="right"/>
              <w:rPr>
                <w:rFonts w:ascii="Arial" w:eastAsia="Times New Roman" w:hAnsi="Arial" w:cs="Arial"/>
                <w:b/>
                <w:bCs/>
                <w:color w:val="FFFFFF"/>
                <w:sz w:val="18"/>
                <w:szCs w:val="18"/>
                <w:lang w:val="es-CO" w:eastAsia="es-CO"/>
              </w:rPr>
            </w:pPr>
            <w:r w:rsidRPr="0011236C">
              <w:rPr>
                <w:rFonts w:ascii="Arial" w:eastAsia="Times New Roman" w:hAnsi="Arial" w:cs="Arial"/>
                <w:b/>
                <w:bCs/>
                <w:color w:val="FFFFFF"/>
                <w:sz w:val="18"/>
                <w:szCs w:val="18"/>
                <w:lang w:val="es-CO" w:eastAsia="es-CO"/>
              </w:rPr>
              <w:t>$ 446.342.520</w:t>
            </w:r>
          </w:p>
        </w:tc>
      </w:tr>
    </w:tbl>
    <w:p w:rsidR="0011236C" w:rsidRPr="0011236C" w:rsidRDefault="0011236C" w:rsidP="0011236C">
      <w:pPr>
        <w:jc w:val="both"/>
        <w:rPr>
          <w:rFonts w:ascii="Arial" w:hAnsi="Arial" w:cs="Arial"/>
          <w:b/>
          <w:bCs/>
          <w:sz w:val="21"/>
          <w:szCs w:val="21"/>
        </w:rPr>
      </w:pPr>
      <w:r w:rsidRPr="0011236C">
        <w:rPr>
          <w:rFonts w:ascii="Arial" w:hAnsi="Arial" w:cs="Arial"/>
          <w:sz w:val="21"/>
          <w:szCs w:val="21"/>
        </w:rPr>
        <w:t>Fuente: DAF con información de la entidad territorial</w:t>
      </w:r>
    </w:p>
    <w:p w:rsidR="0011236C" w:rsidRPr="0011236C" w:rsidRDefault="0011236C" w:rsidP="0011236C">
      <w:pPr>
        <w:jc w:val="both"/>
        <w:rPr>
          <w:rFonts w:ascii="Arial" w:hAnsi="Arial" w:cs="Arial"/>
          <w:b/>
          <w:bCs/>
          <w:sz w:val="21"/>
          <w:szCs w:val="21"/>
        </w:rPr>
      </w:pPr>
    </w:p>
    <w:p w:rsidR="0011236C" w:rsidRPr="0011236C" w:rsidRDefault="0011236C" w:rsidP="0011236C">
      <w:pPr>
        <w:jc w:val="both"/>
        <w:rPr>
          <w:rFonts w:ascii="Arial" w:hAnsi="Arial" w:cs="Arial"/>
          <w:bCs/>
          <w:sz w:val="21"/>
          <w:szCs w:val="21"/>
        </w:rPr>
      </w:pPr>
      <w:r w:rsidRPr="0011236C">
        <w:rPr>
          <w:rFonts w:ascii="Arial" w:hAnsi="Arial" w:cs="Arial"/>
          <w:bCs/>
          <w:sz w:val="21"/>
          <w:szCs w:val="21"/>
        </w:rPr>
        <w:t xml:space="preserve">Teniendo en cuenta la distribución de recursos del SGP – Salud Pública – Gestión suministrada por la Entidad Territorial, que para el componente de Gestión fueron $8.608 millones, se identifica que en la vigencia 2020 se comprometieron $446 millones para la ejecución de sus acciones, esto es, apenas el 5%, aspecto relevante a considerar en la etapa de reconocimiento institucional por su incidencia en el cumplimiento de metas misionales. </w:t>
      </w:r>
    </w:p>
    <w:p w:rsidR="0011236C" w:rsidRPr="0011236C" w:rsidRDefault="0011236C" w:rsidP="0011236C">
      <w:pPr>
        <w:jc w:val="both"/>
        <w:rPr>
          <w:rFonts w:ascii="Arial" w:hAnsi="Arial" w:cs="Arial"/>
          <w:bCs/>
          <w:sz w:val="21"/>
          <w:szCs w:val="21"/>
        </w:rPr>
      </w:pPr>
    </w:p>
    <w:p w:rsidR="0011236C" w:rsidRPr="0011236C" w:rsidRDefault="0011236C" w:rsidP="0011236C">
      <w:pPr>
        <w:jc w:val="both"/>
        <w:rPr>
          <w:rFonts w:ascii="Arial" w:hAnsi="Arial" w:cs="Arial"/>
          <w:bCs/>
          <w:sz w:val="21"/>
          <w:szCs w:val="21"/>
        </w:rPr>
      </w:pPr>
      <w:r w:rsidRPr="0011236C">
        <w:rPr>
          <w:rFonts w:ascii="Arial" w:hAnsi="Arial" w:cs="Arial"/>
          <w:bCs/>
          <w:sz w:val="21"/>
          <w:szCs w:val="21"/>
        </w:rPr>
        <w:t>Ahora, al revisar en la plataforma de contratación del estado SECOP I, correspondiente al Departamento del Magdalena para la vigencia 2020, no fue posible identificar ninguno de los contratos referidos por la Entidad y que se evidencian en la tabla anterior.</w:t>
      </w:r>
    </w:p>
    <w:p w:rsidR="0011236C" w:rsidRPr="0011236C" w:rsidRDefault="0011236C" w:rsidP="0011236C">
      <w:pPr>
        <w:jc w:val="both"/>
        <w:rPr>
          <w:rFonts w:ascii="Arial" w:hAnsi="Arial" w:cs="Arial"/>
          <w:bCs/>
          <w:sz w:val="21"/>
          <w:szCs w:val="21"/>
        </w:rPr>
      </w:pPr>
    </w:p>
    <w:p w:rsidR="0011236C" w:rsidRPr="0011236C" w:rsidRDefault="0011236C" w:rsidP="0011236C">
      <w:pPr>
        <w:jc w:val="both"/>
        <w:rPr>
          <w:rFonts w:ascii="Arial" w:hAnsi="Arial" w:cs="Arial"/>
          <w:bCs/>
          <w:sz w:val="21"/>
          <w:szCs w:val="21"/>
        </w:rPr>
      </w:pPr>
      <w:r w:rsidRPr="0011236C">
        <w:rPr>
          <w:rFonts w:ascii="Arial" w:hAnsi="Arial" w:cs="Arial"/>
          <w:noProof/>
          <w:sz w:val="21"/>
          <w:szCs w:val="21"/>
          <w:lang w:val="es-CO" w:eastAsia="es-CO"/>
        </w:rPr>
        <w:drawing>
          <wp:inline distT="0" distB="0" distL="0" distR="0">
            <wp:extent cx="5612130" cy="2600325"/>
            <wp:effectExtent l="0" t="0" r="762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612130" cy="2600325"/>
                    </a:xfrm>
                    <a:prstGeom prst="rect">
                      <a:avLst/>
                    </a:prstGeom>
                  </pic:spPr>
                </pic:pic>
              </a:graphicData>
            </a:graphic>
          </wp:inline>
        </w:drawing>
      </w:r>
      <w:r w:rsidRPr="0011236C">
        <w:rPr>
          <w:rFonts w:ascii="Arial" w:hAnsi="Arial" w:cs="Arial"/>
          <w:bCs/>
          <w:sz w:val="21"/>
          <w:szCs w:val="21"/>
        </w:rPr>
        <w:t xml:space="preserve">  </w:t>
      </w:r>
    </w:p>
    <w:p w:rsidR="0011236C" w:rsidRPr="0011236C" w:rsidRDefault="0011236C" w:rsidP="0011236C">
      <w:pPr>
        <w:numPr>
          <w:ilvl w:val="0"/>
          <w:numId w:val="32"/>
        </w:numPr>
        <w:contextualSpacing/>
        <w:jc w:val="both"/>
        <w:rPr>
          <w:rFonts w:ascii="Arial" w:hAnsi="Arial" w:cs="Arial"/>
          <w:bCs/>
          <w:sz w:val="21"/>
          <w:szCs w:val="21"/>
        </w:rPr>
      </w:pPr>
      <w:r w:rsidRPr="0011236C">
        <w:rPr>
          <w:rFonts w:ascii="Arial" w:hAnsi="Arial" w:cs="Arial"/>
          <w:bCs/>
          <w:sz w:val="21"/>
          <w:szCs w:val="21"/>
        </w:rPr>
        <w:t>Fecha de verificación 30/11/2021.</w:t>
      </w:r>
    </w:p>
    <w:p w:rsidR="0011236C" w:rsidRPr="0011236C" w:rsidRDefault="0011236C" w:rsidP="0011236C">
      <w:pPr>
        <w:jc w:val="both"/>
        <w:rPr>
          <w:rFonts w:ascii="Arial" w:hAnsi="Arial" w:cs="Arial"/>
          <w:b/>
          <w:bCs/>
          <w:sz w:val="21"/>
          <w:szCs w:val="21"/>
        </w:rPr>
      </w:pPr>
    </w:p>
    <w:p w:rsidR="0011236C" w:rsidRPr="0011236C" w:rsidRDefault="0011236C" w:rsidP="0011236C">
      <w:pPr>
        <w:jc w:val="both"/>
        <w:rPr>
          <w:rFonts w:ascii="Arial" w:hAnsi="Arial" w:cs="Arial"/>
          <w:b/>
          <w:bCs/>
          <w:sz w:val="21"/>
          <w:szCs w:val="21"/>
        </w:rPr>
      </w:pPr>
      <w:r w:rsidRPr="0011236C">
        <w:rPr>
          <w:rFonts w:ascii="Arial" w:hAnsi="Arial" w:cs="Arial"/>
          <w:b/>
          <w:bCs/>
          <w:sz w:val="21"/>
          <w:szCs w:val="21"/>
        </w:rPr>
        <w:lastRenderedPageBreak/>
        <w:t>VIGENCIA 2021</w:t>
      </w:r>
    </w:p>
    <w:p w:rsidR="0011236C" w:rsidRPr="0011236C" w:rsidRDefault="0011236C" w:rsidP="0011236C">
      <w:pPr>
        <w:jc w:val="both"/>
        <w:rPr>
          <w:rFonts w:ascii="Arial" w:hAnsi="Arial" w:cs="Arial"/>
          <w:bCs/>
          <w:sz w:val="21"/>
          <w:szCs w:val="21"/>
        </w:rPr>
      </w:pPr>
    </w:p>
    <w:p w:rsidR="0011236C" w:rsidRPr="0011236C" w:rsidRDefault="0011236C" w:rsidP="0011236C">
      <w:pPr>
        <w:jc w:val="both"/>
        <w:rPr>
          <w:rFonts w:ascii="Arial" w:hAnsi="Arial" w:cs="Arial"/>
          <w:bCs/>
          <w:sz w:val="21"/>
          <w:szCs w:val="21"/>
        </w:rPr>
      </w:pPr>
      <w:r w:rsidRPr="0011236C">
        <w:rPr>
          <w:rFonts w:ascii="Arial" w:hAnsi="Arial" w:cs="Arial"/>
          <w:bCs/>
          <w:sz w:val="21"/>
          <w:szCs w:val="21"/>
        </w:rPr>
        <w:t xml:space="preserve">De la vigencia 2021 la Entidad no reportó información de la contratación efectuada, por lo que no fue posible realizar el análisis de la ejecución de los recursos del SGP- Salud pública para el componente de Gestión. </w:t>
      </w:r>
    </w:p>
    <w:p w:rsidR="0011236C" w:rsidRPr="0011236C" w:rsidRDefault="0011236C" w:rsidP="0011236C">
      <w:pPr>
        <w:contextualSpacing/>
        <w:jc w:val="both"/>
        <w:rPr>
          <w:rFonts w:ascii="Arial" w:hAnsi="Arial" w:cs="Arial"/>
          <w:bCs/>
          <w:sz w:val="21"/>
          <w:szCs w:val="21"/>
        </w:rPr>
      </w:pPr>
    </w:p>
    <w:p w:rsidR="0011236C" w:rsidRPr="0011236C" w:rsidRDefault="0011236C" w:rsidP="0011236C">
      <w:pPr>
        <w:jc w:val="both"/>
        <w:rPr>
          <w:rFonts w:ascii="Arial" w:hAnsi="Arial" w:cs="Arial"/>
          <w:b/>
          <w:bCs/>
          <w:sz w:val="21"/>
          <w:szCs w:val="21"/>
        </w:rPr>
      </w:pPr>
      <w:r w:rsidRPr="0011236C">
        <w:rPr>
          <w:rFonts w:ascii="Arial" w:hAnsi="Arial" w:cs="Arial"/>
          <w:b/>
          <w:bCs/>
          <w:sz w:val="21"/>
          <w:szCs w:val="21"/>
        </w:rPr>
        <w:t>4.4 Red de laboratorios y Laboratorios en salud pública:</w:t>
      </w:r>
    </w:p>
    <w:p w:rsidR="0011236C" w:rsidRPr="0011236C" w:rsidRDefault="0011236C" w:rsidP="0011236C">
      <w:pPr>
        <w:jc w:val="both"/>
        <w:rPr>
          <w:rFonts w:ascii="Arial" w:hAnsi="Arial" w:cs="Arial"/>
          <w:b/>
          <w:bCs/>
          <w:sz w:val="21"/>
          <w:szCs w:val="21"/>
        </w:rPr>
      </w:pPr>
    </w:p>
    <w:p w:rsidR="0011236C" w:rsidRPr="0011236C" w:rsidRDefault="0011236C" w:rsidP="0011236C">
      <w:pPr>
        <w:jc w:val="both"/>
        <w:rPr>
          <w:rFonts w:ascii="Arial" w:hAnsi="Arial" w:cs="Arial"/>
          <w:sz w:val="21"/>
          <w:szCs w:val="21"/>
        </w:rPr>
      </w:pPr>
      <w:r w:rsidRPr="0011236C">
        <w:rPr>
          <w:rFonts w:ascii="Arial" w:hAnsi="Arial" w:cs="Arial"/>
          <w:sz w:val="21"/>
          <w:szCs w:val="21"/>
        </w:rPr>
        <w:t xml:space="preserve">La Entidad Territorial no aporta el Acto administrativo que permitan verificar el cumplimiento a lo dispuesto en los artículos 13 y 14 del Decreto 2323 de 2006 en relación a la creación del comité técnico Departamental y las funciones que deben desarrollar los mismos frente a la frente a la red nacional de laboratorios. </w:t>
      </w:r>
    </w:p>
    <w:p w:rsidR="0011236C" w:rsidRPr="0011236C" w:rsidRDefault="0011236C" w:rsidP="0011236C">
      <w:pPr>
        <w:jc w:val="both"/>
        <w:rPr>
          <w:rFonts w:ascii="Arial" w:hAnsi="Arial" w:cs="Arial"/>
          <w:sz w:val="21"/>
          <w:szCs w:val="21"/>
        </w:rPr>
      </w:pPr>
    </w:p>
    <w:p w:rsidR="0011236C" w:rsidRPr="0011236C" w:rsidRDefault="0011236C" w:rsidP="0011236C">
      <w:pPr>
        <w:jc w:val="both"/>
        <w:rPr>
          <w:rFonts w:ascii="Arial" w:hAnsi="Arial" w:cs="Arial"/>
          <w:i/>
          <w:sz w:val="21"/>
          <w:szCs w:val="21"/>
        </w:rPr>
      </w:pPr>
      <w:r w:rsidRPr="0011236C">
        <w:rPr>
          <w:rFonts w:ascii="Arial" w:hAnsi="Arial" w:cs="Arial"/>
          <w:sz w:val="21"/>
          <w:szCs w:val="21"/>
        </w:rPr>
        <w:t>Se adjunta acta de reunión del 14 de septiembre de 2021 en la que se puede identificar como temas tratados, la socialización de la creación del comité técnico de la resolución 2543 de 2021, e inscripción del laboratorio de salud pública y de la red de laboratorios del Magdalena RELAB.</w:t>
      </w:r>
    </w:p>
    <w:p w:rsidR="0011236C" w:rsidRPr="0011236C" w:rsidRDefault="0011236C" w:rsidP="0011236C">
      <w:pPr>
        <w:jc w:val="both"/>
        <w:rPr>
          <w:rFonts w:ascii="Arial" w:hAnsi="Arial" w:cs="Arial"/>
          <w:i/>
          <w:sz w:val="21"/>
          <w:szCs w:val="21"/>
        </w:rPr>
      </w:pPr>
    </w:p>
    <w:p w:rsidR="0011236C" w:rsidRPr="0011236C" w:rsidRDefault="0011236C" w:rsidP="0011236C">
      <w:pPr>
        <w:jc w:val="both"/>
        <w:rPr>
          <w:rFonts w:ascii="Arial" w:hAnsi="Arial" w:cs="Arial"/>
          <w:sz w:val="21"/>
          <w:szCs w:val="21"/>
        </w:rPr>
      </w:pPr>
      <w:r w:rsidRPr="0011236C">
        <w:rPr>
          <w:rFonts w:ascii="Arial" w:hAnsi="Arial" w:cs="Arial"/>
          <w:sz w:val="21"/>
          <w:szCs w:val="21"/>
        </w:rPr>
        <w:t>Por otro lado, de acuerdo con el Informe de laboratorios de Salud Pública correspondiente a la vigencia 2020 expedido por el Ministerio de Salud y Protección se evidencia que el laboratorio de salud pública Departamental cumple parcialmente con los estándares de calidad establecidos por el INS y el INVIMA en materia de vigilancia de la salud pública y vigilancia sanitaria, recomendándose la adopción de un plan de mejoramiento. Resultados que serán analizados y validados en el marco del reconocimiento institucional que adelantará esta Dirección.</w:t>
      </w:r>
    </w:p>
    <w:p w:rsidR="0011236C" w:rsidRPr="0011236C" w:rsidRDefault="0011236C" w:rsidP="0011236C">
      <w:pPr>
        <w:jc w:val="both"/>
        <w:rPr>
          <w:rFonts w:ascii="Arial" w:hAnsi="Arial" w:cs="Arial"/>
          <w:sz w:val="21"/>
          <w:szCs w:val="21"/>
        </w:rPr>
      </w:pPr>
    </w:p>
    <w:p w:rsidR="0011236C" w:rsidRPr="0011236C" w:rsidRDefault="0011236C" w:rsidP="0011236C">
      <w:pPr>
        <w:numPr>
          <w:ilvl w:val="0"/>
          <w:numId w:val="22"/>
        </w:numPr>
        <w:contextualSpacing/>
        <w:jc w:val="both"/>
        <w:rPr>
          <w:rFonts w:ascii="Arial" w:hAnsi="Arial" w:cs="Arial"/>
          <w:b/>
          <w:sz w:val="21"/>
          <w:szCs w:val="21"/>
        </w:rPr>
      </w:pPr>
      <w:r w:rsidRPr="0011236C">
        <w:rPr>
          <w:rFonts w:ascii="Arial" w:hAnsi="Arial" w:cs="Arial"/>
          <w:b/>
          <w:sz w:val="21"/>
          <w:szCs w:val="21"/>
        </w:rPr>
        <w:t xml:space="preserve">Análisis Jurídico </w:t>
      </w:r>
    </w:p>
    <w:p w:rsidR="0011236C" w:rsidRPr="0011236C" w:rsidRDefault="0011236C" w:rsidP="0011236C">
      <w:pPr>
        <w:jc w:val="both"/>
        <w:rPr>
          <w:rFonts w:ascii="Arial" w:eastAsiaTheme="minorHAnsi" w:hAnsi="Arial" w:cs="Arial"/>
          <w:i/>
          <w:color w:val="FF0000"/>
          <w:sz w:val="21"/>
          <w:szCs w:val="21"/>
          <w:u w:val="single"/>
          <w:lang w:val="es-CO" w:eastAsia="en-US"/>
        </w:rPr>
      </w:pPr>
    </w:p>
    <w:p w:rsidR="0011236C" w:rsidRPr="0011236C" w:rsidRDefault="0011236C" w:rsidP="0011236C">
      <w:pPr>
        <w:jc w:val="both"/>
        <w:rPr>
          <w:rFonts w:ascii="Arial" w:hAnsi="Arial" w:cs="Arial"/>
          <w:b/>
          <w:sz w:val="21"/>
          <w:szCs w:val="21"/>
        </w:rPr>
      </w:pPr>
      <w:r w:rsidRPr="0011236C">
        <w:rPr>
          <w:rFonts w:ascii="Arial" w:hAnsi="Arial" w:cs="Arial"/>
          <w:b/>
          <w:sz w:val="21"/>
          <w:szCs w:val="21"/>
        </w:rPr>
        <w:t>5.1 Procesos Jurídicos</w:t>
      </w:r>
    </w:p>
    <w:p w:rsidR="0011236C" w:rsidRPr="0011236C" w:rsidRDefault="0011236C" w:rsidP="0011236C">
      <w:pPr>
        <w:jc w:val="both"/>
        <w:rPr>
          <w:rFonts w:ascii="Arial" w:hAnsi="Arial" w:cs="Arial"/>
          <w:b/>
          <w:sz w:val="21"/>
          <w:szCs w:val="21"/>
        </w:rPr>
      </w:pPr>
    </w:p>
    <w:p w:rsidR="0011236C" w:rsidRPr="0011236C" w:rsidRDefault="0011236C" w:rsidP="0011236C">
      <w:pPr>
        <w:jc w:val="both"/>
        <w:rPr>
          <w:rFonts w:ascii="Arial" w:hAnsi="Arial" w:cs="Arial"/>
          <w:sz w:val="21"/>
          <w:szCs w:val="21"/>
        </w:rPr>
      </w:pPr>
      <w:r w:rsidRPr="0011236C">
        <w:rPr>
          <w:rFonts w:ascii="Arial" w:hAnsi="Arial" w:cs="Arial"/>
          <w:sz w:val="21"/>
          <w:szCs w:val="21"/>
        </w:rPr>
        <w:t>El Departamento de Magdalena, hizo entrega del informe de procesos judiciales que cursan actualmente en contra del Departamento relacionados específicamente con la Secretaría de Salud, en el cual se identificaron un total de 37 procesos de cobro coactivo, los cuales reportan embargos de recursos por $45.617 millones, adicionalmente la Entidad Territorial envía otro reporte con la probabilidad de fallo a favor de la entidad con un total de 56 procesos por valor de $50.637 millones. Debido a que la Entidad no envió el reporte de la información jurídica en los formatos y condiciones requeridas, no es posible identificar si los procesos que tienen probabilidad de fallo a favor están incluidos dentro de las 37 iniciales, así mismo, no es posible definir el monto total de las demandas y el valor que debería incorporar en la provisión del fondo de contingencias.</w:t>
      </w:r>
    </w:p>
    <w:p w:rsidR="0011236C" w:rsidRPr="0011236C" w:rsidRDefault="0011236C" w:rsidP="0011236C">
      <w:pPr>
        <w:jc w:val="both"/>
        <w:rPr>
          <w:rFonts w:ascii="Arial" w:hAnsi="Arial" w:cs="Arial"/>
          <w:sz w:val="21"/>
          <w:szCs w:val="21"/>
        </w:rPr>
      </w:pPr>
    </w:p>
    <w:p w:rsidR="0011236C" w:rsidRPr="0011236C" w:rsidRDefault="0011236C" w:rsidP="0011236C">
      <w:pPr>
        <w:jc w:val="both"/>
        <w:rPr>
          <w:rFonts w:ascii="Arial" w:hAnsi="Arial" w:cs="Arial"/>
          <w:sz w:val="21"/>
          <w:szCs w:val="21"/>
        </w:rPr>
      </w:pPr>
      <w:r w:rsidRPr="0011236C">
        <w:rPr>
          <w:rFonts w:ascii="Arial" w:hAnsi="Arial" w:cs="Arial"/>
          <w:sz w:val="21"/>
          <w:szCs w:val="21"/>
        </w:rPr>
        <w:t>Se adjunta certificación de la tesorería del Departamento en la que se informa que no existen embargos a las cuentas maestras del sector salud.</w:t>
      </w:r>
    </w:p>
    <w:p w:rsidR="0011236C" w:rsidRPr="0011236C" w:rsidRDefault="0011236C" w:rsidP="0011236C">
      <w:pPr>
        <w:jc w:val="both"/>
        <w:rPr>
          <w:rFonts w:ascii="Arial" w:hAnsi="Arial" w:cs="Arial"/>
          <w:sz w:val="21"/>
          <w:szCs w:val="21"/>
        </w:rPr>
      </w:pPr>
    </w:p>
    <w:p w:rsidR="0011236C" w:rsidRPr="0011236C" w:rsidRDefault="0011236C" w:rsidP="0011236C">
      <w:pPr>
        <w:jc w:val="both"/>
        <w:rPr>
          <w:rFonts w:ascii="Arial" w:hAnsi="Arial" w:cs="Arial"/>
          <w:sz w:val="21"/>
          <w:szCs w:val="21"/>
        </w:rPr>
      </w:pPr>
      <w:r w:rsidRPr="0011236C">
        <w:rPr>
          <w:rFonts w:ascii="Arial" w:hAnsi="Arial" w:cs="Arial"/>
          <w:sz w:val="21"/>
          <w:szCs w:val="21"/>
        </w:rPr>
        <w:t>Lo anterior será sujeto de verificación en la etapa de diagnóstico.</w:t>
      </w:r>
    </w:p>
    <w:p w:rsidR="0011236C" w:rsidRDefault="0011236C" w:rsidP="0011236C">
      <w:pPr>
        <w:jc w:val="both"/>
        <w:rPr>
          <w:rFonts w:ascii="Arial" w:hAnsi="Arial" w:cs="Arial"/>
          <w:sz w:val="21"/>
          <w:szCs w:val="21"/>
        </w:rPr>
      </w:pPr>
    </w:p>
    <w:p w:rsidR="0011236C" w:rsidRPr="0011236C" w:rsidRDefault="0011236C" w:rsidP="0011236C">
      <w:pPr>
        <w:jc w:val="both"/>
        <w:rPr>
          <w:rFonts w:ascii="Arial" w:hAnsi="Arial" w:cs="Arial"/>
          <w:sz w:val="21"/>
          <w:szCs w:val="21"/>
        </w:rPr>
      </w:pPr>
    </w:p>
    <w:p w:rsidR="0011236C" w:rsidRPr="0011236C" w:rsidRDefault="0011236C" w:rsidP="0011236C">
      <w:pPr>
        <w:autoSpaceDE w:val="0"/>
        <w:autoSpaceDN w:val="0"/>
        <w:adjustRightInd w:val="0"/>
        <w:rPr>
          <w:rFonts w:ascii="Arial" w:hAnsi="Arial" w:cs="Arial"/>
          <w:b/>
          <w:sz w:val="21"/>
          <w:szCs w:val="21"/>
        </w:rPr>
      </w:pPr>
      <w:r w:rsidRPr="0011236C">
        <w:rPr>
          <w:rFonts w:ascii="Arial" w:hAnsi="Arial" w:cs="Arial"/>
          <w:b/>
          <w:sz w:val="21"/>
          <w:szCs w:val="21"/>
        </w:rPr>
        <w:lastRenderedPageBreak/>
        <w:t xml:space="preserve">5.2 Metodología probabilidad de fallo. </w:t>
      </w:r>
    </w:p>
    <w:p w:rsidR="0011236C" w:rsidRPr="0011236C" w:rsidRDefault="0011236C" w:rsidP="0011236C">
      <w:pPr>
        <w:autoSpaceDE w:val="0"/>
        <w:autoSpaceDN w:val="0"/>
        <w:adjustRightInd w:val="0"/>
        <w:rPr>
          <w:rFonts w:ascii="Arial" w:hAnsi="Arial" w:cs="Arial"/>
          <w:b/>
          <w:sz w:val="21"/>
          <w:szCs w:val="21"/>
        </w:rPr>
      </w:pPr>
    </w:p>
    <w:p w:rsidR="0011236C" w:rsidRPr="0011236C" w:rsidRDefault="0011236C" w:rsidP="0011236C">
      <w:pPr>
        <w:jc w:val="both"/>
        <w:rPr>
          <w:rFonts w:ascii="Arial" w:hAnsi="Arial" w:cs="Arial"/>
          <w:sz w:val="21"/>
          <w:szCs w:val="21"/>
        </w:rPr>
      </w:pPr>
      <w:r w:rsidRPr="0011236C">
        <w:rPr>
          <w:rFonts w:ascii="Arial" w:hAnsi="Arial" w:cs="Arial"/>
          <w:sz w:val="21"/>
          <w:szCs w:val="21"/>
        </w:rPr>
        <w:t xml:space="preserve">En cuanto a la metodología utilizada para determinar la probabilidad de fallo de los procesos judiciales, la Entidad adjunta correo electrónico de la oficina asesora jurídica en la que se informa: </w:t>
      </w:r>
    </w:p>
    <w:p w:rsidR="0011236C" w:rsidRPr="0011236C" w:rsidRDefault="0011236C" w:rsidP="0011236C">
      <w:pPr>
        <w:jc w:val="both"/>
        <w:rPr>
          <w:rFonts w:ascii="Arial" w:hAnsi="Arial" w:cs="Arial"/>
          <w:sz w:val="21"/>
          <w:szCs w:val="21"/>
        </w:rPr>
      </w:pPr>
    </w:p>
    <w:p w:rsidR="0011236C" w:rsidRPr="0011236C" w:rsidRDefault="0011236C" w:rsidP="0011236C">
      <w:pPr>
        <w:jc w:val="both"/>
        <w:rPr>
          <w:rFonts w:ascii="Arial" w:hAnsi="Arial" w:cs="Arial"/>
          <w:i/>
          <w:iCs/>
          <w:sz w:val="21"/>
          <w:szCs w:val="21"/>
        </w:rPr>
      </w:pPr>
      <w:r w:rsidRPr="0011236C">
        <w:rPr>
          <w:rFonts w:ascii="Arial" w:hAnsi="Arial" w:cs="Arial"/>
          <w:i/>
          <w:iCs/>
          <w:sz w:val="21"/>
          <w:szCs w:val="21"/>
        </w:rPr>
        <w:t>“Muy buenas tardes, he de manifestarle que la Oficina Asesora Jurídica de la Gobernación del Departamento del Magdalena no posee un documento a través del cual se informe la metodología utilizada para determinar la probabilidad de fallo de los procesos judiciales; de hecho, es este tema en particular uno de los compromisos adquirido dentro del plan de mejoramiento del cumplimiento del plan de acción de esta Oficina.”</w:t>
      </w:r>
    </w:p>
    <w:p w:rsidR="0011236C" w:rsidRPr="0011236C" w:rsidRDefault="0011236C" w:rsidP="0011236C">
      <w:pPr>
        <w:jc w:val="both"/>
        <w:rPr>
          <w:rFonts w:ascii="Arial" w:hAnsi="Arial" w:cs="Arial"/>
          <w:sz w:val="21"/>
          <w:szCs w:val="21"/>
        </w:rPr>
      </w:pPr>
    </w:p>
    <w:p w:rsidR="0011236C" w:rsidRPr="0011236C" w:rsidRDefault="0011236C" w:rsidP="0011236C">
      <w:pPr>
        <w:jc w:val="both"/>
        <w:rPr>
          <w:rFonts w:ascii="Arial" w:hAnsi="Arial" w:cs="Arial"/>
          <w:sz w:val="21"/>
          <w:szCs w:val="21"/>
        </w:rPr>
      </w:pPr>
      <w:r w:rsidRPr="0011236C">
        <w:rPr>
          <w:rFonts w:ascii="Arial" w:hAnsi="Arial" w:cs="Arial"/>
          <w:sz w:val="21"/>
          <w:szCs w:val="21"/>
        </w:rPr>
        <w:t>Debido a la inadecuada presentación de la información y frente a la inexistencia de una metodología para la determinación de la probabilidad de fallo, se hace necesario, en la etapa de reconocimiento, ahondar en este tema con la entidad pues dichas situaciones podrían constituirse en eventos de riesgo en el marco del decreto 028.</w:t>
      </w:r>
    </w:p>
    <w:p w:rsidR="0011236C" w:rsidRPr="0011236C" w:rsidRDefault="0011236C" w:rsidP="0011236C">
      <w:pPr>
        <w:rPr>
          <w:rFonts w:ascii="Arial" w:hAnsi="Arial" w:cs="Arial"/>
          <w:b/>
          <w:sz w:val="21"/>
          <w:szCs w:val="21"/>
        </w:rPr>
      </w:pPr>
    </w:p>
    <w:p w:rsidR="0011236C" w:rsidRPr="0011236C" w:rsidRDefault="0011236C" w:rsidP="0011236C">
      <w:pPr>
        <w:jc w:val="both"/>
        <w:rPr>
          <w:rFonts w:ascii="Arial" w:eastAsia="Times New Roman" w:hAnsi="Arial" w:cs="Arial"/>
          <w:b/>
          <w:iCs/>
          <w:sz w:val="21"/>
          <w:szCs w:val="21"/>
          <w:lang w:eastAsia="en-US"/>
        </w:rPr>
      </w:pPr>
      <w:r w:rsidRPr="0011236C">
        <w:rPr>
          <w:rFonts w:ascii="Arial" w:eastAsia="Times New Roman" w:hAnsi="Arial" w:cs="Arial"/>
          <w:b/>
          <w:iCs/>
          <w:sz w:val="21"/>
          <w:szCs w:val="21"/>
          <w:lang w:eastAsia="en-US"/>
        </w:rPr>
        <w:t>VI. CONCLUSIONES Y RECOMENDACIONES</w:t>
      </w:r>
    </w:p>
    <w:p w:rsidR="0011236C" w:rsidRPr="0011236C" w:rsidRDefault="0011236C" w:rsidP="0011236C">
      <w:pPr>
        <w:jc w:val="both"/>
        <w:rPr>
          <w:rFonts w:ascii="Arial" w:hAnsi="Arial" w:cs="Arial"/>
          <w:sz w:val="21"/>
          <w:szCs w:val="21"/>
        </w:rPr>
      </w:pPr>
    </w:p>
    <w:p w:rsidR="0011236C" w:rsidRPr="0011236C" w:rsidRDefault="0011236C" w:rsidP="0011236C">
      <w:pPr>
        <w:jc w:val="both"/>
        <w:rPr>
          <w:rFonts w:ascii="Arial" w:hAnsi="Arial" w:cs="Arial"/>
          <w:sz w:val="21"/>
          <w:szCs w:val="21"/>
        </w:rPr>
      </w:pPr>
      <w:r w:rsidRPr="0011236C">
        <w:rPr>
          <w:rFonts w:ascii="Arial" w:hAnsi="Arial" w:cs="Arial"/>
          <w:sz w:val="21"/>
          <w:szCs w:val="21"/>
        </w:rPr>
        <w:t>En materia financiera la ejecución presupuestal de ingresos reportada por la Entidad en el FUT, al cierre de la vigencia 2020 en el Sector Salud como presupuesto definitivo evidencio programación de del Sector Salud por $98.756 millones, reportando un recaudo por $103.685 millones para financiar los componentes de Régimen Subsidiado, Prestación de Servicios, Salud Pública y Otros Gastos en Salud, mostrando un porcentaje de ejecución de 105%. Respecto al total recaudado, el 54% correspondió a Ingresos Corrientes y el 46% ($47.379 millones) a recursos de Capital.</w:t>
      </w:r>
    </w:p>
    <w:p w:rsidR="0011236C" w:rsidRPr="0011236C" w:rsidRDefault="0011236C" w:rsidP="0011236C">
      <w:pPr>
        <w:jc w:val="both"/>
        <w:rPr>
          <w:rFonts w:ascii="Arial" w:hAnsi="Arial" w:cs="Arial"/>
          <w:sz w:val="21"/>
          <w:szCs w:val="21"/>
        </w:rPr>
      </w:pPr>
    </w:p>
    <w:p w:rsidR="0011236C" w:rsidRPr="0011236C" w:rsidRDefault="0011236C" w:rsidP="0011236C">
      <w:pPr>
        <w:jc w:val="both"/>
        <w:rPr>
          <w:rFonts w:ascii="Arial" w:hAnsi="Arial" w:cs="Arial"/>
          <w:sz w:val="21"/>
          <w:szCs w:val="21"/>
        </w:rPr>
      </w:pPr>
      <w:r w:rsidRPr="0011236C">
        <w:rPr>
          <w:rFonts w:ascii="Arial" w:hAnsi="Arial" w:cs="Arial"/>
          <w:sz w:val="21"/>
          <w:szCs w:val="21"/>
        </w:rPr>
        <w:t>En cuanto al gasto al cierre de la vigencia 2020, se apropiaron recursos por $98.755 millones, se generaron compromisos por $47.246 millones, sobre los cuales se efectuaron obligaciones por $35.961 millones y se efectuaron pagos por $25.685 millones, demostrando una ejecución del 48%.Verificada la información reportada a través del Formulario Único Territorial – FUT frente a la información reportada en las ejecuciones presupuestales remitidas por la ET se identifica inconsistencia en el presupuesto definitivo del gasto, mientras en el archivo enviado por la entidad se observan $101.772 millones como presupuesto definitivo, la información del FUT presenta un total de $125.494 millones, generando una diferencia de $23.722. millones, diferencia que se presenta en cada una de las partes de la cadena presupuestal.</w:t>
      </w:r>
    </w:p>
    <w:p w:rsidR="0011236C" w:rsidRPr="0011236C" w:rsidRDefault="0011236C" w:rsidP="0011236C">
      <w:pPr>
        <w:jc w:val="both"/>
        <w:rPr>
          <w:rFonts w:ascii="Arial" w:hAnsi="Arial" w:cs="Arial"/>
          <w:sz w:val="21"/>
          <w:szCs w:val="21"/>
        </w:rPr>
      </w:pPr>
    </w:p>
    <w:p w:rsidR="0011236C" w:rsidRPr="0011236C" w:rsidRDefault="0011236C" w:rsidP="0011236C">
      <w:pPr>
        <w:autoSpaceDE w:val="0"/>
        <w:autoSpaceDN w:val="0"/>
        <w:adjustRightInd w:val="0"/>
        <w:jc w:val="both"/>
        <w:rPr>
          <w:rFonts w:ascii="Arial" w:hAnsi="Arial" w:cs="Arial"/>
          <w:sz w:val="21"/>
          <w:szCs w:val="21"/>
        </w:rPr>
      </w:pPr>
      <w:r w:rsidRPr="0011236C">
        <w:rPr>
          <w:rFonts w:ascii="Arial" w:hAnsi="Arial" w:cs="Arial"/>
          <w:sz w:val="21"/>
          <w:szCs w:val="21"/>
        </w:rPr>
        <w:t>En cuanto a la parte contable y de tesorería, se observa que la Entidad lleva la contabilidad del Fondo Local de Salud dentro de la contabilidad de la Entidad Territorial situación que va en contravía de las normas vigentes sobre el manejo del Fondo Local de Salud en la que se menciona:</w:t>
      </w:r>
    </w:p>
    <w:p w:rsidR="0011236C" w:rsidRPr="0011236C" w:rsidRDefault="0011236C" w:rsidP="0011236C">
      <w:pPr>
        <w:autoSpaceDE w:val="0"/>
        <w:autoSpaceDN w:val="0"/>
        <w:adjustRightInd w:val="0"/>
        <w:rPr>
          <w:rFonts w:ascii="Arial" w:hAnsi="Arial" w:cs="Arial"/>
          <w:sz w:val="21"/>
          <w:szCs w:val="21"/>
        </w:rPr>
      </w:pPr>
    </w:p>
    <w:p w:rsidR="0011236C" w:rsidRPr="0011236C" w:rsidRDefault="0011236C" w:rsidP="0011236C">
      <w:pPr>
        <w:jc w:val="both"/>
        <w:rPr>
          <w:rFonts w:ascii="Arial" w:hAnsi="Arial" w:cs="Arial"/>
          <w:sz w:val="21"/>
          <w:szCs w:val="21"/>
        </w:rPr>
      </w:pPr>
      <w:r w:rsidRPr="0011236C">
        <w:rPr>
          <w:rFonts w:ascii="Arial" w:hAnsi="Arial" w:cs="Arial"/>
          <w:sz w:val="21"/>
          <w:szCs w:val="21"/>
        </w:rPr>
        <w:t xml:space="preserve">Con respecto al cierre de tesorería reportado por la Entidad y el </w:t>
      </w:r>
      <w:r w:rsidRPr="0011236C">
        <w:rPr>
          <w:rFonts w:ascii="Arial" w:eastAsia="Calibri" w:hAnsi="Arial" w:cs="Arial"/>
          <w:sz w:val="21"/>
          <w:szCs w:val="21"/>
          <w:lang w:val="es-CO" w:eastAsia="en-US"/>
        </w:rPr>
        <w:t xml:space="preserve">cierre de tesorería del Fondo Local de Salud suministrado por la Entidad Territorial, se encuentran diferencias en sus totales. Se destaca la constitución de cuentas recaudadoras, las cuales al cierre de la vigencia reportan </w:t>
      </w:r>
      <w:r w:rsidRPr="0011236C">
        <w:rPr>
          <w:rFonts w:ascii="Arial" w:eastAsia="Calibri" w:hAnsi="Arial" w:cs="Arial"/>
          <w:sz w:val="21"/>
          <w:szCs w:val="21"/>
          <w:lang w:val="es-CO" w:eastAsia="en-US"/>
        </w:rPr>
        <w:lastRenderedPageBreak/>
        <w:t>saldo, lo cual difiere con la obligatoriedad de transferir la totalidad de los recursos en las respectivas cuentas maestras.</w:t>
      </w:r>
    </w:p>
    <w:p w:rsidR="0011236C" w:rsidRPr="0011236C" w:rsidRDefault="0011236C" w:rsidP="0011236C">
      <w:pPr>
        <w:jc w:val="both"/>
        <w:rPr>
          <w:rFonts w:ascii="Arial" w:hAnsi="Arial" w:cs="Arial"/>
          <w:sz w:val="21"/>
          <w:szCs w:val="21"/>
        </w:rPr>
      </w:pPr>
    </w:p>
    <w:p w:rsidR="0011236C" w:rsidRPr="0011236C" w:rsidRDefault="0011236C" w:rsidP="0011236C">
      <w:pPr>
        <w:jc w:val="both"/>
        <w:rPr>
          <w:rFonts w:ascii="Arial" w:eastAsia="Times New Roman" w:hAnsi="Arial" w:cs="Arial"/>
          <w:sz w:val="21"/>
          <w:szCs w:val="21"/>
          <w:lang w:val="es-CO" w:eastAsia="es-CO"/>
        </w:rPr>
      </w:pPr>
      <w:r w:rsidRPr="0011236C">
        <w:rPr>
          <w:rFonts w:ascii="Arial" w:eastAsia="Times New Roman" w:hAnsi="Arial" w:cs="Arial"/>
          <w:sz w:val="21"/>
          <w:szCs w:val="21"/>
          <w:lang w:val="es-CO" w:eastAsia="es-CO"/>
        </w:rPr>
        <w:t>Las diferencias encontradas entre los actos administrativos de cofinanciación, el reporte de ejecución presupuestal y la matriz LMA, la no entrega del seguimiento a los recursos que financian el régimen subsidiado,</w:t>
      </w:r>
      <w:r w:rsidRPr="0011236C">
        <w:rPr>
          <w:rFonts w:ascii="Arial" w:eastAsia="Times New Roman" w:hAnsi="Arial" w:cs="Arial"/>
          <w:color w:val="FF0000"/>
          <w:sz w:val="21"/>
          <w:szCs w:val="21"/>
          <w:lang w:val="es-CO" w:eastAsia="es-CO"/>
        </w:rPr>
        <w:t xml:space="preserve"> </w:t>
      </w:r>
      <w:r w:rsidRPr="0011236C">
        <w:rPr>
          <w:rFonts w:ascii="Arial" w:eastAsia="Times New Roman" w:hAnsi="Arial" w:cs="Arial"/>
          <w:sz w:val="21"/>
          <w:szCs w:val="21"/>
          <w:lang w:val="es-CO" w:eastAsia="es-CO"/>
        </w:rPr>
        <w:t xml:space="preserve">constituirán tópicos que deberán ser verificados en el marco del reconocimiento institucional que se lleve a cabo, con el objeto de establecer si existen justificaciones que expliquen dicho comportamiento o identificar causas atribuibles al mismo. </w:t>
      </w:r>
    </w:p>
    <w:p w:rsidR="0011236C" w:rsidRPr="0011236C" w:rsidRDefault="0011236C" w:rsidP="0011236C">
      <w:pPr>
        <w:jc w:val="both"/>
        <w:rPr>
          <w:rFonts w:ascii="Arial" w:eastAsia="Times New Roman" w:hAnsi="Arial" w:cs="Arial"/>
          <w:sz w:val="21"/>
          <w:szCs w:val="21"/>
          <w:lang w:val="es-CO" w:eastAsia="es-CO"/>
        </w:rPr>
      </w:pPr>
    </w:p>
    <w:p w:rsidR="0011236C" w:rsidRPr="0011236C" w:rsidRDefault="0011236C" w:rsidP="0011236C">
      <w:pPr>
        <w:jc w:val="both"/>
        <w:rPr>
          <w:rFonts w:ascii="Arial" w:eastAsia="Times New Roman" w:hAnsi="Arial" w:cs="Arial"/>
          <w:sz w:val="21"/>
          <w:szCs w:val="21"/>
          <w:lang w:val="es-CO" w:eastAsia="es-CO"/>
        </w:rPr>
      </w:pPr>
      <w:r w:rsidRPr="0011236C">
        <w:rPr>
          <w:rFonts w:ascii="Arial" w:eastAsia="Times New Roman" w:hAnsi="Arial" w:cs="Arial"/>
          <w:sz w:val="21"/>
          <w:szCs w:val="21"/>
          <w:lang w:val="es-CO" w:eastAsia="es-CO"/>
        </w:rPr>
        <w:t>En cuanto al componente de salud pública, se destaca que la Entidad no reportó de forma adecuada la totalidad de los contratos suscritos con fuente SGP-Salud Publica, adicionalmente no incluyó el link de la plataforma de contratación estatal SECOP para la verificación de los mismos. Al revisar la plataforma fue posible identificar que la Entidad no ha cargado la contratación de Salud Pública. Por lo anterior, no fue posible identificar en los contratos el cumplimiento de la normatividad vigente frente a las actividades financiadas con cargo a los recursos del SGP-Salud Pública.</w:t>
      </w:r>
    </w:p>
    <w:p w:rsidR="0011236C" w:rsidRPr="0011236C" w:rsidRDefault="0011236C" w:rsidP="0011236C">
      <w:pPr>
        <w:jc w:val="both"/>
        <w:rPr>
          <w:rFonts w:ascii="Arial" w:hAnsi="Arial" w:cs="Arial"/>
          <w:sz w:val="21"/>
          <w:szCs w:val="21"/>
        </w:rPr>
      </w:pPr>
    </w:p>
    <w:p w:rsidR="0011236C" w:rsidRPr="0011236C" w:rsidRDefault="0011236C" w:rsidP="0011236C">
      <w:pPr>
        <w:jc w:val="both"/>
        <w:rPr>
          <w:rFonts w:ascii="Arial" w:hAnsi="Arial" w:cs="Arial"/>
          <w:sz w:val="21"/>
          <w:szCs w:val="21"/>
        </w:rPr>
      </w:pPr>
      <w:r w:rsidRPr="0011236C">
        <w:rPr>
          <w:rFonts w:ascii="Arial" w:hAnsi="Arial" w:cs="Arial"/>
          <w:sz w:val="21"/>
          <w:szCs w:val="21"/>
        </w:rPr>
        <w:t>Por otro lado, de acuerdo con el Informe de laboratorios de Salud Pública correspondiente a la vigencia 2020 expedido por el Ministerio de Salud y Protección se evidencia que el laboratorio de salud pública Departamental cumple parcialmente con los estándares de calidad establecidos por el INS y el INVIMA en materia de vigilancia de la salud pública y vigilancia sanitaria, recomendándose la elaboración de un plan de mejoramiento.</w:t>
      </w:r>
    </w:p>
    <w:p w:rsidR="0011236C" w:rsidRPr="0011236C" w:rsidRDefault="0011236C" w:rsidP="0011236C">
      <w:pPr>
        <w:jc w:val="both"/>
        <w:rPr>
          <w:rFonts w:ascii="Arial" w:hAnsi="Arial" w:cs="Arial"/>
          <w:sz w:val="21"/>
          <w:szCs w:val="21"/>
        </w:rPr>
      </w:pPr>
    </w:p>
    <w:p w:rsidR="0011236C" w:rsidRPr="0011236C" w:rsidRDefault="0011236C" w:rsidP="0011236C">
      <w:pPr>
        <w:jc w:val="both"/>
        <w:rPr>
          <w:rFonts w:ascii="Arial" w:hAnsi="Arial" w:cs="Arial"/>
          <w:sz w:val="21"/>
          <w:szCs w:val="21"/>
        </w:rPr>
      </w:pPr>
      <w:r w:rsidRPr="0011236C">
        <w:rPr>
          <w:rFonts w:ascii="Arial" w:hAnsi="Arial" w:cs="Arial"/>
          <w:sz w:val="21"/>
          <w:szCs w:val="21"/>
        </w:rPr>
        <w:t>En materia jurídica, el departamento de Magdalena, hizo entrega del informe de procesos, sin embargo, la información no fue entregada en las matrices solicitadas, por lo que con la información entregada no fue posible realizar el respectivo análisis en cuanto a la metodología utilizada para calcular la probabilidad de fallo en contra de la Entidad, se informó que la Entidad no la tiene.</w:t>
      </w:r>
    </w:p>
    <w:p w:rsidR="0011236C" w:rsidRPr="0011236C" w:rsidRDefault="0011236C" w:rsidP="0011236C">
      <w:pPr>
        <w:jc w:val="both"/>
        <w:rPr>
          <w:rFonts w:ascii="Arial" w:hAnsi="Arial" w:cs="Arial"/>
          <w:sz w:val="21"/>
          <w:szCs w:val="21"/>
        </w:rPr>
      </w:pPr>
    </w:p>
    <w:p w:rsidR="0011236C" w:rsidRPr="0011236C" w:rsidRDefault="0011236C" w:rsidP="0011236C">
      <w:pPr>
        <w:jc w:val="both"/>
        <w:rPr>
          <w:rFonts w:ascii="Arial" w:hAnsi="Arial" w:cs="Arial"/>
          <w:color w:val="000000"/>
          <w:sz w:val="21"/>
          <w:szCs w:val="21"/>
        </w:rPr>
      </w:pPr>
      <w:r w:rsidRPr="0011236C">
        <w:rPr>
          <w:rFonts w:ascii="Arial" w:hAnsi="Arial" w:cs="Arial"/>
          <w:color w:val="000000"/>
          <w:sz w:val="21"/>
          <w:szCs w:val="21"/>
        </w:rPr>
        <w:t>Finalmente, de acuerdo con las situaciones expuestas, se recomienda adelantar una etapa de reconocimiento institucional al departamento con el propósito de validar las situaciones de riesgo descritas e identificar sobrevinientes y en ese sentido, determinar la pertinencia de adoptar medidas en aplicación a lo dispuesto en el Decreto 028 de 2008.</w:t>
      </w:r>
    </w:p>
    <w:p w:rsidR="0011236C" w:rsidRPr="0011236C" w:rsidRDefault="0011236C" w:rsidP="0011236C">
      <w:pPr>
        <w:autoSpaceDE w:val="0"/>
        <w:autoSpaceDN w:val="0"/>
        <w:adjustRightInd w:val="0"/>
        <w:jc w:val="both"/>
        <w:rPr>
          <w:rFonts w:ascii="Arial" w:hAnsi="Arial" w:cs="Arial"/>
          <w:sz w:val="21"/>
          <w:szCs w:val="21"/>
        </w:rPr>
      </w:pPr>
    </w:p>
    <w:p w:rsidR="0011236C" w:rsidRPr="0011236C" w:rsidRDefault="0011236C" w:rsidP="0011236C">
      <w:pPr>
        <w:autoSpaceDE w:val="0"/>
        <w:autoSpaceDN w:val="0"/>
        <w:adjustRightInd w:val="0"/>
        <w:jc w:val="both"/>
        <w:rPr>
          <w:rFonts w:ascii="Arial" w:hAnsi="Arial" w:cs="Arial"/>
          <w:sz w:val="21"/>
          <w:szCs w:val="21"/>
        </w:rPr>
      </w:pPr>
    </w:p>
    <w:p w:rsidR="0011236C" w:rsidRPr="0011236C" w:rsidRDefault="0011236C" w:rsidP="0011236C">
      <w:pPr>
        <w:jc w:val="both"/>
        <w:rPr>
          <w:rFonts w:ascii="Arial" w:eastAsia="Times New Roman" w:hAnsi="Arial" w:cs="Arial"/>
          <w:sz w:val="16"/>
          <w:szCs w:val="16"/>
          <w:lang w:eastAsia="en-US"/>
        </w:rPr>
      </w:pPr>
      <w:r w:rsidRPr="0011236C">
        <w:rPr>
          <w:rFonts w:ascii="Arial" w:eastAsia="Times New Roman" w:hAnsi="Arial" w:cs="Arial"/>
          <w:b/>
          <w:sz w:val="16"/>
          <w:szCs w:val="16"/>
          <w:lang w:eastAsia="en-US"/>
        </w:rPr>
        <w:t>Aprobó</w:t>
      </w:r>
      <w:r w:rsidRPr="0011236C">
        <w:rPr>
          <w:rFonts w:ascii="Arial" w:eastAsia="Times New Roman" w:hAnsi="Arial" w:cs="Arial"/>
          <w:sz w:val="16"/>
          <w:szCs w:val="16"/>
          <w:lang w:eastAsia="en-US"/>
        </w:rPr>
        <w:t xml:space="preserve">: Fernando Olivera </w:t>
      </w:r>
    </w:p>
    <w:p w:rsidR="0011236C" w:rsidRPr="0011236C" w:rsidRDefault="0011236C" w:rsidP="0011236C">
      <w:pPr>
        <w:jc w:val="both"/>
        <w:rPr>
          <w:rFonts w:ascii="Arial" w:eastAsia="Times New Roman" w:hAnsi="Arial" w:cs="Arial"/>
          <w:color w:val="FF0000"/>
          <w:sz w:val="16"/>
          <w:szCs w:val="16"/>
          <w:lang w:eastAsia="en-US"/>
        </w:rPr>
      </w:pPr>
      <w:r w:rsidRPr="0011236C">
        <w:rPr>
          <w:rFonts w:ascii="Arial" w:eastAsia="Times New Roman" w:hAnsi="Arial" w:cs="Arial"/>
          <w:b/>
          <w:sz w:val="16"/>
          <w:szCs w:val="16"/>
          <w:lang w:eastAsia="en-US"/>
        </w:rPr>
        <w:t>Revisión Técnica</w:t>
      </w:r>
      <w:r w:rsidRPr="0011236C">
        <w:rPr>
          <w:rFonts w:ascii="Arial" w:eastAsia="Times New Roman" w:hAnsi="Arial" w:cs="Arial"/>
          <w:sz w:val="16"/>
          <w:szCs w:val="16"/>
          <w:lang w:eastAsia="en-US"/>
        </w:rPr>
        <w:t xml:space="preserve">: Patricia Peña/ Maria Adelaida Berdugo </w:t>
      </w:r>
    </w:p>
    <w:p w:rsidR="0011236C" w:rsidRPr="0011236C" w:rsidRDefault="0011236C" w:rsidP="0011236C">
      <w:pPr>
        <w:jc w:val="both"/>
        <w:rPr>
          <w:rFonts w:ascii="Arial" w:eastAsia="Times New Roman" w:hAnsi="Arial" w:cs="Arial"/>
          <w:sz w:val="16"/>
          <w:szCs w:val="16"/>
          <w:lang w:eastAsia="en-US"/>
        </w:rPr>
      </w:pPr>
      <w:r w:rsidRPr="0011236C">
        <w:rPr>
          <w:rFonts w:ascii="Arial" w:eastAsia="Times New Roman" w:hAnsi="Arial" w:cs="Arial"/>
          <w:b/>
          <w:sz w:val="16"/>
          <w:szCs w:val="16"/>
          <w:lang w:eastAsia="en-US"/>
        </w:rPr>
        <w:t>Elaboró</w:t>
      </w:r>
      <w:r w:rsidRPr="0011236C">
        <w:rPr>
          <w:rFonts w:ascii="Arial" w:eastAsia="Times New Roman" w:hAnsi="Arial" w:cs="Arial"/>
          <w:sz w:val="16"/>
          <w:szCs w:val="16"/>
          <w:lang w:eastAsia="en-US"/>
        </w:rPr>
        <w:t>: Óscar Giraldo</w:t>
      </w:r>
    </w:p>
    <w:p w:rsidR="0011236C" w:rsidRPr="0011236C" w:rsidRDefault="0011236C" w:rsidP="0011236C">
      <w:pPr>
        <w:jc w:val="both"/>
        <w:rPr>
          <w:rFonts w:ascii="Arial" w:eastAsia="Times New Roman" w:hAnsi="Arial" w:cs="Arial"/>
          <w:sz w:val="21"/>
          <w:szCs w:val="21"/>
          <w:vertAlign w:val="subscript"/>
          <w:lang w:bidi="x-none"/>
        </w:rPr>
      </w:pPr>
    </w:p>
    <w:p w:rsidR="00370540" w:rsidRPr="0011236C" w:rsidRDefault="00370540" w:rsidP="0011236C"/>
    <w:sectPr w:rsidR="00370540" w:rsidRPr="0011236C" w:rsidSect="004E432F">
      <w:headerReference w:type="default" r:id="rId38"/>
      <w:footerReference w:type="default" r:id="rId39"/>
      <w:headerReference w:type="first" r:id="rId40"/>
      <w:footerReference w:type="first" r:id="rId41"/>
      <w:pgSz w:w="12240" w:h="15840" w:code="1"/>
      <w:pgMar w:top="1985" w:right="1701" w:bottom="1701"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8AA" w:rsidRDefault="004008AA" w:rsidP="00F71345">
      <w:r>
        <w:separator/>
      </w:r>
    </w:p>
  </w:endnote>
  <w:endnote w:type="continuationSeparator" w:id="0">
    <w:p w:rsidR="004008AA" w:rsidRDefault="004008AA" w:rsidP="00F7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748" w:rsidRPr="00FE4097" w:rsidRDefault="00992748" w:rsidP="00F01F75">
    <w:pPr>
      <w:pStyle w:val="Piedepgina"/>
      <w:jc w:val="center"/>
      <w:rPr>
        <w:rFonts w:ascii="Arial" w:hAnsi="Arial" w:cs="Arial"/>
        <w:b/>
        <w:sz w:val="20"/>
        <w:szCs w:val="20"/>
      </w:rPr>
    </w:pPr>
    <w:r w:rsidRPr="00FE4097">
      <w:rPr>
        <w:rFonts w:ascii="Arial" w:hAnsi="Arial" w:cs="Arial"/>
        <w:b/>
        <w:sz w:val="20"/>
        <w:szCs w:val="20"/>
      </w:rPr>
      <w:t>Carrera 8  No. 6 C 38 Bogotá D.C. Colombia</w:t>
    </w:r>
  </w:p>
  <w:p w:rsidR="00992748" w:rsidRPr="00FE4097" w:rsidRDefault="00992748" w:rsidP="00F01F75">
    <w:pPr>
      <w:pStyle w:val="Piedepgina"/>
      <w:jc w:val="center"/>
      <w:rPr>
        <w:rFonts w:ascii="Arial" w:hAnsi="Arial" w:cs="Arial"/>
        <w:sz w:val="16"/>
        <w:szCs w:val="16"/>
      </w:rPr>
    </w:pPr>
    <w:r w:rsidRPr="00FE4097">
      <w:rPr>
        <w:rFonts w:ascii="Arial" w:hAnsi="Arial" w:cs="Arial"/>
        <w:sz w:val="16"/>
        <w:szCs w:val="16"/>
      </w:rPr>
      <w:t>Código Postal 111711</w:t>
    </w:r>
  </w:p>
  <w:p w:rsidR="00992748" w:rsidRPr="00FE4097" w:rsidRDefault="00992748" w:rsidP="00F01F75">
    <w:pPr>
      <w:pStyle w:val="Piedepgina"/>
      <w:jc w:val="center"/>
      <w:rPr>
        <w:rFonts w:ascii="Arial" w:hAnsi="Arial" w:cs="Arial"/>
        <w:sz w:val="16"/>
        <w:szCs w:val="16"/>
      </w:rPr>
    </w:pPr>
    <w:r w:rsidRPr="00FE4097">
      <w:rPr>
        <w:rFonts w:ascii="Arial" w:hAnsi="Arial" w:cs="Arial"/>
        <w:sz w:val="16"/>
        <w:szCs w:val="16"/>
      </w:rPr>
      <w:t>Conmutador (57 1) 381 1700 Fuera de Bogotá 01-8000-910071</w:t>
    </w:r>
  </w:p>
  <w:p w:rsidR="00992748" w:rsidRPr="00FE4097" w:rsidRDefault="00992748" w:rsidP="00F01F75">
    <w:pPr>
      <w:pStyle w:val="Piedepgina"/>
      <w:jc w:val="center"/>
      <w:rPr>
        <w:rFonts w:ascii="Arial" w:hAnsi="Arial" w:cs="Arial"/>
        <w:sz w:val="16"/>
        <w:szCs w:val="16"/>
      </w:rPr>
    </w:pPr>
    <w:r w:rsidRPr="00FE4097">
      <w:rPr>
        <w:rFonts w:ascii="Arial" w:hAnsi="Arial" w:cs="Arial"/>
        <w:sz w:val="16"/>
        <w:szCs w:val="16"/>
      </w:rPr>
      <w:t>atencioncliente@minhacienda.gov.co</w:t>
    </w:r>
  </w:p>
  <w:p w:rsidR="00992748" w:rsidRPr="00FE4097" w:rsidRDefault="00992748" w:rsidP="00F01F75">
    <w:pPr>
      <w:jc w:val="center"/>
      <w:rPr>
        <w:sz w:val="16"/>
        <w:szCs w:val="16"/>
      </w:rPr>
    </w:pPr>
    <w:r w:rsidRPr="00FE4097">
      <w:rPr>
        <w:rFonts w:ascii="Arial" w:hAnsi="Arial" w:cs="Arial"/>
        <w:sz w:val="16"/>
        <w:szCs w:val="16"/>
      </w:rPr>
      <w:t>www.minhacienda.gov.co</w:t>
    </w:r>
  </w:p>
  <w:p w:rsidR="00992748" w:rsidRPr="00F01F75" w:rsidRDefault="00992748" w:rsidP="00F01F7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748" w:rsidRPr="00FE4097" w:rsidRDefault="00992748" w:rsidP="00F01F75">
    <w:pPr>
      <w:pStyle w:val="Piedepgina"/>
      <w:jc w:val="center"/>
      <w:rPr>
        <w:rFonts w:ascii="Arial" w:hAnsi="Arial" w:cs="Arial"/>
        <w:b/>
        <w:sz w:val="20"/>
        <w:szCs w:val="20"/>
      </w:rPr>
    </w:pPr>
    <w:r w:rsidRPr="00FE4097">
      <w:rPr>
        <w:rFonts w:ascii="Arial" w:hAnsi="Arial" w:cs="Arial"/>
        <w:b/>
        <w:sz w:val="20"/>
        <w:szCs w:val="20"/>
      </w:rPr>
      <w:t>Carrera 8  No. 6 C 38 Bogotá D.C. Colombia</w:t>
    </w:r>
  </w:p>
  <w:p w:rsidR="00992748" w:rsidRPr="00FE4097" w:rsidRDefault="00992748" w:rsidP="00F01F75">
    <w:pPr>
      <w:pStyle w:val="Piedepgina"/>
      <w:jc w:val="center"/>
      <w:rPr>
        <w:rFonts w:ascii="Arial" w:hAnsi="Arial" w:cs="Arial"/>
        <w:sz w:val="16"/>
        <w:szCs w:val="16"/>
      </w:rPr>
    </w:pPr>
    <w:r w:rsidRPr="00FE4097">
      <w:rPr>
        <w:rFonts w:ascii="Arial" w:hAnsi="Arial" w:cs="Arial"/>
        <w:sz w:val="16"/>
        <w:szCs w:val="16"/>
      </w:rPr>
      <w:t>Código Postal 111711</w:t>
    </w:r>
  </w:p>
  <w:p w:rsidR="00992748" w:rsidRPr="00FE4097" w:rsidRDefault="00992748" w:rsidP="00F01F75">
    <w:pPr>
      <w:pStyle w:val="Piedepgina"/>
      <w:jc w:val="center"/>
      <w:rPr>
        <w:rFonts w:ascii="Arial" w:hAnsi="Arial" w:cs="Arial"/>
        <w:sz w:val="16"/>
        <w:szCs w:val="16"/>
      </w:rPr>
    </w:pPr>
    <w:r w:rsidRPr="00FE4097">
      <w:rPr>
        <w:rFonts w:ascii="Arial" w:hAnsi="Arial" w:cs="Arial"/>
        <w:sz w:val="16"/>
        <w:szCs w:val="16"/>
      </w:rPr>
      <w:t>Conmutador (57 1) 381 1700 Fuera de Bogotá 01-8000-910071</w:t>
    </w:r>
  </w:p>
  <w:p w:rsidR="00992748" w:rsidRPr="00FE4097" w:rsidRDefault="00992748" w:rsidP="00F01F75">
    <w:pPr>
      <w:pStyle w:val="Piedepgina"/>
      <w:jc w:val="center"/>
      <w:rPr>
        <w:rFonts w:ascii="Arial" w:hAnsi="Arial" w:cs="Arial"/>
        <w:sz w:val="16"/>
        <w:szCs w:val="16"/>
      </w:rPr>
    </w:pPr>
    <w:r w:rsidRPr="00FE4097">
      <w:rPr>
        <w:rFonts w:ascii="Arial" w:hAnsi="Arial" w:cs="Arial"/>
        <w:sz w:val="16"/>
        <w:szCs w:val="16"/>
      </w:rPr>
      <w:t>atencioncliente@minhacienda.gov.co</w:t>
    </w:r>
  </w:p>
  <w:p w:rsidR="00992748" w:rsidRPr="00FE4097" w:rsidRDefault="00992748" w:rsidP="00F01F75">
    <w:pPr>
      <w:jc w:val="center"/>
      <w:rPr>
        <w:sz w:val="16"/>
        <w:szCs w:val="16"/>
      </w:rPr>
    </w:pPr>
    <w:r w:rsidRPr="00FE4097">
      <w:rPr>
        <w:rFonts w:ascii="Arial" w:hAnsi="Arial" w:cs="Arial"/>
        <w:sz w:val="16"/>
        <w:szCs w:val="16"/>
      </w:rPr>
      <w:t>www.minhacienda.gov.co</w:t>
    </w:r>
  </w:p>
  <w:p w:rsidR="00992748" w:rsidRPr="00F01F75" w:rsidRDefault="00992748" w:rsidP="00F01F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8AA" w:rsidRDefault="004008AA" w:rsidP="00F71345">
      <w:r>
        <w:separator/>
      </w:r>
    </w:p>
  </w:footnote>
  <w:footnote w:type="continuationSeparator" w:id="0">
    <w:p w:rsidR="004008AA" w:rsidRDefault="004008AA" w:rsidP="00F71345">
      <w:r>
        <w:continuationSeparator/>
      </w:r>
    </w:p>
  </w:footnote>
  <w:footnote w:id="1">
    <w:p w:rsidR="0011236C" w:rsidRPr="009A2C11" w:rsidRDefault="0011236C" w:rsidP="0011236C">
      <w:pPr>
        <w:pStyle w:val="Textonotapie"/>
        <w:jc w:val="both"/>
        <w:rPr>
          <w:rFonts w:ascii="Arial" w:hAnsi="Arial" w:cs="Arial"/>
          <w:sz w:val="16"/>
          <w:szCs w:val="16"/>
          <w:lang w:val="es-CO"/>
        </w:rPr>
      </w:pPr>
      <w:r w:rsidRPr="009A2C11">
        <w:rPr>
          <w:rStyle w:val="Refdenotaalpie"/>
          <w:rFonts w:ascii="Arial" w:hAnsi="Arial" w:cs="Arial"/>
          <w:sz w:val="16"/>
          <w:szCs w:val="16"/>
        </w:rPr>
        <w:footnoteRef/>
      </w:r>
      <w:r w:rsidRPr="009A2C11">
        <w:rPr>
          <w:rFonts w:ascii="Arial" w:hAnsi="Arial" w:cs="Arial"/>
          <w:sz w:val="16"/>
          <w:szCs w:val="16"/>
        </w:rPr>
        <w:t xml:space="preserve"> </w:t>
      </w:r>
      <w:r w:rsidRPr="009A2C11">
        <w:rPr>
          <w:rFonts w:ascii="Arial" w:hAnsi="Arial" w:cs="Arial"/>
          <w:sz w:val="16"/>
          <w:szCs w:val="16"/>
          <w:lang w:val="es-CO"/>
        </w:rPr>
        <w:t>Información tomada del Informe de Viabilidad Fiscal del Departamento del Magdalena a diciembre de 2020 de la DAF/MHCP.</w:t>
      </w:r>
    </w:p>
  </w:footnote>
  <w:footnote w:id="2">
    <w:p w:rsidR="0011236C" w:rsidRPr="009A2C11" w:rsidRDefault="0011236C" w:rsidP="0011236C">
      <w:pPr>
        <w:pStyle w:val="Textonotapie"/>
        <w:jc w:val="both"/>
        <w:rPr>
          <w:rFonts w:ascii="Arial" w:hAnsi="Arial" w:cs="Arial"/>
          <w:sz w:val="16"/>
          <w:szCs w:val="16"/>
        </w:rPr>
      </w:pPr>
      <w:r w:rsidRPr="009A2C11">
        <w:rPr>
          <w:rStyle w:val="Refdenotaalpie"/>
          <w:rFonts w:ascii="Arial" w:hAnsi="Arial" w:cs="Arial"/>
          <w:sz w:val="16"/>
          <w:szCs w:val="16"/>
        </w:rPr>
        <w:footnoteRef/>
      </w:r>
      <w:r w:rsidRPr="009A2C11">
        <w:rPr>
          <w:rFonts w:ascii="Arial" w:hAnsi="Arial" w:cs="Arial"/>
          <w:sz w:val="16"/>
          <w:szCs w:val="16"/>
        </w:rPr>
        <w:t xml:space="preserve"> Entre otros, el artículo 64 del Decreto 1949 de 2013, Reglamentario de la Ley 1530 de 2013, establece: </w:t>
      </w:r>
      <w:r w:rsidRPr="009A2C11">
        <w:rPr>
          <w:rFonts w:ascii="Arial" w:hAnsi="Arial" w:cs="Arial"/>
          <w:i/>
          <w:sz w:val="16"/>
          <w:szCs w:val="16"/>
        </w:rPr>
        <w:t>Artículo 64. Cálculo de la capacidad de pago de las entidades territoriales receptoras de asignaciones directas y entidades territoriales designadas como ejecutoras. Para efectuar el cálculo de los indicadores de capacidad de pago de las entidades territoriales receptoras de asignaciones directas y entidades territoriales ejecutoras, a los que se refiere la Ley 358 de 1997, se deben incluir dentro de los ingresos corrientes por Regalías los ingresos por concepto de asignaciones directas y los asignados por los Fondos del Sistema General de Regalías, previamente aprobados por el Órgano Colegiado de Administración y Decisión correspondiente, conforme a las normas pertinentes fijadas en la Ley 1530 de 2013. Lo anterior sin perjuicio de lo establecido en el artículo 44 de la Ley 1530 de 2013</w:t>
      </w:r>
      <w:r w:rsidRPr="009A2C11">
        <w:rPr>
          <w:rFonts w:ascii="Arial" w:hAnsi="Arial" w:cs="Arial"/>
          <w:sz w:val="16"/>
          <w:szCs w:val="16"/>
        </w:rPr>
        <w:t>.</w:t>
      </w:r>
    </w:p>
  </w:footnote>
  <w:footnote w:id="3">
    <w:p w:rsidR="0011236C" w:rsidRPr="009A2C11" w:rsidRDefault="0011236C" w:rsidP="0011236C">
      <w:pPr>
        <w:pStyle w:val="Textonotapie"/>
        <w:jc w:val="both"/>
        <w:rPr>
          <w:rFonts w:ascii="Arial" w:hAnsi="Arial" w:cs="Arial"/>
          <w:sz w:val="16"/>
          <w:szCs w:val="16"/>
        </w:rPr>
      </w:pPr>
      <w:r w:rsidRPr="009A2C11">
        <w:rPr>
          <w:rStyle w:val="Refdenotaalpie"/>
          <w:rFonts w:ascii="Arial" w:hAnsi="Arial" w:cs="Arial"/>
          <w:sz w:val="16"/>
          <w:szCs w:val="16"/>
        </w:rPr>
        <w:footnoteRef/>
      </w:r>
      <w:r w:rsidRPr="009A2C11">
        <w:rPr>
          <w:rFonts w:ascii="Arial" w:hAnsi="Arial" w:cs="Arial"/>
          <w:sz w:val="16"/>
          <w:szCs w:val="16"/>
        </w:rPr>
        <w:t xml:space="preserve"> Los recursos de regalías definidos en las leyes 141 de 1992 y 756 de 2002 fueron sustituidos por el nuevo SGR, en consecuencia, dejaron de ser causados a partir del 1 de enero de 2013. </w:t>
      </w:r>
    </w:p>
  </w:footnote>
  <w:footnote w:id="4">
    <w:p w:rsidR="0011236C" w:rsidRPr="009A2C11" w:rsidRDefault="0011236C" w:rsidP="0011236C">
      <w:pPr>
        <w:pStyle w:val="Textonotapie"/>
        <w:jc w:val="both"/>
        <w:rPr>
          <w:rFonts w:ascii="Arial" w:hAnsi="Arial" w:cs="Arial"/>
          <w:sz w:val="16"/>
          <w:szCs w:val="16"/>
        </w:rPr>
      </w:pPr>
      <w:r w:rsidRPr="009A2C11">
        <w:rPr>
          <w:rStyle w:val="Refdenotaalpie"/>
          <w:rFonts w:ascii="Arial" w:hAnsi="Arial" w:cs="Arial"/>
          <w:sz w:val="16"/>
          <w:szCs w:val="16"/>
        </w:rPr>
        <w:footnoteRef/>
      </w:r>
      <w:r w:rsidRPr="009A2C11">
        <w:rPr>
          <w:rFonts w:ascii="Arial" w:hAnsi="Arial" w:cs="Arial"/>
          <w:sz w:val="16"/>
          <w:szCs w:val="16"/>
        </w:rPr>
        <w:t xml:space="preserve"> Se desconoce si la estimación de los intereses incluyó el margen de cobertura de riesgo ordenado por el parágrafo del artículo 14 de la ley 819 de 2003. Se advierte que para el cálculo de los indicadores de que trata la Ley 358/97, se deberán tomar como válidas las amortizaciones e intereses pagados entre el 1° de enero y la fecha del cálculo, así como las estimaciones actualizadas para el resto de la vigencia.</w:t>
      </w:r>
    </w:p>
  </w:footnote>
  <w:footnote w:id="5">
    <w:p w:rsidR="0011236C" w:rsidRPr="007D0A84" w:rsidRDefault="0011236C" w:rsidP="0011236C">
      <w:pPr>
        <w:pStyle w:val="Textonotapie"/>
        <w:jc w:val="both"/>
        <w:rPr>
          <w:rFonts w:ascii="Arial Narrow" w:hAnsi="Arial Narrow"/>
          <w:sz w:val="18"/>
          <w:szCs w:val="18"/>
        </w:rPr>
      </w:pPr>
      <w:r w:rsidRPr="009A2C11">
        <w:rPr>
          <w:rStyle w:val="Refdenotaalpie"/>
          <w:rFonts w:ascii="Arial" w:hAnsi="Arial" w:cs="Arial"/>
          <w:sz w:val="16"/>
          <w:szCs w:val="16"/>
        </w:rPr>
        <w:footnoteRef/>
      </w:r>
      <w:r w:rsidRPr="009A2C11">
        <w:rPr>
          <w:rFonts w:ascii="Arial" w:hAnsi="Arial" w:cs="Arial"/>
          <w:sz w:val="16"/>
          <w:szCs w:val="16"/>
        </w:rPr>
        <w:t xml:space="preserve"> Este supuesto se fundamenta en lo siguiente: el artículo 1 de la ley 1483 de 2012 establece que los compromisos por vigencias futuras se deben descontar de los ingresos corrientes que sirven de base para el cálculo de los indicadores de capacidad endeudamiento; la estimación de la capacidad de pago presentada en este informe se hace con datos de ejecución presupuestal con corte a 31 de diciembre de 2020 sin incluir recursos de regalías.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748" w:rsidRDefault="00992748" w:rsidP="00A82889">
    <w:pPr>
      <w:jc w:val="right"/>
      <w:rPr>
        <w:rFonts w:ascii="Arial" w:hAnsi="Arial" w:cs="Arial"/>
        <w:sz w:val="16"/>
        <w:szCs w:val="16"/>
      </w:rPr>
    </w:pPr>
  </w:p>
  <w:p w:rsidR="00992748" w:rsidRDefault="00992748" w:rsidP="00A82889">
    <w:pPr>
      <w:jc w:val="right"/>
      <w:rPr>
        <w:rFonts w:ascii="Arial" w:hAnsi="Arial" w:cs="Arial"/>
        <w:sz w:val="16"/>
        <w:szCs w:val="16"/>
      </w:rPr>
    </w:pPr>
  </w:p>
  <w:p w:rsidR="00992748" w:rsidRDefault="0011236C" w:rsidP="00F01F75">
    <w:pPr>
      <w:pStyle w:val="Encabezado"/>
      <w:rPr>
        <w:rFonts w:ascii="Arial" w:hAnsi="Arial" w:cs="Arial"/>
        <w:sz w:val="16"/>
        <w:szCs w:val="16"/>
      </w:rPr>
    </w:pPr>
    <w:r>
      <w:rPr>
        <w:noProof/>
        <w:color w:val="1F497D"/>
        <w:lang w:eastAsia="es-CO"/>
      </w:rPr>
      <w:drawing>
        <wp:inline distT="0" distB="0" distL="0" distR="0">
          <wp:extent cx="3181350" cy="542925"/>
          <wp:effectExtent l="0" t="0" r="0" b="9525"/>
          <wp:docPr id="5" name="Imagen 5" descr="cid:image009.png@01D48D50.4B8C8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9.png@01D48D50.4B8C8F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81350" cy="542925"/>
                  </a:xfrm>
                  <a:prstGeom prst="rect">
                    <a:avLst/>
                  </a:prstGeom>
                  <a:noFill/>
                  <a:ln>
                    <a:noFill/>
                  </a:ln>
                </pic:spPr>
              </pic:pic>
            </a:graphicData>
          </a:graphic>
        </wp:inline>
      </w:drawing>
    </w:r>
  </w:p>
  <w:p w:rsidR="00992748" w:rsidRDefault="00992748" w:rsidP="00F01F75">
    <w:pPr>
      <w:pStyle w:val="Encabezado"/>
      <w:rPr>
        <w:rFonts w:ascii="Arial" w:hAnsi="Arial" w:cs="Arial"/>
        <w:sz w:val="16"/>
        <w:szCs w:val="16"/>
      </w:rPr>
    </w:pPr>
  </w:p>
  <w:p w:rsidR="00992748" w:rsidRDefault="00992748" w:rsidP="00F01F75">
    <w:pPr>
      <w:pStyle w:val="Encabezado"/>
      <w:rPr>
        <w:rFonts w:ascii="Arial" w:hAnsi="Arial" w:cs="Arial"/>
        <w:sz w:val="16"/>
        <w:szCs w:val="16"/>
      </w:rPr>
    </w:pPr>
  </w:p>
  <w:p w:rsidR="00992748" w:rsidRDefault="00992748" w:rsidP="00F01F75">
    <w:pPr>
      <w:pStyle w:val="Encabezado"/>
      <w:rPr>
        <w:rFonts w:ascii="Arial" w:hAnsi="Arial" w:cs="Arial"/>
        <w:sz w:val="16"/>
        <w:szCs w:val="16"/>
      </w:rPr>
    </w:pPr>
  </w:p>
  <w:p w:rsidR="00992748" w:rsidRDefault="00992748" w:rsidP="00F01F75">
    <w:pPr>
      <w:pStyle w:val="Encabezado"/>
      <w:rPr>
        <w:rFonts w:ascii="Arial" w:hAnsi="Arial" w:cs="Arial"/>
        <w:sz w:val="16"/>
        <w:szCs w:val="16"/>
      </w:rPr>
    </w:pPr>
  </w:p>
  <w:p w:rsidR="00992748" w:rsidRDefault="00992748" w:rsidP="00F01F75">
    <w:pPr>
      <w:pStyle w:val="Encabezado"/>
      <w:rPr>
        <w:rFonts w:ascii="Arial" w:hAnsi="Arial" w:cs="Arial"/>
        <w:sz w:val="16"/>
        <w:szCs w:val="16"/>
      </w:rPr>
    </w:pPr>
  </w:p>
  <w:p w:rsidR="00992748" w:rsidRPr="00F01F75" w:rsidRDefault="00992748" w:rsidP="00F01F75">
    <w:pPr>
      <w:pStyle w:val="Encabezado"/>
      <w:rPr>
        <w:rFonts w:ascii="Arial" w:hAnsi="Arial" w:cs="Arial"/>
        <w:sz w:val="16"/>
        <w:szCs w:val="16"/>
      </w:rPr>
    </w:pPr>
    <w:r w:rsidRPr="00F01F75">
      <w:rPr>
        <w:rFonts w:ascii="Arial" w:hAnsi="Arial" w:cs="Arial"/>
        <w:sz w:val="16"/>
        <w:szCs w:val="16"/>
      </w:rPr>
      <w:t xml:space="preserve">Continuación oficio  </w:t>
    </w:r>
    <w:r>
      <w:rPr>
        <w:rFonts w:ascii="Arial" w:hAnsi="Arial" w:cs="Arial"/>
        <w:sz w:val="16"/>
        <w:szCs w:val="16"/>
      </w:rPr>
      <w:tab/>
    </w:r>
    <w:r>
      <w:rPr>
        <w:rFonts w:ascii="Arial" w:hAnsi="Arial" w:cs="Arial"/>
        <w:sz w:val="16"/>
        <w:szCs w:val="16"/>
      </w:rPr>
      <w:tab/>
    </w:r>
    <w:r w:rsidRPr="00F01F75">
      <w:rPr>
        <w:rFonts w:ascii="Arial" w:hAnsi="Arial" w:cs="Arial"/>
        <w:sz w:val="16"/>
        <w:szCs w:val="16"/>
      </w:rPr>
      <w:t xml:space="preserve">Página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PAGE </w:instrText>
    </w:r>
    <w:r w:rsidRPr="00F01F75">
      <w:rPr>
        <w:rStyle w:val="Nmerodepgina"/>
        <w:rFonts w:ascii="Arial" w:hAnsi="Arial" w:cs="Arial"/>
        <w:sz w:val="16"/>
        <w:szCs w:val="16"/>
      </w:rPr>
      <w:fldChar w:fldCharType="separate"/>
    </w:r>
    <w:r w:rsidR="000C4973">
      <w:rPr>
        <w:rStyle w:val="Nmerodepgina"/>
        <w:rFonts w:ascii="Arial" w:hAnsi="Arial" w:cs="Arial"/>
        <w:noProof/>
        <w:sz w:val="16"/>
        <w:szCs w:val="16"/>
      </w:rPr>
      <w:t>21</w:t>
    </w:r>
    <w:r w:rsidRPr="00F01F75">
      <w:rPr>
        <w:rStyle w:val="Nmerodepgina"/>
        <w:rFonts w:ascii="Arial" w:hAnsi="Arial" w:cs="Arial"/>
        <w:sz w:val="16"/>
        <w:szCs w:val="16"/>
      </w:rPr>
      <w:fldChar w:fldCharType="end"/>
    </w:r>
    <w:r w:rsidRPr="00F01F75">
      <w:rPr>
        <w:rStyle w:val="Nmerodepgina"/>
        <w:rFonts w:ascii="Arial" w:hAnsi="Arial" w:cs="Arial"/>
        <w:sz w:val="16"/>
        <w:szCs w:val="16"/>
      </w:rPr>
      <w:t xml:space="preserve"> de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NUMPAGES </w:instrText>
    </w:r>
    <w:r w:rsidRPr="00F01F75">
      <w:rPr>
        <w:rStyle w:val="Nmerodepgina"/>
        <w:rFonts w:ascii="Arial" w:hAnsi="Arial" w:cs="Arial"/>
        <w:sz w:val="16"/>
        <w:szCs w:val="16"/>
      </w:rPr>
      <w:fldChar w:fldCharType="separate"/>
    </w:r>
    <w:r w:rsidR="000C4973">
      <w:rPr>
        <w:rStyle w:val="Nmerodepgina"/>
        <w:rFonts w:ascii="Arial" w:hAnsi="Arial" w:cs="Arial"/>
        <w:noProof/>
        <w:sz w:val="16"/>
        <w:szCs w:val="16"/>
      </w:rPr>
      <w:t>28</w:t>
    </w:r>
    <w:r w:rsidRPr="00F01F75">
      <w:rPr>
        <w:rStyle w:val="Nmerodepgina"/>
        <w:rFonts w:ascii="Arial" w:hAnsi="Arial" w:cs="Arial"/>
        <w:sz w:val="16"/>
        <w:szCs w:val="16"/>
      </w:rPr>
      <w:fldChar w:fldCharType="end"/>
    </w:r>
  </w:p>
  <w:p w:rsidR="00992748" w:rsidRPr="00F01F75" w:rsidRDefault="00992748">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748" w:rsidRDefault="0011236C" w:rsidP="0011236C">
    <w:pPr>
      <w:pStyle w:val="Encabezado"/>
    </w:pPr>
    <w:r>
      <w:rPr>
        <w:noProof/>
        <w:color w:val="1F497D"/>
        <w:lang w:eastAsia="es-CO"/>
      </w:rPr>
      <w:drawing>
        <wp:inline distT="0" distB="0" distL="0" distR="0">
          <wp:extent cx="3181350" cy="542925"/>
          <wp:effectExtent l="0" t="0" r="0" b="9525"/>
          <wp:docPr id="14" name="Imagen 14" descr="cid:image009.png@01D48D50.4B8C8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9.png@01D48D50.4B8C8F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8135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D9DC8762"/>
    <w:lvl w:ilvl="0">
      <w:start w:val="1"/>
      <w:numFmt w:val="upperRoman"/>
      <w:suff w:val="space"/>
      <w:lvlText w:val="%1."/>
      <w:lvlJc w:val="left"/>
      <w:pPr>
        <w:ind w:left="68" w:firstLine="357"/>
      </w:pPr>
      <w:rPr>
        <w:rFonts w:hint="default"/>
        <w:color w:val="000000"/>
        <w:position w:val="0"/>
        <w:sz w:val="24"/>
      </w:rPr>
    </w:lvl>
    <w:lvl w:ilvl="1">
      <w:start w:val="1"/>
      <w:numFmt w:val="lowerLetter"/>
      <w:suff w:val="nothing"/>
      <w:lvlText w:val="%2."/>
      <w:lvlJc w:val="left"/>
      <w:pPr>
        <w:ind w:left="1083" w:firstLine="357"/>
      </w:pPr>
      <w:rPr>
        <w:rFonts w:hint="default"/>
        <w:color w:val="000000"/>
        <w:position w:val="0"/>
        <w:sz w:val="24"/>
      </w:rPr>
    </w:lvl>
    <w:lvl w:ilvl="2">
      <w:start w:val="1"/>
      <w:numFmt w:val="lowerRoman"/>
      <w:suff w:val="nothing"/>
      <w:lvlText w:val="%3."/>
      <w:lvlJc w:val="left"/>
      <w:pPr>
        <w:ind w:left="2098" w:firstLine="357"/>
      </w:pPr>
      <w:rPr>
        <w:rFonts w:hint="default"/>
        <w:color w:val="000000"/>
        <w:position w:val="0"/>
        <w:sz w:val="24"/>
      </w:rPr>
    </w:lvl>
    <w:lvl w:ilvl="3">
      <w:start w:val="1"/>
      <w:numFmt w:val="decimal"/>
      <w:isLgl/>
      <w:suff w:val="nothing"/>
      <w:lvlText w:val="%4."/>
      <w:lvlJc w:val="left"/>
      <w:pPr>
        <w:ind w:left="3113" w:firstLine="357"/>
      </w:pPr>
      <w:rPr>
        <w:rFonts w:hint="default"/>
        <w:color w:val="000000"/>
        <w:position w:val="0"/>
        <w:sz w:val="24"/>
      </w:rPr>
    </w:lvl>
    <w:lvl w:ilvl="4">
      <w:start w:val="1"/>
      <w:numFmt w:val="lowerLetter"/>
      <w:suff w:val="nothing"/>
      <w:lvlText w:val="%5."/>
      <w:lvlJc w:val="left"/>
      <w:pPr>
        <w:ind w:left="4128" w:firstLine="357"/>
      </w:pPr>
      <w:rPr>
        <w:rFonts w:hint="default"/>
        <w:color w:val="000000"/>
        <w:position w:val="0"/>
        <w:sz w:val="24"/>
      </w:rPr>
    </w:lvl>
    <w:lvl w:ilvl="5">
      <w:start w:val="1"/>
      <w:numFmt w:val="lowerRoman"/>
      <w:suff w:val="nothing"/>
      <w:lvlText w:val="%6."/>
      <w:lvlJc w:val="left"/>
      <w:pPr>
        <w:ind w:left="5143" w:firstLine="357"/>
      </w:pPr>
      <w:rPr>
        <w:rFonts w:hint="default"/>
        <w:color w:val="000000"/>
        <w:position w:val="0"/>
        <w:sz w:val="24"/>
      </w:rPr>
    </w:lvl>
    <w:lvl w:ilvl="6">
      <w:start w:val="1"/>
      <w:numFmt w:val="decimal"/>
      <w:isLgl/>
      <w:suff w:val="nothing"/>
      <w:lvlText w:val="%7."/>
      <w:lvlJc w:val="left"/>
      <w:pPr>
        <w:ind w:left="6158" w:firstLine="357"/>
      </w:pPr>
      <w:rPr>
        <w:rFonts w:hint="default"/>
        <w:color w:val="000000"/>
        <w:position w:val="0"/>
        <w:sz w:val="24"/>
      </w:rPr>
    </w:lvl>
    <w:lvl w:ilvl="7">
      <w:start w:val="1"/>
      <w:numFmt w:val="lowerLetter"/>
      <w:suff w:val="nothing"/>
      <w:lvlText w:val="%8."/>
      <w:lvlJc w:val="left"/>
      <w:pPr>
        <w:ind w:left="7173" w:firstLine="357"/>
      </w:pPr>
      <w:rPr>
        <w:rFonts w:hint="default"/>
        <w:color w:val="000000"/>
        <w:position w:val="0"/>
        <w:sz w:val="24"/>
      </w:rPr>
    </w:lvl>
    <w:lvl w:ilvl="8">
      <w:start w:val="1"/>
      <w:numFmt w:val="lowerRoman"/>
      <w:suff w:val="nothing"/>
      <w:lvlText w:val="%9."/>
      <w:lvlJc w:val="left"/>
      <w:pPr>
        <w:ind w:left="8188" w:firstLine="357"/>
      </w:pPr>
      <w:rPr>
        <w:rFonts w:hint="default"/>
        <w:color w:val="000000"/>
        <w:position w:val="0"/>
        <w:sz w:val="24"/>
      </w:rPr>
    </w:lvl>
  </w:abstractNum>
  <w:abstractNum w:abstractNumId="1" w15:restartNumberingAfterBreak="0">
    <w:nsid w:val="00000002"/>
    <w:multiLevelType w:val="multilevel"/>
    <w:tmpl w:val="894EE874"/>
    <w:lvl w:ilvl="0">
      <w:start w:val="1"/>
      <w:numFmt w:val="upperLetter"/>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720" w:firstLine="1440"/>
      </w:pPr>
      <w:rPr>
        <w:rFonts w:hint="default"/>
        <w:color w:val="000000"/>
        <w:position w:val="0"/>
        <w:sz w:val="24"/>
      </w:rPr>
    </w:lvl>
    <w:lvl w:ilvl="2">
      <w:start w:val="1"/>
      <w:numFmt w:val="lowerRoman"/>
      <w:suff w:val="nothing"/>
      <w:lvlText w:val="%3."/>
      <w:lvlJc w:val="left"/>
      <w:pPr>
        <w:ind w:left="-720" w:firstLine="2160"/>
      </w:pPr>
      <w:rPr>
        <w:rFonts w:hint="default"/>
        <w:color w:val="000000"/>
        <w:position w:val="0"/>
        <w:sz w:val="24"/>
      </w:rPr>
    </w:lvl>
    <w:lvl w:ilvl="3">
      <w:start w:val="1"/>
      <w:numFmt w:val="decimal"/>
      <w:isLgl/>
      <w:suff w:val="nothing"/>
      <w:lvlText w:val="%4."/>
      <w:lvlJc w:val="left"/>
      <w:pPr>
        <w:ind w:left="-720" w:firstLine="2880"/>
      </w:pPr>
      <w:rPr>
        <w:rFonts w:hint="default"/>
        <w:color w:val="000000"/>
        <w:position w:val="0"/>
        <w:sz w:val="24"/>
      </w:rPr>
    </w:lvl>
    <w:lvl w:ilvl="4">
      <w:start w:val="1"/>
      <w:numFmt w:val="lowerLetter"/>
      <w:suff w:val="nothing"/>
      <w:lvlText w:val="%5."/>
      <w:lvlJc w:val="left"/>
      <w:pPr>
        <w:ind w:left="-720" w:firstLine="3600"/>
      </w:pPr>
      <w:rPr>
        <w:rFonts w:hint="default"/>
        <w:color w:val="000000"/>
        <w:position w:val="0"/>
        <w:sz w:val="24"/>
      </w:rPr>
    </w:lvl>
    <w:lvl w:ilvl="5">
      <w:start w:val="1"/>
      <w:numFmt w:val="lowerRoman"/>
      <w:suff w:val="nothing"/>
      <w:lvlText w:val="%6."/>
      <w:lvlJc w:val="left"/>
      <w:pPr>
        <w:ind w:left="-720" w:firstLine="4320"/>
      </w:pPr>
      <w:rPr>
        <w:rFonts w:hint="default"/>
        <w:color w:val="000000"/>
        <w:position w:val="0"/>
        <w:sz w:val="24"/>
      </w:rPr>
    </w:lvl>
    <w:lvl w:ilvl="6">
      <w:start w:val="1"/>
      <w:numFmt w:val="decimal"/>
      <w:isLgl/>
      <w:suff w:val="nothing"/>
      <w:lvlText w:val="%7."/>
      <w:lvlJc w:val="left"/>
      <w:pPr>
        <w:ind w:left="-720" w:firstLine="5040"/>
      </w:pPr>
      <w:rPr>
        <w:rFonts w:hint="default"/>
        <w:color w:val="000000"/>
        <w:position w:val="0"/>
        <w:sz w:val="24"/>
      </w:rPr>
    </w:lvl>
    <w:lvl w:ilvl="7">
      <w:start w:val="1"/>
      <w:numFmt w:val="lowerLetter"/>
      <w:suff w:val="nothing"/>
      <w:lvlText w:val="%8."/>
      <w:lvlJc w:val="left"/>
      <w:pPr>
        <w:ind w:left="-720" w:firstLine="5760"/>
      </w:pPr>
      <w:rPr>
        <w:rFonts w:hint="default"/>
        <w:color w:val="000000"/>
        <w:position w:val="0"/>
        <w:sz w:val="24"/>
      </w:rPr>
    </w:lvl>
    <w:lvl w:ilvl="8">
      <w:start w:val="1"/>
      <w:numFmt w:val="lowerRoman"/>
      <w:suff w:val="nothing"/>
      <w:lvlText w:val="%9."/>
      <w:lvlJc w:val="left"/>
      <w:pPr>
        <w:ind w:left="-720" w:firstLine="6480"/>
      </w:pPr>
      <w:rPr>
        <w:rFonts w:hint="default"/>
        <w:color w:val="000000"/>
        <w:position w:val="0"/>
        <w:sz w:val="24"/>
      </w:rPr>
    </w:lvl>
  </w:abstractNum>
  <w:abstractNum w:abstractNumId="2" w15:restartNumberingAfterBreak="0">
    <w:nsid w:val="00000003"/>
    <w:multiLevelType w:val="multilevel"/>
    <w:tmpl w:val="EBD6F14A"/>
    <w:lvl w:ilvl="0">
      <w:start w:val="1"/>
      <w:numFmt w:val="upperLetter"/>
      <w:lvlText w:val="%1."/>
      <w:lvlJc w:val="left"/>
      <w:pPr>
        <w:tabs>
          <w:tab w:val="num" w:pos="0"/>
        </w:tabs>
        <w:ind w:left="0" w:firstLine="1440"/>
      </w:pPr>
      <w:rPr>
        <w:rFonts w:hint="default"/>
        <w:color w:val="000000"/>
        <w:position w:val="0"/>
        <w:sz w:val="24"/>
      </w:rPr>
    </w:lvl>
    <w:lvl w:ilvl="1">
      <w:start w:val="1"/>
      <w:numFmt w:val="lowerLetter"/>
      <w:suff w:val="nothing"/>
      <w:lvlText w:val="%2."/>
      <w:lvlJc w:val="left"/>
      <w:pPr>
        <w:ind w:left="-360" w:firstLine="2520"/>
      </w:pPr>
      <w:rPr>
        <w:rFonts w:hint="default"/>
        <w:color w:val="000000"/>
        <w:position w:val="0"/>
        <w:sz w:val="24"/>
      </w:rPr>
    </w:lvl>
    <w:lvl w:ilvl="2">
      <w:start w:val="1"/>
      <w:numFmt w:val="lowerRoman"/>
      <w:suff w:val="nothing"/>
      <w:lvlText w:val="%3."/>
      <w:lvlJc w:val="left"/>
      <w:pPr>
        <w:ind w:left="-360" w:firstLine="3240"/>
      </w:pPr>
      <w:rPr>
        <w:rFonts w:hint="default"/>
        <w:color w:val="000000"/>
        <w:position w:val="0"/>
        <w:sz w:val="24"/>
      </w:rPr>
    </w:lvl>
    <w:lvl w:ilvl="3">
      <w:start w:val="1"/>
      <w:numFmt w:val="decimal"/>
      <w:isLgl/>
      <w:suff w:val="nothing"/>
      <w:lvlText w:val="%4."/>
      <w:lvlJc w:val="left"/>
      <w:pPr>
        <w:ind w:left="-360" w:firstLine="3960"/>
      </w:pPr>
      <w:rPr>
        <w:rFonts w:hint="default"/>
        <w:color w:val="000000"/>
        <w:position w:val="0"/>
        <w:sz w:val="24"/>
      </w:rPr>
    </w:lvl>
    <w:lvl w:ilvl="4">
      <w:start w:val="1"/>
      <w:numFmt w:val="lowerLetter"/>
      <w:suff w:val="nothing"/>
      <w:lvlText w:val="%5."/>
      <w:lvlJc w:val="left"/>
      <w:pPr>
        <w:ind w:left="-360" w:firstLine="4680"/>
      </w:pPr>
      <w:rPr>
        <w:rFonts w:hint="default"/>
        <w:color w:val="000000"/>
        <w:position w:val="0"/>
        <w:sz w:val="24"/>
      </w:rPr>
    </w:lvl>
    <w:lvl w:ilvl="5">
      <w:start w:val="1"/>
      <w:numFmt w:val="lowerRoman"/>
      <w:suff w:val="nothing"/>
      <w:lvlText w:val="%6."/>
      <w:lvlJc w:val="left"/>
      <w:pPr>
        <w:ind w:left="-360" w:firstLine="5400"/>
      </w:pPr>
      <w:rPr>
        <w:rFonts w:hint="default"/>
        <w:color w:val="000000"/>
        <w:position w:val="0"/>
        <w:sz w:val="24"/>
      </w:rPr>
    </w:lvl>
    <w:lvl w:ilvl="6">
      <w:start w:val="1"/>
      <w:numFmt w:val="decimal"/>
      <w:isLgl/>
      <w:suff w:val="nothing"/>
      <w:lvlText w:val="%7."/>
      <w:lvlJc w:val="left"/>
      <w:pPr>
        <w:ind w:left="-360" w:firstLine="6120"/>
      </w:pPr>
      <w:rPr>
        <w:rFonts w:hint="default"/>
        <w:color w:val="000000"/>
        <w:position w:val="0"/>
        <w:sz w:val="24"/>
      </w:rPr>
    </w:lvl>
    <w:lvl w:ilvl="7">
      <w:start w:val="1"/>
      <w:numFmt w:val="lowerLetter"/>
      <w:suff w:val="nothing"/>
      <w:lvlText w:val="%8."/>
      <w:lvlJc w:val="left"/>
      <w:pPr>
        <w:ind w:left="-360" w:firstLine="6840"/>
      </w:pPr>
      <w:rPr>
        <w:rFonts w:hint="default"/>
        <w:color w:val="000000"/>
        <w:position w:val="0"/>
        <w:sz w:val="24"/>
      </w:rPr>
    </w:lvl>
    <w:lvl w:ilvl="8">
      <w:start w:val="1"/>
      <w:numFmt w:val="lowerRoman"/>
      <w:suff w:val="nothing"/>
      <w:lvlText w:val="%9."/>
      <w:lvlJc w:val="left"/>
      <w:pPr>
        <w:ind w:left="-360" w:firstLine="7560"/>
      </w:pPr>
      <w:rPr>
        <w:rFonts w:hint="default"/>
        <w:color w:val="000000"/>
        <w:position w:val="0"/>
        <w:sz w:val="24"/>
      </w:rPr>
    </w:lvl>
  </w:abstractNum>
  <w:abstractNum w:abstractNumId="3" w15:restartNumberingAfterBreak="0">
    <w:nsid w:val="00000004"/>
    <w:multiLevelType w:val="multilevel"/>
    <w:tmpl w:val="894EE876"/>
    <w:lvl w:ilvl="0">
      <w:start w:val="3"/>
      <w:numFmt w:val="upperRoman"/>
      <w:suff w:val="nothing"/>
      <w:lvlText w:val="%1."/>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4" w15:restartNumberingAfterBreak="0">
    <w:nsid w:val="00000005"/>
    <w:multiLevelType w:val="multilevel"/>
    <w:tmpl w:val="894EE877"/>
    <w:lvl w:ilvl="0">
      <w:start w:val="1"/>
      <w:numFmt w:val="upperLetter"/>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5" w15:restartNumberingAfterBreak="0">
    <w:nsid w:val="00000006"/>
    <w:multiLevelType w:val="multilevel"/>
    <w:tmpl w:val="894EE878"/>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6" w15:restartNumberingAfterBreak="0">
    <w:nsid w:val="00000008"/>
    <w:multiLevelType w:val="multilevel"/>
    <w:tmpl w:val="894EE87A"/>
    <w:lvl w:ilvl="0">
      <w:start w:val="4"/>
      <w:numFmt w:val="upperRoman"/>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7" w15:restartNumberingAfterBreak="0">
    <w:nsid w:val="007946FF"/>
    <w:multiLevelType w:val="hybridMultilevel"/>
    <w:tmpl w:val="BA48FF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C526800"/>
    <w:multiLevelType w:val="hybridMultilevel"/>
    <w:tmpl w:val="B37656E4"/>
    <w:lvl w:ilvl="0" w:tplc="23B09326">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107759DD"/>
    <w:multiLevelType w:val="hybridMultilevel"/>
    <w:tmpl w:val="8D8829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2696F3C"/>
    <w:multiLevelType w:val="hybridMultilevel"/>
    <w:tmpl w:val="DC843ED6"/>
    <w:lvl w:ilvl="0" w:tplc="E77E823C">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732123D"/>
    <w:multiLevelType w:val="hybridMultilevel"/>
    <w:tmpl w:val="7D988FEA"/>
    <w:lvl w:ilvl="0" w:tplc="6E96D080">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1A4F0685"/>
    <w:multiLevelType w:val="multilevel"/>
    <w:tmpl w:val="8E328688"/>
    <w:lvl w:ilvl="0">
      <w:start w:val="1"/>
      <w:numFmt w:val="decimal"/>
      <w:lvlText w:val="%1."/>
      <w:lvlJc w:val="left"/>
      <w:pPr>
        <w:ind w:left="357" w:hanging="357"/>
      </w:pPr>
      <w:rPr>
        <w:b/>
      </w:rPr>
    </w:lvl>
    <w:lvl w:ilvl="1">
      <w:start w:val="1"/>
      <w:numFmt w:val="decimal"/>
      <w:lvlText w:val="%1.%2."/>
      <w:lvlJc w:val="left"/>
      <w:pPr>
        <w:ind w:left="357" w:hanging="357"/>
      </w:pPr>
      <w:rPr>
        <w:b/>
        <w:color w:val="auto"/>
      </w:rPr>
    </w:lvl>
    <w:lvl w:ilvl="2">
      <w:start w:val="1"/>
      <w:numFmt w:val="decimal"/>
      <w:lvlText w:val="%1.%2.%3."/>
      <w:lvlJc w:val="left"/>
      <w:pPr>
        <w:ind w:left="357" w:hanging="357"/>
      </w:pPr>
    </w:lvl>
    <w:lvl w:ilvl="3">
      <w:start w:val="1"/>
      <w:numFmt w:val="decimal"/>
      <w:lvlText w:val="%1.%2.%3.%4."/>
      <w:lvlJc w:val="left"/>
      <w:pPr>
        <w:ind w:left="357" w:hanging="357"/>
      </w:pPr>
    </w:lvl>
    <w:lvl w:ilvl="4">
      <w:start w:val="1"/>
      <w:numFmt w:val="decimal"/>
      <w:lvlText w:val="%1.%2.%3.%4.%5."/>
      <w:lvlJc w:val="left"/>
      <w:pPr>
        <w:ind w:left="357" w:hanging="357"/>
      </w:pPr>
    </w:lvl>
    <w:lvl w:ilvl="5">
      <w:start w:val="1"/>
      <w:numFmt w:val="decimal"/>
      <w:lvlText w:val="%1.%2.%3.%4.%5.%6."/>
      <w:lvlJc w:val="left"/>
      <w:pPr>
        <w:ind w:left="357" w:hanging="357"/>
      </w:pPr>
    </w:lvl>
    <w:lvl w:ilvl="6">
      <w:start w:val="1"/>
      <w:numFmt w:val="decimal"/>
      <w:lvlText w:val="%1.%2.%3.%4.%5.%6.%7."/>
      <w:lvlJc w:val="left"/>
      <w:pPr>
        <w:ind w:left="357" w:hanging="357"/>
      </w:pPr>
    </w:lvl>
    <w:lvl w:ilvl="7">
      <w:start w:val="1"/>
      <w:numFmt w:val="decimal"/>
      <w:lvlText w:val="%1.%2.%3.%4.%5.%6.%7.%8."/>
      <w:lvlJc w:val="left"/>
      <w:pPr>
        <w:ind w:left="357" w:hanging="357"/>
      </w:pPr>
    </w:lvl>
    <w:lvl w:ilvl="8">
      <w:start w:val="1"/>
      <w:numFmt w:val="decimal"/>
      <w:lvlText w:val="%1.%2.%3.%4.%5.%6.%7.%8.%9."/>
      <w:lvlJc w:val="left"/>
      <w:pPr>
        <w:ind w:left="357" w:hanging="357"/>
      </w:pPr>
    </w:lvl>
  </w:abstractNum>
  <w:abstractNum w:abstractNumId="13" w15:restartNumberingAfterBreak="0">
    <w:nsid w:val="1B996B61"/>
    <w:multiLevelType w:val="hybridMultilevel"/>
    <w:tmpl w:val="F92E001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ED225C6"/>
    <w:multiLevelType w:val="multilevel"/>
    <w:tmpl w:val="894EE875"/>
    <w:lvl w:ilvl="0">
      <w:start w:val="2"/>
      <w:numFmt w:val="upperLetter"/>
      <w:lvlText w:val="%1."/>
      <w:lvlJc w:val="left"/>
      <w:pPr>
        <w:tabs>
          <w:tab w:val="num" w:pos="360"/>
        </w:tabs>
        <w:ind w:left="360" w:firstLine="1440"/>
      </w:pPr>
      <w:rPr>
        <w:rFonts w:hint="default"/>
        <w:color w:val="000000"/>
        <w:position w:val="0"/>
        <w:sz w:val="24"/>
      </w:rPr>
    </w:lvl>
    <w:lvl w:ilvl="1">
      <w:start w:val="1"/>
      <w:numFmt w:val="lowerLetter"/>
      <w:suff w:val="nothing"/>
      <w:lvlText w:val="%2."/>
      <w:lvlJc w:val="left"/>
      <w:pPr>
        <w:ind w:left="0" w:firstLine="2520"/>
      </w:pPr>
      <w:rPr>
        <w:rFonts w:hint="default"/>
        <w:color w:val="000000"/>
        <w:position w:val="0"/>
        <w:sz w:val="24"/>
      </w:rPr>
    </w:lvl>
    <w:lvl w:ilvl="2">
      <w:start w:val="1"/>
      <w:numFmt w:val="lowerRoman"/>
      <w:suff w:val="nothing"/>
      <w:lvlText w:val="%3."/>
      <w:lvlJc w:val="left"/>
      <w:pPr>
        <w:ind w:left="0" w:firstLine="3240"/>
      </w:pPr>
      <w:rPr>
        <w:rFonts w:hint="default"/>
        <w:color w:val="000000"/>
        <w:position w:val="0"/>
        <w:sz w:val="24"/>
      </w:rPr>
    </w:lvl>
    <w:lvl w:ilvl="3">
      <w:start w:val="1"/>
      <w:numFmt w:val="decimal"/>
      <w:isLgl/>
      <w:suff w:val="nothing"/>
      <w:lvlText w:val="%4."/>
      <w:lvlJc w:val="left"/>
      <w:pPr>
        <w:ind w:left="0" w:firstLine="3960"/>
      </w:pPr>
      <w:rPr>
        <w:rFonts w:hint="default"/>
        <w:color w:val="000000"/>
        <w:position w:val="0"/>
        <w:sz w:val="24"/>
      </w:rPr>
    </w:lvl>
    <w:lvl w:ilvl="4">
      <w:start w:val="1"/>
      <w:numFmt w:val="lowerLetter"/>
      <w:suff w:val="nothing"/>
      <w:lvlText w:val="%5."/>
      <w:lvlJc w:val="left"/>
      <w:pPr>
        <w:ind w:left="0" w:firstLine="4680"/>
      </w:pPr>
      <w:rPr>
        <w:rFonts w:hint="default"/>
        <w:color w:val="000000"/>
        <w:position w:val="0"/>
        <w:sz w:val="24"/>
      </w:rPr>
    </w:lvl>
    <w:lvl w:ilvl="5">
      <w:start w:val="1"/>
      <w:numFmt w:val="lowerRoman"/>
      <w:suff w:val="nothing"/>
      <w:lvlText w:val="%6."/>
      <w:lvlJc w:val="left"/>
      <w:pPr>
        <w:ind w:left="0" w:firstLine="5400"/>
      </w:pPr>
      <w:rPr>
        <w:rFonts w:hint="default"/>
        <w:color w:val="000000"/>
        <w:position w:val="0"/>
        <w:sz w:val="24"/>
      </w:rPr>
    </w:lvl>
    <w:lvl w:ilvl="6">
      <w:start w:val="1"/>
      <w:numFmt w:val="decimal"/>
      <w:isLgl/>
      <w:suff w:val="nothing"/>
      <w:lvlText w:val="%7."/>
      <w:lvlJc w:val="left"/>
      <w:pPr>
        <w:ind w:left="0" w:firstLine="6120"/>
      </w:pPr>
      <w:rPr>
        <w:rFonts w:hint="default"/>
        <w:color w:val="000000"/>
        <w:position w:val="0"/>
        <w:sz w:val="24"/>
      </w:rPr>
    </w:lvl>
    <w:lvl w:ilvl="7">
      <w:start w:val="1"/>
      <w:numFmt w:val="lowerLetter"/>
      <w:suff w:val="nothing"/>
      <w:lvlText w:val="%8."/>
      <w:lvlJc w:val="left"/>
      <w:pPr>
        <w:ind w:left="0" w:firstLine="6840"/>
      </w:pPr>
      <w:rPr>
        <w:rFonts w:hint="default"/>
        <w:color w:val="000000"/>
        <w:position w:val="0"/>
        <w:sz w:val="24"/>
      </w:rPr>
    </w:lvl>
    <w:lvl w:ilvl="8">
      <w:start w:val="1"/>
      <w:numFmt w:val="lowerRoman"/>
      <w:suff w:val="nothing"/>
      <w:lvlText w:val="%9."/>
      <w:lvlJc w:val="left"/>
      <w:pPr>
        <w:ind w:left="0" w:firstLine="7560"/>
      </w:pPr>
      <w:rPr>
        <w:rFonts w:hint="default"/>
        <w:color w:val="000000"/>
        <w:position w:val="0"/>
        <w:sz w:val="24"/>
      </w:rPr>
    </w:lvl>
  </w:abstractNum>
  <w:abstractNum w:abstractNumId="15" w15:restartNumberingAfterBreak="0">
    <w:nsid w:val="22B36F6F"/>
    <w:multiLevelType w:val="hybridMultilevel"/>
    <w:tmpl w:val="9B826E06"/>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6" w15:restartNumberingAfterBreak="0">
    <w:nsid w:val="24410FC3"/>
    <w:multiLevelType w:val="hybridMultilevel"/>
    <w:tmpl w:val="A12A5D0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75A71CC"/>
    <w:multiLevelType w:val="hybridMultilevel"/>
    <w:tmpl w:val="6E8C4B40"/>
    <w:lvl w:ilvl="0" w:tplc="A3CA0B36">
      <w:start w:val="1"/>
      <w:numFmt w:val="decimal"/>
      <w:lvlText w:val="%1."/>
      <w:lvlJc w:val="left"/>
      <w:pPr>
        <w:ind w:left="1068" w:hanging="360"/>
      </w:pPr>
      <w:rPr>
        <w:rFonts w:hint="default"/>
      </w:rPr>
    </w:lvl>
    <w:lvl w:ilvl="1" w:tplc="240A0019">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8" w15:restartNumberingAfterBreak="0">
    <w:nsid w:val="35B23818"/>
    <w:multiLevelType w:val="hybridMultilevel"/>
    <w:tmpl w:val="5D3E758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393D0F47"/>
    <w:multiLevelType w:val="hybridMultilevel"/>
    <w:tmpl w:val="FB7EBFC0"/>
    <w:lvl w:ilvl="0" w:tplc="240A0015">
      <w:start w:val="1"/>
      <w:numFmt w:val="upperLetter"/>
      <w:lvlText w:val="%1."/>
      <w:lvlJc w:val="left"/>
      <w:pPr>
        <w:ind w:left="1070" w:hanging="360"/>
      </w:pPr>
      <w:rPr>
        <w:rFonts w:hint="default"/>
      </w:r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20" w15:restartNumberingAfterBreak="0">
    <w:nsid w:val="3EE47A9C"/>
    <w:multiLevelType w:val="hybridMultilevel"/>
    <w:tmpl w:val="259C4E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28828AF"/>
    <w:multiLevelType w:val="hybridMultilevel"/>
    <w:tmpl w:val="05DC023A"/>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2" w15:restartNumberingAfterBreak="0">
    <w:nsid w:val="429D54FC"/>
    <w:multiLevelType w:val="hybridMultilevel"/>
    <w:tmpl w:val="2D02199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3EEBBEB"/>
    <w:multiLevelType w:val="hybridMultilevel"/>
    <w:tmpl w:val="9F8065BB"/>
    <w:lvl w:ilvl="0" w:tplc="FFFFFFFF">
      <w:start w:val="1"/>
      <w:numFmt w:val="low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58F54E3"/>
    <w:multiLevelType w:val="hybridMultilevel"/>
    <w:tmpl w:val="90DA66D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7C633B5"/>
    <w:multiLevelType w:val="hybridMultilevel"/>
    <w:tmpl w:val="BF80160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3F7624A"/>
    <w:multiLevelType w:val="hybridMultilevel"/>
    <w:tmpl w:val="BA106C6A"/>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7" w15:restartNumberingAfterBreak="0">
    <w:nsid w:val="55655E43"/>
    <w:multiLevelType w:val="multilevel"/>
    <w:tmpl w:val="07C45C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6B062C"/>
    <w:multiLevelType w:val="hybridMultilevel"/>
    <w:tmpl w:val="FB7EBFC0"/>
    <w:lvl w:ilvl="0" w:tplc="240A0015">
      <w:start w:val="1"/>
      <w:numFmt w:val="upperLetter"/>
      <w:lvlText w:val="%1."/>
      <w:lvlJc w:val="left"/>
      <w:pPr>
        <w:ind w:left="1070" w:hanging="360"/>
      </w:pPr>
      <w:rPr>
        <w:rFonts w:hint="default"/>
      </w:r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29" w15:restartNumberingAfterBreak="0">
    <w:nsid w:val="584E7576"/>
    <w:multiLevelType w:val="hybridMultilevel"/>
    <w:tmpl w:val="0FD6E7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97A61E0"/>
    <w:multiLevelType w:val="hybridMultilevel"/>
    <w:tmpl w:val="3EE2EF2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F504790"/>
    <w:multiLevelType w:val="hybridMultilevel"/>
    <w:tmpl w:val="F5123C76"/>
    <w:lvl w:ilvl="0" w:tplc="E8F24B2A">
      <w:start w:val="1"/>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2" w15:restartNumberingAfterBreak="0">
    <w:nsid w:val="68DF04A8"/>
    <w:multiLevelType w:val="hybridMultilevel"/>
    <w:tmpl w:val="A7C6DD7C"/>
    <w:lvl w:ilvl="0" w:tplc="DB4ED004">
      <w:start w:val="3"/>
      <w:numFmt w:val="upperRoman"/>
      <w:lvlText w:val="%1."/>
      <w:lvlJc w:val="left"/>
      <w:pPr>
        <w:ind w:left="1800" w:hanging="72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3" w15:restartNumberingAfterBreak="0">
    <w:nsid w:val="69884139"/>
    <w:multiLevelType w:val="hybridMultilevel"/>
    <w:tmpl w:val="EE20F39C"/>
    <w:lvl w:ilvl="0" w:tplc="9EE4125E">
      <w:start w:val="1"/>
      <w:numFmt w:val="upperLetter"/>
      <w:lvlText w:val="%1."/>
      <w:lvlJc w:val="left"/>
      <w:pPr>
        <w:ind w:left="720" w:hanging="360"/>
      </w:pPr>
      <w:rPr>
        <w:rFonts w:ascii="Arial Narrow" w:eastAsia="Calibri" w:hAnsi="Arial Narrow" w:cs="Arial" w:hint="default"/>
        <w:b/>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B2F37B9"/>
    <w:multiLevelType w:val="hybridMultilevel"/>
    <w:tmpl w:val="CD6890E6"/>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35" w15:restartNumberingAfterBreak="0">
    <w:nsid w:val="6BEB534F"/>
    <w:multiLevelType w:val="hybridMultilevel"/>
    <w:tmpl w:val="B358EA5A"/>
    <w:lvl w:ilvl="0" w:tplc="186098D8">
      <w:start w:val="1"/>
      <w:numFmt w:val="lowerLetter"/>
      <w:lvlText w:val="%1."/>
      <w:lvlJc w:val="left"/>
      <w:pPr>
        <w:ind w:left="1068" w:hanging="360"/>
      </w:pPr>
      <w:rPr>
        <w:rFonts w:ascii="Arial Narrow" w:eastAsia="MS Mincho" w:hAnsi="Arial Narrow" w:cs="Times New Roman"/>
      </w:rPr>
    </w:lvl>
    <w:lvl w:ilvl="1" w:tplc="240A0019">
      <w:start w:val="1"/>
      <w:numFmt w:val="lowerLetter"/>
      <w:lvlText w:val="%2."/>
      <w:lvlJc w:val="left"/>
      <w:pPr>
        <w:ind w:left="1787" w:hanging="360"/>
      </w:pPr>
    </w:lvl>
    <w:lvl w:ilvl="2" w:tplc="240A001B" w:tentative="1">
      <w:start w:val="1"/>
      <w:numFmt w:val="lowerRoman"/>
      <w:lvlText w:val="%3."/>
      <w:lvlJc w:val="right"/>
      <w:pPr>
        <w:ind w:left="2507" w:hanging="180"/>
      </w:pPr>
    </w:lvl>
    <w:lvl w:ilvl="3" w:tplc="240A000F" w:tentative="1">
      <w:start w:val="1"/>
      <w:numFmt w:val="decimal"/>
      <w:lvlText w:val="%4."/>
      <w:lvlJc w:val="left"/>
      <w:pPr>
        <w:ind w:left="3227" w:hanging="360"/>
      </w:pPr>
    </w:lvl>
    <w:lvl w:ilvl="4" w:tplc="240A0019" w:tentative="1">
      <w:start w:val="1"/>
      <w:numFmt w:val="lowerLetter"/>
      <w:lvlText w:val="%5."/>
      <w:lvlJc w:val="left"/>
      <w:pPr>
        <w:ind w:left="3947" w:hanging="360"/>
      </w:pPr>
    </w:lvl>
    <w:lvl w:ilvl="5" w:tplc="240A001B" w:tentative="1">
      <w:start w:val="1"/>
      <w:numFmt w:val="lowerRoman"/>
      <w:lvlText w:val="%6."/>
      <w:lvlJc w:val="right"/>
      <w:pPr>
        <w:ind w:left="4667" w:hanging="180"/>
      </w:pPr>
    </w:lvl>
    <w:lvl w:ilvl="6" w:tplc="240A000F" w:tentative="1">
      <w:start w:val="1"/>
      <w:numFmt w:val="decimal"/>
      <w:lvlText w:val="%7."/>
      <w:lvlJc w:val="left"/>
      <w:pPr>
        <w:ind w:left="5387" w:hanging="360"/>
      </w:pPr>
    </w:lvl>
    <w:lvl w:ilvl="7" w:tplc="240A0019" w:tentative="1">
      <w:start w:val="1"/>
      <w:numFmt w:val="lowerLetter"/>
      <w:lvlText w:val="%8."/>
      <w:lvlJc w:val="left"/>
      <w:pPr>
        <w:ind w:left="6107" w:hanging="360"/>
      </w:pPr>
    </w:lvl>
    <w:lvl w:ilvl="8" w:tplc="240A001B" w:tentative="1">
      <w:start w:val="1"/>
      <w:numFmt w:val="lowerRoman"/>
      <w:lvlText w:val="%9."/>
      <w:lvlJc w:val="right"/>
      <w:pPr>
        <w:ind w:left="6827" w:hanging="180"/>
      </w:pPr>
    </w:lvl>
  </w:abstractNum>
  <w:abstractNum w:abstractNumId="36" w15:restartNumberingAfterBreak="0">
    <w:nsid w:val="6C7B6C46"/>
    <w:multiLevelType w:val="hybridMultilevel"/>
    <w:tmpl w:val="ECFAB862"/>
    <w:lvl w:ilvl="0" w:tplc="9282F29C">
      <w:start w:val="3"/>
      <w:numFmt w:val="bullet"/>
      <w:lvlText w:val="-"/>
      <w:lvlJc w:val="left"/>
      <w:pPr>
        <w:ind w:left="1070" w:hanging="360"/>
      </w:pPr>
      <w:rPr>
        <w:rFonts w:ascii="Arial" w:eastAsia="MS Mincho" w:hAnsi="Arial" w:cs="Arial" w:hint="default"/>
      </w:rPr>
    </w:lvl>
    <w:lvl w:ilvl="1" w:tplc="240A0003" w:tentative="1">
      <w:start w:val="1"/>
      <w:numFmt w:val="bullet"/>
      <w:lvlText w:val="o"/>
      <w:lvlJc w:val="left"/>
      <w:pPr>
        <w:ind w:left="1790" w:hanging="360"/>
      </w:pPr>
      <w:rPr>
        <w:rFonts w:ascii="Courier New" w:hAnsi="Courier New" w:cs="Courier New" w:hint="default"/>
      </w:rPr>
    </w:lvl>
    <w:lvl w:ilvl="2" w:tplc="240A0005" w:tentative="1">
      <w:start w:val="1"/>
      <w:numFmt w:val="bullet"/>
      <w:lvlText w:val=""/>
      <w:lvlJc w:val="left"/>
      <w:pPr>
        <w:ind w:left="2510" w:hanging="360"/>
      </w:pPr>
      <w:rPr>
        <w:rFonts w:ascii="Wingdings" w:hAnsi="Wingdings" w:hint="default"/>
      </w:rPr>
    </w:lvl>
    <w:lvl w:ilvl="3" w:tplc="240A0001" w:tentative="1">
      <w:start w:val="1"/>
      <w:numFmt w:val="bullet"/>
      <w:lvlText w:val=""/>
      <w:lvlJc w:val="left"/>
      <w:pPr>
        <w:ind w:left="3230" w:hanging="360"/>
      </w:pPr>
      <w:rPr>
        <w:rFonts w:ascii="Symbol" w:hAnsi="Symbol" w:hint="default"/>
      </w:rPr>
    </w:lvl>
    <w:lvl w:ilvl="4" w:tplc="240A0003" w:tentative="1">
      <w:start w:val="1"/>
      <w:numFmt w:val="bullet"/>
      <w:lvlText w:val="o"/>
      <w:lvlJc w:val="left"/>
      <w:pPr>
        <w:ind w:left="3950" w:hanging="360"/>
      </w:pPr>
      <w:rPr>
        <w:rFonts w:ascii="Courier New" w:hAnsi="Courier New" w:cs="Courier New" w:hint="default"/>
      </w:rPr>
    </w:lvl>
    <w:lvl w:ilvl="5" w:tplc="240A0005" w:tentative="1">
      <w:start w:val="1"/>
      <w:numFmt w:val="bullet"/>
      <w:lvlText w:val=""/>
      <w:lvlJc w:val="left"/>
      <w:pPr>
        <w:ind w:left="4670" w:hanging="360"/>
      </w:pPr>
      <w:rPr>
        <w:rFonts w:ascii="Wingdings" w:hAnsi="Wingdings" w:hint="default"/>
      </w:rPr>
    </w:lvl>
    <w:lvl w:ilvl="6" w:tplc="240A0001" w:tentative="1">
      <w:start w:val="1"/>
      <w:numFmt w:val="bullet"/>
      <w:lvlText w:val=""/>
      <w:lvlJc w:val="left"/>
      <w:pPr>
        <w:ind w:left="5390" w:hanging="360"/>
      </w:pPr>
      <w:rPr>
        <w:rFonts w:ascii="Symbol" w:hAnsi="Symbol" w:hint="default"/>
      </w:rPr>
    </w:lvl>
    <w:lvl w:ilvl="7" w:tplc="240A0003" w:tentative="1">
      <w:start w:val="1"/>
      <w:numFmt w:val="bullet"/>
      <w:lvlText w:val="o"/>
      <w:lvlJc w:val="left"/>
      <w:pPr>
        <w:ind w:left="6110" w:hanging="360"/>
      </w:pPr>
      <w:rPr>
        <w:rFonts w:ascii="Courier New" w:hAnsi="Courier New" w:cs="Courier New" w:hint="default"/>
      </w:rPr>
    </w:lvl>
    <w:lvl w:ilvl="8" w:tplc="240A0005" w:tentative="1">
      <w:start w:val="1"/>
      <w:numFmt w:val="bullet"/>
      <w:lvlText w:val=""/>
      <w:lvlJc w:val="left"/>
      <w:pPr>
        <w:ind w:left="6830" w:hanging="360"/>
      </w:pPr>
      <w:rPr>
        <w:rFonts w:ascii="Wingdings" w:hAnsi="Wingdings" w:hint="default"/>
      </w:rPr>
    </w:lvl>
  </w:abstractNum>
  <w:abstractNum w:abstractNumId="37" w15:restartNumberingAfterBreak="0">
    <w:nsid w:val="71E35FC9"/>
    <w:multiLevelType w:val="hybridMultilevel"/>
    <w:tmpl w:val="456CD42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num>
  <w:num w:numId="2">
    <w:abstractNumId w:val="32"/>
  </w:num>
  <w:num w:numId="3">
    <w:abstractNumId w:val="0"/>
  </w:num>
  <w:num w:numId="4">
    <w:abstractNumId w:val="1"/>
  </w:num>
  <w:num w:numId="5">
    <w:abstractNumId w:val="4"/>
  </w:num>
  <w:num w:numId="6">
    <w:abstractNumId w:val="6"/>
  </w:num>
  <w:num w:numId="7">
    <w:abstractNumId w:val="11"/>
  </w:num>
  <w:num w:numId="8">
    <w:abstractNumId w:val="2"/>
  </w:num>
  <w:num w:numId="9">
    <w:abstractNumId w:val="3"/>
  </w:num>
  <w:num w:numId="10">
    <w:abstractNumId w:val="5"/>
  </w:num>
  <w:num w:numId="11">
    <w:abstractNumId w:val="14"/>
  </w:num>
  <w:num w:numId="12">
    <w:abstractNumId w:val="10"/>
  </w:num>
  <w:num w:numId="13">
    <w:abstractNumId w:val="7"/>
  </w:num>
  <w:num w:numId="14">
    <w:abstractNumId w:val="37"/>
  </w:num>
  <w:num w:numId="15">
    <w:abstractNumId w:val="13"/>
  </w:num>
  <w:num w:numId="16">
    <w:abstractNumId w:val="34"/>
  </w:num>
  <w:num w:numId="17">
    <w:abstractNumId w:val="28"/>
  </w:num>
  <w:num w:numId="18">
    <w:abstractNumId w:val="19"/>
  </w:num>
  <w:num w:numId="19">
    <w:abstractNumId w:val="26"/>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12"/>
  </w:num>
  <w:num w:numId="23">
    <w:abstractNumId w:val="29"/>
  </w:num>
  <w:num w:numId="24">
    <w:abstractNumId w:val="33"/>
  </w:num>
  <w:num w:numId="25">
    <w:abstractNumId w:val="23"/>
  </w:num>
  <w:num w:numId="26">
    <w:abstractNumId w:val="25"/>
  </w:num>
  <w:num w:numId="27">
    <w:abstractNumId w:val="9"/>
  </w:num>
  <w:num w:numId="28">
    <w:abstractNumId w:val="24"/>
  </w:num>
  <w:num w:numId="29">
    <w:abstractNumId w:val="30"/>
  </w:num>
  <w:num w:numId="30">
    <w:abstractNumId w:val="18"/>
  </w:num>
  <w:num w:numId="31">
    <w:abstractNumId w:val="16"/>
  </w:num>
  <w:num w:numId="32">
    <w:abstractNumId w:val="20"/>
  </w:num>
  <w:num w:numId="33">
    <w:abstractNumId w:val="17"/>
  </w:num>
  <w:num w:numId="34">
    <w:abstractNumId w:val="35"/>
  </w:num>
  <w:num w:numId="35">
    <w:abstractNumId w:val="31"/>
  </w:num>
  <w:num w:numId="36">
    <w:abstractNumId w:val="36"/>
  </w:num>
  <w:num w:numId="37">
    <w:abstractNumId w:val="22"/>
  </w:num>
  <w:num w:numId="38">
    <w:abstractNumId w:val="21"/>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999"/>
    <w:rsid w:val="00015D8E"/>
    <w:rsid w:val="000322E3"/>
    <w:rsid w:val="00042D32"/>
    <w:rsid w:val="00057AF8"/>
    <w:rsid w:val="000643E9"/>
    <w:rsid w:val="00066D3A"/>
    <w:rsid w:val="00071B7E"/>
    <w:rsid w:val="00073A1F"/>
    <w:rsid w:val="00075AD5"/>
    <w:rsid w:val="00077AA2"/>
    <w:rsid w:val="0008210A"/>
    <w:rsid w:val="0008507C"/>
    <w:rsid w:val="000877D1"/>
    <w:rsid w:val="00093EB8"/>
    <w:rsid w:val="000A1163"/>
    <w:rsid w:val="000A2FC8"/>
    <w:rsid w:val="000A31BA"/>
    <w:rsid w:val="000A4383"/>
    <w:rsid w:val="000B20AE"/>
    <w:rsid w:val="000C1DA7"/>
    <w:rsid w:val="000C2C96"/>
    <w:rsid w:val="000C4465"/>
    <w:rsid w:val="000C4973"/>
    <w:rsid w:val="000D09AB"/>
    <w:rsid w:val="000D466B"/>
    <w:rsid w:val="000E4714"/>
    <w:rsid w:val="000E5163"/>
    <w:rsid w:val="000E6513"/>
    <w:rsid w:val="000F0EAD"/>
    <w:rsid w:val="000F1CBA"/>
    <w:rsid w:val="000F3807"/>
    <w:rsid w:val="00103AE9"/>
    <w:rsid w:val="0010497F"/>
    <w:rsid w:val="001100A5"/>
    <w:rsid w:val="0011236C"/>
    <w:rsid w:val="0011263A"/>
    <w:rsid w:val="0011350E"/>
    <w:rsid w:val="00114AE3"/>
    <w:rsid w:val="00117B7B"/>
    <w:rsid w:val="00120EEB"/>
    <w:rsid w:val="001258D6"/>
    <w:rsid w:val="001339E2"/>
    <w:rsid w:val="0013472A"/>
    <w:rsid w:val="00144777"/>
    <w:rsid w:val="001448E3"/>
    <w:rsid w:val="00147E82"/>
    <w:rsid w:val="001515F9"/>
    <w:rsid w:val="001518F2"/>
    <w:rsid w:val="00153C65"/>
    <w:rsid w:val="00156301"/>
    <w:rsid w:val="0017111C"/>
    <w:rsid w:val="0017545B"/>
    <w:rsid w:val="00182DEA"/>
    <w:rsid w:val="0019035D"/>
    <w:rsid w:val="00191D96"/>
    <w:rsid w:val="00191E93"/>
    <w:rsid w:val="001A1ABA"/>
    <w:rsid w:val="001B0799"/>
    <w:rsid w:val="001C1507"/>
    <w:rsid w:val="001C2A75"/>
    <w:rsid w:val="001D1F25"/>
    <w:rsid w:val="001D36C0"/>
    <w:rsid w:val="001D7796"/>
    <w:rsid w:val="001E3E05"/>
    <w:rsid w:val="001E50F4"/>
    <w:rsid w:val="001E5520"/>
    <w:rsid w:val="001E60E2"/>
    <w:rsid w:val="001F0127"/>
    <w:rsid w:val="001F0B1A"/>
    <w:rsid w:val="001F4D1B"/>
    <w:rsid w:val="001F4ED2"/>
    <w:rsid w:val="001F6014"/>
    <w:rsid w:val="001F7009"/>
    <w:rsid w:val="001F72C4"/>
    <w:rsid w:val="0020773D"/>
    <w:rsid w:val="0021375B"/>
    <w:rsid w:val="002176E6"/>
    <w:rsid w:val="002211EF"/>
    <w:rsid w:val="00221EF1"/>
    <w:rsid w:val="0022264A"/>
    <w:rsid w:val="00226B16"/>
    <w:rsid w:val="00237795"/>
    <w:rsid w:val="00237DFE"/>
    <w:rsid w:val="00241348"/>
    <w:rsid w:val="002414B0"/>
    <w:rsid w:val="0024487B"/>
    <w:rsid w:val="002567A2"/>
    <w:rsid w:val="002658A7"/>
    <w:rsid w:val="00271E28"/>
    <w:rsid w:val="0027421A"/>
    <w:rsid w:val="00280A31"/>
    <w:rsid w:val="00283D9E"/>
    <w:rsid w:val="002850DB"/>
    <w:rsid w:val="002A13EA"/>
    <w:rsid w:val="002A2626"/>
    <w:rsid w:val="002A6351"/>
    <w:rsid w:val="002B2812"/>
    <w:rsid w:val="002B2E03"/>
    <w:rsid w:val="002B3410"/>
    <w:rsid w:val="002B4E93"/>
    <w:rsid w:val="002C45F1"/>
    <w:rsid w:val="002C64C1"/>
    <w:rsid w:val="002C6BBE"/>
    <w:rsid w:val="002D3CF8"/>
    <w:rsid w:val="002D4B67"/>
    <w:rsid w:val="002D6C5F"/>
    <w:rsid w:val="002E3E8B"/>
    <w:rsid w:val="002E6BE9"/>
    <w:rsid w:val="002E72FA"/>
    <w:rsid w:val="002E7640"/>
    <w:rsid w:val="002E7778"/>
    <w:rsid w:val="002F01D9"/>
    <w:rsid w:val="00301846"/>
    <w:rsid w:val="0030295A"/>
    <w:rsid w:val="003057C9"/>
    <w:rsid w:val="003226AB"/>
    <w:rsid w:val="0032474D"/>
    <w:rsid w:val="003300CE"/>
    <w:rsid w:val="00330AC6"/>
    <w:rsid w:val="0033289D"/>
    <w:rsid w:val="003334C8"/>
    <w:rsid w:val="0033489C"/>
    <w:rsid w:val="00336BAB"/>
    <w:rsid w:val="00341877"/>
    <w:rsid w:val="0034312A"/>
    <w:rsid w:val="00350C08"/>
    <w:rsid w:val="0035116E"/>
    <w:rsid w:val="003560AE"/>
    <w:rsid w:val="0036144E"/>
    <w:rsid w:val="00370540"/>
    <w:rsid w:val="0037189F"/>
    <w:rsid w:val="0038265A"/>
    <w:rsid w:val="00384066"/>
    <w:rsid w:val="00387857"/>
    <w:rsid w:val="00391021"/>
    <w:rsid w:val="00395375"/>
    <w:rsid w:val="003A4D61"/>
    <w:rsid w:val="003A520B"/>
    <w:rsid w:val="003B1D05"/>
    <w:rsid w:val="003B7FE6"/>
    <w:rsid w:val="003C102D"/>
    <w:rsid w:val="003C6D25"/>
    <w:rsid w:val="003D4DD3"/>
    <w:rsid w:val="003D7FD2"/>
    <w:rsid w:val="003E31A7"/>
    <w:rsid w:val="003E59CF"/>
    <w:rsid w:val="003E632D"/>
    <w:rsid w:val="003E77FC"/>
    <w:rsid w:val="003F07EB"/>
    <w:rsid w:val="003F59D9"/>
    <w:rsid w:val="003F617A"/>
    <w:rsid w:val="003F6A30"/>
    <w:rsid w:val="003F7900"/>
    <w:rsid w:val="004008AA"/>
    <w:rsid w:val="004057C1"/>
    <w:rsid w:val="00410C94"/>
    <w:rsid w:val="00412976"/>
    <w:rsid w:val="0041494D"/>
    <w:rsid w:val="004315F2"/>
    <w:rsid w:val="00434B41"/>
    <w:rsid w:val="00437A6B"/>
    <w:rsid w:val="0044344C"/>
    <w:rsid w:val="00447D2A"/>
    <w:rsid w:val="00453CE2"/>
    <w:rsid w:val="00467143"/>
    <w:rsid w:val="004700D0"/>
    <w:rsid w:val="00472DB8"/>
    <w:rsid w:val="00473B82"/>
    <w:rsid w:val="00473F70"/>
    <w:rsid w:val="00474633"/>
    <w:rsid w:val="0049010D"/>
    <w:rsid w:val="004B299B"/>
    <w:rsid w:val="004D66AD"/>
    <w:rsid w:val="004E432F"/>
    <w:rsid w:val="004E4D21"/>
    <w:rsid w:val="004E7B18"/>
    <w:rsid w:val="004F2BB0"/>
    <w:rsid w:val="005125B0"/>
    <w:rsid w:val="0052323E"/>
    <w:rsid w:val="0053089E"/>
    <w:rsid w:val="00537794"/>
    <w:rsid w:val="0053783B"/>
    <w:rsid w:val="00537AEC"/>
    <w:rsid w:val="00542591"/>
    <w:rsid w:val="005445CE"/>
    <w:rsid w:val="00552AE0"/>
    <w:rsid w:val="00553C66"/>
    <w:rsid w:val="0055424A"/>
    <w:rsid w:val="005553A4"/>
    <w:rsid w:val="00561999"/>
    <w:rsid w:val="00562716"/>
    <w:rsid w:val="00571ED1"/>
    <w:rsid w:val="00576F0C"/>
    <w:rsid w:val="00577720"/>
    <w:rsid w:val="00593364"/>
    <w:rsid w:val="005A27D0"/>
    <w:rsid w:val="005A34AD"/>
    <w:rsid w:val="005A3BD8"/>
    <w:rsid w:val="005C5817"/>
    <w:rsid w:val="005C6301"/>
    <w:rsid w:val="005C7523"/>
    <w:rsid w:val="005D214D"/>
    <w:rsid w:val="005E04F5"/>
    <w:rsid w:val="005E1133"/>
    <w:rsid w:val="005F245D"/>
    <w:rsid w:val="005F726F"/>
    <w:rsid w:val="005F77DF"/>
    <w:rsid w:val="0060069D"/>
    <w:rsid w:val="00604180"/>
    <w:rsid w:val="00605557"/>
    <w:rsid w:val="00611CFE"/>
    <w:rsid w:val="00616130"/>
    <w:rsid w:val="006170E3"/>
    <w:rsid w:val="006206EE"/>
    <w:rsid w:val="006252FE"/>
    <w:rsid w:val="00625968"/>
    <w:rsid w:val="00625FC7"/>
    <w:rsid w:val="0063188F"/>
    <w:rsid w:val="00636431"/>
    <w:rsid w:val="00641321"/>
    <w:rsid w:val="006473B9"/>
    <w:rsid w:val="00656C7D"/>
    <w:rsid w:val="00675B68"/>
    <w:rsid w:val="00681239"/>
    <w:rsid w:val="006845A4"/>
    <w:rsid w:val="00687E5C"/>
    <w:rsid w:val="0069486D"/>
    <w:rsid w:val="00695F10"/>
    <w:rsid w:val="006A042D"/>
    <w:rsid w:val="006A05E2"/>
    <w:rsid w:val="006A18EF"/>
    <w:rsid w:val="006A29E0"/>
    <w:rsid w:val="006A7F83"/>
    <w:rsid w:val="006B67C9"/>
    <w:rsid w:val="006C2B4A"/>
    <w:rsid w:val="006C3264"/>
    <w:rsid w:val="006C509B"/>
    <w:rsid w:val="006E137B"/>
    <w:rsid w:val="006E358F"/>
    <w:rsid w:val="00702037"/>
    <w:rsid w:val="00702AA8"/>
    <w:rsid w:val="00705EA4"/>
    <w:rsid w:val="00711742"/>
    <w:rsid w:val="00717F9F"/>
    <w:rsid w:val="0072156C"/>
    <w:rsid w:val="00721671"/>
    <w:rsid w:val="00724108"/>
    <w:rsid w:val="007326C6"/>
    <w:rsid w:val="00736096"/>
    <w:rsid w:val="007364A7"/>
    <w:rsid w:val="00741E0C"/>
    <w:rsid w:val="0074453A"/>
    <w:rsid w:val="00746297"/>
    <w:rsid w:val="00751CA6"/>
    <w:rsid w:val="00756840"/>
    <w:rsid w:val="007760F2"/>
    <w:rsid w:val="0077677C"/>
    <w:rsid w:val="00777211"/>
    <w:rsid w:val="007810B5"/>
    <w:rsid w:val="007902C2"/>
    <w:rsid w:val="00797B07"/>
    <w:rsid w:val="00797DA6"/>
    <w:rsid w:val="007B1D31"/>
    <w:rsid w:val="007D55D3"/>
    <w:rsid w:val="007E0BF0"/>
    <w:rsid w:val="007E2B39"/>
    <w:rsid w:val="007E2C10"/>
    <w:rsid w:val="007E47EB"/>
    <w:rsid w:val="007E55C0"/>
    <w:rsid w:val="0080212F"/>
    <w:rsid w:val="00804184"/>
    <w:rsid w:val="00805F1F"/>
    <w:rsid w:val="00807524"/>
    <w:rsid w:val="0081002E"/>
    <w:rsid w:val="00823102"/>
    <w:rsid w:val="00823ABF"/>
    <w:rsid w:val="008341CE"/>
    <w:rsid w:val="008363B6"/>
    <w:rsid w:val="00843519"/>
    <w:rsid w:val="00844E5C"/>
    <w:rsid w:val="00851356"/>
    <w:rsid w:val="008540DC"/>
    <w:rsid w:val="00862A45"/>
    <w:rsid w:val="008634CC"/>
    <w:rsid w:val="008663CA"/>
    <w:rsid w:val="008674EE"/>
    <w:rsid w:val="00870E09"/>
    <w:rsid w:val="00874628"/>
    <w:rsid w:val="00876917"/>
    <w:rsid w:val="00891CEC"/>
    <w:rsid w:val="00894E28"/>
    <w:rsid w:val="008958DB"/>
    <w:rsid w:val="008A1BA2"/>
    <w:rsid w:val="008A2D0E"/>
    <w:rsid w:val="008A2D15"/>
    <w:rsid w:val="008A4DC4"/>
    <w:rsid w:val="008A73E0"/>
    <w:rsid w:val="008B3DEC"/>
    <w:rsid w:val="008C49F3"/>
    <w:rsid w:val="008C705B"/>
    <w:rsid w:val="008D7E24"/>
    <w:rsid w:val="008E33A2"/>
    <w:rsid w:val="00902163"/>
    <w:rsid w:val="0090467A"/>
    <w:rsid w:val="0092035F"/>
    <w:rsid w:val="00931D87"/>
    <w:rsid w:val="009436F2"/>
    <w:rsid w:val="00944394"/>
    <w:rsid w:val="00945819"/>
    <w:rsid w:val="00957FBF"/>
    <w:rsid w:val="009600C8"/>
    <w:rsid w:val="0096240B"/>
    <w:rsid w:val="009677C0"/>
    <w:rsid w:val="00982AC4"/>
    <w:rsid w:val="00992748"/>
    <w:rsid w:val="00996E42"/>
    <w:rsid w:val="00996E4F"/>
    <w:rsid w:val="0099728C"/>
    <w:rsid w:val="0099760B"/>
    <w:rsid w:val="009B3C7A"/>
    <w:rsid w:val="009B4F70"/>
    <w:rsid w:val="009B62ED"/>
    <w:rsid w:val="009C1E4E"/>
    <w:rsid w:val="009C6FEB"/>
    <w:rsid w:val="009D2198"/>
    <w:rsid w:val="009D3916"/>
    <w:rsid w:val="009E36F1"/>
    <w:rsid w:val="009E6F2A"/>
    <w:rsid w:val="009F1065"/>
    <w:rsid w:val="00A00B26"/>
    <w:rsid w:val="00A117D7"/>
    <w:rsid w:val="00A21993"/>
    <w:rsid w:val="00A240A7"/>
    <w:rsid w:val="00A25DEC"/>
    <w:rsid w:val="00A36875"/>
    <w:rsid w:val="00A405D3"/>
    <w:rsid w:val="00A45C91"/>
    <w:rsid w:val="00A50048"/>
    <w:rsid w:val="00A62B42"/>
    <w:rsid w:val="00A63200"/>
    <w:rsid w:val="00A646FC"/>
    <w:rsid w:val="00A65BBE"/>
    <w:rsid w:val="00A65FDF"/>
    <w:rsid w:val="00A71316"/>
    <w:rsid w:val="00A77A34"/>
    <w:rsid w:val="00A82889"/>
    <w:rsid w:val="00A9281B"/>
    <w:rsid w:val="00A963CA"/>
    <w:rsid w:val="00AA3408"/>
    <w:rsid w:val="00AA56AC"/>
    <w:rsid w:val="00AB3160"/>
    <w:rsid w:val="00AC150F"/>
    <w:rsid w:val="00AC47A2"/>
    <w:rsid w:val="00AD0830"/>
    <w:rsid w:val="00AD3D48"/>
    <w:rsid w:val="00AD46E2"/>
    <w:rsid w:val="00AE1AD2"/>
    <w:rsid w:val="00AE60FB"/>
    <w:rsid w:val="00AF5DE1"/>
    <w:rsid w:val="00B01DA2"/>
    <w:rsid w:val="00B022F5"/>
    <w:rsid w:val="00B04F94"/>
    <w:rsid w:val="00B13B7F"/>
    <w:rsid w:val="00B15D52"/>
    <w:rsid w:val="00B165CB"/>
    <w:rsid w:val="00B16A12"/>
    <w:rsid w:val="00B22F0D"/>
    <w:rsid w:val="00B23027"/>
    <w:rsid w:val="00B268C2"/>
    <w:rsid w:val="00B3089A"/>
    <w:rsid w:val="00B32956"/>
    <w:rsid w:val="00B41AE8"/>
    <w:rsid w:val="00B42B54"/>
    <w:rsid w:val="00B43896"/>
    <w:rsid w:val="00B44184"/>
    <w:rsid w:val="00B45154"/>
    <w:rsid w:val="00B50692"/>
    <w:rsid w:val="00B51957"/>
    <w:rsid w:val="00B55812"/>
    <w:rsid w:val="00B56A74"/>
    <w:rsid w:val="00B600DD"/>
    <w:rsid w:val="00B62D9B"/>
    <w:rsid w:val="00B62FD1"/>
    <w:rsid w:val="00B66236"/>
    <w:rsid w:val="00B667E4"/>
    <w:rsid w:val="00B73CE0"/>
    <w:rsid w:val="00B74688"/>
    <w:rsid w:val="00B81971"/>
    <w:rsid w:val="00B90B4B"/>
    <w:rsid w:val="00B9309E"/>
    <w:rsid w:val="00BA08A8"/>
    <w:rsid w:val="00BA1ABA"/>
    <w:rsid w:val="00BA46B9"/>
    <w:rsid w:val="00BB23F6"/>
    <w:rsid w:val="00BB2B65"/>
    <w:rsid w:val="00BB3FEA"/>
    <w:rsid w:val="00BB40CD"/>
    <w:rsid w:val="00BB5205"/>
    <w:rsid w:val="00BB76D5"/>
    <w:rsid w:val="00BC14DC"/>
    <w:rsid w:val="00BC1762"/>
    <w:rsid w:val="00BC6847"/>
    <w:rsid w:val="00BC6ABE"/>
    <w:rsid w:val="00BF7E7E"/>
    <w:rsid w:val="00C0298B"/>
    <w:rsid w:val="00C057ED"/>
    <w:rsid w:val="00C10D22"/>
    <w:rsid w:val="00C11141"/>
    <w:rsid w:val="00C27CC8"/>
    <w:rsid w:val="00C32D7F"/>
    <w:rsid w:val="00C427C0"/>
    <w:rsid w:val="00C447A9"/>
    <w:rsid w:val="00C45AFC"/>
    <w:rsid w:val="00C47352"/>
    <w:rsid w:val="00C52A22"/>
    <w:rsid w:val="00C539EB"/>
    <w:rsid w:val="00C6415B"/>
    <w:rsid w:val="00C668DD"/>
    <w:rsid w:val="00C67A77"/>
    <w:rsid w:val="00C77C56"/>
    <w:rsid w:val="00C83999"/>
    <w:rsid w:val="00C90BA5"/>
    <w:rsid w:val="00C943ED"/>
    <w:rsid w:val="00C94DE4"/>
    <w:rsid w:val="00CA4476"/>
    <w:rsid w:val="00CA4EF8"/>
    <w:rsid w:val="00CA5028"/>
    <w:rsid w:val="00CB6B23"/>
    <w:rsid w:val="00CB70F7"/>
    <w:rsid w:val="00CD1C0F"/>
    <w:rsid w:val="00CD2418"/>
    <w:rsid w:val="00CD3A81"/>
    <w:rsid w:val="00CE7065"/>
    <w:rsid w:val="00CF5704"/>
    <w:rsid w:val="00D0144F"/>
    <w:rsid w:val="00D06885"/>
    <w:rsid w:val="00D12651"/>
    <w:rsid w:val="00D12FFB"/>
    <w:rsid w:val="00D210E1"/>
    <w:rsid w:val="00D2162C"/>
    <w:rsid w:val="00D27A6F"/>
    <w:rsid w:val="00D45F04"/>
    <w:rsid w:val="00D55234"/>
    <w:rsid w:val="00D8162B"/>
    <w:rsid w:val="00D85863"/>
    <w:rsid w:val="00DB1A70"/>
    <w:rsid w:val="00DB1B9A"/>
    <w:rsid w:val="00DB264B"/>
    <w:rsid w:val="00DC25D3"/>
    <w:rsid w:val="00DC2787"/>
    <w:rsid w:val="00DC60BE"/>
    <w:rsid w:val="00DD3C3F"/>
    <w:rsid w:val="00DD4C14"/>
    <w:rsid w:val="00DE7CD9"/>
    <w:rsid w:val="00DF13EB"/>
    <w:rsid w:val="00DF4CC1"/>
    <w:rsid w:val="00E02036"/>
    <w:rsid w:val="00E02276"/>
    <w:rsid w:val="00E11760"/>
    <w:rsid w:val="00E14B50"/>
    <w:rsid w:val="00E15BE8"/>
    <w:rsid w:val="00E22584"/>
    <w:rsid w:val="00E22771"/>
    <w:rsid w:val="00E30903"/>
    <w:rsid w:val="00E32B27"/>
    <w:rsid w:val="00E33180"/>
    <w:rsid w:val="00E35077"/>
    <w:rsid w:val="00E35715"/>
    <w:rsid w:val="00E35E3F"/>
    <w:rsid w:val="00E40750"/>
    <w:rsid w:val="00E45087"/>
    <w:rsid w:val="00E47BA4"/>
    <w:rsid w:val="00E543C2"/>
    <w:rsid w:val="00E5464B"/>
    <w:rsid w:val="00E5534B"/>
    <w:rsid w:val="00E603F8"/>
    <w:rsid w:val="00E61E67"/>
    <w:rsid w:val="00E674BE"/>
    <w:rsid w:val="00E678D9"/>
    <w:rsid w:val="00E708C1"/>
    <w:rsid w:val="00E71A3E"/>
    <w:rsid w:val="00E72535"/>
    <w:rsid w:val="00E84405"/>
    <w:rsid w:val="00E84A33"/>
    <w:rsid w:val="00E97BFD"/>
    <w:rsid w:val="00EA1AF5"/>
    <w:rsid w:val="00EB2676"/>
    <w:rsid w:val="00EB2BC9"/>
    <w:rsid w:val="00EB3399"/>
    <w:rsid w:val="00EB3AAB"/>
    <w:rsid w:val="00ED2360"/>
    <w:rsid w:val="00ED3344"/>
    <w:rsid w:val="00ED42E5"/>
    <w:rsid w:val="00EE10E1"/>
    <w:rsid w:val="00EE231F"/>
    <w:rsid w:val="00EE3936"/>
    <w:rsid w:val="00EF04A8"/>
    <w:rsid w:val="00EF27B9"/>
    <w:rsid w:val="00EF3D14"/>
    <w:rsid w:val="00EF523B"/>
    <w:rsid w:val="00F018CF"/>
    <w:rsid w:val="00F01F75"/>
    <w:rsid w:val="00F02B45"/>
    <w:rsid w:val="00F04D0A"/>
    <w:rsid w:val="00F10C44"/>
    <w:rsid w:val="00F140E1"/>
    <w:rsid w:val="00F17232"/>
    <w:rsid w:val="00F2208E"/>
    <w:rsid w:val="00F267FC"/>
    <w:rsid w:val="00F310FC"/>
    <w:rsid w:val="00F31BF9"/>
    <w:rsid w:val="00F33B61"/>
    <w:rsid w:val="00F34DFC"/>
    <w:rsid w:val="00F35F61"/>
    <w:rsid w:val="00F418EA"/>
    <w:rsid w:val="00F436BA"/>
    <w:rsid w:val="00F46181"/>
    <w:rsid w:val="00F565B6"/>
    <w:rsid w:val="00F62A45"/>
    <w:rsid w:val="00F65748"/>
    <w:rsid w:val="00F71345"/>
    <w:rsid w:val="00F746FF"/>
    <w:rsid w:val="00F77A5D"/>
    <w:rsid w:val="00F80CAD"/>
    <w:rsid w:val="00F82BD2"/>
    <w:rsid w:val="00F87245"/>
    <w:rsid w:val="00F93F04"/>
    <w:rsid w:val="00F970D0"/>
    <w:rsid w:val="00FB58C7"/>
    <w:rsid w:val="00FC1BF5"/>
    <w:rsid w:val="00FC4A32"/>
    <w:rsid w:val="00FD4185"/>
    <w:rsid w:val="00FD6239"/>
    <w:rsid w:val="00FE03FA"/>
    <w:rsid w:val="00FF0B33"/>
    <w:rsid w:val="00FF40D6"/>
    <w:rsid w:val="00FF4B12"/>
    <w:rsid w:val="00FF6628"/>
    <w:rsid w:val="00FF7D8A"/>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361F05-015F-4973-9EE5-B7D65F7F3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830"/>
    <w:rPr>
      <w:rFonts w:ascii="Times New Roman" w:eastAsia="MS Mincho"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11236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semiHidden/>
    <w:unhideWhenUsed/>
    <w:qFormat/>
    <w:rsid w:val="0011236C"/>
    <w:pPr>
      <w:spacing w:before="100" w:beforeAutospacing="1" w:after="100" w:afterAutospacing="1"/>
      <w:outlineLvl w:val="2"/>
    </w:pPr>
    <w:rPr>
      <w:rFonts w:eastAsia="Times New Roman"/>
      <w:b/>
      <w:bCs/>
      <w:sz w:val="27"/>
      <w:szCs w:val="27"/>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F71345"/>
  </w:style>
  <w:style w:type="paragraph" w:styleId="Piedepgina">
    <w:name w:val="footer"/>
    <w:basedOn w:val="Normal"/>
    <w:link w:val="Piedepgina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F71345"/>
  </w:style>
  <w:style w:type="paragraph" w:styleId="Textodeglobo">
    <w:name w:val="Balloon Text"/>
    <w:basedOn w:val="Normal"/>
    <w:link w:val="TextodegloboCar"/>
    <w:uiPriority w:val="99"/>
    <w:semiHidden/>
    <w:unhideWhenUsed/>
    <w:rsid w:val="00F71345"/>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F71345"/>
    <w:rPr>
      <w:rFonts w:ascii="Tahoma" w:hAnsi="Tahoma" w:cs="Tahoma"/>
      <w:sz w:val="16"/>
      <w:szCs w:val="16"/>
    </w:rPr>
  </w:style>
  <w:style w:type="table" w:styleId="Tablaconcuadrcula">
    <w:name w:val="Table Grid"/>
    <w:basedOn w:val="Tablanormal"/>
    <w:uiPriority w:val="59"/>
    <w:rsid w:val="00F71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A2D0E"/>
    <w:rPr>
      <w:color w:val="0000FF" w:themeColor="hyperlink"/>
      <w:u w:val="single"/>
    </w:rPr>
  </w:style>
  <w:style w:type="character" w:styleId="Nmerodepgina">
    <w:name w:val="page number"/>
    <w:basedOn w:val="Fuentedeprrafopredeter"/>
    <w:rsid w:val="00F65748"/>
  </w:style>
  <w:style w:type="paragraph" w:styleId="Prrafodelista">
    <w:name w:val="List Paragraph"/>
    <w:aliases w:val="titulo 3,Ha,Bullets,List Paragraph"/>
    <w:basedOn w:val="Normal"/>
    <w:link w:val="PrrafodelistaCar"/>
    <w:uiPriority w:val="34"/>
    <w:qFormat/>
    <w:rsid w:val="005E04F5"/>
    <w:pPr>
      <w:ind w:left="720"/>
      <w:contextualSpacing/>
    </w:pPr>
  </w:style>
  <w:style w:type="character" w:styleId="Textoennegrita">
    <w:name w:val="Strong"/>
    <w:basedOn w:val="Fuentedeprrafopredeter"/>
    <w:uiPriority w:val="22"/>
    <w:qFormat/>
    <w:rsid w:val="005E04F5"/>
    <w:rPr>
      <w:b/>
      <w:bCs/>
    </w:rPr>
  </w:style>
  <w:style w:type="paragraph" w:customStyle="1" w:styleId="Prrafodelista1">
    <w:name w:val="Párrafo de lista1"/>
    <w:uiPriority w:val="34"/>
    <w:qFormat/>
    <w:rsid w:val="0080212F"/>
    <w:pPr>
      <w:ind w:left="720"/>
    </w:pPr>
    <w:rPr>
      <w:rFonts w:ascii="Times New Roman" w:eastAsia="ヒラギノ角ゴ Pro W3" w:hAnsi="Times New Roman" w:cs="Times New Roman"/>
      <w:color w:val="000000"/>
      <w:sz w:val="24"/>
      <w:szCs w:val="20"/>
      <w:lang w:val="es-ES_tradnl" w:eastAsia="es-CO"/>
    </w:rPr>
  </w:style>
  <w:style w:type="paragraph" w:customStyle="1" w:styleId="FormatolibreCB">
    <w:name w:val="Formato libre C B"/>
    <w:autoRedefine/>
    <w:uiPriority w:val="99"/>
    <w:rsid w:val="0080212F"/>
    <w:rPr>
      <w:rFonts w:ascii="Times New Roman" w:eastAsia="ヒラギノ角ゴ Pro W3" w:hAnsi="Times New Roman" w:cs="Times New Roman"/>
      <w:color w:val="000000"/>
      <w:sz w:val="20"/>
      <w:szCs w:val="20"/>
      <w:lang w:eastAsia="es-CO"/>
    </w:rPr>
  </w:style>
  <w:style w:type="paragraph" w:customStyle="1" w:styleId="FormatolibreCAAA">
    <w:name w:val="Formato libre C A A A"/>
    <w:uiPriority w:val="99"/>
    <w:rsid w:val="0080212F"/>
    <w:rPr>
      <w:rFonts w:ascii="Times New Roman" w:eastAsia="ヒラギノ角ゴ Pro W3" w:hAnsi="Times New Roman" w:cs="Times New Roman"/>
      <w:color w:val="000000"/>
      <w:sz w:val="20"/>
      <w:szCs w:val="20"/>
      <w:lang w:eastAsia="es-CO"/>
    </w:rPr>
  </w:style>
  <w:style w:type="paragraph" w:customStyle="1" w:styleId="Formatolibre">
    <w:name w:val="Formato libre"/>
    <w:uiPriority w:val="99"/>
    <w:rsid w:val="00FD4185"/>
    <w:rPr>
      <w:rFonts w:ascii="Times New Roman" w:eastAsia="ヒラギノ角ゴ Pro W3" w:hAnsi="Times New Roman" w:cs="Times New Roman"/>
      <w:color w:val="000000"/>
      <w:sz w:val="20"/>
      <w:szCs w:val="20"/>
      <w:lang w:eastAsia="es-CO"/>
    </w:rPr>
  </w:style>
  <w:style w:type="paragraph" w:customStyle="1" w:styleId="FormatolibreCA">
    <w:name w:val="Formato libre C A"/>
    <w:uiPriority w:val="99"/>
    <w:rsid w:val="00FD4185"/>
    <w:rPr>
      <w:rFonts w:ascii="Times New Roman" w:eastAsia="ヒラギノ角ゴ Pro W3" w:hAnsi="Times New Roman" w:cs="Times New Roman"/>
      <w:color w:val="000000"/>
      <w:sz w:val="20"/>
      <w:szCs w:val="20"/>
      <w:lang w:eastAsia="es-CO"/>
    </w:rPr>
  </w:style>
  <w:style w:type="paragraph" w:customStyle="1" w:styleId="Prrafodelista2">
    <w:name w:val="Párrafo de lista2"/>
    <w:uiPriority w:val="99"/>
    <w:rsid w:val="00FD4185"/>
    <w:pPr>
      <w:ind w:left="720"/>
    </w:pPr>
    <w:rPr>
      <w:rFonts w:ascii="Times New Roman" w:eastAsia="ヒラギノ角ゴ Pro W3" w:hAnsi="Times New Roman" w:cs="Times New Roman"/>
      <w:color w:val="000000"/>
      <w:sz w:val="24"/>
      <w:szCs w:val="20"/>
      <w:lang w:val="es-ES_tradnl" w:eastAsia="es-CO"/>
    </w:rPr>
  </w:style>
  <w:style w:type="paragraph" w:styleId="Sinespaciado">
    <w:name w:val="No Spacing"/>
    <w:link w:val="SinespaciadoCar"/>
    <w:uiPriority w:val="1"/>
    <w:qFormat/>
    <w:rsid w:val="007B1D31"/>
  </w:style>
  <w:style w:type="character" w:styleId="Refdecomentario">
    <w:name w:val="annotation reference"/>
    <w:basedOn w:val="Fuentedeprrafopredeter"/>
    <w:uiPriority w:val="99"/>
    <w:semiHidden/>
    <w:unhideWhenUsed/>
    <w:rsid w:val="00CB6B23"/>
    <w:rPr>
      <w:sz w:val="16"/>
      <w:szCs w:val="16"/>
    </w:rPr>
  </w:style>
  <w:style w:type="paragraph" w:styleId="Textocomentario">
    <w:name w:val="annotation text"/>
    <w:basedOn w:val="Normal"/>
    <w:link w:val="TextocomentarioCar"/>
    <w:uiPriority w:val="99"/>
    <w:unhideWhenUsed/>
    <w:rsid w:val="00CB6B23"/>
    <w:rPr>
      <w:sz w:val="20"/>
      <w:szCs w:val="20"/>
    </w:rPr>
  </w:style>
  <w:style w:type="character" w:customStyle="1" w:styleId="TextocomentarioCar">
    <w:name w:val="Texto comentario Car"/>
    <w:basedOn w:val="Fuentedeprrafopredeter"/>
    <w:link w:val="Textocomentario"/>
    <w:uiPriority w:val="99"/>
    <w:rsid w:val="00CB6B23"/>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B6B23"/>
    <w:rPr>
      <w:b/>
      <w:bCs/>
    </w:rPr>
  </w:style>
  <w:style w:type="character" w:customStyle="1" w:styleId="AsuntodelcomentarioCar">
    <w:name w:val="Asunto del comentario Car"/>
    <w:basedOn w:val="TextocomentarioCar"/>
    <w:link w:val="Asuntodelcomentario"/>
    <w:uiPriority w:val="99"/>
    <w:semiHidden/>
    <w:rsid w:val="00CB6B23"/>
    <w:rPr>
      <w:rFonts w:ascii="Times New Roman" w:eastAsia="MS Mincho" w:hAnsi="Times New Roman" w:cs="Times New Roman"/>
      <w:b/>
      <w:bCs/>
      <w:sz w:val="20"/>
      <w:szCs w:val="20"/>
      <w:lang w:val="es-ES" w:eastAsia="es-ES"/>
    </w:rPr>
  </w:style>
  <w:style w:type="paragraph" w:styleId="NormalWeb">
    <w:name w:val="Normal (Web)"/>
    <w:basedOn w:val="Normal"/>
    <w:uiPriority w:val="99"/>
    <w:rsid w:val="007E47EB"/>
    <w:pPr>
      <w:spacing w:before="100" w:beforeAutospacing="1" w:after="119"/>
    </w:pPr>
    <w:rPr>
      <w:rFonts w:eastAsia="Calibri"/>
    </w:rPr>
  </w:style>
  <w:style w:type="character" w:customStyle="1" w:styleId="Ttulo2Car">
    <w:name w:val="Título 2 Car"/>
    <w:basedOn w:val="Fuentedeprrafopredeter"/>
    <w:link w:val="Ttulo2"/>
    <w:uiPriority w:val="9"/>
    <w:semiHidden/>
    <w:rsid w:val="0011236C"/>
    <w:rPr>
      <w:rFonts w:asciiTheme="majorHAnsi" w:eastAsiaTheme="majorEastAsia" w:hAnsiTheme="majorHAnsi" w:cstheme="majorBidi"/>
      <w:color w:val="365F91" w:themeColor="accent1" w:themeShade="BF"/>
      <w:sz w:val="26"/>
      <w:szCs w:val="26"/>
      <w:lang w:val="es-ES" w:eastAsia="es-ES"/>
    </w:rPr>
  </w:style>
  <w:style w:type="character" w:customStyle="1" w:styleId="Ttulo3Car">
    <w:name w:val="Título 3 Car"/>
    <w:basedOn w:val="Fuentedeprrafopredeter"/>
    <w:link w:val="Ttulo3"/>
    <w:uiPriority w:val="9"/>
    <w:semiHidden/>
    <w:rsid w:val="0011236C"/>
    <w:rPr>
      <w:rFonts w:ascii="Times New Roman" w:eastAsia="Times New Roman" w:hAnsi="Times New Roman" w:cs="Times New Roman"/>
      <w:b/>
      <w:bCs/>
      <w:sz w:val="27"/>
      <w:szCs w:val="27"/>
      <w:lang w:eastAsia="es-CO"/>
    </w:rPr>
  </w:style>
  <w:style w:type="character" w:styleId="Hipervnculovisitado">
    <w:name w:val="FollowedHyperlink"/>
    <w:basedOn w:val="Fuentedeprrafopredeter"/>
    <w:uiPriority w:val="99"/>
    <w:semiHidden/>
    <w:unhideWhenUsed/>
    <w:rsid w:val="0011236C"/>
    <w:rPr>
      <w:color w:val="800080" w:themeColor="followedHyperlink"/>
      <w:u w:val="single"/>
    </w:rPr>
  </w:style>
  <w:style w:type="character" w:customStyle="1" w:styleId="TextonotapieCar">
    <w:name w:val="Texto nota pie Car"/>
    <w:aliases w:val="Ref. de nota al pie1 Car,Texto de nota al pie Car,Footnotes refss Car,referencia nota al pie Car,BVI fnr Car,Ref. de nota al pie 2 Car,Footnote Text Char Car,Footnote Text Char Char Char Char Car,FA Fu Car,ft Car Car Car Car"/>
    <w:basedOn w:val="Fuentedeprrafopredeter"/>
    <w:link w:val="Textonotapie"/>
    <w:uiPriority w:val="99"/>
    <w:locked/>
    <w:rsid w:val="0011236C"/>
    <w:rPr>
      <w:rFonts w:ascii="Times New Roman" w:eastAsia="MS Mincho" w:hAnsi="Times New Roman" w:cs="Times New Roman"/>
      <w:sz w:val="20"/>
      <w:szCs w:val="20"/>
      <w:lang w:val="es-ES" w:eastAsia="es-ES"/>
    </w:rPr>
  </w:style>
  <w:style w:type="paragraph" w:styleId="Textonotapie">
    <w:name w:val="footnote text"/>
    <w:aliases w:val="Ref. de nota al pie1,Texto de nota al pie,Footnotes refss,referencia nota al pie,BVI fnr,Ref. de nota al pie 2,Footnote Text Char,Footnote Text Char Char Char Char,Footnote Text Char Char Char Char Char Char Char Char,FA Fu,ft Car Car Car"/>
    <w:basedOn w:val="Normal"/>
    <w:link w:val="TextonotapieCar"/>
    <w:uiPriority w:val="99"/>
    <w:unhideWhenUsed/>
    <w:qFormat/>
    <w:rsid w:val="0011236C"/>
    <w:rPr>
      <w:sz w:val="20"/>
      <w:szCs w:val="20"/>
    </w:rPr>
  </w:style>
  <w:style w:type="character" w:customStyle="1" w:styleId="TextonotapieCar1">
    <w:name w:val="Texto nota pie Car1"/>
    <w:aliases w:val="Ref. de nota al pie1 Car1,Texto de nota al pie Car1,Footnotes refss Car1,referencia nota al pie Car1,BVI fnr Car1,Ref. de nota al pie 2 Car1,Footnote Text Char Car1,Footnote Text Char Char Char Char Car1,FA Fu Car1"/>
    <w:basedOn w:val="Fuentedeprrafopredeter"/>
    <w:uiPriority w:val="99"/>
    <w:semiHidden/>
    <w:rsid w:val="0011236C"/>
    <w:rPr>
      <w:rFonts w:ascii="Times New Roman" w:eastAsia="MS Mincho" w:hAnsi="Times New Roman" w:cs="Times New Roman"/>
      <w:sz w:val="20"/>
      <w:szCs w:val="20"/>
      <w:lang w:val="es-ES" w:eastAsia="es-ES"/>
    </w:rPr>
  </w:style>
  <w:style w:type="character" w:customStyle="1" w:styleId="SinespaciadoCar">
    <w:name w:val="Sin espaciado Car"/>
    <w:basedOn w:val="Fuentedeprrafopredeter"/>
    <w:link w:val="Sinespaciado"/>
    <w:uiPriority w:val="1"/>
    <w:locked/>
    <w:rsid w:val="0011236C"/>
  </w:style>
  <w:style w:type="paragraph" w:customStyle="1" w:styleId="Default">
    <w:name w:val="Default"/>
    <w:rsid w:val="0011236C"/>
    <w:pPr>
      <w:autoSpaceDE w:val="0"/>
      <w:autoSpaceDN w:val="0"/>
      <w:adjustRightInd w:val="0"/>
    </w:pPr>
    <w:rPr>
      <w:rFonts w:ascii="Arial" w:hAnsi="Arial" w:cs="Arial"/>
      <w:color w:val="000000"/>
      <w:sz w:val="24"/>
      <w:szCs w:val="24"/>
    </w:rPr>
  </w:style>
  <w:style w:type="character" w:styleId="Refdenotaalpie">
    <w:name w:val="footnote reference"/>
    <w:aliases w:val="Texto Nota Pie de Pagina,Ref. de nota al pie2,Nota de pie,Ref,de nota al pie,Footnote symbol,Footnote,FC,Pie de pagina,Texto nota al pie,Appel note de bas de p,Ref1,16 Point,ftref,F"/>
    <w:basedOn w:val="Fuentedeprrafopredeter"/>
    <w:uiPriority w:val="99"/>
    <w:unhideWhenUsed/>
    <w:qFormat/>
    <w:rsid w:val="0011236C"/>
    <w:rPr>
      <w:vertAlign w:val="superscript"/>
    </w:rPr>
  </w:style>
  <w:style w:type="character" w:customStyle="1" w:styleId="mw-headline">
    <w:name w:val="mw-headline"/>
    <w:basedOn w:val="Fuentedeprrafopredeter"/>
    <w:rsid w:val="0011236C"/>
  </w:style>
  <w:style w:type="character" w:customStyle="1" w:styleId="mw-editsection">
    <w:name w:val="mw-editsection"/>
    <w:basedOn w:val="Fuentedeprrafopredeter"/>
    <w:rsid w:val="0011236C"/>
  </w:style>
  <w:style w:type="character" w:customStyle="1" w:styleId="mw-editsection-bracket">
    <w:name w:val="mw-editsection-bracket"/>
    <w:basedOn w:val="Fuentedeprrafopredeter"/>
    <w:rsid w:val="0011236C"/>
  </w:style>
  <w:style w:type="table" w:styleId="Tablanormal2">
    <w:name w:val="Plain Table 2"/>
    <w:basedOn w:val="Tablanormal"/>
    <w:uiPriority w:val="42"/>
    <w:rsid w:val="0011236C"/>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15">
    <w:name w:val="Tabla con cuadrícula15"/>
    <w:basedOn w:val="Tablanormal"/>
    <w:uiPriority w:val="59"/>
    <w:rsid w:val="0011236C"/>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detablaclara">
    <w:name w:val="Grid Table Light"/>
    <w:basedOn w:val="Tablanormal"/>
    <w:uiPriority w:val="40"/>
    <w:rsid w:val="0011236C"/>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rrafodelistaCar">
    <w:name w:val="Párrafo de lista Car"/>
    <w:aliases w:val="titulo 3 Car,Ha Car,Bullets Car,List Paragraph Car"/>
    <w:link w:val="Prrafodelista"/>
    <w:uiPriority w:val="34"/>
    <w:locked/>
    <w:rsid w:val="0011236C"/>
    <w:rPr>
      <w:rFonts w:ascii="Times New Roman" w:eastAsia="MS Mincho"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823940">
      <w:bodyDiv w:val="1"/>
      <w:marLeft w:val="0"/>
      <w:marRight w:val="0"/>
      <w:marTop w:val="0"/>
      <w:marBottom w:val="0"/>
      <w:divBdr>
        <w:top w:val="none" w:sz="0" w:space="0" w:color="auto"/>
        <w:left w:val="none" w:sz="0" w:space="0" w:color="auto"/>
        <w:bottom w:val="none" w:sz="0" w:space="0" w:color="auto"/>
        <w:right w:val="none" w:sz="0" w:space="0" w:color="auto"/>
      </w:divBdr>
    </w:div>
    <w:div w:id="303051801">
      <w:bodyDiv w:val="1"/>
      <w:marLeft w:val="0"/>
      <w:marRight w:val="0"/>
      <w:marTop w:val="0"/>
      <w:marBottom w:val="0"/>
      <w:divBdr>
        <w:top w:val="none" w:sz="0" w:space="0" w:color="auto"/>
        <w:left w:val="none" w:sz="0" w:space="0" w:color="auto"/>
        <w:bottom w:val="none" w:sz="0" w:space="0" w:color="auto"/>
        <w:right w:val="none" w:sz="0" w:space="0" w:color="auto"/>
      </w:divBdr>
    </w:div>
    <w:div w:id="625696727">
      <w:bodyDiv w:val="1"/>
      <w:marLeft w:val="0"/>
      <w:marRight w:val="0"/>
      <w:marTop w:val="0"/>
      <w:marBottom w:val="0"/>
      <w:divBdr>
        <w:top w:val="none" w:sz="0" w:space="0" w:color="auto"/>
        <w:left w:val="none" w:sz="0" w:space="0" w:color="auto"/>
        <w:bottom w:val="none" w:sz="0" w:space="0" w:color="auto"/>
        <w:right w:val="none" w:sz="0" w:space="0" w:color="auto"/>
      </w:divBdr>
    </w:div>
    <w:div w:id="1299611285">
      <w:bodyDiv w:val="1"/>
      <w:marLeft w:val="0"/>
      <w:marRight w:val="0"/>
      <w:marTop w:val="0"/>
      <w:marBottom w:val="0"/>
      <w:divBdr>
        <w:top w:val="none" w:sz="0" w:space="0" w:color="auto"/>
        <w:left w:val="none" w:sz="0" w:space="0" w:color="auto"/>
        <w:bottom w:val="none" w:sz="0" w:space="0" w:color="auto"/>
        <w:right w:val="none" w:sz="0" w:space="0" w:color="auto"/>
      </w:divBdr>
    </w:div>
    <w:div w:id="1883787966">
      <w:bodyDiv w:val="1"/>
      <w:marLeft w:val="0"/>
      <w:marRight w:val="0"/>
      <w:marTop w:val="0"/>
      <w:marBottom w:val="0"/>
      <w:divBdr>
        <w:top w:val="none" w:sz="0" w:space="0" w:color="auto"/>
        <w:left w:val="none" w:sz="0" w:space="0" w:color="auto"/>
        <w:bottom w:val="none" w:sz="0" w:space="0" w:color="auto"/>
        <w:right w:val="none" w:sz="0" w:space="0" w:color="auto"/>
      </w:divBdr>
    </w:div>
    <w:div w:id="2084449455">
      <w:bodyDiv w:val="1"/>
      <w:marLeft w:val="0"/>
      <w:marRight w:val="0"/>
      <w:marTop w:val="0"/>
      <w:marBottom w:val="0"/>
      <w:divBdr>
        <w:top w:val="none" w:sz="0" w:space="0" w:color="auto"/>
        <w:left w:val="none" w:sz="0" w:space="0" w:color="auto"/>
        <w:bottom w:val="none" w:sz="0" w:space="0" w:color="auto"/>
        <w:right w:val="none" w:sz="0" w:space="0" w:color="auto"/>
      </w:divBdr>
    </w:div>
    <w:div w:id="211833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Mar_Caribe" TargetMode="External"/><Relationship Id="rId18" Type="http://schemas.openxmlformats.org/officeDocument/2006/relationships/hyperlink" Target="https://es.wikipedia.org/wiki/Provincias_de_Magdalena" TargetMode="External"/><Relationship Id="rId26" Type="http://schemas.openxmlformats.org/officeDocument/2006/relationships/hyperlink" Target="https://es.wikipedia.org/wiki/Zona_Bananera" TargetMode="External"/><Relationship Id="rId39" Type="http://schemas.openxmlformats.org/officeDocument/2006/relationships/footer" Target="footer1.xml"/><Relationship Id="rId21" Type="http://schemas.openxmlformats.org/officeDocument/2006/relationships/hyperlink" Target="https://es.wikipedia.org/wiki/Mar_Caribe" TargetMode="External"/><Relationship Id="rId34" Type="http://schemas.openxmlformats.org/officeDocument/2006/relationships/chart" Target="charts/chart1.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s.wikipedia.org/wiki/Bol%C3%ADvar_(Colombia)" TargetMode="External"/><Relationship Id="rId20" Type="http://schemas.openxmlformats.org/officeDocument/2006/relationships/hyperlink" Target="https://es.wikipedia.org/wiki/Ci%C3%A9naga_Grande_de_Santa_Marta" TargetMode="External"/><Relationship Id="rId29" Type="http://schemas.openxmlformats.org/officeDocument/2006/relationships/hyperlink" Target="https://es.wikipedia.org/wiki/Parque_nacional_natural_Sierra_Nevada_de_Santa_Marta" TargetMode="External"/><Relationship Id="rId41" Type="http://schemas.openxmlformats.org/officeDocument/2006/relationships/footer" Target="footer2.xml"/><Relationship Id="rId40" Type="http://schemas.openxmlformats.org/officeDocument/2006/relationships/header" Target="header2.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es.wikipedia.org/wiki/Ci%C3%A9naga_(Magdalena)" TargetMode="External"/><Relationship Id="rId32" Type="http://schemas.openxmlformats.org/officeDocument/2006/relationships/image" Target="media/image2.png"/><Relationship Id="rId37"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yperlink" Target="https://es.wikipedia.org/wiki/Cesar" TargetMode="External"/><Relationship Id="rId23" Type="http://schemas.openxmlformats.org/officeDocument/2006/relationships/hyperlink" Target="https://es.wikipedia.org/wiki/Aracataca" TargetMode="External"/><Relationship Id="rId28" Type="http://schemas.openxmlformats.org/officeDocument/2006/relationships/hyperlink" Target="https://es.wikipedia.org/wiki/Parque_nacional_natural_Tayrona" TargetMode="External"/><Relationship Id="rId36"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hyperlink" Target="https://es.wikipedia.org/wiki/Parque_nacional_natural_Sierra_Nevada_de_Santa_Marta" TargetMode="External"/><Relationship Id="rId31" Type="http://schemas.openxmlformats.org/officeDocument/2006/relationships/hyperlink" Target="https://es.wikipedia.org/wiki/Ecosistema" TargetMode="External"/><Relationship Id="rId44"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wikipedia.org/wiki/La_Guajira" TargetMode="External"/><Relationship Id="rId22" Type="http://schemas.openxmlformats.org/officeDocument/2006/relationships/hyperlink" Target="https://es.wikipedia.org/wiki/Fundaci%C3%B3n_(Magdalena)" TargetMode="External"/><Relationship Id="rId27" Type="http://schemas.openxmlformats.org/officeDocument/2006/relationships/hyperlink" Target="https://es.wikipedia.org/wiki/Santa_Marta_(Colombia)" TargetMode="External"/><Relationship Id="rId30" Type="http://schemas.openxmlformats.org/officeDocument/2006/relationships/hyperlink" Target="https://es.wikipedia.org/wiki/Miner%C3%ADa_ilegal_en_Colombia" TargetMode="External"/><Relationship Id="rId35" Type="http://schemas.openxmlformats.org/officeDocument/2006/relationships/image" Target="media/image3.emf"/><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s.wikipedia.org/wiki/Sierra_Nevada_de_Santa_Marta" TargetMode="External"/><Relationship Id="rId17" Type="http://schemas.openxmlformats.org/officeDocument/2006/relationships/hyperlink" Target="https://es.wikipedia.org/wiki/Atl%C3%A1ntico_(Colombia)" TargetMode="External"/><Relationship Id="rId25" Type="http://schemas.openxmlformats.org/officeDocument/2006/relationships/hyperlink" Target="https://es.wikipedia.org/wiki/El_Ret%C3%A9n" TargetMode="External"/><Relationship Id="rId33" Type="http://schemas.openxmlformats.org/officeDocument/2006/relationships/hyperlink" Target="http://www.wikipedia.org"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9.png@01D48D50.4B8C8F30" TargetMode="External"/><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9.png@01D48D50.4B8C8F30" TargetMode="External"/><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F:\MCHP_2013\Area_Correspondencia\Plantillas\Plantillas_Finales\017-Presidencia_Octubre_2014\Dotx\Plantilla_Oficio_Comunicaci&#243;n_Oficial_Enviada.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BK%20Oscar\DECRETO_028\MAGDALENA\INFOGRAFIA_MAGDALEN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s-CO" sz="1100"/>
              <a:t>ESE CATEGORIZADAS EN RIESGO MEDIO - ALTO</a:t>
            </a:r>
            <a:endParaRPr lang="es-CO"/>
          </a:p>
          <a:p>
            <a:pPr>
              <a:defRPr/>
            </a:pPr>
            <a:r>
              <a:rPr lang="es-CO" sz="800"/>
              <a:t>NÚMERO DE ESE</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s-CO"/>
        </a:p>
      </c:txPr>
    </c:title>
    <c:autoTitleDeleted val="0"/>
    <c:plotArea>
      <c:layout/>
      <c:barChart>
        <c:barDir val="col"/>
        <c:grouping val="clustered"/>
        <c:varyColors val="0"/>
        <c:ser>
          <c:idx val="0"/>
          <c:order val="0"/>
          <c:tx>
            <c:strRef>
              <c:f>Datos!$Q$60</c:f>
              <c:strCache>
                <c:ptCount val="1"/>
                <c:pt idx="0">
                  <c:v>RIESGO 
ALTO</c:v>
                </c:pt>
              </c:strCache>
            </c:strRef>
          </c:tx>
          <c:spPr>
            <a:solidFill>
              <a:schemeClr val="accent1"/>
            </a:solidFill>
            <a:ln>
              <a:noFill/>
            </a:ln>
            <a:effectLst/>
          </c:spPr>
          <c:invertIfNegative val="0"/>
          <c:cat>
            <c:strRef>
              <c:f>Datos!$P$61:$P$68</c:f>
              <c:strCache>
                <c:ptCount val="8"/>
                <c:pt idx="0">
                  <c:v>Año 2012 
Resol.2509</c:v>
                </c:pt>
                <c:pt idx="1">
                  <c:v>Año 2013
Resol.1877</c:v>
                </c:pt>
                <c:pt idx="2">
                  <c:v>Año 2014
Resol.2090</c:v>
                </c:pt>
                <c:pt idx="3">
                  <c:v>Año 2015
Resol.1893/5597</c:v>
                </c:pt>
                <c:pt idx="4">
                  <c:v>Año 2016
Resol.2184/3916</c:v>
                </c:pt>
                <c:pt idx="5">
                  <c:v>Año 2017
Resol.1755</c:v>
                </c:pt>
                <c:pt idx="6">
                  <c:v>Año 2018
Resol.2249</c:v>
                </c:pt>
                <c:pt idx="7">
                  <c:v>Año 2019
Resol.1342</c:v>
                </c:pt>
              </c:strCache>
            </c:strRef>
          </c:cat>
          <c:val>
            <c:numRef>
              <c:f>Datos!$Q$61:$Q$68</c:f>
              <c:numCache>
                <c:formatCode>_(* #,##0_);_(* \(#,##0\);_(* "-"_);_(@_)</c:formatCode>
                <c:ptCount val="8"/>
                <c:pt idx="0">
                  <c:v>21</c:v>
                </c:pt>
                <c:pt idx="1">
                  <c:v>21</c:v>
                </c:pt>
                <c:pt idx="2">
                  <c:v>24</c:v>
                </c:pt>
                <c:pt idx="3">
                  <c:v>12</c:v>
                </c:pt>
                <c:pt idx="4">
                  <c:v>11</c:v>
                </c:pt>
                <c:pt idx="5">
                  <c:v>15</c:v>
                </c:pt>
                <c:pt idx="6">
                  <c:v>15</c:v>
                </c:pt>
                <c:pt idx="7">
                  <c:v>8</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0-4D89-4D8E-9921-C1F0C5FC5A11}"/>
            </c:ext>
          </c:extLst>
        </c:ser>
        <c:ser>
          <c:idx val="1"/>
          <c:order val="1"/>
          <c:tx>
            <c:strRef>
              <c:f>Datos!$R$60</c:f>
              <c:strCache>
                <c:ptCount val="1"/>
                <c:pt idx="0">
                  <c:v>RIESGO 
MEDIO</c:v>
                </c:pt>
              </c:strCache>
            </c:strRef>
          </c:tx>
          <c:spPr>
            <a:solidFill>
              <a:schemeClr val="accent2"/>
            </a:solidFill>
            <a:ln>
              <a:noFill/>
            </a:ln>
            <a:effectLst/>
          </c:spPr>
          <c:invertIfNegative val="0"/>
          <c:cat>
            <c:strRef>
              <c:f>Datos!$P$61:$P$68</c:f>
              <c:strCache>
                <c:ptCount val="8"/>
                <c:pt idx="0">
                  <c:v>Año 2012 
Resol.2509</c:v>
                </c:pt>
                <c:pt idx="1">
                  <c:v>Año 2013
Resol.1877</c:v>
                </c:pt>
                <c:pt idx="2">
                  <c:v>Año 2014
Resol.2090</c:v>
                </c:pt>
                <c:pt idx="3">
                  <c:v>Año 2015
Resol.1893/5597</c:v>
                </c:pt>
                <c:pt idx="4">
                  <c:v>Año 2016
Resol.2184/3916</c:v>
                </c:pt>
                <c:pt idx="5">
                  <c:v>Año 2017
Resol.1755</c:v>
                </c:pt>
                <c:pt idx="6">
                  <c:v>Año 2018
Resol.2249</c:v>
                </c:pt>
                <c:pt idx="7">
                  <c:v>Año 2019
Resol.1342</c:v>
                </c:pt>
              </c:strCache>
            </c:strRef>
          </c:cat>
          <c:val>
            <c:numRef>
              <c:f>Datos!$R$61:$R$68</c:f>
              <c:numCache>
                <c:formatCode>_(* #,##0_);_(* \(#,##0\);_(* "-"_);_(@_)</c:formatCode>
                <c:ptCount val="8"/>
                <c:pt idx="0">
                  <c:v>2</c:v>
                </c:pt>
                <c:pt idx="1">
                  <c:v>3</c:v>
                </c:pt>
                <c:pt idx="2">
                  <c:v>3</c:v>
                </c:pt>
                <c:pt idx="3">
                  <c:v>6</c:v>
                </c:pt>
                <c:pt idx="4">
                  <c:v>3</c:v>
                </c:pt>
                <c:pt idx="5">
                  <c:v>5</c:v>
                </c:pt>
                <c:pt idx="6">
                  <c:v>5</c:v>
                </c:pt>
                <c:pt idx="7">
                  <c:v>4</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1-4D89-4D8E-9921-C1F0C5FC5A11}"/>
            </c:ext>
          </c:extLst>
        </c:ser>
        <c:dLbls>
          <c:showLegendKey val="0"/>
          <c:showVal val="0"/>
          <c:showCatName val="0"/>
          <c:showSerName val="0"/>
          <c:showPercent val="0"/>
          <c:showBubbleSize val="0"/>
        </c:dLbls>
        <c:gapWidth val="219"/>
        <c:overlap val="-27"/>
        <c:axId val="1762039087"/>
        <c:axId val="1762042415"/>
      </c:barChart>
      <c:lineChart>
        <c:grouping val="standard"/>
        <c:varyColors val="0"/>
        <c:ser>
          <c:idx val="2"/>
          <c:order val="2"/>
          <c:tx>
            <c:strRef>
              <c:f>Datos!$S$60</c:f>
              <c:strCache>
                <c:ptCount val="1"/>
                <c:pt idx="0">
                  <c:v>TOTAL ESE EN RIESGO</c:v>
                </c:pt>
              </c:strCache>
            </c:strRef>
          </c:tx>
          <c:spPr>
            <a:ln w="28575" cap="rnd">
              <a:solidFill>
                <a:schemeClr val="accent3"/>
              </a:solidFill>
              <a:round/>
            </a:ln>
            <a:effectLst/>
          </c:spPr>
          <c:marker>
            <c:symbol val="none"/>
          </c:marker>
          <c:cat>
            <c:strRef>
              <c:f>Datos!$P$61:$P$68</c:f>
              <c:strCache>
                <c:ptCount val="8"/>
                <c:pt idx="0">
                  <c:v>Año 2012 
Resol.2509</c:v>
                </c:pt>
                <c:pt idx="1">
                  <c:v>Año 2013
Resol.1877</c:v>
                </c:pt>
                <c:pt idx="2">
                  <c:v>Año 2014
Resol.2090</c:v>
                </c:pt>
                <c:pt idx="3">
                  <c:v>Año 2015
Resol.1893/5597</c:v>
                </c:pt>
                <c:pt idx="4">
                  <c:v>Año 2016
Resol.2184/3916</c:v>
                </c:pt>
                <c:pt idx="5">
                  <c:v>Año 2017
Resol.1755</c:v>
                </c:pt>
                <c:pt idx="6">
                  <c:v>Año 2018
Resol.2249</c:v>
                </c:pt>
                <c:pt idx="7">
                  <c:v>Año 2019
Resol.1342</c:v>
                </c:pt>
              </c:strCache>
            </c:strRef>
          </c:cat>
          <c:val>
            <c:numRef>
              <c:f>Datos!$S$61:$S$68</c:f>
              <c:numCache>
                <c:formatCode>_(* #,##0_);_(* \(#,##0\);_(* "-"_);_(@_)</c:formatCode>
                <c:ptCount val="8"/>
                <c:pt idx="0">
                  <c:v>23</c:v>
                </c:pt>
                <c:pt idx="1">
                  <c:v>24</c:v>
                </c:pt>
                <c:pt idx="2">
                  <c:v>27</c:v>
                </c:pt>
                <c:pt idx="3">
                  <c:v>18</c:v>
                </c:pt>
                <c:pt idx="4">
                  <c:v>14</c:v>
                </c:pt>
                <c:pt idx="5">
                  <c:v>19</c:v>
                </c:pt>
                <c:pt idx="6">
                  <c:v>20</c:v>
                </c:pt>
                <c:pt idx="7">
                  <c:v>12</c:v>
                </c:pt>
              </c:numCache>
            </c:numRef>
          </c:val>
          <c:smooth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2-4D89-4D8E-9921-C1F0C5FC5A11}"/>
            </c:ext>
          </c:extLst>
        </c:ser>
        <c:ser>
          <c:idx val="3"/>
          <c:order val="3"/>
          <c:tx>
            <c:strRef>
              <c:f>Datos!$T$60</c:f>
              <c:strCache>
                <c:ptCount val="1"/>
                <c:pt idx="0">
                  <c:v>TOTAL ESE
</c:v>
                </c:pt>
              </c:strCache>
            </c:strRef>
          </c:tx>
          <c:spPr>
            <a:ln w="28575" cap="rnd">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CO"/>
              </a:p>
            </c:txPr>
            <c:showLegendKey val="0"/>
            <c:showVal val="1"/>
            <c:showCatName val="0"/>
            <c:showSerName val="0"/>
            <c:showPercent val="0"/>
            <c:showBubbleSize val="0"/>
            <c:showLeaderLines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15:showLeaderLines val="0"/>
              </c:ext>
            </c:extLst>
          </c:dLbls>
          <c:cat>
            <c:strRef>
              <c:f>Datos!$P$61:$P$68</c:f>
              <c:strCache>
                <c:ptCount val="8"/>
                <c:pt idx="0">
                  <c:v>Año 2012 
Resol.2509</c:v>
                </c:pt>
                <c:pt idx="1">
                  <c:v>Año 2013
Resol.1877</c:v>
                </c:pt>
                <c:pt idx="2">
                  <c:v>Año 2014
Resol.2090</c:v>
                </c:pt>
                <c:pt idx="3">
                  <c:v>Año 2015
Resol.1893/5597</c:v>
                </c:pt>
                <c:pt idx="4">
                  <c:v>Año 2016
Resol.2184/3916</c:v>
                </c:pt>
                <c:pt idx="5">
                  <c:v>Año 2017
Resol.1755</c:v>
                </c:pt>
                <c:pt idx="6">
                  <c:v>Año 2018
Resol.2249</c:v>
                </c:pt>
                <c:pt idx="7">
                  <c:v>Año 2019
Resol.1342</c:v>
                </c:pt>
              </c:strCache>
            </c:strRef>
          </c:cat>
          <c:val>
            <c:numRef>
              <c:f>Datos!$T$61:$T$68</c:f>
              <c:numCache>
                <c:formatCode>_(* #,##0_);_(* \(#,##0\);_(* "-"_);_(@_)</c:formatCode>
                <c:ptCount val="8"/>
                <c:pt idx="0">
                  <c:v>33</c:v>
                </c:pt>
                <c:pt idx="1">
                  <c:v>33</c:v>
                </c:pt>
                <c:pt idx="2">
                  <c:v>33</c:v>
                </c:pt>
                <c:pt idx="3">
                  <c:v>33</c:v>
                </c:pt>
                <c:pt idx="4">
                  <c:v>33</c:v>
                </c:pt>
                <c:pt idx="5">
                  <c:v>33</c:v>
                </c:pt>
                <c:pt idx="6">
                  <c:v>33</c:v>
                </c:pt>
                <c:pt idx="7">
                  <c:v>33</c:v>
                </c:pt>
              </c:numCache>
            </c:numRef>
          </c:val>
          <c:smooth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3-4D89-4D8E-9921-C1F0C5FC5A11}"/>
            </c:ext>
          </c:extLst>
        </c:ser>
        <c:dLbls>
          <c:showLegendKey val="0"/>
          <c:showVal val="0"/>
          <c:showCatName val="0"/>
          <c:showSerName val="0"/>
          <c:showPercent val="0"/>
          <c:showBubbleSize val="0"/>
        </c:dLbls>
        <c:marker val="1"/>
        <c:smooth val="0"/>
        <c:axId val="1762039087"/>
        <c:axId val="1762042415"/>
      </c:lineChart>
      <c:catAx>
        <c:axId val="17620390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700" b="0" i="0" u="none" strike="noStrike" kern="1200" baseline="0">
                <a:solidFill>
                  <a:sysClr val="windowText" lastClr="000000"/>
                </a:solidFill>
                <a:latin typeface="+mn-lt"/>
                <a:ea typeface="+mn-ea"/>
                <a:cs typeface="+mn-cs"/>
              </a:defRPr>
            </a:pPr>
            <a:endParaRPr lang="es-CO"/>
          </a:p>
        </c:txPr>
        <c:crossAx val="1762042415"/>
        <c:crosses val="autoZero"/>
        <c:auto val="1"/>
        <c:lblAlgn val="ctr"/>
        <c:lblOffset val="100"/>
        <c:noMultiLvlLbl val="0"/>
      </c:catAx>
      <c:valAx>
        <c:axId val="1762042415"/>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CO"/>
          </a:p>
        </c:txPr>
        <c:crossAx val="17620390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s-CO"/>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5.xml><?xml version="1.0" encoding="utf-8"?>
<p:properties xmlns:p="http://schemas.microsoft.com/office/2006/metadata/properties" xmlns:xsi="http://www.w3.org/2001/XMLSchema-instance" xmlns:pc="http://schemas.microsoft.com/office/infopath/2007/PartnerControls">
  <documentManagement>
    <Fecha xmlns="2b710913-f553-4708-ac69-012d148fa8aa" xsi:nil="true"/>
    <Fecha1 xmlns="2b710913-f553-4708-ac69-012d148fa8aa" xsi:nil="true"/>
    <Cargado xmlns="2b710913-f553-4708-ac69-012d148fa8aa">false</Cargado>
    <lcf76f155ced4ddcb4097134ff3c332f xmlns="2b710913-f553-4708-ac69-012d148fa8aa">
      <Terms xmlns="http://schemas.microsoft.com/office/infopath/2007/PartnerControls"/>
    </lcf76f155ced4ddcb4097134ff3c332f>
    <SEMANA xmlns="2b710913-f553-4708-ac69-012d148fa8aa"/>
    <TaxCatchAll xmlns="fb81f478-06d5-40fe-9ac3-32aa24d1e628" xsi:nil="true"/>
  </documentManagement>
</p:properties>
</file>

<file path=customXml/itemProps1.xml><?xml version="1.0" encoding="utf-8"?>
<ds:datastoreItem xmlns:ds="http://schemas.openxmlformats.org/officeDocument/2006/customXml" ds:itemID="{193EFF50-D46A-43E1-97BB-C7CA6A9B77F7}">
  <ds:schemaRefs>
    <ds:schemaRef ds:uri="http://schemas.microsoft.com/sharepoint/events"/>
  </ds:schemaRefs>
</ds:datastoreItem>
</file>

<file path=customXml/itemProps2.xml><?xml version="1.0" encoding="utf-8"?>
<ds:datastoreItem xmlns:ds="http://schemas.openxmlformats.org/officeDocument/2006/customXml" ds:itemID="{17F042F5-4907-48D7-8A81-7EF262BF09EB}"/>
</file>

<file path=customXml/itemProps3.xml><?xml version="1.0" encoding="utf-8"?>
<ds:datastoreItem xmlns:ds="http://schemas.openxmlformats.org/officeDocument/2006/customXml" ds:itemID="{FADBE196-B816-4A66-9149-D08CBC40413F}">
  <ds:schemaRefs>
    <ds:schemaRef ds:uri="http://schemas.microsoft.com/sharepoint/v3/contenttype/forms"/>
  </ds:schemaRefs>
</ds:datastoreItem>
</file>

<file path=customXml/itemProps4.xml><?xml version="1.0" encoding="utf-8"?>
<ds:datastoreItem xmlns:ds="http://schemas.openxmlformats.org/officeDocument/2006/customXml" ds:itemID="{8A1AE28E-73AC-4084-9469-A34BE001C1EA}">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xml><?xml version="1.0" encoding="utf-8"?>
<ds:datastoreItem xmlns:ds="http://schemas.openxmlformats.org/officeDocument/2006/customXml" ds:itemID="{64090C2D-2135-4F4B-9559-D9D1F387CB5E}"/>
</file>

<file path=docProps/app.xml><?xml version="1.0" encoding="utf-8"?>
<Properties xmlns="http://schemas.openxmlformats.org/officeDocument/2006/extended-properties" xmlns:vt="http://schemas.openxmlformats.org/officeDocument/2006/docPropsVTypes">
  <Template>Plantilla_Oficio_Comunicación_Oficial_Enviada</Template>
  <TotalTime>1</TotalTime>
  <Pages>28</Pages>
  <Words>10373</Words>
  <Characters>57054</Characters>
  <Application>Microsoft Office Word</Application>
  <DocSecurity>0</DocSecurity>
  <Lines>475</Lines>
  <Paragraphs>134</Paragraphs>
  <ScaleCrop>false</ScaleCrop>
  <HeadingPairs>
    <vt:vector size="2" baseType="variant">
      <vt:variant>
        <vt:lpstr>Título</vt:lpstr>
      </vt:variant>
      <vt:variant>
        <vt:i4>1</vt:i4>
      </vt:variant>
    </vt:vector>
  </HeadingPairs>
  <TitlesOfParts>
    <vt:vector size="1" baseType="lpstr">
      <vt:lpstr>Oficio</vt:lpstr>
    </vt:vector>
  </TitlesOfParts>
  <Company>Ministerio de Hacienda y Crédito Público</Company>
  <LinksUpToDate>false</LinksUpToDate>
  <CharactersWithSpaces>67293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dc:title>
  <dc:subject>Plantilla Oficio - Comunicacion Oficial Enviada</dc:subject>
  <dc:creator>Freddy Jaramillo Orozco</dc:creator>
  <cp:lastModifiedBy>Pablo Andres Parra Cubides</cp:lastModifiedBy>
  <cp:revision>2</cp:revision>
  <cp:lastPrinted>2015-12-16T15:04:00Z</cp:lastPrinted>
  <dcterms:created xsi:type="dcterms:W3CDTF">2022-06-18T04:56:00Z</dcterms:created>
  <dcterms:modified xsi:type="dcterms:W3CDTF">2022-06-18T04:56:00Z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y fmtid="{D5CDD505-2E9C-101B-9397-08002B2CF9AE}" pid="3" name="_dlc_DocIdItemGuid">
    <vt:lpwstr>32ad9c75-59dc-440c-a5b9-740cae9ef08c</vt:lpwstr>
  </property>
</Properties>
</file>