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Override1.xml" ContentType="application/vnd.openxmlformats-officedocument.themeOverride+xml"/>
  <Override PartName="/word/charts/style1.xml" ContentType="application/vnd.ms-office.chartstyle+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F5302" w14:textId="3C6CA990" w:rsidR="00643CE2" w:rsidRDefault="00643CE2" w:rsidP="00643CE2">
      <w:pPr>
        <w:pStyle w:val="Sinespaciado"/>
        <w:spacing w:line="276" w:lineRule="auto"/>
        <w:jc w:val="center"/>
        <w:rPr>
          <w:rFonts w:ascii="Arial" w:hAnsi="Arial" w:cs="Arial"/>
          <w:b/>
        </w:rPr>
      </w:pPr>
      <w:bookmarkStart w:id="0" w:name="_GoBack"/>
      <w:bookmarkEnd w:id="0"/>
      <w:r w:rsidRPr="0044100E">
        <w:rPr>
          <w:rFonts w:ascii="Arial" w:hAnsi="Arial" w:cs="Arial"/>
          <w:b/>
        </w:rPr>
        <w:t xml:space="preserve">INFORME DE PREDIAGNÓSTICO </w:t>
      </w:r>
    </w:p>
    <w:p w14:paraId="2FB1DDA5" w14:textId="77777777" w:rsidR="0044100E" w:rsidRPr="0044100E" w:rsidRDefault="0044100E" w:rsidP="00643CE2">
      <w:pPr>
        <w:pStyle w:val="Sinespaciado"/>
        <w:spacing w:line="276" w:lineRule="auto"/>
        <w:jc w:val="center"/>
        <w:rPr>
          <w:rFonts w:ascii="Arial" w:hAnsi="Arial" w:cs="Arial"/>
          <w:b/>
        </w:rPr>
      </w:pPr>
    </w:p>
    <w:tbl>
      <w:tblPr>
        <w:tblStyle w:val="Tablaconcuadrcula"/>
        <w:tblW w:w="0" w:type="auto"/>
        <w:jc w:val="center"/>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1951"/>
        <w:gridCol w:w="5670"/>
      </w:tblGrid>
      <w:tr w:rsidR="00643CE2" w:rsidRPr="0044100E" w14:paraId="337D8C7C" w14:textId="77777777" w:rsidTr="00643CE2">
        <w:trPr>
          <w:jc w:val="center"/>
        </w:trPr>
        <w:tc>
          <w:tcPr>
            <w:tcW w:w="1951" w:type="dxa"/>
            <w:tcBorders>
              <w:top w:val="single" w:sz="4" w:space="0" w:color="auto"/>
              <w:left w:val="single" w:sz="4" w:space="0" w:color="auto"/>
              <w:bottom w:val="single" w:sz="6" w:space="0" w:color="auto"/>
              <w:right w:val="single" w:sz="6" w:space="0" w:color="auto"/>
            </w:tcBorders>
            <w:shd w:val="clear" w:color="auto" w:fill="DBE5F1" w:themeFill="accent1" w:themeFillTint="33"/>
            <w:hideMark/>
          </w:tcPr>
          <w:p w14:paraId="3E40275A" w14:textId="77777777" w:rsidR="00643CE2" w:rsidRPr="0044100E" w:rsidRDefault="00643CE2">
            <w:pPr>
              <w:pStyle w:val="NormalWeb"/>
              <w:spacing w:before="0" w:beforeAutospacing="0" w:after="0" w:line="276" w:lineRule="auto"/>
              <w:rPr>
                <w:rFonts w:ascii="Arial" w:hAnsi="Arial" w:cs="Arial"/>
                <w:i/>
                <w:sz w:val="14"/>
                <w:szCs w:val="14"/>
              </w:rPr>
            </w:pPr>
            <w:r w:rsidRPr="0044100E">
              <w:rPr>
                <w:rFonts w:ascii="Arial" w:hAnsi="Arial" w:cs="Arial"/>
                <w:bCs/>
                <w:i/>
                <w:sz w:val="14"/>
                <w:szCs w:val="14"/>
              </w:rPr>
              <w:t>Número de Expediente</w:t>
            </w:r>
          </w:p>
        </w:tc>
        <w:tc>
          <w:tcPr>
            <w:tcW w:w="5670" w:type="dxa"/>
            <w:tcBorders>
              <w:top w:val="single" w:sz="4" w:space="0" w:color="auto"/>
              <w:left w:val="single" w:sz="6" w:space="0" w:color="auto"/>
              <w:bottom w:val="single" w:sz="6" w:space="0" w:color="auto"/>
              <w:right w:val="single" w:sz="4" w:space="0" w:color="auto"/>
            </w:tcBorders>
            <w:shd w:val="clear" w:color="auto" w:fill="DBE5F1" w:themeFill="accent1" w:themeFillTint="33"/>
            <w:hideMark/>
          </w:tcPr>
          <w:p w14:paraId="3E32874E" w14:textId="77777777" w:rsidR="00643CE2" w:rsidRPr="0044100E" w:rsidRDefault="00643CE2">
            <w:pPr>
              <w:pStyle w:val="NormalWeb"/>
              <w:spacing w:before="0" w:beforeAutospacing="0" w:after="0" w:line="276" w:lineRule="auto"/>
              <w:rPr>
                <w:rFonts w:ascii="Arial" w:hAnsi="Arial" w:cs="Arial"/>
                <w:b/>
                <w:bCs/>
                <w:sz w:val="14"/>
                <w:szCs w:val="14"/>
              </w:rPr>
            </w:pPr>
            <w:r w:rsidRPr="0044100E">
              <w:rPr>
                <w:rFonts w:ascii="Arial" w:hAnsi="Arial" w:cs="Arial"/>
                <w:b/>
                <w:bCs/>
                <w:sz w:val="14"/>
                <w:szCs w:val="14"/>
              </w:rPr>
              <w:t>25/2021/D028-PREDI</w:t>
            </w:r>
          </w:p>
        </w:tc>
      </w:tr>
      <w:tr w:rsidR="00643CE2" w:rsidRPr="0044100E" w14:paraId="05AEF609" w14:textId="77777777" w:rsidTr="00643CE2">
        <w:trPr>
          <w:jc w:val="center"/>
        </w:trPr>
        <w:tc>
          <w:tcPr>
            <w:tcW w:w="1951"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72834005" w14:textId="77777777" w:rsidR="00643CE2" w:rsidRPr="0044100E" w:rsidRDefault="00643CE2">
            <w:pPr>
              <w:pStyle w:val="NormalWeb"/>
              <w:spacing w:before="0" w:beforeAutospacing="0" w:after="0" w:line="276" w:lineRule="auto"/>
              <w:rPr>
                <w:rFonts w:ascii="Arial" w:hAnsi="Arial" w:cs="Arial"/>
                <w:bCs/>
                <w:i/>
                <w:sz w:val="14"/>
                <w:szCs w:val="14"/>
              </w:rPr>
            </w:pPr>
            <w:r w:rsidRPr="0044100E">
              <w:rPr>
                <w:rFonts w:ascii="Arial" w:hAnsi="Arial" w:cs="Arial"/>
                <w:bCs/>
                <w:i/>
                <w:sz w:val="14"/>
                <w:szCs w:val="14"/>
              </w:rPr>
              <w:t>Sector</w:t>
            </w:r>
          </w:p>
        </w:tc>
        <w:tc>
          <w:tcPr>
            <w:tcW w:w="5670"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303BEAE4" w14:textId="77777777" w:rsidR="00643CE2" w:rsidRPr="0044100E" w:rsidRDefault="00643CE2">
            <w:pPr>
              <w:pStyle w:val="NormalWeb"/>
              <w:spacing w:before="0" w:beforeAutospacing="0" w:after="0" w:line="276" w:lineRule="auto"/>
              <w:rPr>
                <w:rFonts w:ascii="Arial" w:hAnsi="Arial" w:cs="Arial"/>
                <w:b/>
                <w:bCs/>
                <w:sz w:val="14"/>
                <w:szCs w:val="14"/>
              </w:rPr>
            </w:pPr>
            <w:r w:rsidRPr="0044100E">
              <w:rPr>
                <w:rFonts w:ascii="Arial" w:hAnsi="Arial" w:cs="Arial"/>
                <w:b/>
                <w:bCs/>
                <w:sz w:val="14"/>
                <w:szCs w:val="14"/>
              </w:rPr>
              <w:t xml:space="preserve">Salud </w:t>
            </w:r>
          </w:p>
        </w:tc>
      </w:tr>
      <w:tr w:rsidR="00643CE2" w:rsidRPr="0044100E" w14:paraId="569167ED" w14:textId="77777777" w:rsidTr="00643CE2">
        <w:trPr>
          <w:jc w:val="center"/>
        </w:trPr>
        <w:tc>
          <w:tcPr>
            <w:tcW w:w="1951"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24217C81" w14:textId="77777777" w:rsidR="00643CE2" w:rsidRPr="0044100E" w:rsidRDefault="00643CE2">
            <w:pPr>
              <w:pStyle w:val="NormalWeb"/>
              <w:spacing w:before="0" w:beforeAutospacing="0" w:after="0" w:line="276" w:lineRule="auto"/>
              <w:rPr>
                <w:rFonts w:ascii="Arial" w:hAnsi="Arial" w:cs="Arial"/>
                <w:bCs/>
                <w:i/>
                <w:sz w:val="14"/>
                <w:szCs w:val="14"/>
              </w:rPr>
            </w:pPr>
            <w:r w:rsidRPr="0044100E">
              <w:rPr>
                <w:rFonts w:ascii="Arial" w:hAnsi="Arial" w:cs="Arial"/>
                <w:bCs/>
                <w:i/>
                <w:sz w:val="14"/>
                <w:szCs w:val="14"/>
              </w:rPr>
              <w:t>Tipo de Entidad</w:t>
            </w:r>
          </w:p>
        </w:tc>
        <w:tc>
          <w:tcPr>
            <w:tcW w:w="5670"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33B23469" w14:textId="77777777" w:rsidR="00643CE2" w:rsidRPr="0044100E" w:rsidRDefault="00643CE2">
            <w:pPr>
              <w:spacing w:line="276" w:lineRule="auto"/>
              <w:jc w:val="both"/>
              <w:rPr>
                <w:rFonts w:ascii="Arial" w:hAnsi="Arial" w:cs="Arial"/>
                <w:sz w:val="14"/>
                <w:szCs w:val="14"/>
              </w:rPr>
            </w:pPr>
            <w:r w:rsidRPr="0044100E">
              <w:rPr>
                <w:rFonts w:ascii="Arial" w:hAnsi="Arial" w:cs="Arial"/>
                <w:sz w:val="14"/>
                <w:szCs w:val="14"/>
              </w:rPr>
              <w:t xml:space="preserve">Departamento </w:t>
            </w:r>
          </w:p>
        </w:tc>
      </w:tr>
      <w:tr w:rsidR="00643CE2" w:rsidRPr="0044100E" w14:paraId="6E2DFCA7" w14:textId="77777777" w:rsidTr="00643CE2">
        <w:trPr>
          <w:trHeight w:val="65"/>
          <w:jc w:val="center"/>
        </w:trPr>
        <w:tc>
          <w:tcPr>
            <w:tcW w:w="1951" w:type="dxa"/>
            <w:tcBorders>
              <w:top w:val="single" w:sz="6" w:space="0" w:color="auto"/>
              <w:left w:val="single" w:sz="4" w:space="0" w:color="auto"/>
              <w:bottom w:val="single" w:sz="4" w:space="0" w:color="auto"/>
              <w:right w:val="single" w:sz="6" w:space="0" w:color="auto"/>
            </w:tcBorders>
            <w:shd w:val="clear" w:color="auto" w:fill="DBE5F1" w:themeFill="accent1" w:themeFillTint="33"/>
            <w:hideMark/>
          </w:tcPr>
          <w:p w14:paraId="234CC963" w14:textId="77777777" w:rsidR="00643CE2" w:rsidRPr="0044100E" w:rsidRDefault="00643CE2">
            <w:pPr>
              <w:pStyle w:val="NormalWeb"/>
              <w:spacing w:before="0" w:beforeAutospacing="0" w:after="0" w:line="276" w:lineRule="auto"/>
              <w:rPr>
                <w:rFonts w:ascii="Arial" w:hAnsi="Arial" w:cs="Arial"/>
                <w:bCs/>
                <w:i/>
                <w:sz w:val="14"/>
                <w:szCs w:val="14"/>
              </w:rPr>
            </w:pPr>
            <w:r w:rsidRPr="0044100E">
              <w:rPr>
                <w:rFonts w:ascii="Arial" w:hAnsi="Arial" w:cs="Arial"/>
                <w:bCs/>
                <w:i/>
                <w:sz w:val="14"/>
                <w:szCs w:val="14"/>
              </w:rPr>
              <w:t>Entidad</w:t>
            </w:r>
          </w:p>
        </w:tc>
        <w:tc>
          <w:tcPr>
            <w:tcW w:w="5670" w:type="dxa"/>
            <w:tcBorders>
              <w:top w:val="single" w:sz="6" w:space="0" w:color="auto"/>
              <w:left w:val="single" w:sz="6" w:space="0" w:color="auto"/>
              <w:bottom w:val="single" w:sz="4" w:space="0" w:color="auto"/>
              <w:right w:val="single" w:sz="4" w:space="0" w:color="auto"/>
            </w:tcBorders>
            <w:shd w:val="clear" w:color="auto" w:fill="DBE5F1" w:themeFill="accent1" w:themeFillTint="33"/>
            <w:hideMark/>
          </w:tcPr>
          <w:p w14:paraId="53D6B015" w14:textId="77777777" w:rsidR="00643CE2" w:rsidRPr="0044100E" w:rsidRDefault="00643CE2">
            <w:pPr>
              <w:spacing w:line="276" w:lineRule="auto"/>
              <w:jc w:val="both"/>
              <w:rPr>
                <w:rFonts w:ascii="Arial" w:hAnsi="Arial" w:cs="Arial"/>
                <w:sz w:val="14"/>
                <w:szCs w:val="14"/>
              </w:rPr>
            </w:pPr>
            <w:bookmarkStart w:id="1" w:name="deptoymuni"/>
            <w:bookmarkEnd w:id="1"/>
            <w:r w:rsidRPr="0044100E">
              <w:rPr>
                <w:rFonts w:ascii="Arial" w:hAnsi="Arial" w:cs="Arial"/>
                <w:sz w:val="14"/>
                <w:szCs w:val="14"/>
              </w:rPr>
              <w:t>Departamento de Vaupés</w:t>
            </w:r>
          </w:p>
        </w:tc>
      </w:tr>
    </w:tbl>
    <w:p w14:paraId="75428980" w14:textId="77777777" w:rsidR="00643CE2" w:rsidRPr="0044100E" w:rsidRDefault="00643CE2" w:rsidP="00643CE2">
      <w:pPr>
        <w:spacing w:line="276" w:lineRule="auto"/>
        <w:jc w:val="both"/>
        <w:rPr>
          <w:rFonts w:ascii="Arial" w:hAnsi="Arial" w:cs="Arial"/>
          <w:sz w:val="22"/>
          <w:szCs w:val="22"/>
        </w:rPr>
      </w:pPr>
    </w:p>
    <w:p w14:paraId="14A1F701" w14:textId="77777777" w:rsidR="00643CE2" w:rsidRPr="0044100E" w:rsidRDefault="00643CE2" w:rsidP="00643CE2">
      <w:pPr>
        <w:jc w:val="both"/>
        <w:rPr>
          <w:rFonts w:ascii="Arial" w:eastAsia="Calibri" w:hAnsi="Arial" w:cs="Arial"/>
          <w:b/>
          <w:sz w:val="22"/>
          <w:szCs w:val="22"/>
          <w:lang w:eastAsia="en-US"/>
        </w:rPr>
      </w:pPr>
      <w:r w:rsidRPr="0044100E">
        <w:rPr>
          <w:rFonts w:ascii="Arial" w:eastAsia="Calibri" w:hAnsi="Arial" w:cs="Arial"/>
          <w:b/>
          <w:sz w:val="22"/>
          <w:szCs w:val="22"/>
          <w:lang w:eastAsia="en-US"/>
        </w:rPr>
        <w:t>I. ANTECEDENTES</w:t>
      </w:r>
    </w:p>
    <w:p w14:paraId="248D8C73" w14:textId="77777777" w:rsidR="00643CE2" w:rsidRPr="0044100E" w:rsidRDefault="00643CE2" w:rsidP="00643CE2">
      <w:pPr>
        <w:pStyle w:val="Prrafodelista"/>
        <w:ind w:left="0" w:hanging="696"/>
        <w:jc w:val="both"/>
        <w:rPr>
          <w:rFonts w:ascii="Arial" w:eastAsia="Calibri" w:hAnsi="Arial" w:cs="Arial"/>
          <w:b/>
          <w:sz w:val="22"/>
          <w:szCs w:val="22"/>
          <w:highlight w:val="yellow"/>
          <w:lang w:eastAsia="en-US"/>
        </w:rPr>
      </w:pPr>
    </w:p>
    <w:p w14:paraId="6551DC43" w14:textId="77777777" w:rsidR="00643CE2" w:rsidRPr="0044100E" w:rsidRDefault="00643CE2" w:rsidP="00643CE2">
      <w:pPr>
        <w:jc w:val="both"/>
        <w:rPr>
          <w:rFonts w:ascii="Arial" w:eastAsia="Calibri" w:hAnsi="Arial" w:cs="Arial"/>
          <w:sz w:val="22"/>
          <w:szCs w:val="22"/>
          <w:lang w:eastAsia="en-US"/>
        </w:rPr>
      </w:pPr>
      <w:r w:rsidRPr="0044100E">
        <w:rPr>
          <w:rFonts w:ascii="Arial" w:eastAsia="Calibri" w:hAnsi="Arial" w:cs="Arial"/>
          <w:sz w:val="22"/>
          <w:szCs w:val="22"/>
          <w:lang w:eastAsia="en-US"/>
        </w:rPr>
        <w:t>El Decreto 028 de 2008 fijó los objetivos de la Estrategia de Monitoreo, Seguimiento y Control integral al gasto que se realice con cargo a los recursos del Sistema General de Participaciones; los sectores sobre los cuales recae su ejercicio; el contenido de cada una de las actividades que la integran; así como sus responsables institucionales, con el propósito de asegurar el cumplimiento de las metas de continuidad, cobertura y calidad en los servicios financiados con cargo a tales recursos.</w:t>
      </w:r>
    </w:p>
    <w:p w14:paraId="107BD0EE" w14:textId="77777777" w:rsidR="00643CE2" w:rsidRPr="0044100E" w:rsidRDefault="00643CE2" w:rsidP="00643CE2">
      <w:pPr>
        <w:jc w:val="both"/>
        <w:rPr>
          <w:rFonts w:ascii="Arial" w:hAnsi="Arial" w:cs="Arial"/>
          <w:sz w:val="22"/>
          <w:szCs w:val="22"/>
        </w:rPr>
      </w:pPr>
    </w:p>
    <w:p w14:paraId="790B0516" w14:textId="00BC1399"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En ese sentido, en aplicación de la Estrategia, en 2021 se recibió del Ministerio de Salud y Protección Social un informe de monitoreo de la vigencia 2020, indicando para el Departamento un alto riesgo en el Sector Salud respecto al componente de Salud Pública, y riesgo medio en el componente de Fondo Local de Salud. Con relación al componente de Salud Pública, el alto riesgo se fundamenta en: </w:t>
      </w:r>
      <w:r w:rsidR="0063771F">
        <w:rPr>
          <w:rFonts w:ascii="Arial" w:hAnsi="Arial" w:cs="Arial"/>
          <w:sz w:val="22"/>
          <w:szCs w:val="22"/>
        </w:rPr>
        <w:t xml:space="preserve">i) </w:t>
      </w:r>
      <w:r w:rsidRPr="0044100E">
        <w:rPr>
          <w:rFonts w:ascii="Arial" w:hAnsi="Arial" w:cs="Arial"/>
          <w:sz w:val="22"/>
          <w:szCs w:val="22"/>
        </w:rPr>
        <w:t xml:space="preserve">los bajos resultados en Cobertura de vacunación con 3 dosis de Pentavalente 2020, </w:t>
      </w:r>
      <w:r w:rsidR="0063771F">
        <w:rPr>
          <w:rFonts w:ascii="Arial" w:hAnsi="Arial" w:cs="Arial"/>
          <w:sz w:val="22"/>
          <w:szCs w:val="22"/>
        </w:rPr>
        <w:t xml:space="preserve">ii) </w:t>
      </w:r>
      <w:r w:rsidRPr="0044100E">
        <w:rPr>
          <w:rFonts w:ascii="Arial" w:hAnsi="Arial" w:cs="Arial"/>
          <w:sz w:val="22"/>
          <w:szCs w:val="22"/>
        </w:rPr>
        <w:t xml:space="preserve">baja Cobertura de vacunación con Triple Viral 2020, </w:t>
      </w:r>
      <w:r w:rsidR="0063771F">
        <w:rPr>
          <w:rFonts w:ascii="Arial" w:hAnsi="Arial" w:cs="Arial"/>
          <w:sz w:val="22"/>
          <w:szCs w:val="22"/>
        </w:rPr>
        <w:t xml:space="preserve">iii) </w:t>
      </w:r>
      <w:r w:rsidRPr="0044100E">
        <w:rPr>
          <w:rFonts w:ascii="Arial" w:hAnsi="Arial" w:cs="Arial"/>
          <w:sz w:val="22"/>
          <w:szCs w:val="22"/>
        </w:rPr>
        <w:t>baja Cobertura de Vacunación antirrábica 2020</w:t>
      </w:r>
      <w:r w:rsidR="0063771F">
        <w:rPr>
          <w:rFonts w:ascii="Arial" w:hAnsi="Arial" w:cs="Arial"/>
          <w:sz w:val="22"/>
          <w:szCs w:val="22"/>
        </w:rPr>
        <w:t>,</w:t>
      </w:r>
      <w:r w:rsidR="00A67BCD" w:rsidRPr="0044100E">
        <w:rPr>
          <w:rFonts w:ascii="Arial" w:hAnsi="Arial" w:cs="Arial"/>
          <w:sz w:val="22"/>
          <w:szCs w:val="22"/>
        </w:rPr>
        <w:t xml:space="preserve"> y</w:t>
      </w:r>
      <w:r w:rsidRPr="0044100E">
        <w:rPr>
          <w:rFonts w:ascii="Arial" w:hAnsi="Arial" w:cs="Arial"/>
          <w:sz w:val="22"/>
          <w:szCs w:val="22"/>
        </w:rPr>
        <w:t xml:space="preserve"> </w:t>
      </w:r>
      <w:r w:rsidR="0063771F">
        <w:rPr>
          <w:rFonts w:ascii="Arial" w:hAnsi="Arial" w:cs="Arial"/>
          <w:sz w:val="22"/>
          <w:szCs w:val="22"/>
        </w:rPr>
        <w:t xml:space="preserve">iv) </w:t>
      </w:r>
      <w:r w:rsidR="00A67BCD" w:rsidRPr="0044100E">
        <w:rPr>
          <w:rFonts w:ascii="Arial" w:hAnsi="Arial" w:cs="Arial"/>
          <w:sz w:val="22"/>
          <w:szCs w:val="22"/>
        </w:rPr>
        <w:t>e</w:t>
      </w:r>
      <w:r w:rsidRPr="0044100E">
        <w:rPr>
          <w:rFonts w:ascii="Arial" w:hAnsi="Arial" w:cs="Arial"/>
          <w:sz w:val="22"/>
          <w:szCs w:val="22"/>
        </w:rPr>
        <w:t>l riesgo alto asociado a la Tasa Mortalidad asociada Desnutrición en niños menores de cinco años 2019. Respecto al componente de Fondo Local de Salud, el riesgo Medio se fundamenta en</w:t>
      </w:r>
      <w:r w:rsidR="0063771F">
        <w:rPr>
          <w:rFonts w:ascii="Arial" w:hAnsi="Arial" w:cs="Arial"/>
          <w:sz w:val="22"/>
          <w:szCs w:val="22"/>
        </w:rPr>
        <w:t>: i)</w:t>
      </w:r>
      <w:r w:rsidRPr="0044100E">
        <w:rPr>
          <w:rFonts w:ascii="Arial" w:hAnsi="Arial" w:cs="Arial"/>
          <w:sz w:val="22"/>
          <w:szCs w:val="22"/>
        </w:rPr>
        <w:t xml:space="preserve"> una baja Ejecución Cuenta Maestra De Prestación De Servicios - Resolución 1128 De 2013, </w:t>
      </w:r>
      <w:r w:rsidR="0063771F">
        <w:rPr>
          <w:rFonts w:ascii="Arial" w:hAnsi="Arial" w:cs="Arial"/>
          <w:sz w:val="22"/>
          <w:szCs w:val="22"/>
        </w:rPr>
        <w:t xml:space="preserve">ii) </w:t>
      </w:r>
      <w:r w:rsidRPr="0044100E">
        <w:rPr>
          <w:rFonts w:ascii="Arial" w:hAnsi="Arial" w:cs="Arial"/>
          <w:sz w:val="22"/>
          <w:szCs w:val="22"/>
        </w:rPr>
        <w:t xml:space="preserve">baja Ejecución Cuenta Maestra De Salud Pública - Resolución 1128 De 2013, </w:t>
      </w:r>
      <w:r w:rsidR="0063771F">
        <w:rPr>
          <w:rFonts w:ascii="Arial" w:hAnsi="Arial" w:cs="Arial"/>
          <w:sz w:val="22"/>
          <w:szCs w:val="22"/>
        </w:rPr>
        <w:t xml:space="preserve">iii) </w:t>
      </w:r>
      <w:r w:rsidRPr="0044100E">
        <w:rPr>
          <w:rFonts w:ascii="Arial" w:hAnsi="Arial" w:cs="Arial"/>
          <w:sz w:val="22"/>
          <w:szCs w:val="22"/>
        </w:rPr>
        <w:t>baja ejecución del Fondo Local de Salud 2020,</w:t>
      </w:r>
      <w:r w:rsidR="0063771F">
        <w:rPr>
          <w:rFonts w:ascii="Arial" w:hAnsi="Arial" w:cs="Arial"/>
          <w:sz w:val="22"/>
          <w:szCs w:val="22"/>
        </w:rPr>
        <w:t xml:space="preserve"> iv) i</w:t>
      </w:r>
      <w:r w:rsidRPr="0044100E">
        <w:rPr>
          <w:rFonts w:ascii="Arial" w:hAnsi="Arial" w:cs="Arial"/>
          <w:sz w:val="22"/>
          <w:szCs w:val="22"/>
        </w:rPr>
        <w:t>nconsistencias en la coincidencia de la Cartera en el marco de la circular 030 de 2013</w:t>
      </w:r>
      <w:r w:rsidR="0063771F">
        <w:rPr>
          <w:rFonts w:ascii="Arial" w:hAnsi="Arial" w:cs="Arial"/>
          <w:sz w:val="22"/>
          <w:szCs w:val="22"/>
        </w:rPr>
        <w:t>,</w:t>
      </w:r>
      <w:r w:rsidRPr="0044100E">
        <w:rPr>
          <w:rFonts w:ascii="Arial" w:hAnsi="Arial" w:cs="Arial"/>
          <w:sz w:val="22"/>
          <w:szCs w:val="22"/>
        </w:rPr>
        <w:t xml:space="preserve"> y </w:t>
      </w:r>
      <w:r w:rsidR="0063771F">
        <w:rPr>
          <w:rFonts w:ascii="Arial" w:hAnsi="Arial" w:cs="Arial"/>
          <w:sz w:val="22"/>
          <w:szCs w:val="22"/>
        </w:rPr>
        <w:t xml:space="preserve">v) </w:t>
      </w:r>
      <w:r w:rsidRPr="0044100E">
        <w:rPr>
          <w:rFonts w:ascii="Arial" w:hAnsi="Arial" w:cs="Arial"/>
          <w:sz w:val="22"/>
          <w:szCs w:val="22"/>
        </w:rPr>
        <w:t xml:space="preserve">un bajo % de Avance </w:t>
      </w:r>
      <w:r w:rsidR="0063771F">
        <w:rPr>
          <w:rFonts w:ascii="Arial" w:hAnsi="Arial" w:cs="Arial"/>
          <w:sz w:val="22"/>
          <w:szCs w:val="22"/>
        </w:rPr>
        <w:t>d</w:t>
      </w:r>
      <w:r w:rsidRPr="0044100E">
        <w:rPr>
          <w:rFonts w:ascii="Arial" w:hAnsi="Arial" w:cs="Arial"/>
          <w:sz w:val="22"/>
          <w:szCs w:val="22"/>
        </w:rPr>
        <w:t xml:space="preserve">e </w:t>
      </w:r>
      <w:r w:rsidR="0063771F">
        <w:rPr>
          <w:rFonts w:ascii="Arial" w:hAnsi="Arial" w:cs="Arial"/>
          <w:sz w:val="22"/>
          <w:szCs w:val="22"/>
        </w:rPr>
        <w:t>l</w:t>
      </w:r>
      <w:r w:rsidRPr="0044100E">
        <w:rPr>
          <w:rFonts w:ascii="Arial" w:hAnsi="Arial" w:cs="Arial"/>
          <w:sz w:val="22"/>
          <w:szCs w:val="22"/>
        </w:rPr>
        <w:t xml:space="preserve">a Auditoría </w:t>
      </w:r>
      <w:r w:rsidR="0063771F">
        <w:rPr>
          <w:rFonts w:ascii="Arial" w:hAnsi="Arial" w:cs="Arial"/>
          <w:sz w:val="22"/>
          <w:szCs w:val="22"/>
        </w:rPr>
        <w:t>d</w:t>
      </w:r>
      <w:r w:rsidRPr="0044100E">
        <w:rPr>
          <w:rFonts w:ascii="Arial" w:hAnsi="Arial" w:cs="Arial"/>
          <w:sz w:val="22"/>
          <w:szCs w:val="22"/>
        </w:rPr>
        <w:t xml:space="preserve">e Cuentas </w:t>
      </w:r>
      <w:r w:rsidR="0063771F">
        <w:rPr>
          <w:rFonts w:ascii="Arial" w:hAnsi="Arial" w:cs="Arial"/>
          <w:sz w:val="22"/>
          <w:szCs w:val="22"/>
        </w:rPr>
        <w:t>p</w:t>
      </w:r>
      <w:r w:rsidRPr="0044100E">
        <w:rPr>
          <w:rFonts w:ascii="Arial" w:hAnsi="Arial" w:cs="Arial"/>
          <w:sz w:val="22"/>
          <w:szCs w:val="22"/>
        </w:rPr>
        <w:t xml:space="preserve">or Concepto </w:t>
      </w:r>
      <w:r w:rsidR="0063771F">
        <w:rPr>
          <w:rFonts w:ascii="Arial" w:hAnsi="Arial" w:cs="Arial"/>
          <w:sz w:val="22"/>
          <w:szCs w:val="22"/>
        </w:rPr>
        <w:t>d</w:t>
      </w:r>
      <w:r w:rsidRPr="0044100E">
        <w:rPr>
          <w:rFonts w:ascii="Arial" w:hAnsi="Arial" w:cs="Arial"/>
          <w:sz w:val="22"/>
          <w:szCs w:val="22"/>
        </w:rPr>
        <w:t xml:space="preserve">e Servicios </w:t>
      </w:r>
      <w:r w:rsidR="0063771F">
        <w:rPr>
          <w:rFonts w:ascii="Arial" w:hAnsi="Arial" w:cs="Arial"/>
          <w:sz w:val="22"/>
          <w:szCs w:val="22"/>
        </w:rPr>
        <w:t>d</w:t>
      </w:r>
      <w:r w:rsidRPr="0044100E">
        <w:rPr>
          <w:rFonts w:ascii="Arial" w:hAnsi="Arial" w:cs="Arial"/>
          <w:sz w:val="22"/>
          <w:szCs w:val="22"/>
        </w:rPr>
        <w:t xml:space="preserve">e Urgencias </w:t>
      </w:r>
      <w:r w:rsidR="0063771F">
        <w:rPr>
          <w:rFonts w:ascii="Arial" w:hAnsi="Arial" w:cs="Arial"/>
          <w:sz w:val="22"/>
          <w:szCs w:val="22"/>
        </w:rPr>
        <w:t>a</w:t>
      </w:r>
      <w:r w:rsidRPr="0044100E">
        <w:rPr>
          <w:rFonts w:ascii="Arial" w:hAnsi="Arial" w:cs="Arial"/>
          <w:sz w:val="22"/>
          <w:szCs w:val="22"/>
        </w:rPr>
        <w:t xml:space="preserve"> </w:t>
      </w:r>
      <w:r w:rsidR="0063771F">
        <w:rPr>
          <w:rFonts w:ascii="Arial" w:hAnsi="Arial" w:cs="Arial"/>
          <w:sz w:val="22"/>
          <w:szCs w:val="22"/>
        </w:rPr>
        <w:t>l</w:t>
      </w:r>
      <w:r w:rsidRPr="0044100E">
        <w:rPr>
          <w:rFonts w:ascii="Arial" w:hAnsi="Arial" w:cs="Arial"/>
          <w:sz w:val="22"/>
          <w:szCs w:val="22"/>
        </w:rPr>
        <w:t xml:space="preserve">a Población Migrante </w:t>
      </w:r>
      <w:r w:rsidR="0063771F">
        <w:rPr>
          <w:rFonts w:ascii="Arial" w:hAnsi="Arial" w:cs="Arial"/>
          <w:sz w:val="22"/>
          <w:szCs w:val="22"/>
        </w:rPr>
        <w:t>a</w:t>
      </w:r>
      <w:r w:rsidRPr="0044100E">
        <w:rPr>
          <w:rFonts w:ascii="Arial" w:hAnsi="Arial" w:cs="Arial"/>
          <w:sz w:val="22"/>
          <w:szCs w:val="22"/>
        </w:rPr>
        <w:t xml:space="preserve"> 30 </w:t>
      </w:r>
      <w:r w:rsidR="0063771F">
        <w:rPr>
          <w:rFonts w:ascii="Arial" w:hAnsi="Arial" w:cs="Arial"/>
          <w:sz w:val="22"/>
          <w:szCs w:val="22"/>
        </w:rPr>
        <w:t>d</w:t>
      </w:r>
      <w:r w:rsidRPr="0044100E">
        <w:rPr>
          <w:rFonts w:ascii="Arial" w:hAnsi="Arial" w:cs="Arial"/>
          <w:sz w:val="22"/>
          <w:szCs w:val="22"/>
        </w:rPr>
        <w:t xml:space="preserve">e </w:t>
      </w:r>
      <w:r w:rsidR="0063771F">
        <w:rPr>
          <w:rFonts w:ascii="Arial" w:hAnsi="Arial" w:cs="Arial"/>
          <w:sz w:val="22"/>
          <w:szCs w:val="22"/>
        </w:rPr>
        <w:t>n</w:t>
      </w:r>
      <w:r w:rsidRPr="0044100E">
        <w:rPr>
          <w:rFonts w:ascii="Arial" w:hAnsi="Arial" w:cs="Arial"/>
          <w:sz w:val="22"/>
          <w:szCs w:val="22"/>
        </w:rPr>
        <w:t xml:space="preserve">oviembre </w:t>
      </w:r>
      <w:r w:rsidR="0063771F">
        <w:rPr>
          <w:rFonts w:ascii="Arial" w:hAnsi="Arial" w:cs="Arial"/>
          <w:sz w:val="22"/>
          <w:szCs w:val="22"/>
        </w:rPr>
        <w:t>d</w:t>
      </w:r>
      <w:r w:rsidRPr="0044100E">
        <w:rPr>
          <w:rFonts w:ascii="Arial" w:hAnsi="Arial" w:cs="Arial"/>
          <w:sz w:val="22"/>
          <w:szCs w:val="22"/>
        </w:rPr>
        <w:t xml:space="preserve">e 2020. </w:t>
      </w:r>
    </w:p>
    <w:p w14:paraId="36CF19E6" w14:textId="77777777" w:rsidR="00643CE2" w:rsidRPr="0044100E" w:rsidRDefault="00643CE2" w:rsidP="00643CE2">
      <w:pPr>
        <w:jc w:val="both"/>
        <w:rPr>
          <w:rFonts w:ascii="Arial" w:hAnsi="Arial" w:cs="Arial"/>
          <w:sz w:val="22"/>
          <w:szCs w:val="22"/>
        </w:rPr>
      </w:pPr>
    </w:p>
    <w:p w14:paraId="42215E9A" w14:textId="21BE6523" w:rsidR="00643CE2" w:rsidRPr="0044100E" w:rsidRDefault="00643CE2" w:rsidP="00643CE2">
      <w:pPr>
        <w:jc w:val="both"/>
        <w:rPr>
          <w:rFonts w:ascii="Arial" w:eastAsia="Calibri" w:hAnsi="Arial" w:cs="Arial"/>
          <w:color w:val="FF0000"/>
          <w:sz w:val="22"/>
          <w:szCs w:val="22"/>
        </w:rPr>
      </w:pPr>
      <w:r w:rsidRPr="0044100E">
        <w:rPr>
          <w:rFonts w:ascii="Arial" w:eastAsia="Calibri" w:hAnsi="Arial" w:cs="Arial"/>
          <w:sz w:val="22"/>
          <w:szCs w:val="22"/>
        </w:rPr>
        <w:t>En consecuencia, conforme a lo definido en el Acto Legislativo 04 de 2007 y el mencionado Decreto 028 de 2008, reglamentado por el Decreto 1068 de 2015, siendo el Ministerio de Hacienda y Crédito Público el responsable de llevar a cabo la coordinación de la Estrategia de Monitoreo, Seguimiento y Control Integral al gasto ejecutado por las entidades territoriales con recursos del Sistema General de Participaciones, la Dirección General de Apoyo Fiscal solicitó información</w:t>
      </w:r>
      <w:r w:rsidR="0063771F">
        <w:rPr>
          <w:rFonts w:ascii="Arial" w:eastAsia="Calibri" w:hAnsi="Arial" w:cs="Arial"/>
          <w:sz w:val="22"/>
          <w:szCs w:val="22"/>
        </w:rPr>
        <w:t xml:space="preserve"> </w:t>
      </w:r>
      <w:r w:rsidRPr="0044100E">
        <w:rPr>
          <w:rFonts w:ascii="Arial" w:eastAsia="Calibri" w:hAnsi="Arial" w:cs="Arial"/>
          <w:sz w:val="22"/>
          <w:szCs w:val="22"/>
        </w:rPr>
        <w:t xml:space="preserve">a la </w:t>
      </w:r>
      <w:r w:rsidR="00F84806">
        <w:rPr>
          <w:rFonts w:ascii="Arial" w:eastAsia="Calibri" w:hAnsi="Arial" w:cs="Arial"/>
          <w:sz w:val="22"/>
          <w:szCs w:val="22"/>
        </w:rPr>
        <w:t>E</w:t>
      </w:r>
      <w:r w:rsidRPr="0044100E">
        <w:rPr>
          <w:rFonts w:ascii="Arial" w:eastAsia="Calibri" w:hAnsi="Arial" w:cs="Arial"/>
          <w:sz w:val="22"/>
          <w:szCs w:val="22"/>
        </w:rPr>
        <w:t xml:space="preserve">ntidad </w:t>
      </w:r>
      <w:r w:rsidR="00F84806">
        <w:rPr>
          <w:rFonts w:ascii="Arial" w:eastAsia="Calibri" w:hAnsi="Arial" w:cs="Arial"/>
          <w:sz w:val="22"/>
          <w:szCs w:val="22"/>
        </w:rPr>
        <w:t>T</w:t>
      </w:r>
      <w:r w:rsidRPr="0044100E">
        <w:rPr>
          <w:rFonts w:ascii="Arial" w:eastAsia="Calibri" w:hAnsi="Arial" w:cs="Arial"/>
          <w:sz w:val="22"/>
          <w:szCs w:val="22"/>
        </w:rPr>
        <w:t>erritorial mediante</w:t>
      </w:r>
      <w:r w:rsidR="0063771F">
        <w:rPr>
          <w:rFonts w:ascii="Arial" w:eastAsia="Calibri" w:hAnsi="Arial" w:cs="Arial"/>
          <w:sz w:val="22"/>
          <w:szCs w:val="22"/>
        </w:rPr>
        <w:t xml:space="preserve"> </w:t>
      </w:r>
      <w:r w:rsidRPr="0044100E">
        <w:rPr>
          <w:rFonts w:ascii="Arial" w:eastAsia="Calibri" w:hAnsi="Arial" w:cs="Arial"/>
          <w:sz w:val="22"/>
          <w:szCs w:val="22"/>
        </w:rPr>
        <w:t xml:space="preserve">oficio con radicado </w:t>
      </w:r>
      <w:r w:rsidRPr="0044100E">
        <w:rPr>
          <w:rFonts w:ascii="Arial" w:hAnsi="Arial" w:cs="Arial"/>
          <w:sz w:val="22"/>
          <w:szCs w:val="22"/>
        </w:rPr>
        <w:t xml:space="preserve">2-2021-044315 </w:t>
      </w:r>
      <w:r w:rsidRPr="0044100E">
        <w:rPr>
          <w:rFonts w:ascii="Arial" w:eastAsia="Calibri" w:hAnsi="Arial" w:cs="Arial"/>
          <w:sz w:val="22"/>
          <w:szCs w:val="22"/>
        </w:rPr>
        <w:t xml:space="preserve">del 30 de </w:t>
      </w:r>
      <w:r w:rsidR="00F84806">
        <w:rPr>
          <w:rFonts w:ascii="Arial" w:eastAsia="Calibri" w:hAnsi="Arial" w:cs="Arial"/>
          <w:sz w:val="22"/>
          <w:szCs w:val="22"/>
        </w:rPr>
        <w:t>a</w:t>
      </w:r>
      <w:r w:rsidRPr="0044100E">
        <w:rPr>
          <w:rFonts w:ascii="Arial" w:eastAsia="Calibri" w:hAnsi="Arial" w:cs="Arial"/>
          <w:sz w:val="22"/>
          <w:szCs w:val="22"/>
        </w:rPr>
        <w:t>gosto de 2021, con el fin de establecer si existen posibles situaciones</w:t>
      </w:r>
      <w:r w:rsidR="00F84806">
        <w:rPr>
          <w:rFonts w:ascii="Arial" w:eastAsia="Calibri" w:hAnsi="Arial" w:cs="Arial"/>
          <w:sz w:val="22"/>
          <w:szCs w:val="22"/>
        </w:rPr>
        <w:t xml:space="preserve"> </w:t>
      </w:r>
      <w:r w:rsidRPr="0044100E">
        <w:rPr>
          <w:rFonts w:ascii="Arial" w:eastAsia="Calibri" w:hAnsi="Arial" w:cs="Arial"/>
          <w:sz w:val="22"/>
          <w:szCs w:val="22"/>
        </w:rPr>
        <w:t xml:space="preserve">riesgo en la prestación del servicio que sugieran la realización de un reconocimiento institucional para su validación. Los resultados se presentan a continuación. </w:t>
      </w:r>
    </w:p>
    <w:p w14:paraId="15370FD1" w14:textId="77777777" w:rsidR="00643CE2" w:rsidRPr="0044100E" w:rsidRDefault="00643CE2" w:rsidP="00643CE2">
      <w:pPr>
        <w:jc w:val="both"/>
        <w:rPr>
          <w:rFonts w:ascii="Arial" w:eastAsia="Calibri" w:hAnsi="Arial" w:cs="Arial"/>
          <w:sz w:val="22"/>
          <w:szCs w:val="22"/>
          <w:highlight w:val="yellow"/>
          <w:lang w:eastAsia="en-US"/>
        </w:rPr>
      </w:pPr>
    </w:p>
    <w:p w14:paraId="7C667E8B" w14:textId="77777777" w:rsidR="00643CE2" w:rsidRPr="0044100E" w:rsidRDefault="00643CE2" w:rsidP="00643CE2">
      <w:pPr>
        <w:jc w:val="both"/>
        <w:rPr>
          <w:rFonts w:ascii="Arial" w:eastAsia="Calibri" w:hAnsi="Arial" w:cs="Arial"/>
          <w:sz w:val="22"/>
          <w:szCs w:val="22"/>
          <w:lang w:eastAsia="en-US"/>
        </w:rPr>
      </w:pPr>
      <w:r w:rsidRPr="0044100E">
        <w:rPr>
          <w:rFonts w:ascii="Arial" w:eastAsia="Calibri" w:hAnsi="Arial" w:cs="Arial"/>
          <w:sz w:val="22"/>
          <w:szCs w:val="22"/>
          <w:lang w:eastAsia="en-US"/>
        </w:rPr>
        <w:t>Finalmente, es preciso indicar que para la elaboración del presente informe se dispuso de información institucional completa aportada por las autoridades departamentales y sectoriales, así como fuentes de información consistentes en documentos o publicaciones de carácter oficial, disposiciones normativas y publicaciones particulares, cada una de las cuales es citada cuando ello es requerido.</w:t>
      </w:r>
    </w:p>
    <w:p w14:paraId="7194BE3D" w14:textId="77777777" w:rsidR="00643CE2" w:rsidRPr="0044100E" w:rsidRDefault="00643CE2" w:rsidP="00643CE2">
      <w:pPr>
        <w:jc w:val="both"/>
        <w:rPr>
          <w:rFonts w:ascii="Arial" w:eastAsia="Calibri" w:hAnsi="Arial" w:cs="Arial"/>
          <w:b/>
          <w:sz w:val="22"/>
          <w:szCs w:val="22"/>
          <w:lang w:eastAsia="en-US"/>
        </w:rPr>
      </w:pPr>
      <w:r w:rsidRPr="0044100E">
        <w:rPr>
          <w:rFonts w:ascii="Arial" w:eastAsia="Calibri" w:hAnsi="Arial" w:cs="Arial"/>
          <w:b/>
          <w:sz w:val="22"/>
          <w:szCs w:val="22"/>
          <w:lang w:eastAsia="en-US"/>
        </w:rPr>
        <w:lastRenderedPageBreak/>
        <w:t xml:space="preserve">II. CARACTERIZACIÓN </w:t>
      </w:r>
    </w:p>
    <w:p w14:paraId="72531F0C" w14:textId="77777777" w:rsidR="00643CE2" w:rsidRPr="0044100E" w:rsidRDefault="00643CE2" w:rsidP="00643CE2">
      <w:pPr>
        <w:jc w:val="both"/>
        <w:rPr>
          <w:rFonts w:ascii="Arial" w:eastAsia="Calibri" w:hAnsi="Arial" w:cs="Arial"/>
          <w:b/>
          <w:sz w:val="22"/>
          <w:szCs w:val="22"/>
          <w:lang w:eastAsia="en-US"/>
        </w:rPr>
      </w:pPr>
    </w:p>
    <w:p w14:paraId="79DAF6FB" w14:textId="2375ED70" w:rsidR="00643CE2" w:rsidRPr="0044100E" w:rsidRDefault="00643CE2" w:rsidP="00643CE2">
      <w:pPr>
        <w:pStyle w:val="Prrafodelista"/>
        <w:numPr>
          <w:ilvl w:val="0"/>
          <w:numId w:val="20"/>
        </w:numPr>
        <w:rPr>
          <w:rFonts w:ascii="Arial" w:hAnsi="Arial" w:cs="Arial"/>
          <w:noProof/>
          <w:lang w:val="es-CO" w:eastAsia="es-CO"/>
        </w:rPr>
      </w:pPr>
      <w:r w:rsidRPr="0044100E">
        <w:rPr>
          <w:rFonts w:ascii="Arial" w:eastAsia="Calibri" w:hAnsi="Arial" w:cs="Arial"/>
          <w:b/>
          <w:sz w:val="22"/>
          <w:szCs w:val="22"/>
          <w:lang w:eastAsia="en-US"/>
        </w:rPr>
        <w:t>Infografía</w:t>
      </w:r>
    </w:p>
    <w:p w14:paraId="7E229B3B" w14:textId="1C75DC51" w:rsidR="000E68C7" w:rsidRPr="0044100E" w:rsidRDefault="000E68C7" w:rsidP="000E68C7">
      <w:pPr>
        <w:rPr>
          <w:rFonts w:ascii="Arial" w:hAnsi="Arial" w:cs="Arial"/>
          <w:noProof/>
          <w:lang w:val="es-CO" w:eastAsia="es-CO"/>
        </w:rPr>
      </w:pPr>
    </w:p>
    <w:p w14:paraId="7A7D326D" w14:textId="23CD914C" w:rsidR="000E68C7" w:rsidRPr="0044100E" w:rsidRDefault="000E68C7" w:rsidP="000E68C7">
      <w:pPr>
        <w:rPr>
          <w:rFonts w:ascii="Arial" w:hAnsi="Arial" w:cs="Arial"/>
          <w:noProof/>
          <w:lang w:val="es-CO" w:eastAsia="es-CO"/>
        </w:rPr>
      </w:pPr>
      <w:r w:rsidRPr="0044100E">
        <w:rPr>
          <w:rFonts w:ascii="Arial" w:hAnsi="Arial" w:cs="Arial"/>
          <w:noProof/>
          <w:lang w:val="es-CO" w:eastAsia="es-CO"/>
        </w:rPr>
        <w:drawing>
          <wp:inline distT="0" distB="0" distL="0" distR="0" wp14:anchorId="204BC5D0" wp14:editId="30479826">
            <wp:extent cx="5612130" cy="6473825"/>
            <wp:effectExtent l="0" t="0" r="7620" b="3175"/>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6473825"/>
                    </a:xfrm>
                    <a:prstGeom prst="rect">
                      <a:avLst/>
                    </a:prstGeom>
                    <a:noFill/>
                    <a:ln>
                      <a:noFill/>
                    </a:ln>
                  </pic:spPr>
                </pic:pic>
              </a:graphicData>
            </a:graphic>
          </wp:inline>
        </w:drawing>
      </w:r>
    </w:p>
    <w:p w14:paraId="6042037A" w14:textId="60184CE1" w:rsidR="00643CE2" w:rsidRPr="0044100E" w:rsidRDefault="00643CE2" w:rsidP="00643CE2">
      <w:pPr>
        <w:pStyle w:val="Prrafodelista"/>
        <w:rPr>
          <w:rFonts w:ascii="Arial" w:eastAsia="Calibri" w:hAnsi="Arial" w:cs="Arial"/>
          <w:b/>
          <w:sz w:val="22"/>
          <w:szCs w:val="22"/>
          <w:lang w:eastAsia="en-US"/>
        </w:rPr>
      </w:pPr>
    </w:p>
    <w:p w14:paraId="5F8C48BE" w14:textId="77777777" w:rsidR="00643CE2" w:rsidRPr="0044100E" w:rsidRDefault="00643CE2" w:rsidP="00643CE2">
      <w:pPr>
        <w:pStyle w:val="Prrafodelista"/>
        <w:rPr>
          <w:rFonts w:ascii="Arial" w:eastAsia="Calibri" w:hAnsi="Arial" w:cs="Arial"/>
          <w:b/>
          <w:sz w:val="22"/>
          <w:szCs w:val="22"/>
          <w:lang w:eastAsia="en-US"/>
        </w:rPr>
      </w:pPr>
    </w:p>
    <w:p w14:paraId="775E8B93" w14:textId="77777777" w:rsidR="00643CE2" w:rsidRPr="0044100E" w:rsidRDefault="00643CE2" w:rsidP="00643CE2">
      <w:pPr>
        <w:pStyle w:val="Prrafodelista"/>
        <w:rPr>
          <w:rFonts w:ascii="Arial" w:eastAsia="Calibri" w:hAnsi="Arial" w:cs="Arial"/>
          <w:b/>
          <w:sz w:val="22"/>
          <w:szCs w:val="22"/>
          <w:lang w:eastAsia="en-US"/>
        </w:rPr>
      </w:pPr>
    </w:p>
    <w:p w14:paraId="011D74ED" w14:textId="77777777" w:rsidR="00643CE2" w:rsidRPr="0044100E" w:rsidRDefault="00643CE2" w:rsidP="00643CE2">
      <w:pPr>
        <w:pStyle w:val="Prrafodelista"/>
        <w:numPr>
          <w:ilvl w:val="0"/>
          <w:numId w:val="20"/>
        </w:numPr>
        <w:jc w:val="both"/>
        <w:rPr>
          <w:rFonts w:ascii="Arial" w:eastAsia="Calibri" w:hAnsi="Arial" w:cs="Arial"/>
          <w:b/>
          <w:sz w:val="22"/>
          <w:szCs w:val="22"/>
          <w:lang w:eastAsia="en-US"/>
        </w:rPr>
      </w:pPr>
      <w:r w:rsidRPr="0044100E">
        <w:rPr>
          <w:rFonts w:ascii="Arial" w:eastAsia="Calibri" w:hAnsi="Arial" w:cs="Arial"/>
          <w:b/>
          <w:sz w:val="22"/>
          <w:szCs w:val="22"/>
          <w:lang w:eastAsia="en-US"/>
        </w:rPr>
        <w:t>Contexto Regional</w:t>
      </w:r>
    </w:p>
    <w:p w14:paraId="621B5893" w14:textId="77777777" w:rsidR="00643CE2" w:rsidRPr="0044100E" w:rsidRDefault="00643CE2" w:rsidP="00643CE2">
      <w:pPr>
        <w:pStyle w:val="Prrafodelista"/>
        <w:jc w:val="both"/>
        <w:rPr>
          <w:rFonts w:ascii="Arial" w:eastAsia="Calibri" w:hAnsi="Arial" w:cs="Arial"/>
          <w:b/>
          <w:sz w:val="22"/>
          <w:szCs w:val="22"/>
          <w:lang w:eastAsia="en-US"/>
        </w:rPr>
      </w:pPr>
    </w:p>
    <w:p w14:paraId="4E21ED3F" w14:textId="07BF5E70" w:rsidR="00643CE2" w:rsidRPr="0044100E" w:rsidRDefault="00643CE2" w:rsidP="00643CE2">
      <w:pPr>
        <w:jc w:val="both"/>
        <w:rPr>
          <w:rFonts w:ascii="Arial" w:eastAsia="Calibri" w:hAnsi="Arial" w:cs="Arial"/>
          <w:bCs/>
          <w:sz w:val="22"/>
          <w:szCs w:val="22"/>
          <w:lang w:eastAsia="en-US"/>
        </w:rPr>
      </w:pPr>
      <w:r w:rsidRPr="0044100E">
        <w:rPr>
          <w:rFonts w:ascii="Arial" w:eastAsia="Calibri" w:hAnsi="Arial" w:cs="Arial"/>
          <w:bCs/>
          <w:sz w:val="22"/>
          <w:szCs w:val="22"/>
          <w:lang w:eastAsia="en-US"/>
        </w:rPr>
        <w:t xml:space="preserve">El </w:t>
      </w:r>
      <w:r w:rsidR="007E345D">
        <w:rPr>
          <w:rFonts w:ascii="Arial" w:eastAsia="Calibri" w:hAnsi="Arial" w:cs="Arial"/>
          <w:bCs/>
          <w:sz w:val="22"/>
          <w:szCs w:val="22"/>
          <w:lang w:eastAsia="en-US"/>
        </w:rPr>
        <w:t>D</w:t>
      </w:r>
      <w:r w:rsidRPr="0044100E">
        <w:rPr>
          <w:rFonts w:ascii="Arial" w:eastAsia="Calibri" w:hAnsi="Arial" w:cs="Arial"/>
          <w:bCs/>
          <w:sz w:val="22"/>
          <w:szCs w:val="22"/>
          <w:lang w:eastAsia="en-US"/>
        </w:rPr>
        <w:t xml:space="preserve">epartamento de Vaupés se ubica en el sureste de Colombia en la región selvática del Amazonas, Limita con Brasil al este, con el </w:t>
      </w:r>
      <w:r w:rsidR="007E345D">
        <w:rPr>
          <w:rFonts w:ascii="Arial" w:eastAsia="Calibri" w:hAnsi="Arial" w:cs="Arial"/>
          <w:bCs/>
          <w:sz w:val="22"/>
          <w:szCs w:val="22"/>
          <w:lang w:eastAsia="en-US"/>
        </w:rPr>
        <w:t>D</w:t>
      </w:r>
      <w:r w:rsidRPr="0044100E">
        <w:rPr>
          <w:rFonts w:ascii="Arial" w:eastAsia="Calibri" w:hAnsi="Arial" w:cs="Arial"/>
          <w:bCs/>
          <w:sz w:val="22"/>
          <w:szCs w:val="22"/>
          <w:lang w:eastAsia="en-US"/>
        </w:rPr>
        <w:t xml:space="preserve">epartamento del Amazonas al sur, con el </w:t>
      </w:r>
      <w:r w:rsidR="007E345D">
        <w:rPr>
          <w:rFonts w:ascii="Arial" w:eastAsia="Calibri" w:hAnsi="Arial" w:cs="Arial"/>
          <w:bCs/>
          <w:sz w:val="22"/>
          <w:szCs w:val="22"/>
          <w:lang w:eastAsia="en-US"/>
        </w:rPr>
        <w:t>D</w:t>
      </w:r>
      <w:r w:rsidRPr="0044100E">
        <w:rPr>
          <w:rFonts w:ascii="Arial" w:eastAsia="Calibri" w:hAnsi="Arial" w:cs="Arial"/>
          <w:bCs/>
          <w:sz w:val="22"/>
          <w:szCs w:val="22"/>
          <w:lang w:eastAsia="en-US"/>
        </w:rPr>
        <w:t xml:space="preserve">epartamento de Caquetá al oeste y al norte con los </w:t>
      </w:r>
      <w:r w:rsidR="007E345D">
        <w:rPr>
          <w:rFonts w:ascii="Arial" w:eastAsia="Calibri" w:hAnsi="Arial" w:cs="Arial"/>
          <w:bCs/>
          <w:sz w:val="22"/>
          <w:szCs w:val="22"/>
          <w:lang w:eastAsia="en-US"/>
        </w:rPr>
        <w:t>D</w:t>
      </w:r>
      <w:r w:rsidRPr="0044100E">
        <w:rPr>
          <w:rFonts w:ascii="Arial" w:eastAsia="Calibri" w:hAnsi="Arial" w:cs="Arial"/>
          <w:bCs/>
          <w:sz w:val="22"/>
          <w:szCs w:val="22"/>
          <w:lang w:eastAsia="en-US"/>
        </w:rPr>
        <w:t>epartamentos de Guaviare y Guainía. Con un área total de 54,135 Km2. Cuenta con 3 municipios; Mitú, Carurú y Taraira de los cuales el Municipio de Mitú es su capital,</w:t>
      </w:r>
      <w:r w:rsidRPr="0044100E">
        <w:rPr>
          <w:rFonts w:ascii="Arial" w:hAnsi="Arial" w:cs="Arial"/>
        </w:rPr>
        <w:t xml:space="preserve"> </w:t>
      </w:r>
      <w:r w:rsidRPr="0044100E">
        <w:rPr>
          <w:rFonts w:ascii="Arial" w:eastAsia="Calibri" w:hAnsi="Arial" w:cs="Arial"/>
          <w:bCs/>
          <w:sz w:val="22"/>
          <w:szCs w:val="22"/>
          <w:lang w:eastAsia="en-US"/>
        </w:rPr>
        <w:t>3 corregimientos departamentales, Pacoa, Papunaua y Yavaraté; 2 corregimientos municipales, Acaricuara y Villafátima. Además, cuenta con 6 resguardos indígenas.</w:t>
      </w:r>
    </w:p>
    <w:p w14:paraId="06977A22" w14:textId="77777777" w:rsidR="00643CE2" w:rsidRPr="0044100E" w:rsidRDefault="00643CE2" w:rsidP="00643CE2">
      <w:pPr>
        <w:jc w:val="both"/>
        <w:rPr>
          <w:rFonts w:ascii="Arial" w:eastAsia="Calibri" w:hAnsi="Arial" w:cs="Arial"/>
          <w:bCs/>
          <w:sz w:val="22"/>
          <w:szCs w:val="22"/>
          <w:lang w:eastAsia="en-US"/>
        </w:rPr>
      </w:pPr>
    </w:p>
    <w:p w14:paraId="7C352192" w14:textId="4A448761" w:rsidR="00643CE2" w:rsidRPr="0044100E" w:rsidRDefault="00643CE2" w:rsidP="00643CE2">
      <w:pPr>
        <w:jc w:val="both"/>
        <w:rPr>
          <w:rFonts w:ascii="Arial" w:eastAsia="Calibri" w:hAnsi="Arial" w:cs="Arial"/>
          <w:bCs/>
          <w:sz w:val="22"/>
          <w:szCs w:val="22"/>
          <w:lang w:eastAsia="en-US"/>
        </w:rPr>
      </w:pPr>
      <w:r w:rsidRPr="0044100E">
        <w:rPr>
          <w:rFonts w:ascii="Arial" w:eastAsia="Calibri" w:hAnsi="Arial" w:cs="Arial"/>
          <w:bCs/>
          <w:sz w:val="22"/>
          <w:szCs w:val="22"/>
          <w:lang w:eastAsia="en-US"/>
        </w:rPr>
        <w:t xml:space="preserve">Según el Departamento Nacional de Estadística-DANE la población total del </w:t>
      </w:r>
      <w:r w:rsidR="007E345D">
        <w:rPr>
          <w:rFonts w:ascii="Arial" w:eastAsia="Calibri" w:hAnsi="Arial" w:cs="Arial"/>
          <w:bCs/>
          <w:sz w:val="22"/>
          <w:szCs w:val="22"/>
          <w:lang w:eastAsia="en-US"/>
        </w:rPr>
        <w:t>D</w:t>
      </w:r>
      <w:r w:rsidRPr="0044100E">
        <w:rPr>
          <w:rFonts w:ascii="Arial" w:eastAsia="Calibri" w:hAnsi="Arial" w:cs="Arial"/>
          <w:bCs/>
          <w:sz w:val="22"/>
          <w:szCs w:val="22"/>
          <w:lang w:eastAsia="en-US"/>
        </w:rPr>
        <w:t xml:space="preserve">epartamento es de 45.748 habitantes. La cual está conformada principalmente por población étnica, en un 75,46% de población indígena, Población negra, mulata o afrocolombiana en 0.66%, población raizal 0.02% y población palenquera en 0.02% para un total de 76,17%. Ahora bien, las actividades económicas del </w:t>
      </w:r>
      <w:r w:rsidR="007E345D">
        <w:rPr>
          <w:rFonts w:ascii="Arial" w:eastAsia="Calibri" w:hAnsi="Arial" w:cs="Arial"/>
          <w:bCs/>
          <w:sz w:val="22"/>
          <w:szCs w:val="22"/>
          <w:lang w:eastAsia="en-US"/>
        </w:rPr>
        <w:t>D</w:t>
      </w:r>
      <w:r w:rsidRPr="0044100E">
        <w:rPr>
          <w:rFonts w:ascii="Arial" w:eastAsia="Calibri" w:hAnsi="Arial" w:cs="Arial"/>
          <w:bCs/>
          <w:sz w:val="22"/>
          <w:szCs w:val="22"/>
          <w:lang w:eastAsia="en-US"/>
        </w:rPr>
        <w:t>epartamento son principalmente la agricultura, la caza de animales silvestres, la pesca, minería artesanal y ganadería.</w:t>
      </w:r>
    </w:p>
    <w:p w14:paraId="1D55D939" w14:textId="77777777" w:rsidR="00643CE2" w:rsidRPr="0044100E" w:rsidRDefault="00643CE2" w:rsidP="00643CE2">
      <w:pPr>
        <w:jc w:val="both"/>
        <w:rPr>
          <w:rFonts w:ascii="Arial" w:eastAsia="Calibri" w:hAnsi="Arial" w:cs="Arial"/>
          <w:bCs/>
          <w:sz w:val="22"/>
          <w:szCs w:val="22"/>
          <w:lang w:eastAsia="en-US"/>
        </w:rPr>
      </w:pPr>
      <w:r w:rsidRPr="0044100E">
        <w:rPr>
          <w:rFonts w:ascii="Arial" w:hAnsi="Arial" w:cs="Arial"/>
          <w:noProof/>
          <w:lang w:val="es-CO" w:eastAsia="es-CO"/>
        </w:rPr>
        <w:drawing>
          <wp:anchor distT="0" distB="0" distL="114300" distR="114300" simplePos="0" relativeHeight="251655168" behindDoc="0" locked="0" layoutInCell="1" allowOverlap="1" wp14:anchorId="65377A01" wp14:editId="1C506011">
            <wp:simplePos x="0" y="0"/>
            <wp:positionH relativeFrom="margin">
              <wp:align>center</wp:align>
            </wp:positionH>
            <wp:positionV relativeFrom="paragraph">
              <wp:posOffset>286385</wp:posOffset>
            </wp:positionV>
            <wp:extent cx="4672965" cy="3530600"/>
            <wp:effectExtent l="0" t="0" r="0" b="0"/>
            <wp:wrapTopAndBottom/>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2965" cy="3530600"/>
                    </a:xfrm>
                    <a:prstGeom prst="rect">
                      <a:avLst/>
                    </a:prstGeom>
                    <a:noFill/>
                  </pic:spPr>
                </pic:pic>
              </a:graphicData>
            </a:graphic>
          </wp:anchor>
        </w:drawing>
      </w:r>
    </w:p>
    <w:p w14:paraId="017B2ADD" w14:textId="2D718EA9" w:rsidR="00643CE2" w:rsidRPr="0044100E" w:rsidRDefault="00643CE2" w:rsidP="00643CE2">
      <w:pPr>
        <w:pStyle w:val="Prrafodelista"/>
        <w:jc w:val="both"/>
        <w:rPr>
          <w:rFonts w:ascii="Arial" w:hAnsi="Arial" w:cs="Arial"/>
          <w:sz w:val="22"/>
          <w:szCs w:val="22"/>
        </w:rPr>
      </w:pPr>
      <w:r w:rsidRPr="0044100E">
        <w:rPr>
          <w:rFonts w:ascii="Arial" w:eastAsia="Calibri" w:hAnsi="Arial" w:cs="Arial"/>
          <w:sz w:val="22"/>
          <w:szCs w:val="22"/>
          <w:lang w:eastAsia="en-US"/>
        </w:rPr>
        <w:t xml:space="preserve"> </w:t>
      </w:r>
      <w:r w:rsidRPr="0044100E">
        <w:rPr>
          <w:rFonts w:ascii="Arial" w:eastAsia="Calibri" w:hAnsi="Arial" w:cs="Arial"/>
          <w:sz w:val="22"/>
          <w:szCs w:val="22"/>
          <w:lang w:eastAsia="en-US"/>
        </w:rPr>
        <w:tab/>
      </w:r>
      <w:r w:rsidR="009C7544">
        <w:rPr>
          <w:rFonts w:ascii="Arial" w:eastAsia="Calibri" w:hAnsi="Arial" w:cs="Arial"/>
          <w:sz w:val="22"/>
          <w:szCs w:val="22"/>
          <w:lang w:eastAsia="en-US"/>
        </w:rPr>
        <w:t xml:space="preserve">       </w:t>
      </w:r>
      <w:r w:rsidRPr="0044100E">
        <w:rPr>
          <w:rFonts w:ascii="Arial" w:eastAsia="Calibri" w:hAnsi="Arial" w:cs="Arial"/>
          <w:sz w:val="22"/>
          <w:szCs w:val="22"/>
          <w:lang w:eastAsia="en-US"/>
        </w:rPr>
        <w:t xml:space="preserve"> Fuente</w:t>
      </w:r>
      <w:r w:rsidRPr="0044100E">
        <w:rPr>
          <w:rFonts w:ascii="Arial" w:hAnsi="Arial" w:cs="Arial"/>
          <w:sz w:val="22"/>
          <w:szCs w:val="22"/>
        </w:rPr>
        <w:t>: Instituto Geográfico Agustín Codazzi (IGAC)</w:t>
      </w:r>
    </w:p>
    <w:p w14:paraId="6D281AE0" w14:textId="77777777" w:rsidR="00643CE2" w:rsidRPr="0044100E" w:rsidRDefault="00643CE2" w:rsidP="00643CE2">
      <w:pPr>
        <w:pStyle w:val="Prrafodelista"/>
        <w:jc w:val="both"/>
        <w:rPr>
          <w:rFonts w:ascii="Arial" w:hAnsi="Arial" w:cs="Arial"/>
          <w:sz w:val="22"/>
          <w:szCs w:val="22"/>
        </w:rPr>
      </w:pPr>
    </w:p>
    <w:p w14:paraId="369C053A" w14:textId="2ADC6F89" w:rsidR="00643CE2" w:rsidRPr="0044100E" w:rsidRDefault="00643CE2" w:rsidP="00643CE2">
      <w:pPr>
        <w:jc w:val="both"/>
        <w:rPr>
          <w:rFonts w:ascii="Arial" w:eastAsia="Calibri" w:hAnsi="Arial" w:cs="Arial"/>
          <w:sz w:val="22"/>
          <w:szCs w:val="22"/>
          <w:lang w:val="es-CO" w:eastAsia="en-US"/>
        </w:rPr>
      </w:pPr>
      <w:r w:rsidRPr="0044100E">
        <w:rPr>
          <w:rFonts w:ascii="Arial" w:eastAsia="Calibri" w:hAnsi="Arial" w:cs="Arial"/>
          <w:sz w:val="22"/>
          <w:szCs w:val="22"/>
          <w:lang w:eastAsia="en-US"/>
        </w:rPr>
        <w:t xml:space="preserve">El Departamento está representado para el periodo 2020-2023 por el Gobernador Eliecer Pérez Galvis, quien está a cargo </w:t>
      </w:r>
      <w:r w:rsidR="007A0806" w:rsidRPr="0044100E">
        <w:rPr>
          <w:rFonts w:ascii="Arial" w:eastAsia="Calibri" w:hAnsi="Arial" w:cs="Arial"/>
          <w:sz w:val="22"/>
          <w:szCs w:val="22"/>
          <w:lang w:eastAsia="en-US"/>
        </w:rPr>
        <w:t xml:space="preserve">de la ejecución de $551.162 millones según el plan financiero proyectado para el cuatrienio. </w:t>
      </w:r>
    </w:p>
    <w:p w14:paraId="28AAD826" w14:textId="77777777"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shd w:val="clear" w:color="auto" w:fill="FFFFFF"/>
        </w:rPr>
      </w:pPr>
    </w:p>
    <w:p w14:paraId="3D32FB07" w14:textId="77777777" w:rsidR="00643CE2" w:rsidRPr="0044100E" w:rsidRDefault="00643CE2" w:rsidP="00643CE2">
      <w:pPr>
        <w:pStyle w:val="Prrafodelista"/>
        <w:numPr>
          <w:ilvl w:val="0"/>
          <w:numId w:val="20"/>
        </w:numPr>
        <w:jc w:val="both"/>
        <w:rPr>
          <w:rFonts w:ascii="Arial" w:eastAsia="Calibri" w:hAnsi="Arial" w:cs="Arial"/>
          <w:b/>
          <w:sz w:val="22"/>
          <w:szCs w:val="22"/>
          <w:lang w:eastAsia="en-US"/>
        </w:rPr>
      </w:pPr>
      <w:r w:rsidRPr="0044100E">
        <w:rPr>
          <w:rFonts w:ascii="Arial" w:eastAsia="Calibri" w:hAnsi="Arial" w:cs="Arial"/>
          <w:b/>
          <w:sz w:val="22"/>
          <w:szCs w:val="22"/>
          <w:lang w:eastAsia="en-US"/>
        </w:rPr>
        <w:t>Red pública de prestadores</w:t>
      </w:r>
    </w:p>
    <w:p w14:paraId="67D5117C" w14:textId="77777777"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ヒラギノ角ゴ Pro W3" w:hAnsi="Arial" w:cs="Arial"/>
          <w:color w:val="000000"/>
          <w:sz w:val="22"/>
          <w:szCs w:val="22"/>
          <w:highlight w:val="yellow"/>
          <w:lang w:eastAsia="en-US"/>
        </w:rPr>
      </w:pPr>
    </w:p>
    <w:p w14:paraId="740CA8FF" w14:textId="070546B6"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ヒラギノ角ゴ Pro W3" w:hAnsi="Arial" w:cs="Arial"/>
          <w:color w:val="000000"/>
          <w:sz w:val="22"/>
          <w:szCs w:val="22"/>
          <w:lang w:eastAsia="en-US"/>
        </w:rPr>
      </w:pPr>
      <w:r w:rsidRPr="0044100E">
        <w:rPr>
          <w:rFonts w:ascii="Arial" w:eastAsia="ヒラギノ角ゴ Pro W3" w:hAnsi="Arial" w:cs="Arial"/>
          <w:color w:val="000000"/>
          <w:sz w:val="22"/>
          <w:szCs w:val="22"/>
          <w:lang w:eastAsia="en-US"/>
        </w:rPr>
        <w:t xml:space="preserve">El Departamento del Vaupés, presentó una propuesta de reorganización, rediseño y modernización de la red pública de prestadores del servicio de salud del </w:t>
      </w:r>
      <w:r w:rsidR="00526978">
        <w:rPr>
          <w:rFonts w:ascii="Arial" w:eastAsia="ヒラギノ角ゴ Pro W3" w:hAnsi="Arial" w:cs="Arial"/>
          <w:color w:val="000000"/>
          <w:sz w:val="22"/>
          <w:szCs w:val="22"/>
          <w:lang w:eastAsia="en-US"/>
        </w:rPr>
        <w:t>D</w:t>
      </w:r>
      <w:r w:rsidRPr="0044100E">
        <w:rPr>
          <w:rFonts w:ascii="Arial" w:eastAsia="ヒラギノ角ゴ Pro W3" w:hAnsi="Arial" w:cs="Arial"/>
          <w:color w:val="000000"/>
          <w:sz w:val="22"/>
          <w:szCs w:val="22"/>
          <w:lang w:eastAsia="en-US"/>
        </w:rPr>
        <w:t xml:space="preserve">epartamento ante el Ministerio de Salud y Protección Social, siendo viabilizada e informada a este Ministerio el 27 de noviembre de 2013, mediante la comunicación No. 1-2013-085184. Según la propuesta viabilizada, la red pública hospitalaria la conforma una (1) Empresa Social del Estado - ESE, de carácter departamental, del segundo nivel de atención. Actualmente la ESE no adopta un programa de saneamiento fiscal y financiero. </w:t>
      </w:r>
    </w:p>
    <w:p w14:paraId="24BC2E82" w14:textId="77777777"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ヒラギノ角ゴ Pro W3" w:hAnsi="Arial" w:cs="Arial"/>
          <w:color w:val="000000"/>
          <w:sz w:val="22"/>
          <w:szCs w:val="22"/>
          <w:lang w:eastAsia="en-US"/>
        </w:rPr>
      </w:pPr>
    </w:p>
    <w:p w14:paraId="557C5263" w14:textId="77777777" w:rsidR="00643CE2" w:rsidRPr="0044100E" w:rsidRDefault="00643CE2" w:rsidP="00643CE2">
      <w:pPr>
        <w:jc w:val="center"/>
        <w:rPr>
          <w:rFonts w:ascii="Arial" w:eastAsia="Calibri" w:hAnsi="Arial" w:cs="Arial"/>
          <w:b/>
          <w:sz w:val="22"/>
          <w:szCs w:val="22"/>
          <w:lang w:eastAsia="en-US"/>
        </w:rPr>
      </w:pPr>
      <w:r w:rsidRPr="0044100E">
        <w:rPr>
          <w:rFonts w:ascii="Arial" w:eastAsia="Calibri" w:hAnsi="Arial" w:cs="Arial"/>
          <w:b/>
          <w:sz w:val="22"/>
          <w:szCs w:val="22"/>
          <w:lang w:eastAsia="en-US"/>
        </w:rPr>
        <w:t>RED PÚBLICA DE PRESTADORES</w:t>
      </w:r>
    </w:p>
    <w:tbl>
      <w:tblPr>
        <w:tblW w:w="5934" w:type="dxa"/>
        <w:jc w:val="center"/>
        <w:tblCellMar>
          <w:left w:w="70" w:type="dxa"/>
          <w:right w:w="70" w:type="dxa"/>
        </w:tblCellMar>
        <w:tblLook w:val="04A0" w:firstRow="1" w:lastRow="0" w:firstColumn="1" w:lastColumn="0" w:noHBand="0" w:noVBand="1"/>
      </w:tblPr>
      <w:tblGrid>
        <w:gridCol w:w="2072"/>
        <w:gridCol w:w="1229"/>
        <w:gridCol w:w="1229"/>
        <w:gridCol w:w="1229"/>
        <w:gridCol w:w="874"/>
      </w:tblGrid>
      <w:tr w:rsidR="00643CE2" w:rsidRPr="0044100E" w14:paraId="4B26AEA3" w14:textId="77777777" w:rsidTr="00643CE2">
        <w:trPr>
          <w:trHeight w:val="256"/>
          <w:jc w:val="center"/>
        </w:trPr>
        <w:tc>
          <w:tcPr>
            <w:tcW w:w="1400" w:type="dxa"/>
            <w:tcBorders>
              <w:top w:val="single" w:sz="12" w:space="0" w:color="595959" w:themeColor="text1" w:themeTint="A6"/>
              <w:left w:val="nil"/>
              <w:bottom w:val="double" w:sz="4" w:space="0" w:color="595959" w:themeColor="text1" w:themeTint="A6"/>
              <w:right w:val="nil"/>
            </w:tcBorders>
            <w:vAlign w:val="center"/>
            <w:hideMark/>
          </w:tcPr>
          <w:p w14:paraId="1D718B7D" w14:textId="77777777" w:rsidR="00643CE2" w:rsidRPr="0044100E" w:rsidRDefault="00643CE2">
            <w:pPr>
              <w:jc w:val="center"/>
              <w:rPr>
                <w:rFonts w:ascii="Arial" w:eastAsia="Times New Roman" w:hAnsi="Arial" w:cs="Arial"/>
                <w:b/>
                <w:bCs/>
                <w:sz w:val="22"/>
                <w:szCs w:val="22"/>
                <w:lang w:val="es-CO" w:eastAsia="es-CO"/>
              </w:rPr>
            </w:pPr>
            <w:r w:rsidRPr="0044100E">
              <w:rPr>
                <w:rFonts w:ascii="Arial" w:eastAsia="Times New Roman" w:hAnsi="Arial" w:cs="Arial"/>
                <w:b/>
                <w:bCs/>
                <w:sz w:val="22"/>
                <w:szCs w:val="22"/>
                <w:lang w:val="es-CO" w:eastAsia="es-CO"/>
              </w:rPr>
              <w:t>CARÁCTER</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14:paraId="280106FD" w14:textId="77777777" w:rsidR="00643CE2" w:rsidRPr="0044100E" w:rsidRDefault="00643CE2">
            <w:pPr>
              <w:jc w:val="center"/>
              <w:rPr>
                <w:rFonts w:ascii="Arial" w:eastAsia="Times New Roman" w:hAnsi="Arial" w:cs="Arial"/>
                <w:b/>
                <w:bCs/>
                <w:sz w:val="22"/>
                <w:szCs w:val="22"/>
                <w:lang w:val="es-CO" w:eastAsia="es-CO"/>
              </w:rPr>
            </w:pPr>
            <w:r w:rsidRPr="0044100E">
              <w:rPr>
                <w:rFonts w:ascii="Arial" w:eastAsia="Times New Roman" w:hAnsi="Arial" w:cs="Arial"/>
                <w:b/>
                <w:bCs/>
                <w:sz w:val="22"/>
                <w:szCs w:val="22"/>
                <w:lang w:val="es-CO" w:eastAsia="es-CO"/>
              </w:rPr>
              <w:t>NIVEL 1</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14:paraId="4A75E3D0" w14:textId="77777777" w:rsidR="00643CE2" w:rsidRPr="0044100E" w:rsidRDefault="00643CE2">
            <w:pPr>
              <w:jc w:val="center"/>
              <w:rPr>
                <w:rFonts w:ascii="Arial" w:eastAsia="Times New Roman" w:hAnsi="Arial" w:cs="Arial"/>
                <w:b/>
                <w:bCs/>
                <w:sz w:val="22"/>
                <w:szCs w:val="22"/>
                <w:lang w:val="es-CO" w:eastAsia="es-CO"/>
              </w:rPr>
            </w:pPr>
            <w:r w:rsidRPr="0044100E">
              <w:rPr>
                <w:rFonts w:ascii="Arial" w:eastAsia="Times New Roman" w:hAnsi="Arial" w:cs="Arial"/>
                <w:b/>
                <w:bCs/>
                <w:sz w:val="22"/>
                <w:szCs w:val="22"/>
                <w:lang w:val="es-CO" w:eastAsia="es-CO"/>
              </w:rPr>
              <w:t>NIVEL 2</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14:paraId="27B17C7A" w14:textId="77777777" w:rsidR="00643CE2" w:rsidRPr="0044100E" w:rsidRDefault="00643CE2">
            <w:pPr>
              <w:jc w:val="center"/>
              <w:rPr>
                <w:rFonts w:ascii="Arial" w:eastAsia="Times New Roman" w:hAnsi="Arial" w:cs="Arial"/>
                <w:b/>
                <w:bCs/>
                <w:sz w:val="22"/>
                <w:szCs w:val="22"/>
                <w:lang w:val="es-CO" w:eastAsia="es-CO"/>
              </w:rPr>
            </w:pPr>
            <w:r w:rsidRPr="0044100E">
              <w:rPr>
                <w:rFonts w:ascii="Arial" w:eastAsia="Times New Roman" w:hAnsi="Arial" w:cs="Arial"/>
                <w:b/>
                <w:bCs/>
                <w:sz w:val="22"/>
                <w:szCs w:val="22"/>
                <w:lang w:val="es-CO" w:eastAsia="es-CO"/>
              </w:rPr>
              <w:t>NIVEL 3</w:t>
            </w:r>
          </w:p>
        </w:tc>
        <w:tc>
          <w:tcPr>
            <w:tcW w:w="847" w:type="dxa"/>
            <w:tcBorders>
              <w:top w:val="single" w:sz="12" w:space="0" w:color="595959" w:themeColor="text1" w:themeTint="A6"/>
              <w:left w:val="nil"/>
              <w:bottom w:val="double" w:sz="4" w:space="0" w:color="595959" w:themeColor="text1" w:themeTint="A6"/>
              <w:right w:val="nil"/>
            </w:tcBorders>
            <w:vAlign w:val="center"/>
            <w:hideMark/>
          </w:tcPr>
          <w:p w14:paraId="5F012CF5" w14:textId="77777777" w:rsidR="00643CE2" w:rsidRPr="0044100E" w:rsidRDefault="00643CE2">
            <w:pPr>
              <w:jc w:val="center"/>
              <w:rPr>
                <w:rFonts w:ascii="Arial" w:eastAsia="Times New Roman" w:hAnsi="Arial" w:cs="Arial"/>
                <w:b/>
                <w:bCs/>
                <w:sz w:val="22"/>
                <w:szCs w:val="22"/>
                <w:lang w:val="es-CO" w:eastAsia="es-CO"/>
              </w:rPr>
            </w:pPr>
            <w:r w:rsidRPr="0044100E">
              <w:rPr>
                <w:rFonts w:ascii="Arial" w:eastAsia="Times New Roman" w:hAnsi="Arial" w:cs="Arial"/>
                <w:b/>
                <w:bCs/>
                <w:sz w:val="22"/>
                <w:szCs w:val="22"/>
                <w:lang w:val="es-CO" w:eastAsia="es-CO"/>
              </w:rPr>
              <w:t>TOTAL</w:t>
            </w:r>
          </w:p>
        </w:tc>
      </w:tr>
      <w:tr w:rsidR="00643CE2" w:rsidRPr="0044100E" w14:paraId="76D28ED0" w14:textId="77777777" w:rsidTr="00643CE2">
        <w:trPr>
          <w:trHeight w:val="240"/>
          <w:jc w:val="center"/>
        </w:trPr>
        <w:tc>
          <w:tcPr>
            <w:tcW w:w="1400" w:type="dxa"/>
            <w:tcBorders>
              <w:top w:val="double" w:sz="4" w:space="0" w:color="595959" w:themeColor="text1" w:themeTint="A6"/>
              <w:left w:val="nil"/>
              <w:bottom w:val="single" w:sz="4" w:space="0" w:color="A6A6A6"/>
              <w:right w:val="nil"/>
            </w:tcBorders>
            <w:noWrap/>
            <w:vAlign w:val="center"/>
            <w:hideMark/>
          </w:tcPr>
          <w:p w14:paraId="260671D1" w14:textId="77777777" w:rsidR="00643CE2" w:rsidRPr="0044100E" w:rsidRDefault="00643CE2">
            <w:pPr>
              <w:rPr>
                <w:rFonts w:ascii="Arial" w:eastAsia="Times New Roman" w:hAnsi="Arial" w:cs="Arial"/>
                <w:sz w:val="22"/>
                <w:szCs w:val="22"/>
                <w:lang w:val="es-CO" w:eastAsia="es-CO"/>
              </w:rPr>
            </w:pPr>
            <w:r w:rsidRPr="0044100E">
              <w:rPr>
                <w:rFonts w:ascii="Arial" w:eastAsia="Times New Roman" w:hAnsi="Arial" w:cs="Arial"/>
                <w:sz w:val="22"/>
                <w:szCs w:val="22"/>
                <w:lang w:val="es-CO" w:eastAsia="es-CO"/>
              </w:rPr>
              <w:t>DEPARTAMENTAL</w:t>
            </w:r>
          </w:p>
        </w:tc>
        <w:tc>
          <w:tcPr>
            <w:tcW w:w="1229" w:type="dxa"/>
            <w:tcBorders>
              <w:top w:val="double" w:sz="4" w:space="0" w:color="595959" w:themeColor="text1" w:themeTint="A6"/>
              <w:left w:val="nil"/>
              <w:bottom w:val="single" w:sz="4" w:space="0" w:color="A6A6A6"/>
              <w:right w:val="nil"/>
            </w:tcBorders>
            <w:noWrap/>
            <w:vAlign w:val="center"/>
          </w:tcPr>
          <w:p w14:paraId="60492728" w14:textId="77777777" w:rsidR="00643CE2" w:rsidRPr="0044100E" w:rsidRDefault="00643CE2">
            <w:pPr>
              <w:jc w:val="center"/>
              <w:rPr>
                <w:rFonts w:ascii="Arial" w:eastAsia="Times New Roman" w:hAnsi="Arial" w:cs="Arial"/>
                <w:sz w:val="22"/>
                <w:szCs w:val="22"/>
                <w:lang w:val="es-CO" w:eastAsia="es-CO"/>
              </w:rPr>
            </w:pPr>
          </w:p>
        </w:tc>
        <w:tc>
          <w:tcPr>
            <w:tcW w:w="1229" w:type="dxa"/>
            <w:tcBorders>
              <w:top w:val="double" w:sz="4" w:space="0" w:color="595959" w:themeColor="text1" w:themeTint="A6"/>
              <w:left w:val="nil"/>
              <w:bottom w:val="single" w:sz="4" w:space="0" w:color="A6A6A6"/>
              <w:right w:val="nil"/>
            </w:tcBorders>
            <w:noWrap/>
            <w:vAlign w:val="center"/>
            <w:hideMark/>
          </w:tcPr>
          <w:p w14:paraId="71700744" w14:textId="77777777" w:rsidR="00643CE2" w:rsidRPr="0044100E" w:rsidRDefault="00643CE2">
            <w:pPr>
              <w:jc w:val="center"/>
              <w:rPr>
                <w:rFonts w:ascii="Arial" w:eastAsia="Times New Roman" w:hAnsi="Arial" w:cs="Arial"/>
                <w:sz w:val="22"/>
                <w:szCs w:val="22"/>
                <w:lang w:val="es-CO" w:eastAsia="es-CO"/>
              </w:rPr>
            </w:pPr>
            <w:r w:rsidRPr="0044100E">
              <w:rPr>
                <w:rFonts w:ascii="Arial" w:eastAsia="Times New Roman" w:hAnsi="Arial" w:cs="Arial"/>
                <w:sz w:val="22"/>
                <w:szCs w:val="22"/>
                <w:lang w:val="es-CO" w:eastAsia="es-CO"/>
              </w:rPr>
              <w:t>1</w:t>
            </w:r>
          </w:p>
        </w:tc>
        <w:tc>
          <w:tcPr>
            <w:tcW w:w="1229" w:type="dxa"/>
            <w:tcBorders>
              <w:top w:val="double" w:sz="4" w:space="0" w:color="595959" w:themeColor="text1" w:themeTint="A6"/>
              <w:left w:val="nil"/>
              <w:bottom w:val="single" w:sz="4" w:space="0" w:color="A6A6A6"/>
              <w:right w:val="nil"/>
            </w:tcBorders>
            <w:noWrap/>
            <w:vAlign w:val="center"/>
          </w:tcPr>
          <w:p w14:paraId="71D39E75" w14:textId="77777777" w:rsidR="00643CE2" w:rsidRPr="0044100E" w:rsidRDefault="00643CE2">
            <w:pPr>
              <w:jc w:val="center"/>
              <w:rPr>
                <w:rFonts w:ascii="Arial" w:eastAsia="Times New Roman" w:hAnsi="Arial" w:cs="Arial"/>
                <w:sz w:val="22"/>
                <w:szCs w:val="22"/>
                <w:lang w:val="es-CO" w:eastAsia="es-CO"/>
              </w:rPr>
            </w:pPr>
          </w:p>
        </w:tc>
        <w:tc>
          <w:tcPr>
            <w:tcW w:w="847" w:type="dxa"/>
            <w:tcBorders>
              <w:top w:val="double" w:sz="4" w:space="0" w:color="595959" w:themeColor="text1" w:themeTint="A6"/>
              <w:left w:val="nil"/>
              <w:bottom w:val="single" w:sz="4" w:space="0" w:color="A6A6A6"/>
              <w:right w:val="nil"/>
            </w:tcBorders>
            <w:noWrap/>
            <w:vAlign w:val="center"/>
          </w:tcPr>
          <w:p w14:paraId="5E72D7ED" w14:textId="77777777" w:rsidR="00643CE2" w:rsidRPr="0044100E" w:rsidRDefault="00643CE2">
            <w:pPr>
              <w:jc w:val="center"/>
              <w:rPr>
                <w:rFonts w:ascii="Arial" w:eastAsia="Times New Roman" w:hAnsi="Arial" w:cs="Arial"/>
                <w:sz w:val="22"/>
                <w:szCs w:val="22"/>
                <w:lang w:val="es-CO" w:eastAsia="es-CO"/>
              </w:rPr>
            </w:pPr>
          </w:p>
        </w:tc>
      </w:tr>
      <w:tr w:rsidR="00643CE2" w:rsidRPr="0044100E" w14:paraId="4E40B386" w14:textId="77777777" w:rsidTr="00643CE2">
        <w:trPr>
          <w:trHeight w:val="224"/>
          <w:jc w:val="center"/>
        </w:trPr>
        <w:tc>
          <w:tcPr>
            <w:tcW w:w="1400" w:type="dxa"/>
            <w:tcBorders>
              <w:top w:val="nil"/>
              <w:left w:val="nil"/>
              <w:bottom w:val="single" w:sz="4" w:space="0" w:color="A6A6A6"/>
              <w:right w:val="nil"/>
            </w:tcBorders>
            <w:noWrap/>
            <w:vAlign w:val="center"/>
            <w:hideMark/>
          </w:tcPr>
          <w:p w14:paraId="06BDBB1A" w14:textId="77777777" w:rsidR="00643CE2" w:rsidRPr="0044100E" w:rsidRDefault="00643CE2">
            <w:pPr>
              <w:rPr>
                <w:rFonts w:ascii="Arial" w:eastAsia="Times New Roman" w:hAnsi="Arial" w:cs="Arial"/>
                <w:sz w:val="22"/>
                <w:szCs w:val="22"/>
                <w:lang w:val="es-CO" w:eastAsia="es-CO"/>
              </w:rPr>
            </w:pPr>
            <w:r w:rsidRPr="0044100E">
              <w:rPr>
                <w:rFonts w:ascii="Arial" w:eastAsia="Times New Roman" w:hAnsi="Arial" w:cs="Arial"/>
                <w:sz w:val="22"/>
                <w:szCs w:val="22"/>
                <w:lang w:val="es-CO" w:eastAsia="es-CO"/>
              </w:rPr>
              <w:t>MUNICIPAL</w:t>
            </w:r>
          </w:p>
        </w:tc>
        <w:tc>
          <w:tcPr>
            <w:tcW w:w="1229" w:type="dxa"/>
            <w:tcBorders>
              <w:top w:val="nil"/>
              <w:left w:val="nil"/>
              <w:bottom w:val="single" w:sz="4" w:space="0" w:color="A6A6A6"/>
              <w:right w:val="nil"/>
            </w:tcBorders>
            <w:noWrap/>
            <w:vAlign w:val="center"/>
          </w:tcPr>
          <w:p w14:paraId="37BF7989" w14:textId="77777777" w:rsidR="00643CE2" w:rsidRPr="0044100E" w:rsidRDefault="00643CE2">
            <w:pPr>
              <w:jc w:val="center"/>
              <w:rPr>
                <w:rFonts w:ascii="Arial" w:eastAsia="Times New Roman" w:hAnsi="Arial" w:cs="Arial"/>
                <w:sz w:val="22"/>
                <w:szCs w:val="22"/>
                <w:lang w:val="es-CO" w:eastAsia="es-CO"/>
              </w:rPr>
            </w:pPr>
          </w:p>
        </w:tc>
        <w:tc>
          <w:tcPr>
            <w:tcW w:w="1229" w:type="dxa"/>
            <w:tcBorders>
              <w:top w:val="nil"/>
              <w:left w:val="nil"/>
              <w:bottom w:val="single" w:sz="4" w:space="0" w:color="A6A6A6"/>
              <w:right w:val="nil"/>
            </w:tcBorders>
            <w:noWrap/>
            <w:vAlign w:val="center"/>
          </w:tcPr>
          <w:p w14:paraId="47A6533D" w14:textId="77777777" w:rsidR="00643CE2" w:rsidRPr="0044100E" w:rsidRDefault="00643CE2">
            <w:pPr>
              <w:jc w:val="center"/>
              <w:rPr>
                <w:rFonts w:ascii="Arial" w:eastAsia="Times New Roman" w:hAnsi="Arial" w:cs="Arial"/>
                <w:sz w:val="22"/>
                <w:szCs w:val="22"/>
                <w:lang w:val="es-CO" w:eastAsia="es-CO"/>
              </w:rPr>
            </w:pPr>
          </w:p>
        </w:tc>
        <w:tc>
          <w:tcPr>
            <w:tcW w:w="1229" w:type="dxa"/>
            <w:tcBorders>
              <w:top w:val="nil"/>
              <w:left w:val="nil"/>
              <w:bottom w:val="single" w:sz="4" w:space="0" w:color="A6A6A6"/>
              <w:right w:val="nil"/>
            </w:tcBorders>
            <w:noWrap/>
            <w:vAlign w:val="center"/>
          </w:tcPr>
          <w:p w14:paraId="52D4162A" w14:textId="77777777" w:rsidR="00643CE2" w:rsidRPr="0044100E" w:rsidRDefault="00643CE2">
            <w:pPr>
              <w:jc w:val="center"/>
              <w:rPr>
                <w:rFonts w:ascii="Arial" w:eastAsia="Times New Roman" w:hAnsi="Arial" w:cs="Arial"/>
                <w:sz w:val="22"/>
                <w:szCs w:val="22"/>
                <w:lang w:val="es-CO" w:eastAsia="es-CO"/>
              </w:rPr>
            </w:pPr>
          </w:p>
        </w:tc>
        <w:tc>
          <w:tcPr>
            <w:tcW w:w="847" w:type="dxa"/>
            <w:tcBorders>
              <w:top w:val="nil"/>
              <w:left w:val="nil"/>
              <w:bottom w:val="single" w:sz="4" w:space="0" w:color="A6A6A6"/>
              <w:right w:val="nil"/>
            </w:tcBorders>
            <w:noWrap/>
            <w:vAlign w:val="center"/>
          </w:tcPr>
          <w:p w14:paraId="2D631C48" w14:textId="77777777" w:rsidR="00643CE2" w:rsidRPr="0044100E" w:rsidRDefault="00643CE2">
            <w:pPr>
              <w:jc w:val="center"/>
              <w:rPr>
                <w:rFonts w:ascii="Arial" w:eastAsia="Times New Roman" w:hAnsi="Arial" w:cs="Arial"/>
                <w:sz w:val="22"/>
                <w:szCs w:val="22"/>
                <w:lang w:val="es-CO" w:eastAsia="es-CO"/>
              </w:rPr>
            </w:pPr>
          </w:p>
        </w:tc>
      </w:tr>
      <w:tr w:rsidR="00643CE2" w:rsidRPr="0044100E" w14:paraId="09D72D54" w14:textId="77777777" w:rsidTr="00643CE2">
        <w:trPr>
          <w:trHeight w:val="224"/>
          <w:jc w:val="center"/>
        </w:trPr>
        <w:tc>
          <w:tcPr>
            <w:tcW w:w="1400" w:type="dxa"/>
            <w:tcBorders>
              <w:top w:val="nil"/>
              <w:left w:val="nil"/>
              <w:bottom w:val="single" w:sz="4" w:space="0" w:color="A6A6A6"/>
              <w:right w:val="nil"/>
            </w:tcBorders>
            <w:noWrap/>
            <w:vAlign w:val="center"/>
            <w:hideMark/>
          </w:tcPr>
          <w:p w14:paraId="2333EC74" w14:textId="77777777" w:rsidR="00643CE2" w:rsidRPr="0044100E" w:rsidRDefault="00643CE2">
            <w:pPr>
              <w:rPr>
                <w:rFonts w:ascii="Arial" w:eastAsia="Times New Roman" w:hAnsi="Arial" w:cs="Arial"/>
                <w:sz w:val="22"/>
                <w:szCs w:val="22"/>
                <w:lang w:val="es-CO" w:eastAsia="es-CO"/>
              </w:rPr>
            </w:pPr>
            <w:r w:rsidRPr="0044100E">
              <w:rPr>
                <w:rFonts w:ascii="Arial" w:eastAsia="Times New Roman" w:hAnsi="Arial" w:cs="Arial"/>
                <w:sz w:val="22"/>
                <w:szCs w:val="22"/>
                <w:lang w:val="es-CO" w:eastAsia="es-CO"/>
              </w:rPr>
              <w:t>NACIONAL</w:t>
            </w:r>
          </w:p>
        </w:tc>
        <w:tc>
          <w:tcPr>
            <w:tcW w:w="1229" w:type="dxa"/>
            <w:tcBorders>
              <w:top w:val="nil"/>
              <w:left w:val="nil"/>
              <w:bottom w:val="single" w:sz="4" w:space="0" w:color="A6A6A6"/>
              <w:right w:val="nil"/>
            </w:tcBorders>
            <w:noWrap/>
            <w:vAlign w:val="center"/>
          </w:tcPr>
          <w:p w14:paraId="1A02F0A4" w14:textId="77777777" w:rsidR="00643CE2" w:rsidRPr="0044100E" w:rsidRDefault="00643CE2">
            <w:pPr>
              <w:jc w:val="center"/>
              <w:rPr>
                <w:rFonts w:ascii="Arial" w:eastAsia="Times New Roman" w:hAnsi="Arial" w:cs="Arial"/>
                <w:sz w:val="22"/>
                <w:szCs w:val="22"/>
                <w:lang w:val="es-CO" w:eastAsia="es-CO"/>
              </w:rPr>
            </w:pPr>
          </w:p>
        </w:tc>
        <w:tc>
          <w:tcPr>
            <w:tcW w:w="1229" w:type="dxa"/>
            <w:tcBorders>
              <w:top w:val="nil"/>
              <w:left w:val="nil"/>
              <w:bottom w:val="single" w:sz="4" w:space="0" w:color="A6A6A6"/>
              <w:right w:val="nil"/>
            </w:tcBorders>
            <w:noWrap/>
            <w:vAlign w:val="center"/>
          </w:tcPr>
          <w:p w14:paraId="7DD67687" w14:textId="77777777" w:rsidR="00643CE2" w:rsidRPr="0044100E" w:rsidRDefault="00643CE2">
            <w:pPr>
              <w:jc w:val="center"/>
              <w:rPr>
                <w:rFonts w:ascii="Arial" w:eastAsia="Times New Roman" w:hAnsi="Arial" w:cs="Arial"/>
                <w:sz w:val="22"/>
                <w:szCs w:val="22"/>
                <w:lang w:val="es-CO" w:eastAsia="es-CO"/>
              </w:rPr>
            </w:pPr>
          </w:p>
        </w:tc>
        <w:tc>
          <w:tcPr>
            <w:tcW w:w="1229" w:type="dxa"/>
            <w:tcBorders>
              <w:top w:val="nil"/>
              <w:left w:val="nil"/>
              <w:bottom w:val="single" w:sz="4" w:space="0" w:color="A6A6A6"/>
              <w:right w:val="nil"/>
            </w:tcBorders>
            <w:noWrap/>
            <w:vAlign w:val="center"/>
          </w:tcPr>
          <w:p w14:paraId="278E06AA" w14:textId="77777777" w:rsidR="00643CE2" w:rsidRPr="0044100E" w:rsidRDefault="00643CE2">
            <w:pPr>
              <w:jc w:val="center"/>
              <w:rPr>
                <w:rFonts w:ascii="Arial" w:eastAsia="Times New Roman" w:hAnsi="Arial" w:cs="Arial"/>
                <w:sz w:val="22"/>
                <w:szCs w:val="22"/>
                <w:lang w:val="es-CO" w:eastAsia="es-CO"/>
              </w:rPr>
            </w:pPr>
          </w:p>
        </w:tc>
        <w:tc>
          <w:tcPr>
            <w:tcW w:w="847" w:type="dxa"/>
            <w:tcBorders>
              <w:top w:val="nil"/>
              <w:left w:val="nil"/>
              <w:bottom w:val="single" w:sz="4" w:space="0" w:color="A6A6A6"/>
              <w:right w:val="nil"/>
            </w:tcBorders>
            <w:noWrap/>
            <w:vAlign w:val="center"/>
          </w:tcPr>
          <w:p w14:paraId="0EA277B6" w14:textId="77777777" w:rsidR="00643CE2" w:rsidRPr="0044100E" w:rsidRDefault="00643CE2">
            <w:pPr>
              <w:jc w:val="center"/>
              <w:rPr>
                <w:rFonts w:ascii="Arial" w:eastAsia="Times New Roman" w:hAnsi="Arial" w:cs="Arial"/>
                <w:sz w:val="22"/>
                <w:szCs w:val="22"/>
                <w:lang w:val="es-CO" w:eastAsia="es-CO"/>
              </w:rPr>
            </w:pPr>
          </w:p>
        </w:tc>
      </w:tr>
      <w:tr w:rsidR="00643CE2" w:rsidRPr="0044100E" w14:paraId="4CADDC1B" w14:textId="77777777" w:rsidTr="00643CE2">
        <w:trPr>
          <w:trHeight w:val="240"/>
          <w:jc w:val="center"/>
        </w:trPr>
        <w:tc>
          <w:tcPr>
            <w:tcW w:w="1400" w:type="dxa"/>
            <w:tcBorders>
              <w:top w:val="single" w:sz="4" w:space="0" w:color="A6A6A6"/>
              <w:left w:val="nil"/>
              <w:bottom w:val="single" w:sz="12" w:space="0" w:color="595959" w:themeColor="text1" w:themeTint="A6"/>
              <w:right w:val="nil"/>
            </w:tcBorders>
            <w:noWrap/>
            <w:vAlign w:val="center"/>
            <w:hideMark/>
          </w:tcPr>
          <w:p w14:paraId="1EF2A970" w14:textId="77777777" w:rsidR="00643CE2" w:rsidRPr="0044100E" w:rsidRDefault="00643CE2">
            <w:pPr>
              <w:jc w:val="center"/>
              <w:rPr>
                <w:rFonts w:ascii="Arial" w:eastAsia="Times New Roman" w:hAnsi="Arial" w:cs="Arial"/>
                <w:b/>
                <w:bCs/>
                <w:sz w:val="22"/>
                <w:szCs w:val="22"/>
                <w:lang w:val="es-CO" w:eastAsia="es-CO"/>
              </w:rPr>
            </w:pPr>
            <w:r w:rsidRPr="0044100E">
              <w:rPr>
                <w:rFonts w:ascii="Arial" w:eastAsia="Times New Roman" w:hAnsi="Arial" w:cs="Arial"/>
                <w:b/>
                <w:bCs/>
                <w:sz w:val="22"/>
                <w:szCs w:val="22"/>
                <w:lang w:val="es-CO" w:eastAsia="es-CO"/>
              </w:rPr>
              <w:t>TOTAL</w:t>
            </w:r>
          </w:p>
        </w:tc>
        <w:tc>
          <w:tcPr>
            <w:tcW w:w="1229" w:type="dxa"/>
            <w:tcBorders>
              <w:top w:val="single" w:sz="4" w:space="0" w:color="A6A6A6"/>
              <w:left w:val="nil"/>
              <w:bottom w:val="single" w:sz="12" w:space="0" w:color="595959" w:themeColor="text1" w:themeTint="A6"/>
              <w:right w:val="nil"/>
            </w:tcBorders>
            <w:noWrap/>
            <w:vAlign w:val="center"/>
          </w:tcPr>
          <w:p w14:paraId="5E5AF0D2" w14:textId="77777777" w:rsidR="00643CE2" w:rsidRPr="0044100E" w:rsidRDefault="00643CE2">
            <w:pPr>
              <w:jc w:val="center"/>
              <w:rPr>
                <w:rFonts w:ascii="Arial" w:eastAsia="Times New Roman" w:hAnsi="Arial" w:cs="Arial"/>
                <w:b/>
                <w:bCs/>
                <w:sz w:val="22"/>
                <w:szCs w:val="22"/>
                <w:lang w:val="es-CO" w:eastAsia="es-CO"/>
              </w:rPr>
            </w:pPr>
          </w:p>
        </w:tc>
        <w:tc>
          <w:tcPr>
            <w:tcW w:w="1229" w:type="dxa"/>
            <w:tcBorders>
              <w:top w:val="single" w:sz="4" w:space="0" w:color="A6A6A6"/>
              <w:left w:val="nil"/>
              <w:bottom w:val="single" w:sz="12" w:space="0" w:color="595959" w:themeColor="text1" w:themeTint="A6"/>
              <w:right w:val="nil"/>
            </w:tcBorders>
            <w:noWrap/>
            <w:vAlign w:val="center"/>
          </w:tcPr>
          <w:p w14:paraId="61D59EE6" w14:textId="77777777" w:rsidR="00643CE2" w:rsidRPr="0044100E" w:rsidRDefault="00643CE2">
            <w:pPr>
              <w:jc w:val="center"/>
              <w:rPr>
                <w:rFonts w:ascii="Arial" w:eastAsia="Times New Roman" w:hAnsi="Arial" w:cs="Arial"/>
                <w:b/>
                <w:bCs/>
                <w:sz w:val="22"/>
                <w:szCs w:val="22"/>
                <w:lang w:val="es-CO" w:eastAsia="es-CO"/>
              </w:rPr>
            </w:pPr>
          </w:p>
        </w:tc>
        <w:tc>
          <w:tcPr>
            <w:tcW w:w="1229" w:type="dxa"/>
            <w:tcBorders>
              <w:top w:val="single" w:sz="4" w:space="0" w:color="A6A6A6"/>
              <w:left w:val="nil"/>
              <w:bottom w:val="single" w:sz="12" w:space="0" w:color="595959" w:themeColor="text1" w:themeTint="A6"/>
              <w:right w:val="nil"/>
            </w:tcBorders>
            <w:noWrap/>
            <w:vAlign w:val="center"/>
          </w:tcPr>
          <w:p w14:paraId="5B3DCBFF" w14:textId="77777777" w:rsidR="00643CE2" w:rsidRPr="0044100E" w:rsidRDefault="00643CE2">
            <w:pPr>
              <w:jc w:val="center"/>
              <w:rPr>
                <w:rFonts w:ascii="Arial" w:eastAsia="Times New Roman" w:hAnsi="Arial" w:cs="Arial"/>
                <w:b/>
                <w:bCs/>
                <w:sz w:val="22"/>
                <w:szCs w:val="22"/>
                <w:lang w:val="es-CO" w:eastAsia="es-CO"/>
              </w:rPr>
            </w:pPr>
          </w:p>
        </w:tc>
        <w:tc>
          <w:tcPr>
            <w:tcW w:w="847" w:type="dxa"/>
            <w:tcBorders>
              <w:top w:val="single" w:sz="4" w:space="0" w:color="A6A6A6"/>
              <w:left w:val="nil"/>
              <w:bottom w:val="single" w:sz="12" w:space="0" w:color="595959" w:themeColor="text1" w:themeTint="A6"/>
              <w:right w:val="nil"/>
            </w:tcBorders>
            <w:noWrap/>
            <w:vAlign w:val="center"/>
          </w:tcPr>
          <w:p w14:paraId="6CC7EBCC" w14:textId="77777777" w:rsidR="00643CE2" w:rsidRPr="0044100E" w:rsidRDefault="00643CE2">
            <w:pPr>
              <w:jc w:val="center"/>
              <w:rPr>
                <w:rFonts w:ascii="Arial" w:eastAsia="Times New Roman" w:hAnsi="Arial" w:cs="Arial"/>
                <w:b/>
                <w:bCs/>
                <w:sz w:val="22"/>
                <w:szCs w:val="22"/>
                <w:lang w:val="es-CO" w:eastAsia="es-CO"/>
              </w:rPr>
            </w:pPr>
          </w:p>
        </w:tc>
      </w:tr>
    </w:tbl>
    <w:p w14:paraId="44E1E055" w14:textId="77777777" w:rsidR="00643CE2" w:rsidRPr="0044100E" w:rsidRDefault="00643CE2" w:rsidP="00643CE2">
      <w:pPr>
        <w:ind w:left="708" w:firstLine="708"/>
        <w:jc w:val="both"/>
        <w:rPr>
          <w:rFonts w:ascii="Arial" w:eastAsia="Calibri" w:hAnsi="Arial" w:cs="Arial"/>
          <w:sz w:val="18"/>
          <w:szCs w:val="18"/>
          <w:lang w:eastAsia="en-US"/>
        </w:rPr>
      </w:pPr>
      <w:r w:rsidRPr="0044100E">
        <w:rPr>
          <w:rFonts w:ascii="Arial" w:eastAsia="Times New Roman" w:hAnsi="Arial" w:cs="Arial"/>
          <w:b/>
          <w:sz w:val="18"/>
          <w:szCs w:val="18"/>
          <w:lang w:eastAsia="es-CO"/>
        </w:rPr>
        <w:t>Fuente</w:t>
      </w:r>
      <w:r w:rsidRPr="0044100E">
        <w:rPr>
          <w:rFonts w:ascii="Arial" w:eastAsia="Times New Roman" w:hAnsi="Arial" w:cs="Arial"/>
          <w:sz w:val="18"/>
          <w:szCs w:val="18"/>
          <w:lang w:eastAsia="es-CO"/>
        </w:rPr>
        <w:t xml:space="preserve">: MSPS-REPS </w:t>
      </w:r>
    </w:p>
    <w:p w14:paraId="286805A1" w14:textId="77777777" w:rsidR="00643CE2" w:rsidRPr="0044100E" w:rsidRDefault="00643CE2" w:rsidP="00643CE2">
      <w:pPr>
        <w:autoSpaceDE w:val="0"/>
        <w:autoSpaceDN w:val="0"/>
        <w:adjustRightInd w:val="0"/>
        <w:jc w:val="both"/>
        <w:rPr>
          <w:rFonts w:ascii="Arial" w:eastAsia="Calibri" w:hAnsi="Arial" w:cs="Arial"/>
          <w:sz w:val="22"/>
          <w:szCs w:val="22"/>
          <w:lang w:eastAsia="en-US"/>
        </w:rPr>
      </w:pPr>
    </w:p>
    <w:p w14:paraId="39ACC8C8" w14:textId="2EE1F519" w:rsidR="00643CE2" w:rsidRPr="0044100E" w:rsidRDefault="00643CE2" w:rsidP="00643CE2">
      <w:pPr>
        <w:jc w:val="both"/>
        <w:rPr>
          <w:rFonts w:ascii="Arial" w:hAnsi="Arial" w:cs="Arial"/>
          <w:sz w:val="22"/>
          <w:szCs w:val="22"/>
        </w:rPr>
      </w:pPr>
      <w:r w:rsidRPr="0044100E">
        <w:rPr>
          <w:rFonts w:ascii="Arial" w:hAnsi="Arial" w:cs="Arial"/>
          <w:noProof/>
          <w:lang w:val="es-CO" w:eastAsia="es-CO"/>
        </w:rPr>
        <w:drawing>
          <wp:anchor distT="0" distB="0" distL="114300" distR="114300" simplePos="0" relativeHeight="251656192" behindDoc="0" locked="0" layoutInCell="1" allowOverlap="1" wp14:anchorId="52822EA3" wp14:editId="67440179">
            <wp:simplePos x="0" y="0"/>
            <wp:positionH relativeFrom="margin">
              <wp:align>right</wp:align>
            </wp:positionH>
            <wp:positionV relativeFrom="paragraph">
              <wp:posOffset>431800</wp:posOffset>
            </wp:positionV>
            <wp:extent cx="5626735" cy="2938145"/>
            <wp:effectExtent l="0" t="0" r="12065" b="14605"/>
            <wp:wrapTopAndBottom/>
            <wp:docPr id="12" name="Gráfico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44100E">
        <w:rPr>
          <w:rFonts w:ascii="Arial" w:hAnsi="Arial" w:cs="Arial"/>
          <w:sz w:val="22"/>
          <w:szCs w:val="22"/>
        </w:rPr>
        <w:t>La categorización de riesgo aplicada entre los periodos 2012 – 201</w:t>
      </w:r>
      <w:r w:rsidR="00A67BCD" w:rsidRPr="0044100E">
        <w:rPr>
          <w:rFonts w:ascii="Arial" w:hAnsi="Arial" w:cs="Arial"/>
          <w:sz w:val="22"/>
          <w:szCs w:val="22"/>
        </w:rPr>
        <w:t>9</w:t>
      </w:r>
      <w:r w:rsidRPr="0044100E">
        <w:rPr>
          <w:rFonts w:ascii="Arial" w:hAnsi="Arial" w:cs="Arial"/>
          <w:sz w:val="22"/>
          <w:szCs w:val="22"/>
        </w:rPr>
        <w:t xml:space="preserve"> por el Ministerio de Salud y Protección Social a la ESE del Departamento presenta el siguiente comportamiento: </w:t>
      </w:r>
    </w:p>
    <w:p w14:paraId="349F6B96" w14:textId="77777777" w:rsidR="00643CE2" w:rsidRPr="0044100E" w:rsidRDefault="00643CE2" w:rsidP="00643CE2">
      <w:pPr>
        <w:rPr>
          <w:rFonts w:ascii="Arial" w:eastAsia="Times New Roman" w:hAnsi="Arial" w:cs="Arial"/>
          <w:sz w:val="22"/>
          <w:szCs w:val="22"/>
        </w:rPr>
      </w:pPr>
    </w:p>
    <w:p w14:paraId="62EF258B" w14:textId="77777777" w:rsidR="00643CE2" w:rsidRPr="0044100E" w:rsidRDefault="00643CE2" w:rsidP="00643CE2">
      <w:pPr>
        <w:jc w:val="center"/>
        <w:rPr>
          <w:rFonts w:ascii="Arial" w:eastAsia="Times New Roman" w:hAnsi="Arial" w:cs="Arial"/>
          <w:sz w:val="18"/>
          <w:szCs w:val="18"/>
          <w:lang w:val="es-CO" w:eastAsia="es-CO"/>
        </w:rPr>
      </w:pPr>
      <w:r w:rsidRPr="0044100E">
        <w:rPr>
          <w:rFonts w:ascii="Arial" w:eastAsia="Times New Roman" w:hAnsi="Arial" w:cs="Arial"/>
          <w:b/>
          <w:bCs/>
          <w:sz w:val="18"/>
          <w:szCs w:val="18"/>
          <w:lang w:val="es-CO" w:eastAsia="es-CO"/>
        </w:rPr>
        <w:t xml:space="preserve">Fuente: </w:t>
      </w:r>
      <w:r w:rsidRPr="0044100E">
        <w:rPr>
          <w:rFonts w:ascii="Arial" w:eastAsia="Times New Roman" w:hAnsi="Arial" w:cs="Arial"/>
          <w:sz w:val="18"/>
          <w:szCs w:val="18"/>
          <w:lang w:val="es-CO" w:eastAsia="es-CO"/>
        </w:rPr>
        <w:t>MSPS Resoluciones categorización de riesgo 2012-2019</w:t>
      </w:r>
    </w:p>
    <w:p w14:paraId="0B802D5A" w14:textId="77777777" w:rsidR="00643CE2" w:rsidRPr="0044100E" w:rsidRDefault="00643CE2" w:rsidP="00643CE2">
      <w:pPr>
        <w:jc w:val="both"/>
        <w:rPr>
          <w:rFonts w:ascii="Arial" w:eastAsia="Times New Roman" w:hAnsi="Arial" w:cs="Arial"/>
          <w:sz w:val="22"/>
          <w:szCs w:val="22"/>
        </w:rPr>
      </w:pPr>
    </w:p>
    <w:p w14:paraId="4F587FBB" w14:textId="77777777" w:rsidR="00643CE2" w:rsidRPr="0044100E" w:rsidRDefault="00643CE2" w:rsidP="00643CE2">
      <w:pPr>
        <w:autoSpaceDE w:val="0"/>
        <w:autoSpaceDN w:val="0"/>
        <w:adjustRightInd w:val="0"/>
        <w:jc w:val="both"/>
        <w:rPr>
          <w:rFonts w:ascii="Arial" w:hAnsi="Arial" w:cs="Arial"/>
          <w:sz w:val="22"/>
          <w:szCs w:val="22"/>
        </w:rPr>
      </w:pPr>
      <w:r w:rsidRPr="0044100E">
        <w:rPr>
          <w:rFonts w:ascii="Arial" w:eastAsia="Calibri" w:hAnsi="Arial" w:cs="Arial"/>
          <w:sz w:val="22"/>
          <w:szCs w:val="22"/>
          <w:lang w:eastAsia="en-US"/>
        </w:rPr>
        <w:t>Lo</w:t>
      </w:r>
      <w:r w:rsidRPr="0044100E">
        <w:rPr>
          <w:rFonts w:ascii="Arial" w:hAnsi="Arial" w:cs="Arial"/>
          <w:sz w:val="22"/>
          <w:szCs w:val="22"/>
        </w:rPr>
        <w:t>s resultados financieros arrojados al cierre de la vigencia 2020 por la red pública prestadora de servicios de salud presentan el siguiente escenario:</w:t>
      </w:r>
    </w:p>
    <w:p w14:paraId="1128FEF4" w14:textId="77777777" w:rsidR="00643CE2" w:rsidRPr="0044100E" w:rsidRDefault="00643CE2" w:rsidP="00643CE2">
      <w:pPr>
        <w:autoSpaceDE w:val="0"/>
        <w:autoSpaceDN w:val="0"/>
        <w:adjustRightInd w:val="0"/>
        <w:jc w:val="both"/>
        <w:rPr>
          <w:rFonts w:ascii="Arial" w:hAnsi="Arial" w:cs="Arial"/>
          <w:sz w:val="22"/>
          <w:szCs w:val="22"/>
        </w:rPr>
      </w:pPr>
    </w:p>
    <w:tbl>
      <w:tblPr>
        <w:tblW w:w="6820" w:type="dxa"/>
        <w:jc w:val="center"/>
        <w:tblCellMar>
          <w:left w:w="70" w:type="dxa"/>
          <w:right w:w="70" w:type="dxa"/>
        </w:tblCellMar>
        <w:tblLook w:val="04A0" w:firstRow="1" w:lastRow="0" w:firstColumn="1" w:lastColumn="0" w:noHBand="0" w:noVBand="1"/>
      </w:tblPr>
      <w:tblGrid>
        <w:gridCol w:w="1840"/>
        <w:gridCol w:w="1380"/>
        <w:gridCol w:w="1200"/>
        <w:gridCol w:w="1200"/>
        <w:gridCol w:w="1200"/>
      </w:tblGrid>
      <w:tr w:rsidR="00643CE2" w:rsidRPr="0044100E" w14:paraId="032C036C" w14:textId="77777777" w:rsidTr="00643CE2">
        <w:trPr>
          <w:trHeight w:val="315"/>
          <w:jc w:val="center"/>
        </w:trPr>
        <w:tc>
          <w:tcPr>
            <w:tcW w:w="1840" w:type="dxa"/>
            <w:noWrap/>
            <w:vAlign w:val="center"/>
            <w:hideMark/>
          </w:tcPr>
          <w:p w14:paraId="1CA81445"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lastRenderedPageBreak/>
              <w:t>Cifras en Millones de $</w:t>
            </w:r>
          </w:p>
        </w:tc>
        <w:tc>
          <w:tcPr>
            <w:tcW w:w="1380" w:type="dxa"/>
            <w:noWrap/>
            <w:vAlign w:val="center"/>
            <w:hideMark/>
          </w:tcPr>
          <w:p w14:paraId="771E6DDC" w14:textId="77777777" w:rsidR="00643CE2" w:rsidRPr="0044100E" w:rsidRDefault="00643CE2">
            <w:pPr>
              <w:rPr>
                <w:rFonts w:ascii="Arial" w:eastAsia="Times New Roman" w:hAnsi="Arial" w:cs="Arial"/>
                <w:color w:val="000000"/>
                <w:sz w:val="18"/>
                <w:szCs w:val="18"/>
                <w:lang w:val="es-CO" w:eastAsia="es-CO"/>
              </w:rPr>
            </w:pPr>
          </w:p>
        </w:tc>
        <w:tc>
          <w:tcPr>
            <w:tcW w:w="1200" w:type="dxa"/>
            <w:noWrap/>
            <w:vAlign w:val="center"/>
            <w:hideMark/>
          </w:tcPr>
          <w:p w14:paraId="6569861C" w14:textId="77777777" w:rsidR="00643CE2" w:rsidRPr="0044100E" w:rsidRDefault="00643CE2">
            <w:pPr>
              <w:rPr>
                <w:rFonts w:ascii="Arial" w:eastAsiaTheme="minorHAnsi" w:hAnsi="Arial" w:cs="Arial"/>
                <w:sz w:val="20"/>
                <w:szCs w:val="20"/>
                <w:lang w:val="es-CO" w:eastAsia="es-CO"/>
              </w:rPr>
            </w:pPr>
          </w:p>
        </w:tc>
        <w:tc>
          <w:tcPr>
            <w:tcW w:w="1200" w:type="dxa"/>
            <w:noWrap/>
            <w:vAlign w:val="center"/>
            <w:hideMark/>
          </w:tcPr>
          <w:p w14:paraId="1C4ABD4F" w14:textId="77777777" w:rsidR="00643CE2" w:rsidRPr="0044100E" w:rsidRDefault="00643CE2">
            <w:pPr>
              <w:rPr>
                <w:rFonts w:ascii="Arial" w:eastAsiaTheme="minorHAnsi" w:hAnsi="Arial" w:cs="Arial"/>
                <w:sz w:val="20"/>
                <w:szCs w:val="20"/>
                <w:lang w:val="es-CO" w:eastAsia="es-CO"/>
              </w:rPr>
            </w:pPr>
          </w:p>
        </w:tc>
        <w:tc>
          <w:tcPr>
            <w:tcW w:w="1200" w:type="dxa"/>
            <w:noWrap/>
            <w:vAlign w:val="center"/>
            <w:hideMark/>
          </w:tcPr>
          <w:p w14:paraId="7A4D5111" w14:textId="77777777" w:rsidR="00643CE2" w:rsidRPr="0044100E" w:rsidRDefault="00643CE2">
            <w:pPr>
              <w:rPr>
                <w:rFonts w:ascii="Arial" w:eastAsiaTheme="minorHAnsi" w:hAnsi="Arial" w:cs="Arial"/>
                <w:sz w:val="20"/>
                <w:szCs w:val="20"/>
                <w:lang w:val="es-CO" w:eastAsia="es-CO"/>
              </w:rPr>
            </w:pPr>
          </w:p>
        </w:tc>
      </w:tr>
      <w:tr w:rsidR="00643CE2" w:rsidRPr="0044100E" w14:paraId="177619FE" w14:textId="77777777" w:rsidTr="00643CE2">
        <w:trPr>
          <w:trHeight w:val="510"/>
          <w:jc w:val="center"/>
        </w:trPr>
        <w:tc>
          <w:tcPr>
            <w:tcW w:w="1840" w:type="dxa"/>
            <w:tcBorders>
              <w:top w:val="single" w:sz="4" w:space="0" w:color="808080"/>
              <w:left w:val="nil"/>
              <w:bottom w:val="single" w:sz="4" w:space="0" w:color="808080"/>
              <w:right w:val="nil"/>
            </w:tcBorders>
            <w:shd w:val="clear" w:color="auto" w:fill="D9D9D9"/>
            <w:vAlign w:val="center"/>
            <w:hideMark/>
          </w:tcPr>
          <w:p w14:paraId="4A8BFEA8"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CONCEPTO</w:t>
            </w:r>
          </w:p>
        </w:tc>
        <w:tc>
          <w:tcPr>
            <w:tcW w:w="1380" w:type="dxa"/>
            <w:tcBorders>
              <w:top w:val="single" w:sz="4" w:space="0" w:color="808080"/>
              <w:left w:val="nil"/>
              <w:bottom w:val="single" w:sz="4" w:space="0" w:color="808080"/>
              <w:right w:val="nil"/>
            </w:tcBorders>
            <w:shd w:val="clear" w:color="auto" w:fill="D9D9D9"/>
            <w:vAlign w:val="center"/>
            <w:hideMark/>
          </w:tcPr>
          <w:p w14:paraId="77B54441"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Nivel I</w:t>
            </w:r>
          </w:p>
        </w:tc>
        <w:tc>
          <w:tcPr>
            <w:tcW w:w="1200" w:type="dxa"/>
            <w:tcBorders>
              <w:top w:val="single" w:sz="4" w:space="0" w:color="808080"/>
              <w:left w:val="nil"/>
              <w:bottom w:val="single" w:sz="4" w:space="0" w:color="808080"/>
              <w:right w:val="nil"/>
            </w:tcBorders>
            <w:shd w:val="clear" w:color="auto" w:fill="D9D9D9"/>
            <w:vAlign w:val="center"/>
            <w:hideMark/>
          </w:tcPr>
          <w:p w14:paraId="00085E90"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Nivel II</w:t>
            </w:r>
          </w:p>
        </w:tc>
        <w:tc>
          <w:tcPr>
            <w:tcW w:w="1200" w:type="dxa"/>
            <w:tcBorders>
              <w:top w:val="single" w:sz="4" w:space="0" w:color="808080"/>
              <w:left w:val="nil"/>
              <w:bottom w:val="single" w:sz="4" w:space="0" w:color="808080"/>
              <w:right w:val="nil"/>
            </w:tcBorders>
            <w:shd w:val="clear" w:color="auto" w:fill="D9D9D9"/>
            <w:vAlign w:val="center"/>
            <w:hideMark/>
          </w:tcPr>
          <w:p w14:paraId="5C2071FC"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Nivel III</w:t>
            </w:r>
          </w:p>
        </w:tc>
        <w:tc>
          <w:tcPr>
            <w:tcW w:w="1200" w:type="dxa"/>
            <w:tcBorders>
              <w:top w:val="single" w:sz="4" w:space="0" w:color="808080"/>
              <w:left w:val="nil"/>
              <w:bottom w:val="single" w:sz="4" w:space="0" w:color="808080"/>
              <w:right w:val="nil"/>
            </w:tcBorders>
            <w:shd w:val="clear" w:color="auto" w:fill="D9D9D9"/>
            <w:vAlign w:val="center"/>
            <w:hideMark/>
          </w:tcPr>
          <w:p w14:paraId="63C1A8D0"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Total</w:t>
            </w:r>
          </w:p>
        </w:tc>
      </w:tr>
      <w:tr w:rsidR="00643CE2" w:rsidRPr="0044100E" w14:paraId="315F2141" w14:textId="77777777" w:rsidTr="00643CE2">
        <w:trPr>
          <w:trHeight w:val="315"/>
          <w:jc w:val="center"/>
        </w:trPr>
        <w:tc>
          <w:tcPr>
            <w:tcW w:w="1840" w:type="dxa"/>
            <w:tcBorders>
              <w:top w:val="nil"/>
              <w:left w:val="nil"/>
              <w:bottom w:val="single" w:sz="4" w:space="0" w:color="808080"/>
              <w:right w:val="nil"/>
            </w:tcBorders>
            <w:vAlign w:val="center"/>
            <w:hideMark/>
          </w:tcPr>
          <w:p w14:paraId="28CFE45D" w14:textId="77777777" w:rsidR="00643CE2" w:rsidRPr="0044100E" w:rsidRDefault="00643CE2">
            <w:pPr>
              <w:rPr>
                <w:rFonts w:ascii="Arial" w:eastAsia="Times New Roman" w:hAnsi="Arial" w:cs="Arial"/>
                <w:b/>
                <w:bCs/>
                <w:color w:val="000000"/>
                <w:sz w:val="18"/>
                <w:szCs w:val="18"/>
                <w:lang w:val="es-CO" w:eastAsia="es-CO"/>
              </w:rPr>
            </w:pPr>
            <w:r w:rsidRPr="0044100E">
              <w:rPr>
                <w:rFonts w:ascii="Arial" w:eastAsia="Times New Roman" w:hAnsi="Arial" w:cs="Arial"/>
                <w:b/>
                <w:bCs/>
                <w:color w:val="000000"/>
                <w:sz w:val="18"/>
                <w:szCs w:val="18"/>
                <w:lang w:val="es-CO" w:eastAsia="es-CO"/>
              </w:rPr>
              <w:t>1. Ingresos</w:t>
            </w:r>
          </w:p>
        </w:tc>
        <w:tc>
          <w:tcPr>
            <w:tcW w:w="1380" w:type="dxa"/>
            <w:tcBorders>
              <w:top w:val="nil"/>
              <w:left w:val="nil"/>
              <w:bottom w:val="single" w:sz="4" w:space="0" w:color="808080"/>
              <w:right w:val="nil"/>
            </w:tcBorders>
            <w:shd w:val="clear" w:color="auto" w:fill="FFFFFF"/>
            <w:vAlign w:val="center"/>
          </w:tcPr>
          <w:p w14:paraId="4A789B60" w14:textId="77777777" w:rsidR="00643CE2" w:rsidRPr="0044100E" w:rsidRDefault="00643CE2">
            <w:pPr>
              <w:jc w:val="both"/>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14:paraId="0FED98AE" w14:textId="573FC786" w:rsidR="00643CE2" w:rsidRPr="0044100E" w:rsidRDefault="00643CE2" w:rsidP="000E68C7">
            <w:pPr>
              <w:jc w:val="both"/>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$1</w:t>
            </w:r>
            <w:r w:rsidR="000E68C7" w:rsidRPr="0044100E">
              <w:rPr>
                <w:rFonts w:ascii="Arial" w:eastAsia="Times New Roman" w:hAnsi="Arial" w:cs="Arial"/>
                <w:color w:val="000000"/>
                <w:sz w:val="18"/>
                <w:szCs w:val="18"/>
                <w:lang w:val="es-CO" w:eastAsia="es-CO"/>
              </w:rPr>
              <w:t>9</w:t>
            </w:r>
            <w:r w:rsidR="00AF5950" w:rsidRPr="0044100E">
              <w:rPr>
                <w:rFonts w:ascii="Arial" w:eastAsia="Times New Roman" w:hAnsi="Arial" w:cs="Arial"/>
                <w:color w:val="000000"/>
                <w:sz w:val="18"/>
                <w:szCs w:val="18"/>
                <w:lang w:val="es-CO" w:eastAsia="es-CO"/>
              </w:rPr>
              <w:t>.</w:t>
            </w:r>
            <w:r w:rsidR="000E68C7" w:rsidRPr="0044100E">
              <w:rPr>
                <w:rFonts w:ascii="Arial" w:eastAsia="Times New Roman" w:hAnsi="Arial" w:cs="Arial"/>
                <w:color w:val="000000"/>
                <w:sz w:val="18"/>
                <w:szCs w:val="18"/>
                <w:lang w:val="es-CO" w:eastAsia="es-CO"/>
              </w:rPr>
              <w:t>223</w:t>
            </w:r>
          </w:p>
        </w:tc>
        <w:tc>
          <w:tcPr>
            <w:tcW w:w="1200" w:type="dxa"/>
            <w:tcBorders>
              <w:top w:val="nil"/>
              <w:left w:val="nil"/>
              <w:bottom w:val="single" w:sz="4" w:space="0" w:color="808080"/>
              <w:right w:val="nil"/>
            </w:tcBorders>
            <w:vAlign w:val="center"/>
          </w:tcPr>
          <w:p w14:paraId="290706C8" w14:textId="77777777" w:rsidR="00643CE2" w:rsidRPr="0044100E" w:rsidRDefault="00643CE2">
            <w:pPr>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14:paraId="0D9BE9A5" w14:textId="55460818" w:rsidR="00643CE2" w:rsidRPr="0044100E" w:rsidRDefault="00643CE2" w:rsidP="000E68C7">
            <w:pPr>
              <w:jc w:val="cente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$1</w:t>
            </w:r>
            <w:r w:rsidR="000E68C7" w:rsidRPr="0044100E">
              <w:rPr>
                <w:rFonts w:ascii="Arial" w:eastAsia="Times New Roman" w:hAnsi="Arial" w:cs="Arial"/>
                <w:color w:val="000000"/>
                <w:sz w:val="18"/>
                <w:szCs w:val="18"/>
                <w:lang w:val="es-CO" w:eastAsia="es-CO"/>
              </w:rPr>
              <w:t>9.223</w:t>
            </w:r>
          </w:p>
        </w:tc>
      </w:tr>
      <w:tr w:rsidR="00643CE2" w:rsidRPr="0044100E" w14:paraId="44B66347" w14:textId="77777777" w:rsidTr="00643CE2">
        <w:trPr>
          <w:trHeight w:val="315"/>
          <w:jc w:val="center"/>
        </w:trPr>
        <w:tc>
          <w:tcPr>
            <w:tcW w:w="1840" w:type="dxa"/>
            <w:tcBorders>
              <w:top w:val="nil"/>
              <w:left w:val="nil"/>
              <w:bottom w:val="single" w:sz="4" w:space="0" w:color="808080"/>
              <w:right w:val="nil"/>
            </w:tcBorders>
            <w:vAlign w:val="center"/>
            <w:hideMark/>
          </w:tcPr>
          <w:p w14:paraId="298B8AF0" w14:textId="77777777" w:rsidR="00643CE2" w:rsidRPr="0044100E" w:rsidRDefault="00643CE2">
            <w:pPr>
              <w:rPr>
                <w:rFonts w:ascii="Arial" w:eastAsia="Times New Roman" w:hAnsi="Arial" w:cs="Arial"/>
                <w:b/>
                <w:bCs/>
                <w:color w:val="000000"/>
                <w:sz w:val="18"/>
                <w:szCs w:val="18"/>
                <w:lang w:val="es-CO" w:eastAsia="es-CO"/>
              </w:rPr>
            </w:pPr>
            <w:r w:rsidRPr="0044100E">
              <w:rPr>
                <w:rFonts w:ascii="Arial" w:eastAsia="Times New Roman" w:hAnsi="Arial" w:cs="Arial"/>
                <w:b/>
                <w:bCs/>
                <w:color w:val="000000"/>
                <w:sz w:val="18"/>
                <w:szCs w:val="18"/>
                <w:lang w:val="es-CO" w:eastAsia="es-CO"/>
              </w:rPr>
              <w:t>2. Gastos</w:t>
            </w:r>
          </w:p>
        </w:tc>
        <w:tc>
          <w:tcPr>
            <w:tcW w:w="1380" w:type="dxa"/>
            <w:tcBorders>
              <w:top w:val="nil"/>
              <w:left w:val="nil"/>
              <w:bottom w:val="single" w:sz="4" w:space="0" w:color="808080"/>
              <w:right w:val="nil"/>
            </w:tcBorders>
            <w:shd w:val="clear" w:color="auto" w:fill="FFFFFF"/>
            <w:vAlign w:val="center"/>
          </w:tcPr>
          <w:p w14:paraId="695DE83C" w14:textId="77777777" w:rsidR="00643CE2" w:rsidRPr="0044100E" w:rsidRDefault="00643CE2">
            <w:pPr>
              <w:jc w:val="both"/>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14:paraId="52A337D6" w14:textId="77777777" w:rsidR="00643CE2" w:rsidRPr="0044100E" w:rsidRDefault="00643CE2">
            <w:pPr>
              <w:jc w:val="both"/>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$19.025</w:t>
            </w:r>
          </w:p>
        </w:tc>
        <w:tc>
          <w:tcPr>
            <w:tcW w:w="1200" w:type="dxa"/>
            <w:tcBorders>
              <w:top w:val="nil"/>
              <w:left w:val="nil"/>
              <w:bottom w:val="single" w:sz="4" w:space="0" w:color="808080"/>
              <w:right w:val="nil"/>
            </w:tcBorders>
            <w:vAlign w:val="center"/>
          </w:tcPr>
          <w:p w14:paraId="5AA1F81D" w14:textId="77777777" w:rsidR="00643CE2" w:rsidRPr="0044100E" w:rsidRDefault="00643CE2">
            <w:pPr>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14:paraId="12B8558B" w14:textId="77777777" w:rsidR="00643CE2" w:rsidRPr="0044100E" w:rsidRDefault="00643CE2">
            <w:pPr>
              <w:jc w:val="cente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$19.025</w:t>
            </w:r>
          </w:p>
        </w:tc>
      </w:tr>
      <w:tr w:rsidR="00643CE2" w:rsidRPr="0044100E" w14:paraId="02218CD4" w14:textId="77777777" w:rsidTr="00643CE2">
        <w:trPr>
          <w:trHeight w:val="315"/>
          <w:jc w:val="center"/>
        </w:trPr>
        <w:tc>
          <w:tcPr>
            <w:tcW w:w="1840" w:type="dxa"/>
            <w:tcBorders>
              <w:top w:val="nil"/>
              <w:left w:val="nil"/>
              <w:bottom w:val="single" w:sz="4" w:space="0" w:color="808080"/>
              <w:right w:val="nil"/>
            </w:tcBorders>
            <w:vAlign w:val="center"/>
            <w:hideMark/>
          </w:tcPr>
          <w:p w14:paraId="240B73F6" w14:textId="77777777" w:rsidR="00643CE2" w:rsidRPr="0044100E" w:rsidRDefault="00643CE2">
            <w:pPr>
              <w:rPr>
                <w:rFonts w:ascii="Arial" w:eastAsia="Times New Roman" w:hAnsi="Arial" w:cs="Arial"/>
                <w:b/>
                <w:bCs/>
                <w:color w:val="000000"/>
                <w:sz w:val="18"/>
                <w:szCs w:val="18"/>
                <w:lang w:val="es-CO" w:eastAsia="es-CO"/>
              </w:rPr>
            </w:pPr>
            <w:r w:rsidRPr="0044100E">
              <w:rPr>
                <w:rFonts w:ascii="Arial" w:eastAsia="Times New Roman" w:hAnsi="Arial" w:cs="Arial"/>
                <w:b/>
                <w:bCs/>
                <w:color w:val="000000"/>
                <w:sz w:val="18"/>
                <w:szCs w:val="18"/>
                <w:lang w:val="es-CO" w:eastAsia="es-CO"/>
              </w:rPr>
              <w:t>3. Resultado (1-2)</w:t>
            </w:r>
          </w:p>
        </w:tc>
        <w:tc>
          <w:tcPr>
            <w:tcW w:w="1380" w:type="dxa"/>
            <w:tcBorders>
              <w:top w:val="nil"/>
              <w:left w:val="nil"/>
              <w:bottom w:val="single" w:sz="4" w:space="0" w:color="808080"/>
              <w:right w:val="nil"/>
            </w:tcBorders>
            <w:shd w:val="clear" w:color="auto" w:fill="FFFFFF"/>
            <w:vAlign w:val="center"/>
          </w:tcPr>
          <w:p w14:paraId="666C5DAF" w14:textId="77777777" w:rsidR="00643CE2" w:rsidRPr="0044100E" w:rsidRDefault="00643CE2">
            <w:pPr>
              <w:jc w:val="both"/>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shd w:val="clear" w:color="auto" w:fill="FFFFFF"/>
            <w:vAlign w:val="center"/>
            <w:hideMark/>
          </w:tcPr>
          <w:p w14:paraId="6653010D" w14:textId="00031C1A" w:rsidR="00643CE2" w:rsidRPr="0044100E" w:rsidRDefault="00643CE2" w:rsidP="000E68C7">
            <w:pPr>
              <w:jc w:val="both"/>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w:t>
            </w:r>
            <w:r w:rsidR="000E68C7" w:rsidRPr="0044100E">
              <w:rPr>
                <w:rFonts w:ascii="Arial" w:eastAsia="Times New Roman" w:hAnsi="Arial" w:cs="Arial"/>
                <w:color w:val="000000"/>
                <w:sz w:val="18"/>
                <w:szCs w:val="18"/>
                <w:lang w:val="es-CO" w:eastAsia="es-CO"/>
              </w:rPr>
              <w:t>198</w:t>
            </w:r>
          </w:p>
        </w:tc>
        <w:tc>
          <w:tcPr>
            <w:tcW w:w="1200" w:type="dxa"/>
            <w:tcBorders>
              <w:top w:val="nil"/>
              <w:left w:val="nil"/>
              <w:bottom w:val="single" w:sz="4" w:space="0" w:color="808080"/>
              <w:right w:val="nil"/>
            </w:tcBorders>
            <w:shd w:val="clear" w:color="auto" w:fill="FFFFFF"/>
            <w:vAlign w:val="center"/>
          </w:tcPr>
          <w:p w14:paraId="195C40F1" w14:textId="77777777" w:rsidR="00643CE2" w:rsidRPr="0044100E" w:rsidRDefault="00643CE2">
            <w:pPr>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shd w:val="clear" w:color="auto" w:fill="FFFFFF"/>
            <w:vAlign w:val="center"/>
            <w:hideMark/>
          </w:tcPr>
          <w:p w14:paraId="033422A4" w14:textId="1259B916" w:rsidR="00643CE2" w:rsidRPr="0044100E" w:rsidRDefault="00643CE2" w:rsidP="000E68C7">
            <w:pPr>
              <w:jc w:val="cente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w:t>
            </w:r>
            <w:r w:rsidR="000E68C7" w:rsidRPr="0044100E">
              <w:rPr>
                <w:rFonts w:ascii="Arial" w:eastAsia="Times New Roman" w:hAnsi="Arial" w:cs="Arial"/>
                <w:color w:val="000000"/>
                <w:sz w:val="18"/>
                <w:szCs w:val="18"/>
                <w:lang w:val="es-CO" w:eastAsia="es-CO"/>
              </w:rPr>
              <w:t>198</w:t>
            </w:r>
          </w:p>
        </w:tc>
      </w:tr>
      <w:tr w:rsidR="00643CE2" w:rsidRPr="0044100E" w14:paraId="307ACC96" w14:textId="77777777" w:rsidTr="00643CE2">
        <w:trPr>
          <w:trHeight w:val="315"/>
          <w:jc w:val="center"/>
        </w:trPr>
        <w:tc>
          <w:tcPr>
            <w:tcW w:w="1840" w:type="dxa"/>
            <w:tcBorders>
              <w:top w:val="nil"/>
              <w:left w:val="nil"/>
              <w:bottom w:val="single" w:sz="4" w:space="0" w:color="808080"/>
              <w:right w:val="nil"/>
            </w:tcBorders>
            <w:vAlign w:val="center"/>
            <w:hideMark/>
          </w:tcPr>
          <w:p w14:paraId="5C244AAD" w14:textId="77777777" w:rsidR="00643CE2" w:rsidRPr="0044100E" w:rsidRDefault="00643CE2">
            <w:pPr>
              <w:rPr>
                <w:rFonts w:ascii="Arial" w:eastAsia="Times New Roman" w:hAnsi="Arial" w:cs="Arial"/>
                <w:b/>
                <w:bCs/>
                <w:color w:val="000000"/>
                <w:sz w:val="18"/>
                <w:szCs w:val="18"/>
                <w:lang w:val="es-CO" w:eastAsia="es-CO"/>
              </w:rPr>
            </w:pPr>
            <w:r w:rsidRPr="0044100E">
              <w:rPr>
                <w:rFonts w:ascii="Arial" w:eastAsia="Times New Roman" w:hAnsi="Arial" w:cs="Arial"/>
                <w:b/>
                <w:bCs/>
                <w:color w:val="000000"/>
                <w:sz w:val="18"/>
                <w:szCs w:val="18"/>
                <w:lang w:val="es-CO" w:eastAsia="es-CO"/>
              </w:rPr>
              <w:t>4. Pasivos</w:t>
            </w:r>
          </w:p>
        </w:tc>
        <w:tc>
          <w:tcPr>
            <w:tcW w:w="1380" w:type="dxa"/>
            <w:tcBorders>
              <w:top w:val="nil"/>
              <w:left w:val="nil"/>
              <w:bottom w:val="single" w:sz="4" w:space="0" w:color="808080"/>
              <w:right w:val="nil"/>
            </w:tcBorders>
            <w:vAlign w:val="center"/>
          </w:tcPr>
          <w:p w14:paraId="7751BF62" w14:textId="77777777" w:rsidR="00643CE2" w:rsidRPr="0044100E" w:rsidRDefault="00643CE2">
            <w:pPr>
              <w:jc w:val="both"/>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14:paraId="1628046C" w14:textId="77777777" w:rsidR="00643CE2" w:rsidRPr="0044100E" w:rsidRDefault="00643CE2">
            <w:pPr>
              <w:jc w:val="both"/>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$1.275</w:t>
            </w:r>
          </w:p>
        </w:tc>
        <w:tc>
          <w:tcPr>
            <w:tcW w:w="1200" w:type="dxa"/>
            <w:tcBorders>
              <w:top w:val="nil"/>
              <w:left w:val="nil"/>
              <w:bottom w:val="single" w:sz="4" w:space="0" w:color="808080"/>
              <w:right w:val="nil"/>
            </w:tcBorders>
            <w:vAlign w:val="center"/>
          </w:tcPr>
          <w:p w14:paraId="183E536B" w14:textId="77777777" w:rsidR="00643CE2" w:rsidRPr="0044100E" w:rsidRDefault="00643CE2">
            <w:pPr>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14:paraId="2A12DB7B" w14:textId="77777777" w:rsidR="00643CE2" w:rsidRPr="0044100E" w:rsidRDefault="00643CE2">
            <w:pPr>
              <w:jc w:val="cente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$1.275</w:t>
            </w:r>
          </w:p>
        </w:tc>
      </w:tr>
      <w:tr w:rsidR="00643CE2" w:rsidRPr="0044100E" w14:paraId="4903ADFC" w14:textId="77777777" w:rsidTr="00643CE2">
        <w:trPr>
          <w:trHeight w:val="315"/>
          <w:jc w:val="center"/>
        </w:trPr>
        <w:tc>
          <w:tcPr>
            <w:tcW w:w="1840" w:type="dxa"/>
            <w:tcBorders>
              <w:top w:val="nil"/>
              <w:left w:val="nil"/>
              <w:bottom w:val="single" w:sz="4" w:space="0" w:color="808080"/>
              <w:right w:val="nil"/>
            </w:tcBorders>
            <w:vAlign w:val="center"/>
            <w:hideMark/>
          </w:tcPr>
          <w:p w14:paraId="7207543B" w14:textId="77777777" w:rsidR="00643CE2" w:rsidRPr="0044100E" w:rsidRDefault="00643CE2">
            <w:pPr>
              <w:rPr>
                <w:rFonts w:ascii="Arial" w:eastAsia="Times New Roman" w:hAnsi="Arial" w:cs="Arial"/>
                <w:b/>
                <w:bCs/>
                <w:color w:val="000000"/>
                <w:sz w:val="18"/>
                <w:szCs w:val="18"/>
                <w:lang w:val="es-CO" w:eastAsia="es-CO"/>
              </w:rPr>
            </w:pPr>
            <w:r w:rsidRPr="0044100E">
              <w:rPr>
                <w:rFonts w:ascii="Arial" w:eastAsia="Times New Roman" w:hAnsi="Arial" w:cs="Arial"/>
                <w:b/>
                <w:bCs/>
                <w:color w:val="000000"/>
                <w:sz w:val="18"/>
                <w:szCs w:val="18"/>
                <w:lang w:val="es-CO" w:eastAsia="es-CO"/>
              </w:rPr>
              <w:t>5. Cartera</w:t>
            </w:r>
          </w:p>
        </w:tc>
        <w:tc>
          <w:tcPr>
            <w:tcW w:w="1380" w:type="dxa"/>
            <w:tcBorders>
              <w:top w:val="nil"/>
              <w:left w:val="nil"/>
              <w:bottom w:val="single" w:sz="4" w:space="0" w:color="808080"/>
              <w:right w:val="nil"/>
            </w:tcBorders>
            <w:shd w:val="clear" w:color="auto" w:fill="FFFFFF"/>
            <w:vAlign w:val="center"/>
          </w:tcPr>
          <w:p w14:paraId="1E374F0D" w14:textId="77777777" w:rsidR="00643CE2" w:rsidRPr="0044100E" w:rsidRDefault="00643CE2">
            <w:pPr>
              <w:jc w:val="both"/>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14:paraId="4AE063B0" w14:textId="77777777" w:rsidR="00643CE2" w:rsidRPr="0044100E" w:rsidRDefault="00643CE2">
            <w:pPr>
              <w:jc w:val="both"/>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$9.636</w:t>
            </w:r>
          </w:p>
        </w:tc>
        <w:tc>
          <w:tcPr>
            <w:tcW w:w="1200" w:type="dxa"/>
            <w:tcBorders>
              <w:top w:val="nil"/>
              <w:left w:val="nil"/>
              <w:bottom w:val="single" w:sz="4" w:space="0" w:color="808080"/>
              <w:right w:val="nil"/>
            </w:tcBorders>
            <w:vAlign w:val="center"/>
          </w:tcPr>
          <w:p w14:paraId="1D5D3919" w14:textId="77777777" w:rsidR="00643CE2" w:rsidRPr="0044100E" w:rsidRDefault="00643CE2">
            <w:pPr>
              <w:jc w:val="center"/>
              <w:rPr>
                <w:rFonts w:ascii="Arial" w:eastAsia="Times New Roman" w:hAnsi="Arial" w:cs="Arial"/>
                <w:color w:val="000000"/>
                <w:sz w:val="18"/>
                <w:szCs w:val="18"/>
                <w:lang w:val="es-CO" w:eastAsia="es-CO"/>
              </w:rPr>
            </w:pPr>
          </w:p>
        </w:tc>
        <w:tc>
          <w:tcPr>
            <w:tcW w:w="1200" w:type="dxa"/>
            <w:tcBorders>
              <w:top w:val="nil"/>
              <w:left w:val="nil"/>
              <w:bottom w:val="single" w:sz="4" w:space="0" w:color="808080"/>
              <w:right w:val="nil"/>
            </w:tcBorders>
            <w:vAlign w:val="center"/>
            <w:hideMark/>
          </w:tcPr>
          <w:p w14:paraId="1C64259D" w14:textId="77777777" w:rsidR="00643CE2" w:rsidRPr="0044100E" w:rsidRDefault="00643CE2">
            <w:pPr>
              <w:jc w:val="cente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$9.636</w:t>
            </w:r>
          </w:p>
        </w:tc>
      </w:tr>
      <w:tr w:rsidR="00643CE2" w:rsidRPr="0044100E" w14:paraId="1C269420" w14:textId="77777777" w:rsidTr="00643CE2">
        <w:trPr>
          <w:trHeight w:val="315"/>
          <w:jc w:val="center"/>
        </w:trPr>
        <w:tc>
          <w:tcPr>
            <w:tcW w:w="6820" w:type="dxa"/>
            <w:gridSpan w:val="5"/>
            <w:noWrap/>
            <w:vAlign w:val="center"/>
            <w:hideMark/>
          </w:tcPr>
          <w:p w14:paraId="2D366DFF" w14:textId="77777777" w:rsidR="00643CE2" w:rsidRPr="0044100E" w:rsidRDefault="00643CE2">
            <w:pPr>
              <w:rPr>
                <w:rFonts w:ascii="Arial" w:eastAsia="Times New Roman" w:hAnsi="Arial" w:cs="Arial"/>
                <w:sz w:val="18"/>
                <w:szCs w:val="18"/>
                <w:lang w:val="es-CO" w:eastAsia="es-CO"/>
              </w:rPr>
            </w:pPr>
            <w:r w:rsidRPr="0044100E">
              <w:rPr>
                <w:rFonts w:ascii="Arial" w:eastAsia="Times New Roman" w:hAnsi="Arial" w:cs="Arial"/>
                <w:b/>
                <w:bCs/>
                <w:color w:val="000000"/>
                <w:sz w:val="18"/>
                <w:szCs w:val="18"/>
                <w:lang w:val="es-CO" w:eastAsia="es-CO"/>
              </w:rPr>
              <w:t xml:space="preserve">Fuente: </w:t>
            </w:r>
            <w:r w:rsidRPr="0044100E">
              <w:rPr>
                <w:rFonts w:ascii="Arial" w:eastAsia="Times New Roman" w:hAnsi="Arial" w:cs="Arial"/>
                <w:sz w:val="18"/>
                <w:szCs w:val="18"/>
                <w:lang w:val="es-CO" w:eastAsia="es-CO"/>
              </w:rPr>
              <w:t>Sistema de Información de Hospitales - SIHO. Corte Dic. 2020.</w:t>
            </w:r>
          </w:p>
        </w:tc>
      </w:tr>
    </w:tbl>
    <w:p w14:paraId="0F0D43DA" w14:textId="77777777" w:rsidR="00643CE2" w:rsidRPr="0044100E" w:rsidRDefault="00643CE2" w:rsidP="00643CE2">
      <w:pPr>
        <w:autoSpaceDE w:val="0"/>
        <w:autoSpaceDN w:val="0"/>
        <w:adjustRightInd w:val="0"/>
        <w:jc w:val="both"/>
        <w:rPr>
          <w:rFonts w:ascii="Arial" w:eastAsia="Calibri" w:hAnsi="Arial" w:cs="Arial"/>
          <w:sz w:val="8"/>
          <w:szCs w:val="22"/>
          <w:highlight w:val="yellow"/>
          <w:lang w:eastAsia="en-US"/>
        </w:rPr>
      </w:pPr>
    </w:p>
    <w:p w14:paraId="0AF0CCD4" w14:textId="77777777" w:rsidR="00643CE2" w:rsidRPr="0044100E" w:rsidRDefault="00643CE2" w:rsidP="00643CE2">
      <w:pPr>
        <w:pStyle w:val="Default"/>
        <w:jc w:val="both"/>
        <w:rPr>
          <w:color w:val="auto"/>
          <w:sz w:val="22"/>
          <w:szCs w:val="22"/>
        </w:rPr>
      </w:pPr>
      <w:bookmarkStart w:id="2" w:name="_Hlk524536717"/>
    </w:p>
    <w:p w14:paraId="52EE9132" w14:textId="166D3FD2" w:rsidR="00643CE2" w:rsidRPr="0044100E" w:rsidRDefault="00643CE2" w:rsidP="00643CE2">
      <w:pPr>
        <w:jc w:val="both"/>
        <w:rPr>
          <w:rFonts w:ascii="Arial" w:eastAsia="Times New Roman" w:hAnsi="Arial" w:cs="Arial"/>
          <w:sz w:val="22"/>
          <w:szCs w:val="22"/>
          <w:lang w:eastAsia="es-CO"/>
        </w:rPr>
      </w:pPr>
      <w:r w:rsidRPr="0044100E">
        <w:rPr>
          <w:rFonts w:ascii="Arial" w:hAnsi="Arial" w:cs="Arial"/>
          <w:sz w:val="22"/>
          <w:szCs w:val="22"/>
        </w:rPr>
        <w:t>A corte junio de 2021 la red pública recaudó $1</w:t>
      </w:r>
      <w:r w:rsidR="000E68C7" w:rsidRPr="0044100E">
        <w:rPr>
          <w:rFonts w:ascii="Arial" w:hAnsi="Arial" w:cs="Arial"/>
          <w:sz w:val="22"/>
          <w:szCs w:val="22"/>
        </w:rPr>
        <w:t>0.044</w:t>
      </w:r>
      <w:r w:rsidRPr="0044100E">
        <w:rPr>
          <w:rFonts w:ascii="Arial" w:hAnsi="Arial" w:cs="Arial"/>
          <w:sz w:val="22"/>
          <w:szCs w:val="22"/>
        </w:rPr>
        <w:t xml:space="preserve"> millones, generó compromisos por $</w:t>
      </w:r>
      <w:r w:rsidRPr="0044100E">
        <w:rPr>
          <w:rFonts w:ascii="Arial" w:eastAsia="Times New Roman" w:hAnsi="Arial" w:cs="Arial"/>
          <w:sz w:val="22"/>
          <w:szCs w:val="22"/>
          <w:lang w:val="es-CO" w:eastAsia="es-CO"/>
        </w:rPr>
        <w:t xml:space="preserve">7.295 </w:t>
      </w:r>
      <w:r w:rsidRPr="0044100E">
        <w:rPr>
          <w:rFonts w:ascii="Arial" w:hAnsi="Arial" w:cs="Arial"/>
          <w:sz w:val="22"/>
          <w:szCs w:val="22"/>
        </w:rPr>
        <w:t xml:space="preserve">millones, mostrando una tendencia </w:t>
      </w:r>
      <w:r w:rsidR="000E68C7" w:rsidRPr="0044100E">
        <w:rPr>
          <w:rFonts w:ascii="Arial" w:hAnsi="Arial" w:cs="Arial"/>
          <w:sz w:val="22"/>
          <w:szCs w:val="22"/>
        </w:rPr>
        <w:t xml:space="preserve">superavitaria </w:t>
      </w:r>
      <w:r w:rsidRPr="0044100E">
        <w:rPr>
          <w:rFonts w:ascii="Arial" w:hAnsi="Arial" w:cs="Arial"/>
          <w:sz w:val="22"/>
          <w:szCs w:val="22"/>
        </w:rPr>
        <w:t>($</w:t>
      </w:r>
      <w:r w:rsidR="000E68C7" w:rsidRPr="0044100E">
        <w:rPr>
          <w:rFonts w:ascii="Arial" w:hAnsi="Arial" w:cs="Arial"/>
          <w:sz w:val="22"/>
          <w:szCs w:val="22"/>
        </w:rPr>
        <w:t>2.749</w:t>
      </w:r>
      <w:r w:rsidRPr="0044100E">
        <w:rPr>
          <w:rFonts w:ascii="Arial" w:hAnsi="Arial" w:cs="Arial"/>
          <w:sz w:val="22"/>
          <w:szCs w:val="22"/>
        </w:rPr>
        <w:t xml:space="preserve"> millones). Los pasivos alcanzaron los $4.577 millones, mostrando un incremento del 259% con relación a los evidenciados al cierre de la vigencia 2020; mientras que la cartera total ascendió a $11.986 millones, monto superior en un 24% respecto a la cartera evidenciada al cierre de la vigencia anterior.</w:t>
      </w:r>
      <w:r w:rsidR="009C7544">
        <w:rPr>
          <w:rFonts w:ascii="Arial" w:hAnsi="Arial" w:cs="Arial"/>
          <w:sz w:val="22"/>
          <w:szCs w:val="22"/>
        </w:rPr>
        <w:t xml:space="preserve"> </w:t>
      </w:r>
    </w:p>
    <w:bookmarkEnd w:id="2"/>
    <w:p w14:paraId="62AFF69D" w14:textId="77777777" w:rsidR="00643CE2" w:rsidRPr="0044100E" w:rsidRDefault="00643CE2" w:rsidP="00643CE2">
      <w:pPr>
        <w:jc w:val="both"/>
        <w:rPr>
          <w:rFonts w:ascii="Arial" w:eastAsia="Calibri" w:hAnsi="Arial" w:cs="Arial"/>
          <w:sz w:val="22"/>
          <w:szCs w:val="22"/>
          <w:highlight w:val="yellow"/>
          <w:lang w:eastAsia="en-US"/>
        </w:rPr>
      </w:pPr>
    </w:p>
    <w:p w14:paraId="1394C924" w14:textId="77777777" w:rsidR="00643CE2" w:rsidRPr="0044100E" w:rsidRDefault="00643CE2" w:rsidP="00643CE2">
      <w:pPr>
        <w:pStyle w:val="Prrafodelista"/>
        <w:numPr>
          <w:ilvl w:val="0"/>
          <w:numId w:val="20"/>
        </w:numPr>
        <w:jc w:val="both"/>
        <w:rPr>
          <w:rFonts w:ascii="Arial" w:eastAsia="Calibri" w:hAnsi="Arial" w:cs="Arial"/>
          <w:b/>
          <w:sz w:val="22"/>
          <w:szCs w:val="22"/>
          <w:lang w:eastAsia="en-US"/>
        </w:rPr>
      </w:pPr>
      <w:r w:rsidRPr="0044100E">
        <w:rPr>
          <w:rFonts w:ascii="Arial" w:eastAsia="Calibri" w:hAnsi="Arial" w:cs="Arial"/>
          <w:b/>
          <w:sz w:val="22"/>
          <w:szCs w:val="22"/>
          <w:lang w:eastAsia="en-US"/>
        </w:rPr>
        <w:t xml:space="preserve">Planeación en Salud </w:t>
      </w:r>
    </w:p>
    <w:p w14:paraId="4DF53754" w14:textId="77777777"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Calibri" w:hAnsi="Arial" w:cs="Arial"/>
          <w:sz w:val="22"/>
          <w:szCs w:val="22"/>
          <w:highlight w:val="yellow"/>
          <w:lang w:eastAsia="en-US"/>
        </w:rPr>
      </w:pPr>
    </w:p>
    <w:p w14:paraId="535875C5" w14:textId="6A5CAE9D" w:rsidR="00643CE2" w:rsidRPr="0044100E" w:rsidRDefault="00643CE2" w:rsidP="00643CE2">
      <w:pPr>
        <w:jc w:val="both"/>
        <w:rPr>
          <w:rFonts w:ascii="Arial" w:eastAsia="Calibri" w:hAnsi="Arial" w:cs="Arial"/>
          <w:sz w:val="22"/>
          <w:szCs w:val="22"/>
          <w:lang w:eastAsia="en-US"/>
        </w:rPr>
      </w:pPr>
      <w:r w:rsidRPr="0044100E">
        <w:rPr>
          <w:rFonts w:ascii="Arial" w:eastAsia="Calibri" w:hAnsi="Arial" w:cs="Arial"/>
          <w:sz w:val="22"/>
          <w:szCs w:val="22"/>
          <w:lang w:eastAsia="en-US"/>
        </w:rPr>
        <w:t>El Plan de Desarrollo del Departamento de Vaupés para las vigencias 2020-2023 se denominó “Juntos Podemos” y fue presentado por el Gobernador Eliecer Pérez Galvis. Este plan se pretende desarrollar por medio de 4 ejes los cuales son</w:t>
      </w:r>
      <w:r w:rsidR="0000282C" w:rsidRPr="0044100E">
        <w:rPr>
          <w:rFonts w:ascii="Arial" w:eastAsia="Calibri" w:hAnsi="Arial" w:cs="Arial"/>
          <w:sz w:val="22"/>
          <w:szCs w:val="22"/>
          <w:lang w:eastAsia="en-US"/>
        </w:rPr>
        <w:t>:</w:t>
      </w:r>
      <w:r w:rsidRPr="0044100E">
        <w:rPr>
          <w:rFonts w:ascii="Arial" w:eastAsia="Calibri" w:hAnsi="Arial" w:cs="Arial"/>
          <w:sz w:val="22"/>
          <w:szCs w:val="22"/>
          <w:lang w:eastAsia="en-US"/>
        </w:rPr>
        <w:t xml:space="preserve"> Eje 1 Equidad Social e Igualdad en el Vaupés que se ejecutar</w:t>
      </w:r>
      <w:r w:rsidR="0000282C" w:rsidRPr="0044100E">
        <w:rPr>
          <w:rFonts w:ascii="Arial" w:eastAsia="Calibri" w:hAnsi="Arial" w:cs="Arial"/>
          <w:sz w:val="22"/>
          <w:szCs w:val="22"/>
          <w:lang w:eastAsia="en-US"/>
        </w:rPr>
        <w:t>á</w:t>
      </w:r>
      <w:r w:rsidRPr="0044100E">
        <w:rPr>
          <w:rFonts w:ascii="Arial" w:eastAsia="Calibri" w:hAnsi="Arial" w:cs="Arial"/>
          <w:sz w:val="22"/>
          <w:szCs w:val="22"/>
          <w:lang w:eastAsia="en-US"/>
        </w:rPr>
        <w:t xml:space="preserve"> a partir de los 17 programas, Eje 2 Económico Competitividad y Desarrollo que contiene 6 programas, Eje 3 Ambiental y Sostenible que contiene 2 programas y el eje institucional que se desarrollara a partir de los 3 programas que </w:t>
      </w:r>
      <w:r w:rsidR="0000282C" w:rsidRPr="0044100E">
        <w:rPr>
          <w:rFonts w:ascii="Arial" w:eastAsia="Calibri" w:hAnsi="Arial" w:cs="Arial"/>
          <w:sz w:val="22"/>
          <w:szCs w:val="22"/>
          <w:lang w:eastAsia="en-US"/>
        </w:rPr>
        <w:t>lo conforman</w:t>
      </w:r>
      <w:r w:rsidRPr="0044100E">
        <w:rPr>
          <w:rFonts w:ascii="Arial" w:eastAsia="Calibri" w:hAnsi="Arial" w:cs="Arial"/>
          <w:sz w:val="22"/>
          <w:szCs w:val="22"/>
          <w:lang w:eastAsia="en-US"/>
        </w:rPr>
        <w:t>.</w:t>
      </w:r>
    </w:p>
    <w:p w14:paraId="03AAE1C2" w14:textId="77777777" w:rsidR="00643CE2" w:rsidRPr="0044100E" w:rsidRDefault="00643CE2" w:rsidP="00643CE2">
      <w:pPr>
        <w:jc w:val="both"/>
        <w:rPr>
          <w:rFonts w:ascii="Arial" w:eastAsia="Calibri" w:hAnsi="Arial" w:cs="Arial"/>
          <w:sz w:val="22"/>
          <w:szCs w:val="22"/>
          <w:lang w:eastAsia="en-US"/>
        </w:rPr>
      </w:pPr>
    </w:p>
    <w:p w14:paraId="78EA8147" w14:textId="4D2643C5" w:rsidR="00643CE2" w:rsidRPr="0044100E" w:rsidRDefault="000E68C7" w:rsidP="00643CE2">
      <w:pPr>
        <w:jc w:val="both"/>
        <w:rPr>
          <w:rFonts w:ascii="Arial" w:hAnsi="Arial" w:cs="Arial"/>
          <w:sz w:val="22"/>
          <w:szCs w:val="22"/>
        </w:rPr>
      </w:pPr>
      <w:r w:rsidRPr="0044100E">
        <w:rPr>
          <w:rFonts w:ascii="Arial" w:eastAsia="Calibri" w:hAnsi="Arial" w:cs="Arial"/>
          <w:sz w:val="22"/>
          <w:szCs w:val="22"/>
          <w:lang w:eastAsia="en-US"/>
        </w:rPr>
        <w:t>En el marco del</w:t>
      </w:r>
      <w:r w:rsidR="00643CE2" w:rsidRPr="0044100E">
        <w:rPr>
          <w:rFonts w:ascii="Arial" w:eastAsia="Calibri" w:hAnsi="Arial" w:cs="Arial"/>
          <w:sz w:val="22"/>
          <w:szCs w:val="22"/>
          <w:lang w:eastAsia="en-US"/>
        </w:rPr>
        <w:t xml:space="preserve"> Eje 1 </w:t>
      </w:r>
      <w:r w:rsidRPr="0044100E">
        <w:rPr>
          <w:rFonts w:ascii="Arial" w:eastAsia="Calibri" w:hAnsi="Arial" w:cs="Arial"/>
          <w:sz w:val="22"/>
          <w:szCs w:val="22"/>
          <w:lang w:eastAsia="en-US"/>
        </w:rPr>
        <w:t xml:space="preserve">se encuentran los programas que se desarrollarán en el Plan Territorial de Salud </w:t>
      </w:r>
      <w:r w:rsidRPr="0044100E">
        <w:rPr>
          <w:rFonts w:ascii="Arial" w:hAnsi="Arial" w:cs="Arial"/>
          <w:sz w:val="22"/>
          <w:szCs w:val="22"/>
        </w:rPr>
        <w:t xml:space="preserve">“Juntos Podemos Promover </w:t>
      </w:r>
      <w:r w:rsidR="003C262C">
        <w:rPr>
          <w:rFonts w:ascii="Arial" w:hAnsi="Arial" w:cs="Arial"/>
          <w:sz w:val="22"/>
          <w:szCs w:val="22"/>
        </w:rPr>
        <w:t>l</w:t>
      </w:r>
      <w:r w:rsidRPr="0044100E">
        <w:rPr>
          <w:rFonts w:ascii="Arial" w:hAnsi="Arial" w:cs="Arial"/>
          <w:sz w:val="22"/>
          <w:szCs w:val="22"/>
        </w:rPr>
        <w:t xml:space="preserve">a Salud </w:t>
      </w:r>
      <w:r w:rsidR="003C262C">
        <w:rPr>
          <w:rFonts w:ascii="Arial" w:hAnsi="Arial" w:cs="Arial"/>
          <w:sz w:val="22"/>
          <w:szCs w:val="22"/>
        </w:rPr>
        <w:t>y</w:t>
      </w:r>
      <w:r w:rsidRPr="0044100E">
        <w:rPr>
          <w:rFonts w:ascii="Arial" w:hAnsi="Arial" w:cs="Arial"/>
          <w:sz w:val="22"/>
          <w:szCs w:val="22"/>
        </w:rPr>
        <w:t xml:space="preserve"> </w:t>
      </w:r>
      <w:r w:rsidR="003C262C">
        <w:rPr>
          <w:rFonts w:ascii="Arial" w:hAnsi="Arial" w:cs="Arial"/>
          <w:sz w:val="22"/>
          <w:szCs w:val="22"/>
        </w:rPr>
        <w:t>e</w:t>
      </w:r>
      <w:r w:rsidRPr="0044100E">
        <w:rPr>
          <w:rFonts w:ascii="Arial" w:hAnsi="Arial" w:cs="Arial"/>
          <w:sz w:val="22"/>
          <w:szCs w:val="22"/>
        </w:rPr>
        <w:t xml:space="preserve">l Bienestar </w:t>
      </w:r>
      <w:r w:rsidR="003C262C">
        <w:rPr>
          <w:rFonts w:ascii="Arial" w:hAnsi="Arial" w:cs="Arial"/>
          <w:sz w:val="22"/>
          <w:szCs w:val="22"/>
        </w:rPr>
        <w:t>c</w:t>
      </w:r>
      <w:r w:rsidRPr="0044100E">
        <w:rPr>
          <w:rFonts w:ascii="Arial" w:hAnsi="Arial" w:cs="Arial"/>
          <w:sz w:val="22"/>
          <w:szCs w:val="22"/>
        </w:rPr>
        <w:t xml:space="preserve">on Equidad” </w:t>
      </w:r>
      <w:r w:rsidRPr="0044100E">
        <w:rPr>
          <w:rFonts w:ascii="Arial" w:eastAsia="Calibri" w:hAnsi="Arial" w:cs="Arial"/>
          <w:sz w:val="22"/>
          <w:szCs w:val="22"/>
          <w:lang w:eastAsia="en-US"/>
        </w:rPr>
        <w:t>los cuales son:</w:t>
      </w:r>
      <w:r w:rsidR="00643CE2" w:rsidRPr="0044100E">
        <w:rPr>
          <w:rFonts w:ascii="Arial" w:eastAsia="Calibri" w:hAnsi="Arial" w:cs="Arial"/>
          <w:sz w:val="22"/>
          <w:szCs w:val="22"/>
          <w:lang w:eastAsia="en-US"/>
        </w:rPr>
        <w:t xml:space="preserve"> </w:t>
      </w:r>
      <w:r w:rsidR="0000282C" w:rsidRPr="0044100E">
        <w:rPr>
          <w:rFonts w:ascii="Arial" w:eastAsia="Calibri" w:hAnsi="Arial" w:cs="Arial"/>
          <w:sz w:val="22"/>
          <w:szCs w:val="22"/>
          <w:lang w:eastAsia="en-US"/>
        </w:rPr>
        <w:t>“</w:t>
      </w:r>
      <w:r w:rsidR="00643CE2" w:rsidRPr="0044100E">
        <w:rPr>
          <w:rFonts w:ascii="Arial" w:eastAsia="Calibri" w:hAnsi="Arial" w:cs="Arial"/>
          <w:sz w:val="22"/>
          <w:szCs w:val="22"/>
          <w:lang w:eastAsia="en-US"/>
        </w:rPr>
        <w:t xml:space="preserve">Juntos Aumentamos el Aseguramiento en Salud”, </w:t>
      </w:r>
      <w:r w:rsidR="0000282C" w:rsidRPr="0044100E">
        <w:rPr>
          <w:rFonts w:ascii="Arial" w:eastAsia="Calibri" w:hAnsi="Arial" w:cs="Arial"/>
          <w:sz w:val="22"/>
          <w:szCs w:val="22"/>
          <w:lang w:eastAsia="en-US"/>
        </w:rPr>
        <w:t>“</w:t>
      </w:r>
      <w:r w:rsidR="00643CE2" w:rsidRPr="0044100E">
        <w:rPr>
          <w:rFonts w:ascii="Arial" w:eastAsia="Calibri" w:hAnsi="Arial" w:cs="Arial"/>
          <w:sz w:val="22"/>
          <w:szCs w:val="22"/>
          <w:lang w:eastAsia="en-US"/>
        </w:rPr>
        <w:t>Juntos por una mejor Salud Publica</w:t>
      </w:r>
      <w:r w:rsidRPr="0044100E">
        <w:rPr>
          <w:rFonts w:ascii="Arial" w:eastAsia="Calibri" w:hAnsi="Arial" w:cs="Arial"/>
          <w:sz w:val="22"/>
          <w:szCs w:val="22"/>
          <w:lang w:eastAsia="en-US"/>
        </w:rPr>
        <w:t>. Dimensiones prioritarias y gestión diferencial y “Juntos por una mejor salud pública. Prestación de Servicios</w:t>
      </w:r>
      <w:r w:rsidR="00643CE2" w:rsidRPr="0044100E">
        <w:rPr>
          <w:rFonts w:ascii="Arial" w:eastAsia="Calibri" w:hAnsi="Arial" w:cs="Arial"/>
          <w:sz w:val="22"/>
          <w:szCs w:val="22"/>
          <w:lang w:eastAsia="en-US"/>
        </w:rPr>
        <w:t xml:space="preserve">” </w:t>
      </w:r>
      <w:r w:rsidR="00643CE2" w:rsidRPr="0044100E">
        <w:rPr>
          <w:rFonts w:ascii="Arial" w:hAnsi="Arial" w:cs="Arial"/>
          <w:sz w:val="22"/>
          <w:szCs w:val="22"/>
        </w:rPr>
        <w:t>El Plan Plurianual del Plan de Desarrollo estimó un total de $</w:t>
      </w:r>
      <w:r w:rsidRPr="0044100E">
        <w:rPr>
          <w:rFonts w:ascii="Arial" w:hAnsi="Arial" w:cs="Arial"/>
          <w:sz w:val="22"/>
          <w:szCs w:val="22"/>
        </w:rPr>
        <w:t>73.598 millones para la implementación del Plan Territorial en Salud.</w:t>
      </w:r>
      <w:r w:rsidR="009C7544">
        <w:rPr>
          <w:rFonts w:ascii="Arial" w:hAnsi="Arial" w:cs="Arial"/>
          <w:sz w:val="22"/>
          <w:szCs w:val="22"/>
        </w:rPr>
        <w:t xml:space="preserve"> </w:t>
      </w:r>
    </w:p>
    <w:p w14:paraId="576E803F" w14:textId="77777777" w:rsidR="00643CE2" w:rsidRPr="0044100E" w:rsidRDefault="00643CE2" w:rsidP="00643CE2">
      <w:pPr>
        <w:jc w:val="both"/>
        <w:rPr>
          <w:rFonts w:ascii="Arial" w:hAnsi="Arial" w:cs="Arial"/>
          <w:sz w:val="22"/>
          <w:szCs w:val="22"/>
        </w:rPr>
      </w:pPr>
    </w:p>
    <w:p w14:paraId="145BBF55" w14:textId="77777777" w:rsidR="00643CE2" w:rsidRPr="0044100E" w:rsidRDefault="00643CE2" w:rsidP="00063F5A">
      <w:pPr>
        <w:jc w:val="right"/>
        <w:rPr>
          <w:rFonts w:ascii="Arial" w:eastAsia="Times New Roman" w:hAnsi="Arial" w:cs="Arial"/>
          <w:i/>
          <w:sz w:val="22"/>
          <w:szCs w:val="22"/>
          <w:lang w:val="es-CO" w:eastAsia="es-CO"/>
        </w:rPr>
      </w:pPr>
      <w:r w:rsidRPr="0044100E">
        <w:rPr>
          <w:rFonts w:ascii="Arial" w:eastAsia="Times New Roman" w:hAnsi="Arial" w:cs="Arial"/>
          <w:i/>
          <w:sz w:val="22"/>
          <w:szCs w:val="22"/>
          <w:lang w:val="es-CO" w:eastAsia="es-CO"/>
        </w:rPr>
        <w:t>Cifras en Millones de pesos</w:t>
      </w:r>
      <w:r w:rsidR="006F4E8F" w:rsidRPr="0044100E">
        <w:rPr>
          <w:rFonts w:ascii="Arial" w:eastAsia="Times New Roman" w:hAnsi="Arial" w:cs="Arial"/>
          <w:i/>
          <w:sz w:val="22"/>
          <w:szCs w:val="22"/>
          <w:lang w:val="es-CO" w:eastAsia="es-CO"/>
        </w:rPr>
        <w:t xml:space="preserve"> $</w:t>
      </w:r>
    </w:p>
    <w:tbl>
      <w:tblPr>
        <w:tblW w:w="9061" w:type="dxa"/>
        <w:jc w:val="center"/>
        <w:tblCellMar>
          <w:left w:w="70" w:type="dxa"/>
          <w:right w:w="70" w:type="dxa"/>
        </w:tblCellMar>
        <w:tblLook w:val="04A0" w:firstRow="1" w:lastRow="0" w:firstColumn="1" w:lastColumn="0" w:noHBand="0" w:noVBand="1"/>
      </w:tblPr>
      <w:tblGrid>
        <w:gridCol w:w="4243"/>
        <w:gridCol w:w="1202"/>
        <w:gridCol w:w="1202"/>
        <w:gridCol w:w="1202"/>
        <w:gridCol w:w="1202"/>
        <w:gridCol w:w="10"/>
      </w:tblGrid>
      <w:tr w:rsidR="00643CE2" w:rsidRPr="0044100E" w14:paraId="745A2C56" w14:textId="77777777" w:rsidTr="00063F5A">
        <w:trPr>
          <w:trHeight w:val="290"/>
          <w:tblHeader/>
          <w:jc w:val="center"/>
        </w:trPr>
        <w:tc>
          <w:tcPr>
            <w:tcW w:w="9061" w:type="dxa"/>
            <w:gridSpan w:val="6"/>
            <w:tcBorders>
              <w:top w:val="single" w:sz="8" w:space="0" w:color="auto"/>
              <w:left w:val="single" w:sz="8" w:space="0" w:color="auto"/>
              <w:bottom w:val="nil"/>
              <w:right w:val="single" w:sz="8" w:space="0" w:color="000000"/>
            </w:tcBorders>
            <w:shd w:val="clear" w:color="auto" w:fill="D9D9D9"/>
            <w:noWrap/>
            <w:vAlign w:val="center"/>
            <w:hideMark/>
          </w:tcPr>
          <w:p w14:paraId="1EC7DC46"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Plan Plurianual de inversiones 2020-2023</w:t>
            </w:r>
          </w:p>
        </w:tc>
      </w:tr>
      <w:tr w:rsidR="00643CE2" w:rsidRPr="0044100E" w14:paraId="2F56FAB9" w14:textId="77777777" w:rsidTr="00063F5A">
        <w:trPr>
          <w:gridAfter w:val="1"/>
          <w:wAfter w:w="10" w:type="dxa"/>
          <w:trHeight w:val="290"/>
          <w:tblHeader/>
          <w:jc w:val="center"/>
        </w:trPr>
        <w:tc>
          <w:tcPr>
            <w:tcW w:w="4243" w:type="dxa"/>
            <w:tcBorders>
              <w:top w:val="nil"/>
              <w:left w:val="single" w:sz="8" w:space="0" w:color="auto"/>
              <w:bottom w:val="nil"/>
              <w:right w:val="nil"/>
            </w:tcBorders>
            <w:shd w:val="clear" w:color="auto" w:fill="D9D9D9"/>
            <w:vAlign w:val="center"/>
            <w:hideMark/>
          </w:tcPr>
          <w:p w14:paraId="4263E750" w14:textId="77777777" w:rsidR="00643CE2" w:rsidRPr="0044100E" w:rsidRDefault="00643CE2">
            <w:pP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Programas Plan de desarrollo</w:t>
            </w:r>
          </w:p>
        </w:tc>
        <w:tc>
          <w:tcPr>
            <w:tcW w:w="1202" w:type="dxa"/>
            <w:shd w:val="clear" w:color="auto" w:fill="D9D9D9"/>
            <w:noWrap/>
            <w:vAlign w:val="center"/>
            <w:hideMark/>
          </w:tcPr>
          <w:p w14:paraId="0DADBC83"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2020</w:t>
            </w:r>
          </w:p>
        </w:tc>
        <w:tc>
          <w:tcPr>
            <w:tcW w:w="1202" w:type="dxa"/>
            <w:shd w:val="clear" w:color="auto" w:fill="D9D9D9"/>
            <w:noWrap/>
            <w:vAlign w:val="center"/>
            <w:hideMark/>
          </w:tcPr>
          <w:p w14:paraId="5D2595E6"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2021</w:t>
            </w:r>
          </w:p>
        </w:tc>
        <w:tc>
          <w:tcPr>
            <w:tcW w:w="1202" w:type="dxa"/>
            <w:shd w:val="clear" w:color="auto" w:fill="D9D9D9"/>
            <w:noWrap/>
            <w:vAlign w:val="center"/>
            <w:hideMark/>
          </w:tcPr>
          <w:p w14:paraId="05F48E1F"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2022</w:t>
            </w:r>
          </w:p>
        </w:tc>
        <w:tc>
          <w:tcPr>
            <w:tcW w:w="1202" w:type="dxa"/>
            <w:tcBorders>
              <w:top w:val="nil"/>
              <w:left w:val="nil"/>
              <w:bottom w:val="nil"/>
              <w:right w:val="single" w:sz="8" w:space="0" w:color="auto"/>
            </w:tcBorders>
            <w:shd w:val="clear" w:color="auto" w:fill="D9D9D9"/>
            <w:noWrap/>
            <w:vAlign w:val="center"/>
            <w:hideMark/>
          </w:tcPr>
          <w:p w14:paraId="11FCEE84"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2023</w:t>
            </w:r>
          </w:p>
        </w:tc>
      </w:tr>
      <w:tr w:rsidR="00643CE2" w:rsidRPr="0044100E" w14:paraId="23AFEF03" w14:textId="77777777" w:rsidTr="00063F5A">
        <w:trPr>
          <w:gridAfter w:val="1"/>
          <w:wAfter w:w="10" w:type="dxa"/>
          <w:trHeight w:val="580"/>
          <w:jc w:val="center"/>
        </w:trPr>
        <w:tc>
          <w:tcPr>
            <w:tcW w:w="4243" w:type="dxa"/>
            <w:tcBorders>
              <w:top w:val="single" w:sz="4" w:space="0" w:color="auto"/>
              <w:left w:val="single" w:sz="8" w:space="0" w:color="auto"/>
              <w:bottom w:val="single" w:sz="4" w:space="0" w:color="auto"/>
              <w:right w:val="single" w:sz="4" w:space="0" w:color="auto"/>
            </w:tcBorders>
            <w:vAlign w:val="center"/>
            <w:hideMark/>
          </w:tcPr>
          <w:p w14:paraId="36DD4A99"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Juntos Aumentamos el Aseguramiento en Salud</w:t>
            </w:r>
          </w:p>
        </w:tc>
        <w:tc>
          <w:tcPr>
            <w:tcW w:w="1202" w:type="dxa"/>
            <w:tcBorders>
              <w:top w:val="single" w:sz="4" w:space="0" w:color="auto"/>
              <w:left w:val="nil"/>
              <w:bottom w:val="single" w:sz="4" w:space="0" w:color="auto"/>
              <w:right w:val="single" w:sz="4" w:space="0" w:color="auto"/>
            </w:tcBorders>
            <w:noWrap/>
            <w:vAlign w:val="center"/>
            <w:hideMark/>
          </w:tcPr>
          <w:p w14:paraId="62839CAE" w14:textId="7FC9DA3B"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4.195</w:t>
            </w:r>
          </w:p>
        </w:tc>
        <w:tc>
          <w:tcPr>
            <w:tcW w:w="1202" w:type="dxa"/>
            <w:tcBorders>
              <w:top w:val="single" w:sz="4" w:space="0" w:color="auto"/>
              <w:left w:val="nil"/>
              <w:bottom w:val="single" w:sz="4" w:space="0" w:color="auto"/>
              <w:right w:val="single" w:sz="4" w:space="0" w:color="auto"/>
            </w:tcBorders>
            <w:noWrap/>
            <w:vAlign w:val="center"/>
            <w:hideMark/>
          </w:tcPr>
          <w:p w14:paraId="6E1EBBE4" w14:textId="2E5EA724"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4.446</w:t>
            </w:r>
          </w:p>
        </w:tc>
        <w:tc>
          <w:tcPr>
            <w:tcW w:w="1202" w:type="dxa"/>
            <w:tcBorders>
              <w:top w:val="single" w:sz="4" w:space="0" w:color="auto"/>
              <w:left w:val="nil"/>
              <w:bottom w:val="single" w:sz="4" w:space="0" w:color="auto"/>
              <w:right w:val="single" w:sz="4" w:space="0" w:color="auto"/>
            </w:tcBorders>
            <w:noWrap/>
            <w:vAlign w:val="center"/>
            <w:hideMark/>
          </w:tcPr>
          <w:p w14:paraId="2C1AFD42" w14:textId="051FD666"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4.731</w:t>
            </w:r>
          </w:p>
        </w:tc>
        <w:tc>
          <w:tcPr>
            <w:tcW w:w="1202" w:type="dxa"/>
            <w:tcBorders>
              <w:top w:val="single" w:sz="4" w:space="0" w:color="auto"/>
              <w:left w:val="nil"/>
              <w:bottom w:val="single" w:sz="4" w:space="0" w:color="auto"/>
              <w:right w:val="single" w:sz="8" w:space="0" w:color="auto"/>
            </w:tcBorders>
            <w:noWrap/>
            <w:vAlign w:val="center"/>
            <w:hideMark/>
          </w:tcPr>
          <w:p w14:paraId="2272A851" w14:textId="49D6B44C"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5.041</w:t>
            </w:r>
          </w:p>
        </w:tc>
      </w:tr>
      <w:tr w:rsidR="00643CE2" w:rsidRPr="0044100E" w14:paraId="4D8BDE03" w14:textId="77777777" w:rsidTr="00063F5A">
        <w:trPr>
          <w:gridAfter w:val="1"/>
          <w:wAfter w:w="10" w:type="dxa"/>
          <w:trHeight w:val="597"/>
          <w:jc w:val="center"/>
        </w:trPr>
        <w:tc>
          <w:tcPr>
            <w:tcW w:w="4243" w:type="dxa"/>
            <w:tcBorders>
              <w:top w:val="nil"/>
              <w:left w:val="single" w:sz="8" w:space="0" w:color="auto"/>
              <w:bottom w:val="single" w:sz="4" w:space="0" w:color="auto"/>
              <w:right w:val="single" w:sz="4" w:space="0" w:color="auto"/>
            </w:tcBorders>
            <w:vAlign w:val="center"/>
            <w:hideMark/>
          </w:tcPr>
          <w:p w14:paraId="2F7119C9"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Juntos por una mejor Salud Publica. Dimensiones Prioritarias y Gestión Diferencial</w:t>
            </w:r>
          </w:p>
        </w:tc>
        <w:tc>
          <w:tcPr>
            <w:tcW w:w="1202" w:type="dxa"/>
            <w:tcBorders>
              <w:top w:val="nil"/>
              <w:left w:val="nil"/>
              <w:bottom w:val="single" w:sz="4" w:space="0" w:color="auto"/>
              <w:right w:val="single" w:sz="4" w:space="0" w:color="auto"/>
            </w:tcBorders>
            <w:noWrap/>
            <w:vAlign w:val="center"/>
            <w:hideMark/>
          </w:tcPr>
          <w:p w14:paraId="20F709BD" w14:textId="579D95E0"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4.173</w:t>
            </w:r>
          </w:p>
        </w:tc>
        <w:tc>
          <w:tcPr>
            <w:tcW w:w="1202" w:type="dxa"/>
            <w:tcBorders>
              <w:top w:val="nil"/>
              <w:left w:val="nil"/>
              <w:bottom w:val="single" w:sz="4" w:space="0" w:color="auto"/>
              <w:right w:val="single" w:sz="4" w:space="0" w:color="auto"/>
            </w:tcBorders>
            <w:noWrap/>
            <w:vAlign w:val="center"/>
            <w:hideMark/>
          </w:tcPr>
          <w:p w14:paraId="403D69B5" w14:textId="2EB9872F"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4.423</w:t>
            </w:r>
          </w:p>
        </w:tc>
        <w:tc>
          <w:tcPr>
            <w:tcW w:w="1202" w:type="dxa"/>
            <w:tcBorders>
              <w:top w:val="nil"/>
              <w:left w:val="nil"/>
              <w:bottom w:val="single" w:sz="4" w:space="0" w:color="auto"/>
              <w:right w:val="single" w:sz="4" w:space="0" w:color="auto"/>
            </w:tcBorders>
            <w:noWrap/>
            <w:vAlign w:val="center"/>
            <w:hideMark/>
          </w:tcPr>
          <w:p w14:paraId="0F0D1AA0" w14:textId="44D749DB"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4.732</w:t>
            </w:r>
          </w:p>
        </w:tc>
        <w:tc>
          <w:tcPr>
            <w:tcW w:w="1202" w:type="dxa"/>
            <w:tcBorders>
              <w:top w:val="nil"/>
              <w:left w:val="nil"/>
              <w:bottom w:val="single" w:sz="4" w:space="0" w:color="auto"/>
              <w:right w:val="single" w:sz="8" w:space="0" w:color="auto"/>
            </w:tcBorders>
            <w:noWrap/>
            <w:vAlign w:val="center"/>
            <w:hideMark/>
          </w:tcPr>
          <w:p w14:paraId="04C325C0" w14:textId="358CDB8A"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5.079</w:t>
            </w:r>
          </w:p>
        </w:tc>
      </w:tr>
      <w:tr w:rsidR="00643CE2" w:rsidRPr="0044100E" w14:paraId="76B7AEBB" w14:textId="77777777" w:rsidTr="00063F5A">
        <w:trPr>
          <w:gridAfter w:val="1"/>
          <w:wAfter w:w="10" w:type="dxa"/>
          <w:trHeight w:val="610"/>
          <w:jc w:val="center"/>
        </w:trPr>
        <w:tc>
          <w:tcPr>
            <w:tcW w:w="4243" w:type="dxa"/>
            <w:tcBorders>
              <w:top w:val="nil"/>
              <w:left w:val="single" w:sz="8" w:space="0" w:color="auto"/>
              <w:bottom w:val="nil"/>
              <w:right w:val="single" w:sz="4" w:space="0" w:color="auto"/>
            </w:tcBorders>
            <w:vAlign w:val="center"/>
            <w:hideMark/>
          </w:tcPr>
          <w:p w14:paraId="09D0F9D3"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lastRenderedPageBreak/>
              <w:t>Juntos por una mejor salud pública. Prestación del Servicio</w:t>
            </w:r>
          </w:p>
        </w:tc>
        <w:tc>
          <w:tcPr>
            <w:tcW w:w="1202" w:type="dxa"/>
            <w:tcBorders>
              <w:top w:val="nil"/>
              <w:left w:val="nil"/>
              <w:bottom w:val="nil"/>
              <w:right w:val="single" w:sz="4" w:space="0" w:color="auto"/>
            </w:tcBorders>
            <w:noWrap/>
            <w:vAlign w:val="center"/>
            <w:hideMark/>
          </w:tcPr>
          <w:p w14:paraId="310CDA3C" w14:textId="5E6C233B"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8.339</w:t>
            </w:r>
          </w:p>
        </w:tc>
        <w:tc>
          <w:tcPr>
            <w:tcW w:w="1202" w:type="dxa"/>
            <w:tcBorders>
              <w:top w:val="nil"/>
              <w:left w:val="nil"/>
              <w:bottom w:val="nil"/>
              <w:right w:val="single" w:sz="4" w:space="0" w:color="auto"/>
            </w:tcBorders>
            <w:noWrap/>
            <w:vAlign w:val="center"/>
            <w:hideMark/>
          </w:tcPr>
          <w:p w14:paraId="551D0DAE" w14:textId="43447157"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8.837</w:t>
            </w:r>
          </w:p>
        </w:tc>
        <w:tc>
          <w:tcPr>
            <w:tcW w:w="1202" w:type="dxa"/>
            <w:tcBorders>
              <w:top w:val="nil"/>
              <w:left w:val="nil"/>
              <w:bottom w:val="nil"/>
              <w:right w:val="single" w:sz="4" w:space="0" w:color="auto"/>
            </w:tcBorders>
            <w:noWrap/>
            <w:vAlign w:val="center"/>
            <w:hideMark/>
          </w:tcPr>
          <w:p w14:paraId="56A2BCE7" w14:textId="70392FEA"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9.455</w:t>
            </w:r>
          </w:p>
        </w:tc>
        <w:tc>
          <w:tcPr>
            <w:tcW w:w="1202" w:type="dxa"/>
            <w:tcBorders>
              <w:top w:val="nil"/>
              <w:left w:val="nil"/>
              <w:bottom w:val="nil"/>
              <w:right w:val="single" w:sz="8" w:space="0" w:color="auto"/>
            </w:tcBorders>
            <w:noWrap/>
            <w:vAlign w:val="center"/>
            <w:hideMark/>
          </w:tcPr>
          <w:p w14:paraId="3C35CAF3" w14:textId="0170D6FA"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10.148</w:t>
            </w:r>
          </w:p>
        </w:tc>
      </w:tr>
      <w:tr w:rsidR="00643CE2" w:rsidRPr="0044100E" w14:paraId="04901A97" w14:textId="77777777" w:rsidTr="00063F5A">
        <w:trPr>
          <w:gridAfter w:val="1"/>
          <w:wAfter w:w="10" w:type="dxa"/>
          <w:trHeight w:val="300"/>
          <w:jc w:val="center"/>
        </w:trPr>
        <w:tc>
          <w:tcPr>
            <w:tcW w:w="4243" w:type="dxa"/>
            <w:tcBorders>
              <w:top w:val="single" w:sz="8" w:space="0" w:color="auto"/>
              <w:left w:val="single" w:sz="8" w:space="0" w:color="auto"/>
              <w:bottom w:val="nil"/>
              <w:right w:val="single" w:sz="4" w:space="0" w:color="auto"/>
            </w:tcBorders>
            <w:vAlign w:val="center"/>
            <w:hideMark/>
          </w:tcPr>
          <w:p w14:paraId="7FB72FB2"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Total</w:t>
            </w:r>
          </w:p>
        </w:tc>
        <w:tc>
          <w:tcPr>
            <w:tcW w:w="1202" w:type="dxa"/>
            <w:tcBorders>
              <w:top w:val="single" w:sz="8" w:space="0" w:color="auto"/>
              <w:left w:val="nil"/>
              <w:bottom w:val="nil"/>
              <w:right w:val="single" w:sz="4" w:space="0" w:color="auto"/>
            </w:tcBorders>
            <w:noWrap/>
            <w:vAlign w:val="center"/>
            <w:hideMark/>
          </w:tcPr>
          <w:p w14:paraId="31ADB1EE" w14:textId="04EA8267"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16.707</w:t>
            </w:r>
          </w:p>
        </w:tc>
        <w:tc>
          <w:tcPr>
            <w:tcW w:w="1202" w:type="dxa"/>
            <w:tcBorders>
              <w:top w:val="single" w:sz="8" w:space="0" w:color="auto"/>
              <w:left w:val="nil"/>
              <w:bottom w:val="nil"/>
              <w:right w:val="single" w:sz="4" w:space="0" w:color="auto"/>
            </w:tcBorders>
            <w:noWrap/>
            <w:vAlign w:val="center"/>
            <w:hideMark/>
          </w:tcPr>
          <w:p w14:paraId="6F8FD172" w14:textId="1E3A071B"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17.706</w:t>
            </w:r>
          </w:p>
        </w:tc>
        <w:tc>
          <w:tcPr>
            <w:tcW w:w="1202" w:type="dxa"/>
            <w:tcBorders>
              <w:top w:val="single" w:sz="8" w:space="0" w:color="auto"/>
              <w:left w:val="nil"/>
              <w:bottom w:val="nil"/>
              <w:right w:val="single" w:sz="4" w:space="0" w:color="auto"/>
            </w:tcBorders>
            <w:noWrap/>
            <w:vAlign w:val="center"/>
            <w:hideMark/>
          </w:tcPr>
          <w:p w14:paraId="7B630862" w14:textId="3B60C03D"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18.918</w:t>
            </w:r>
          </w:p>
        </w:tc>
        <w:tc>
          <w:tcPr>
            <w:tcW w:w="1202" w:type="dxa"/>
            <w:tcBorders>
              <w:top w:val="single" w:sz="8" w:space="0" w:color="auto"/>
              <w:left w:val="nil"/>
              <w:bottom w:val="nil"/>
              <w:right w:val="single" w:sz="8" w:space="0" w:color="auto"/>
            </w:tcBorders>
            <w:noWrap/>
            <w:vAlign w:val="center"/>
            <w:hideMark/>
          </w:tcPr>
          <w:p w14:paraId="21458F1D" w14:textId="032CCF66"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20.268</w:t>
            </w:r>
          </w:p>
        </w:tc>
      </w:tr>
      <w:tr w:rsidR="00643CE2" w:rsidRPr="0044100E" w14:paraId="7D63D946" w14:textId="77777777" w:rsidTr="00063F5A">
        <w:trPr>
          <w:gridAfter w:val="1"/>
          <w:wAfter w:w="10" w:type="dxa"/>
          <w:trHeight w:val="300"/>
          <w:jc w:val="center"/>
        </w:trPr>
        <w:tc>
          <w:tcPr>
            <w:tcW w:w="4243" w:type="dxa"/>
            <w:tcBorders>
              <w:top w:val="single" w:sz="8" w:space="0" w:color="auto"/>
              <w:left w:val="single" w:sz="8" w:space="0" w:color="auto"/>
              <w:bottom w:val="single" w:sz="8" w:space="0" w:color="auto"/>
              <w:right w:val="nil"/>
            </w:tcBorders>
            <w:vAlign w:val="center"/>
            <w:hideMark/>
          </w:tcPr>
          <w:p w14:paraId="2758B82C"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Total, Cuatrienio</w:t>
            </w:r>
          </w:p>
        </w:tc>
        <w:tc>
          <w:tcPr>
            <w:tcW w:w="4808" w:type="dxa"/>
            <w:gridSpan w:val="4"/>
            <w:tcBorders>
              <w:top w:val="single" w:sz="8" w:space="0" w:color="auto"/>
              <w:left w:val="nil"/>
              <w:bottom w:val="single" w:sz="8" w:space="0" w:color="auto"/>
              <w:right w:val="single" w:sz="8" w:space="0" w:color="000000"/>
            </w:tcBorders>
            <w:vAlign w:val="center"/>
            <w:hideMark/>
          </w:tcPr>
          <w:p w14:paraId="119E34FF" w14:textId="205BFE95" w:rsidR="00643CE2" w:rsidRPr="0044100E" w:rsidRDefault="006F1BA4">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73.598</w:t>
            </w:r>
          </w:p>
        </w:tc>
      </w:tr>
    </w:tbl>
    <w:p w14:paraId="7A934CEF" w14:textId="77777777" w:rsidR="00643CE2" w:rsidRPr="0044100E" w:rsidRDefault="00643CE2" w:rsidP="00643CE2">
      <w:pPr>
        <w:jc w:val="both"/>
        <w:rPr>
          <w:rFonts w:ascii="Arial" w:eastAsia="Times New Roman" w:hAnsi="Arial" w:cs="Arial"/>
          <w:iCs/>
          <w:sz w:val="18"/>
          <w:szCs w:val="18"/>
          <w:lang w:val="es-CO" w:eastAsia="es-CO"/>
        </w:rPr>
      </w:pPr>
      <w:r w:rsidRPr="0044100E">
        <w:rPr>
          <w:rFonts w:ascii="Arial" w:eastAsia="Times New Roman" w:hAnsi="Arial" w:cs="Arial"/>
          <w:iCs/>
          <w:sz w:val="18"/>
          <w:szCs w:val="18"/>
          <w:lang w:val="es-CO" w:eastAsia="es-CO"/>
        </w:rPr>
        <w:t xml:space="preserve">Fuente: Elaboración Propia a partir de Plan Territorial en Salud </w:t>
      </w:r>
      <w:r w:rsidR="006F4E8F" w:rsidRPr="0044100E">
        <w:rPr>
          <w:rFonts w:ascii="Arial" w:eastAsia="Times New Roman" w:hAnsi="Arial" w:cs="Arial"/>
          <w:iCs/>
          <w:sz w:val="18"/>
          <w:szCs w:val="18"/>
          <w:lang w:val="es-CO" w:eastAsia="es-CO"/>
        </w:rPr>
        <w:t xml:space="preserve">– Departamento de </w:t>
      </w:r>
      <w:r w:rsidRPr="0044100E">
        <w:rPr>
          <w:rFonts w:ascii="Arial" w:eastAsia="Times New Roman" w:hAnsi="Arial" w:cs="Arial"/>
          <w:iCs/>
          <w:sz w:val="18"/>
          <w:szCs w:val="18"/>
          <w:lang w:val="es-CO" w:eastAsia="es-CO"/>
        </w:rPr>
        <w:t>Vaupés</w:t>
      </w:r>
    </w:p>
    <w:p w14:paraId="7FFB6C6C" w14:textId="77777777"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Calibri" w:hAnsi="Arial" w:cs="Arial"/>
          <w:i/>
          <w:sz w:val="22"/>
          <w:szCs w:val="22"/>
          <w:lang w:val="es-CO" w:eastAsia="en-US"/>
        </w:rPr>
      </w:pPr>
    </w:p>
    <w:p w14:paraId="6B7B7852" w14:textId="157DEA0A" w:rsidR="00643CE2" w:rsidRPr="0044100E" w:rsidRDefault="00643CE2" w:rsidP="00643CE2">
      <w:pPr>
        <w:pStyle w:val="Prrafodelista"/>
        <w:numPr>
          <w:ilvl w:val="0"/>
          <w:numId w:val="20"/>
        </w:numPr>
        <w:jc w:val="both"/>
        <w:rPr>
          <w:rFonts w:ascii="Arial" w:eastAsia="Calibri" w:hAnsi="Arial" w:cs="Arial"/>
          <w:b/>
          <w:sz w:val="22"/>
          <w:szCs w:val="22"/>
          <w:lang w:eastAsia="en-US"/>
        </w:rPr>
      </w:pPr>
      <w:r w:rsidRPr="0044100E">
        <w:rPr>
          <w:rFonts w:ascii="Arial" w:eastAsia="Calibri" w:hAnsi="Arial" w:cs="Arial"/>
          <w:b/>
          <w:sz w:val="22"/>
          <w:szCs w:val="22"/>
          <w:lang w:eastAsia="en-US"/>
        </w:rPr>
        <w:t>Situación Fiscal y Financiera Departamental</w:t>
      </w:r>
      <w:r w:rsidRPr="0044100E">
        <w:rPr>
          <w:rStyle w:val="Refdenotaalpie"/>
          <w:rFonts w:ascii="Arial" w:eastAsia="Calibri" w:hAnsi="Arial" w:cs="Arial"/>
          <w:b/>
          <w:sz w:val="22"/>
          <w:szCs w:val="22"/>
          <w:lang w:eastAsia="en-US"/>
        </w:rPr>
        <w:footnoteReference w:id="1"/>
      </w:r>
      <w:r w:rsidR="009C7544">
        <w:rPr>
          <w:rFonts w:ascii="Arial" w:eastAsia="Calibri" w:hAnsi="Arial" w:cs="Arial"/>
          <w:b/>
          <w:sz w:val="22"/>
          <w:szCs w:val="22"/>
          <w:lang w:eastAsia="en-US"/>
        </w:rPr>
        <w:t xml:space="preserve"> </w:t>
      </w:r>
    </w:p>
    <w:p w14:paraId="7AC3E330" w14:textId="77777777"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Calibri" w:hAnsi="Arial" w:cs="Arial"/>
          <w:sz w:val="22"/>
          <w:szCs w:val="22"/>
          <w:lang w:eastAsia="en-US"/>
        </w:rPr>
      </w:pPr>
    </w:p>
    <w:p w14:paraId="47EF9CF3" w14:textId="77777777"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i/>
          <w:sz w:val="22"/>
          <w:szCs w:val="22"/>
        </w:rPr>
      </w:pPr>
      <w:r w:rsidRPr="0044100E">
        <w:rPr>
          <w:rFonts w:ascii="Arial" w:hAnsi="Arial" w:cs="Arial"/>
          <w:sz w:val="22"/>
          <w:szCs w:val="22"/>
        </w:rPr>
        <w:t xml:space="preserve">El Departamento de Vaupés en la vigencia 2020 mostró que, </w:t>
      </w:r>
      <w:r w:rsidRPr="0044100E">
        <w:rPr>
          <w:rFonts w:ascii="Arial" w:hAnsi="Arial" w:cs="Arial"/>
          <w:i/>
          <w:sz w:val="22"/>
          <w:szCs w:val="22"/>
        </w:rPr>
        <w:t>“Los recaudos efectivos de la vigencia con recursos (excluyendo SGR) resultaron mayores a los compromisos de gasto financiados con dichas fuentes en $28.187 millones, por lo tanto, constituyen un superávit fiscal para la vigencia. Teniendo en cuenta que el departamento adicionó recursos del balance por $30.331 millones; el cierre presupuestal de 2020 fue superavitario en $58.518 millones. Esta situación evidencia que el departamento sigue presentando dificultades para ejecutar los recursos disponibles en la vigencia fiscal.”</w:t>
      </w:r>
    </w:p>
    <w:p w14:paraId="4E650180" w14:textId="77777777"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2"/>
          <w:szCs w:val="22"/>
        </w:rPr>
      </w:pPr>
    </w:p>
    <w:p w14:paraId="13F76292" w14:textId="0EC8E39A" w:rsidR="00643CE2"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2"/>
          <w:szCs w:val="22"/>
        </w:rPr>
      </w:pPr>
      <w:r w:rsidRPr="0044100E">
        <w:rPr>
          <w:rFonts w:ascii="Arial" w:hAnsi="Arial" w:cs="Arial"/>
          <w:sz w:val="22"/>
          <w:szCs w:val="22"/>
        </w:rPr>
        <w:t xml:space="preserve">Se identifica como fortaleza fiscal que, </w:t>
      </w:r>
      <w:r w:rsidR="006F4E8F" w:rsidRPr="00571279">
        <w:rPr>
          <w:rFonts w:ascii="Arial" w:hAnsi="Arial" w:cs="Arial"/>
          <w:i/>
          <w:iCs/>
          <w:sz w:val="22"/>
          <w:szCs w:val="22"/>
        </w:rPr>
        <w:t>“</w:t>
      </w:r>
      <w:r w:rsidRPr="00571279">
        <w:rPr>
          <w:rFonts w:ascii="Arial" w:hAnsi="Arial" w:cs="Arial"/>
          <w:i/>
          <w:iCs/>
          <w:sz w:val="22"/>
          <w:szCs w:val="22"/>
        </w:rPr>
        <w:t>[…] Producto de la crisis de pandemia del COVID19, las medidas que el departamento implementó con el objetivo de conjurar la crisis proveniente del Covid-19 a la luz del Decreto 461 de 2020, se concentraron en traslados presupuestales para atender a la población Vulnerable</w:t>
      </w:r>
      <w:r w:rsidR="00571279">
        <w:rPr>
          <w:rFonts w:ascii="Arial" w:hAnsi="Arial" w:cs="Arial"/>
          <w:i/>
          <w:iCs/>
          <w:sz w:val="22"/>
          <w:szCs w:val="22"/>
        </w:rPr>
        <w:t xml:space="preserve"> </w:t>
      </w:r>
      <w:r w:rsidRPr="00571279">
        <w:rPr>
          <w:rFonts w:ascii="Arial" w:hAnsi="Arial" w:cs="Arial"/>
          <w:i/>
          <w:iCs/>
          <w:sz w:val="22"/>
          <w:szCs w:val="22"/>
        </w:rPr>
        <w:t>[…]</w:t>
      </w:r>
      <w:r w:rsidR="006F4E8F" w:rsidRPr="00571279">
        <w:rPr>
          <w:rFonts w:ascii="Arial" w:hAnsi="Arial" w:cs="Arial"/>
          <w:i/>
          <w:iCs/>
          <w:sz w:val="22"/>
          <w:szCs w:val="22"/>
        </w:rPr>
        <w:t>”.</w:t>
      </w:r>
    </w:p>
    <w:p w14:paraId="31CF7DAD" w14:textId="77777777" w:rsidR="00571279" w:rsidRPr="0044100E" w:rsidRDefault="00571279"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2"/>
          <w:szCs w:val="22"/>
        </w:rPr>
      </w:pPr>
    </w:p>
    <w:p w14:paraId="148D3111" w14:textId="3717EEA5" w:rsidR="00643CE2" w:rsidRPr="0044100E"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i/>
          <w:sz w:val="22"/>
          <w:szCs w:val="22"/>
        </w:rPr>
      </w:pPr>
      <w:r w:rsidRPr="0044100E">
        <w:rPr>
          <w:rFonts w:ascii="Arial" w:hAnsi="Arial" w:cs="Arial"/>
          <w:sz w:val="22"/>
          <w:szCs w:val="22"/>
        </w:rPr>
        <w:t xml:space="preserve">El riesgo principal se concentra en que, </w:t>
      </w:r>
      <w:r w:rsidR="006F4E8F" w:rsidRPr="0044100E">
        <w:rPr>
          <w:rFonts w:ascii="Arial" w:hAnsi="Arial" w:cs="Arial"/>
          <w:i/>
          <w:sz w:val="22"/>
          <w:szCs w:val="22"/>
        </w:rPr>
        <w:t>“</w:t>
      </w:r>
      <w:r w:rsidRPr="0044100E">
        <w:rPr>
          <w:rFonts w:ascii="Arial" w:hAnsi="Arial" w:cs="Arial"/>
          <w:i/>
          <w:sz w:val="22"/>
          <w:szCs w:val="22"/>
        </w:rPr>
        <w:t>[…]</w:t>
      </w:r>
      <w:r w:rsidRPr="0044100E">
        <w:rPr>
          <w:rFonts w:ascii="Arial" w:hAnsi="Arial" w:cs="Arial"/>
          <w:i/>
          <w:iCs/>
          <w:sz w:val="22"/>
          <w:szCs w:val="22"/>
        </w:rPr>
        <w:t xml:space="preserve"> El departamento en 2020 reflejó dependencia de las transferencias del Sistema General de Participaciones en (45%), ingresos de capital, esencialmente los provenientes de recursos del balance (23%), otras transferencias (24%), e ingresos propios (8%); situación que refleja y baja autonomía fiscal para inversión con recursos propios</w:t>
      </w:r>
      <w:r w:rsidR="00571279">
        <w:rPr>
          <w:rFonts w:ascii="Arial" w:hAnsi="Arial" w:cs="Arial"/>
          <w:i/>
          <w:iCs/>
          <w:sz w:val="22"/>
          <w:szCs w:val="22"/>
        </w:rPr>
        <w:t xml:space="preserve"> </w:t>
      </w:r>
      <w:r w:rsidRPr="0044100E">
        <w:rPr>
          <w:rFonts w:ascii="Arial" w:hAnsi="Arial" w:cs="Arial"/>
          <w:i/>
          <w:iCs/>
          <w:sz w:val="22"/>
          <w:szCs w:val="22"/>
        </w:rPr>
        <w:t>[…]</w:t>
      </w:r>
      <w:r w:rsidR="006F4E8F" w:rsidRPr="0044100E">
        <w:rPr>
          <w:rFonts w:ascii="Arial" w:hAnsi="Arial" w:cs="Arial"/>
          <w:i/>
          <w:iCs/>
          <w:sz w:val="22"/>
          <w:szCs w:val="22"/>
        </w:rPr>
        <w:t>”</w:t>
      </w:r>
    </w:p>
    <w:p w14:paraId="07A00B3B" w14:textId="77777777" w:rsidR="00643CE2" w:rsidRPr="00571279"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2"/>
          <w:szCs w:val="22"/>
        </w:rPr>
      </w:pPr>
    </w:p>
    <w:p w14:paraId="21DB96CD" w14:textId="77777777" w:rsidR="00643CE2" w:rsidRPr="00571279" w:rsidRDefault="00643CE2"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2"/>
          <w:szCs w:val="22"/>
        </w:rPr>
      </w:pPr>
      <w:r w:rsidRPr="00571279">
        <w:rPr>
          <w:rFonts w:ascii="Arial" w:hAnsi="Arial" w:cs="Arial"/>
          <w:sz w:val="22"/>
          <w:szCs w:val="22"/>
        </w:rPr>
        <w:t xml:space="preserve">De acuerdo con Ranking de Desempeño fiscal (DNP) que define la Dirección de Descentralización y Desarrollo Regional para la vigencia 2019, el Departamento de Vaupés ocupa el puesto 30 como resultado de un Indicador de Desempeño Fiscal de 49,29. </w:t>
      </w:r>
    </w:p>
    <w:p w14:paraId="05547464" w14:textId="77777777" w:rsidR="006F4E8F" w:rsidRPr="00571279" w:rsidRDefault="006F4E8F" w:rsidP="00643C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2"/>
          <w:szCs w:val="22"/>
          <w:highlight w:val="yellow"/>
        </w:rPr>
      </w:pPr>
    </w:p>
    <w:p w14:paraId="1401C891" w14:textId="77777777" w:rsidR="00643CE2" w:rsidRPr="0044100E" w:rsidRDefault="00643CE2" w:rsidP="00643CE2">
      <w:pPr>
        <w:jc w:val="both"/>
        <w:rPr>
          <w:rFonts w:ascii="Arial" w:eastAsia="Calibri" w:hAnsi="Arial" w:cs="Arial"/>
          <w:b/>
          <w:sz w:val="22"/>
          <w:szCs w:val="22"/>
          <w:lang w:eastAsia="en-US"/>
        </w:rPr>
      </w:pPr>
      <w:r w:rsidRPr="0044100E">
        <w:rPr>
          <w:rFonts w:ascii="Arial" w:eastAsia="Calibri" w:hAnsi="Arial" w:cs="Arial"/>
          <w:b/>
          <w:sz w:val="22"/>
          <w:szCs w:val="22"/>
          <w:lang w:eastAsia="en-US"/>
        </w:rPr>
        <w:t xml:space="preserve">III. PROBLEMÁTICA </w:t>
      </w:r>
    </w:p>
    <w:p w14:paraId="23782AE9" w14:textId="77777777" w:rsidR="00643CE2" w:rsidRPr="0044100E" w:rsidRDefault="00643CE2" w:rsidP="00643CE2">
      <w:pPr>
        <w:jc w:val="both"/>
        <w:rPr>
          <w:rFonts w:ascii="Arial" w:eastAsia="Calibri" w:hAnsi="Arial" w:cs="Arial"/>
          <w:b/>
          <w:sz w:val="22"/>
          <w:szCs w:val="22"/>
          <w:lang w:eastAsia="en-US"/>
        </w:rPr>
      </w:pPr>
    </w:p>
    <w:p w14:paraId="5412E404" w14:textId="77777777" w:rsidR="00643CE2" w:rsidRPr="0044100E" w:rsidRDefault="00643CE2" w:rsidP="00643CE2">
      <w:pPr>
        <w:jc w:val="both"/>
        <w:rPr>
          <w:rFonts w:ascii="Arial" w:eastAsia="Calibri" w:hAnsi="Arial" w:cs="Arial"/>
          <w:sz w:val="22"/>
          <w:szCs w:val="22"/>
          <w:lang w:eastAsia="en-US"/>
        </w:rPr>
      </w:pPr>
      <w:r w:rsidRPr="0044100E">
        <w:rPr>
          <w:rFonts w:ascii="Arial" w:eastAsia="Calibri" w:hAnsi="Arial" w:cs="Arial"/>
          <w:sz w:val="22"/>
          <w:szCs w:val="22"/>
          <w:lang w:eastAsia="en-US"/>
        </w:rPr>
        <w:t>A continuación, se presenta la evaluación al sector salud desde al ámbito del Fondo Local de Salud y su desarrollo individual por componentes (incluido un análisis jurídico), identificando según corresponda, problemáticas asociadas.</w:t>
      </w:r>
    </w:p>
    <w:p w14:paraId="73C25035" w14:textId="77777777" w:rsidR="00643CE2" w:rsidRPr="0044100E" w:rsidRDefault="00643CE2" w:rsidP="00643CE2">
      <w:pPr>
        <w:jc w:val="both"/>
        <w:rPr>
          <w:rFonts w:ascii="Arial" w:hAnsi="Arial" w:cs="Arial"/>
          <w:b/>
          <w:i/>
          <w:sz w:val="22"/>
          <w:szCs w:val="22"/>
          <w:u w:val="single"/>
        </w:rPr>
      </w:pPr>
    </w:p>
    <w:p w14:paraId="008BEA88" w14:textId="77777777" w:rsidR="00643CE2" w:rsidRPr="0044100E" w:rsidRDefault="00643CE2" w:rsidP="00643CE2">
      <w:pPr>
        <w:jc w:val="both"/>
        <w:rPr>
          <w:rFonts w:ascii="Arial" w:hAnsi="Arial" w:cs="Arial"/>
          <w:b/>
          <w:sz w:val="22"/>
          <w:szCs w:val="22"/>
        </w:rPr>
      </w:pPr>
      <w:r w:rsidRPr="0044100E">
        <w:rPr>
          <w:rFonts w:ascii="Arial" w:hAnsi="Arial" w:cs="Arial"/>
          <w:b/>
          <w:sz w:val="22"/>
          <w:szCs w:val="22"/>
        </w:rPr>
        <w:t>1. Fondo Local de Salud – FLS</w:t>
      </w:r>
    </w:p>
    <w:p w14:paraId="12B11ED4" w14:textId="77777777" w:rsidR="00643CE2" w:rsidRPr="0044100E" w:rsidRDefault="00643CE2" w:rsidP="00643CE2">
      <w:pPr>
        <w:pStyle w:val="Prrafodelista"/>
        <w:ind w:left="357"/>
        <w:jc w:val="both"/>
        <w:rPr>
          <w:rFonts w:ascii="Arial" w:hAnsi="Arial" w:cs="Arial"/>
        </w:rPr>
      </w:pPr>
    </w:p>
    <w:p w14:paraId="2FF86011" w14:textId="77777777" w:rsidR="00643CE2" w:rsidRPr="0044100E" w:rsidRDefault="00643CE2" w:rsidP="00643CE2">
      <w:pPr>
        <w:pStyle w:val="Prrafodelista"/>
        <w:numPr>
          <w:ilvl w:val="1"/>
          <w:numId w:val="22"/>
        </w:numPr>
        <w:jc w:val="both"/>
        <w:rPr>
          <w:rFonts w:ascii="Arial" w:hAnsi="Arial" w:cs="Arial"/>
          <w:b/>
          <w:sz w:val="22"/>
          <w:szCs w:val="22"/>
        </w:rPr>
      </w:pPr>
      <w:r w:rsidRPr="0044100E">
        <w:rPr>
          <w:rFonts w:ascii="Arial" w:hAnsi="Arial" w:cs="Arial"/>
          <w:b/>
          <w:sz w:val="22"/>
          <w:szCs w:val="22"/>
        </w:rPr>
        <w:t>Evaluación Presupuestal 2020 y a corte junio de 2021</w:t>
      </w:r>
    </w:p>
    <w:p w14:paraId="668A423B" w14:textId="77777777" w:rsidR="00643CE2" w:rsidRPr="0044100E" w:rsidRDefault="00643CE2" w:rsidP="00643CE2">
      <w:pPr>
        <w:jc w:val="both"/>
        <w:rPr>
          <w:rFonts w:ascii="Arial" w:hAnsi="Arial" w:cs="Arial"/>
          <w:b/>
          <w:sz w:val="22"/>
          <w:szCs w:val="22"/>
          <w:highlight w:val="yellow"/>
        </w:rPr>
      </w:pPr>
    </w:p>
    <w:p w14:paraId="7E2E967F" w14:textId="77A6769D" w:rsidR="00643CE2" w:rsidRPr="0044100E" w:rsidRDefault="00643CE2" w:rsidP="001846CC">
      <w:pPr>
        <w:jc w:val="both"/>
        <w:rPr>
          <w:rFonts w:ascii="Arial" w:hAnsi="Arial" w:cs="Arial"/>
          <w:sz w:val="22"/>
          <w:szCs w:val="22"/>
        </w:rPr>
      </w:pPr>
      <w:r w:rsidRPr="0044100E">
        <w:rPr>
          <w:rFonts w:ascii="Arial" w:hAnsi="Arial" w:cs="Arial"/>
          <w:sz w:val="22"/>
          <w:szCs w:val="22"/>
          <w:shd w:val="clear" w:color="auto" w:fill="FFFFFF" w:themeFill="background1"/>
        </w:rPr>
        <w:lastRenderedPageBreak/>
        <w:t xml:space="preserve">La </w:t>
      </w:r>
      <w:r w:rsidR="00571279">
        <w:rPr>
          <w:rFonts w:ascii="Arial" w:hAnsi="Arial" w:cs="Arial"/>
          <w:sz w:val="22"/>
          <w:szCs w:val="22"/>
          <w:shd w:val="clear" w:color="auto" w:fill="FFFFFF" w:themeFill="background1"/>
        </w:rPr>
        <w:t>E</w:t>
      </w:r>
      <w:r w:rsidRPr="0044100E">
        <w:rPr>
          <w:rFonts w:ascii="Arial" w:hAnsi="Arial" w:cs="Arial"/>
          <w:sz w:val="22"/>
          <w:szCs w:val="22"/>
          <w:shd w:val="clear" w:color="auto" w:fill="FFFFFF" w:themeFill="background1"/>
        </w:rPr>
        <w:t xml:space="preserve">ntidad </w:t>
      </w:r>
      <w:r w:rsidR="00571279">
        <w:rPr>
          <w:rFonts w:ascii="Arial" w:hAnsi="Arial" w:cs="Arial"/>
          <w:sz w:val="22"/>
          <w:szCs w:val="22"/>
          <w:shd w:val="clear" w:color="auto" w:fill="FFFFFF" w:themeFill="background1"/>
        </w:rPr>
        <w:t>T</w:t>
      </w:r>
      <w:r w:rsidRPr="0044100E">
        <w:rPr>
          <w:rFonts w:ascii="Arial" w:hAnsi="Arial" w:cs="Arial"/>
          <w:sz w:val="22"/>
          <w:szCs w:val="22"/>
          <w:shd w:val="clear" w:color="auto" w:fill="FFFFFF" w:themeFill="background1"/>
        </w:rPr>
        <w:t>erritorial aportó el acto administrativo (Ordenanza Nro. 010 del 2019) por medio del cual se constituyó el Fondo Local de Salud</w:t>
      </w:r>
      <w:r w:rsidR="00AF5950" w:rsidRPr="0044100E">
        <w:rPr>
          <w:rFonts w:ascii="Arial" w:hAnsi="Arial" w:cs="Arial"/>
          <w:sz w:val="22"/>
          <w:szCs w:val="22"/>
          <w:shd w:val="clear" w:color="auto" w:fill="FFFFFF" w:themeFill="background1"/>
        </w:rPr>
        <w:t>,</w:t>
      </w:r>
      <w:r w:rsidRPr="0044100E">
        <w:rPr>
          <w:rFonts w:ascii="Arial" w:hAnsi="Arial" w:cs="Arial"/>
          <w:sz w:val="22"/>
          <w:szCs w:val="22"/>
          <w:shd w:val="clear" w:color="auto" w:fill="FFFFFF" w:themeFill="background1"/>
        </w:rPr>
        <w:t xml:space="preserve"> el cual se encuentra ajustado a la normatividad vigente en materia presupuestal, contable y de tesorería.</w:t>
      </w:r>
      <w:r w:rsidRPr="0044100E">
        <w:rPr>
          <w:rFonts w:ascii="Arial" w:hAnsi="Arial" w:cs="Arial"/>
          <w:sz w:val="22"/>
          <w:szCs w:val="22"/>
        </w:rPr>
        <w:t xml:space="preserve"> De igual forma la </w:t>
      </w:r>
      <w:r w:rsidR="006F1BA4">
        <w:rPr>
          <w:rFonts w:ascii="Arial" w:hAnsi="Arial" w:cs="Arial"/>
          <w:sz w:val="22"/>
          <w:szCs w:val="22"/>
        </w:rPr>
        <w:t>E</w:t>
      </w:r>
      <w:r w:rsidRPr="0044100E">
        <w:rPr>
          <w:rFonts w:ascii="Arial" w:hAnsi="Arial" w:cs="Arial"/>
          <w:sz w:val="22"/>
          <w:szCs w:val="22"/>
        </w:rPr>
        <w:t xml:space="preserve">ntidad </w:t>
      </w:r>
      <w:r w:rsidR="006F1BA4">
        <w:rPr>
          <w:rFonts w:ascii="Arial" w:hAnsi="Arial" w:cs="Arial"/>
          <w:sz w:val="22"/>
          <w:szCs w:val="22"/>
        </w:rPr>
        <w:t>T</w:t>
      </w:r>
      <w:r w:rsidRPr="0044100E">
        <w:rPr>
          <w:rFonts w:ascii="Arial" w:hAnsi="Arial" w:cs="Arial"/>
          <w:sz w:val="22"/>
          <w:szCs w:val="22"/>
        </w:rPr>
        <w:t>erritorial aport</w:t>
      </w:r>
      <w:r w:rsidR="006F4E8F" w:rsidRPr="0044100E">
        <w:rPr>
          <w:rFonts w:ascii="Arial" w:hAnsi="Arial" w:cs="Arial"/>
          <w:sz w:val="22"/>
          <w:szCs w:val="22"/>
        </w:rPr>
        <w:t>ó</w:t>
      </w:r>
      <w:r w:rsidRPr="0044100E">
        <w:rPr>
          <w:rFonts w:ascii="Arial" w:hAnsi="Arial" w:cs="Arial"/>
          <w:sz w:val="22"/>
          <w:szCs w:val="22"/>
        </w:rPr>
        <w:t xml:space="preserve"> 2 </w:t>
      </w:r>
      <w:r w:rsidR="006F4E8F" w:rsidRPr="0044100E">
        <w:rPr>
          <w:rFonts w:ascii="Arial" w:hAnsi="Arial" w:cs="Arial"/>
          <w:sz w:val="22"/>
          <w:szCs w:val="22"/>
        </w:rPr>
        <w:t>Otrosí</w:t>
      </w:r>
      <w:r w:rsidRPr="0044100E">
        <w:rPr>
          <w:rFonts w:ascii="Arial" w:hAnsi="Arial" w:cs="Arial"/>
          <w:sz w:val="22"/>
          <w:szCs w:val="22"/>
        </w:rPr>
        <w:t xml:space="preserve"> a los con</w:t>
      </w:r>
      <w:r w:rsidR="00AF5950" w:rsidRPr="0044100E">
        <w:rPr>
          <w:rFonts w:ascii="Arial" w:hAnsi="Arial" w:cs="Arial"/>
          <w:sz w:val="22"/>
          <w:szCs w:val="22"/>
        </w:rPr>
        <w:t>venios</w:t>
      </w:r>
      <w:r w:rsidRPr="0044100E">
        <w:rPr>
          <w:rFonts w:ascii="Arial" w:hAnsi="Arial" w:cs="Arial"/>
          <w:sz w:val="22"/>
          <w:szCs w:val="22"/>
        </w:rPr>
        <w:t xml:space="preserve"> suscritos con las Entidades Bancarias, Banco Agrario y Banco Bogotá</w:t>
      </w:r>
      <w:r w:rsidR="006F4E8F" w:rsidRPr="0044100E">
        <w:rPr>
          <w:rFonts w:ascii="Arial" w:hAnsi="Arial" w:cs="Arial"/>
          <w:sz w:val="22"/>
          <w:szCs w:val="22"/>
        </w:rPr>
        <w:t xml:space="preserve">, </w:t>
      </w:r>
      <w:r w:rsidR="00BE7EFD" w:rsidRPr="0044100E">
        <w:rPr>
          <w:rFonts w:ascii="Arial" w:hAnsi="Arial" w:cs="Arial"/>
          <w:sz w:val="22"/>
          <w:szCs w:val="22"/>
        </w:rPr>
        <w:t>frente a los cuales no es posible establecer si las condiciones de operación de los recursos</w:t>
      </w:r>
      <w:r w:rsidR="00F84806">
        <w:rPr>
          <w:rFonts w:ascii="Arial" w:hAnsi="Arial" w:cs="Arial"/>
          <w:sz w:val="22"/>
          <w:szCs w:val="22"/>
        </w:rPr>
        <w:t xml:space="preserve"> </w:t>
      </w:r>
      <w:r w:rsidR="001846CC" w:rsidRPr="0044100E">
        <w:rPr>
          <w:rFonts w:ascii="Arial" w:hAnsi="Arial" w:cs="Arial"/>
          <w:sz w:val="22"/>
          <w:szCs w:val="22"/>
        </w:rPr>
        <w:t>cumplen con las disposiciones normativas vigentes, como el pago de intereses a una tasa comercialmente, la excepción a del Gravamen a Movimientos Financieros y sólo admitir trasferencias electrónicas.</w:t>
      </w:r>
      <w:r w:rsidR="009C7544">
        <w:rPr>
          <w:rFonts w:ascii="Arial" w:hAnsi="Arial" w:cs="Arial"/>
          <w:sz w:val="22"/>
          <w:szCs w:val="22"/>
        </w:rPr>
        <w:t xml:space="preserve"> </w:t>
      </w:r>
    </w:p>
    <w:p w14:paraId="474DD94F" w14:textId="77777777" w:rsidR="001846CC" w:rsidRPr="0044100E" w:rsidRDefault="001846CC" w:rsidP="001846CC">
      <w:pPr>
        <w:jc w:val="both"/>
        <w:rPr>
          <w:rFonts w:ascii="Arial" w:hAnsi="Arial" w:cs="Arial"/>
          <w:sz w:val="22"/>
          <w:szCs w:val="22"/>
          <w:highlight w:val="yellow"/>
        </w:rPr>
      </w:pPr>
    </w:p>
    <w:p w14:paraId="38866AB4" w14:textId="17518789" w:rsidR="001F19FD" w:rsidRPr="0044100E" w:rsidRDefault="001846CC" w:rsidP="001F19FD">
      <w:pPr>
        <w:jc w:val="both"/>
        <w:rPr>
          <w:rFonts w:ascii="Arial" w:hAnsi="Arial" w:cs="Arial"/>
          <w:sz w:val="22"/>
          <w:szCs w:val="22"/>
        </w:rPr>
      </w:pPr>
      <w:r w:rsidRPr="0044100E">
        <w:rPr>
          <w:rFonts w:ascii="Arial" w:hAnsi="Arial" w:cs="Arial"/>
          <w:sz w:val="22"/>
          <w:szCs w:val="22"/>
        </w:rPr>
        <w:t>De otro lado, l</w:t>
      </w:r>
      <w:r w:rsidR="00643CE2" w:rsidRPr="0044100E">
        <w:rPr>
          <w:rFonts w:ascii="Arial" w:hAnsi="Arial" w:cs="Arial"/>
          <w:sz w:val="22"/>
          <w:szCs w:val="22"/>
        </w:rPr>
        <w:t xml:space="preserve">a </w:t>
      </w:r>
      <w:r w:rsidR="006F1BA4">
        <w:rPr>
          <w:rFonts w:ascii="Arial" w:hAnsi="Arial" w:cs="Arial"/>
          <w:sz w:val="22"/>
          <w:szCs w:val="22"/>
        </w:rPr>
        <w:t>E</w:t>
      </w:r>
      <w:r w:rsidR="00643CE2" w:rsidRPr="0044100E">
        <w:rPr>
          <w:rFonts w:ascii="Arial" w:hAnsi="Arial" w:cs="Arial"/>
          <w:sz w:val="22"/>
          <w:szCs w:val="22"/>
        </w:rPr>
        <w:t xml:space="preserve">ntidad Territorial </w:t>
      </w:r>
      <w:r w:rsidR="00620F85" w:rsidRPr="0044100E">
        <w:rPr>
          <w:rFonts w:ascii="Arial" w:hAnsi="Arial" w:cs="Arial"/>
          <w:sz w:val="22"/>
          <w:szCs w:val="22"/>
        </w:rPr>
        <w:t xml:space="preserve">no aportó la información solicitada relacionada con el </w:t>
      </w:r>
      <w:r w:rsidR="00643CE2" w:rsidRPr="0044100E">
        <w:rPr>
          <w:rFonts w:ascii="Arial" w:hAnsi="Arial" w:cs="Arial"/>
          <w:sz w:val="22"/>
          <w:szCs w:val="22"/>
        </w:rPr>
        <w:t xml:space="preserve">Acto Administrativo de Liquidación del Presupuesto, Vigencia anterior y actual. (2020 y 2021) y el Acto Administrativo de incorporación de los recursos del Balance Actos administrativos de constitución de reservas y cuentas por pagar, </w:t>
      </w:r>
      <w:r w:rsidR="00620F85" w:rsidRPr="0044100E">
        <w:rPr>
          <w:rFonts w:ascii="Arial" w:hAnsi="Arial" w:cs="Arial"/>
          <w:sz w:val="22"/>
          <w:szCs w:val="22"/>
        </w:rPr>
        <w:t>impidiendo profundizar el análisis.</w:t>
      </w:r>
      <w:r w:rsidR="00643CE2" w:rsidRPr="0044100E">
        <w:rPr>
          <w:rFonts w:ascii="Arial" w:hAnsi="Arial" w:cs="Arial"/>
          <w:sz w:val="22"/>
          <w:szCs w:val="22"/>
        </w:rPr>
        <w:t xml:space="preserve"> Por lo </w:t>
      </w:r>
      <w:r w:rsidR="00620F85" w:rsidRPr="0044100E">
        <w:rPr>
          <w:rFonts w:ascii="Arial" w:hAnsi="Arial" w:cs="Arial"/>
          <w:sz w:val="22"/>
          <w:szCs w:val="22"/>
        </w:rPr>
        <w:t xml:space="preserve">anterior, </w:t>
      </w:r>
      <w:r w:rsidR="00643CE2" w:rsidRPr="0044100E">
        <w:rPr>
          <w:rFonts w:ascii="Arial" w:hAnsi="Arial" w:cs="Arial"/>
          <w:sz w:val="22"/>
          <w:szCs w:val="22"/>
        </w:rPr>
        <w:t xml:space="preserve">en el marco del reconocimiento institucional </w:t>
      </w:r>
      <w:r w:rsidR="00620F85" w:rsidRPr="0044100E">
        <w:rPr>
          <w:rFonts w:ascii="Arial" w:hAnsi="Arial" w:cs="Arial"/>
          <w:sz w:val="22"/>
          <w:szCs w:val="22"/>
        </w:rPr>
        <w:t xml:space="preserve">que se efectué </w:t>
      </w:r>
      <w:r w:rsidR="00643CE2" w:rsidRPr="0044100E">
        <w:rPr>
          <w:rFonts w:ascii="Arial" w:hAnsi="Arial" w:cs="Arial"/>
          <w:sz w:val="22"/>
          <w:szCs w:val="22"/>
        </w:rPr>
        <w:t>se</w:t>
      </w:r>
      <w:r w:rsidR="00620F85" w:rsidRPr="0044100E">
        <w:rPr>
          <w:rFonts w:ascii="Arial" w:hAnsi="Arial" w:cs="Arial"/>
          <w:sz w:val="22"/>
          <w:szCs w:val="22"/>
        </w:rPr>
        <w:t xml:space="preserve"> requerirá</w:t>
      </w:r>
      <w:r w:rsidR="00F84806">
        <w:rPr>
          <w:rFonts w:ascii="Arial" w:hAnsi="Arial" w:cs="Arial"/>
          <w:sz w:val="22"/>
          <w:szCs w:val="22"/>
        </w:rPr>
        <w:t xml:space="preserve"> </w:t>
      </w:r>
      <w:r w:rsidR="00643CE2" w:rsidRPr="0044100E">
        <w:rPr>
          <w:rFonts w:ascii="Arial" w:hAnsi="Arial" w:cs="Arial"/>
          <w:sz w:val="22"/>
          <w:szCs w:val="22"/>
        </w:rPr>
        <w:t xml:space="preserve">nuevamente </w:t>
      </w:r>
      <w:r w:rsidR="00620F85" w:rsidRPr="0044100E">
        <w:rPr>
          <w:rFonts w:ascii="Arial" w:hAnsi="Arial" w:cs="Arial"/>
          <w:sz w:val="22"/>
          <w:szCs w:val="22"/>
        </w:rPr>
        <w:t xml:space="preserve">dicha información </w:t>
      </w:r>
      <w:r w:rsidR="00643CE2" w:rsidRPr="0044100E">
        <w:rPr>
          <w:rFonts w:ascii="Arial" w:hAnsi="Arial" w:cs="Arial"/>
          <w:sz w:val="22"/>
          <w:szCs w:val="22"/>
        </w:rPr>
        <w:t>con el propósito de</w:t>
      </w:r>
      <w:r w:rsidR="00F84806">
        <w:rPr>
          <w:rFonts w:ascii="Arial" w:hAnsi="Arial" w:cs="Arial"/>
          <w:sz w:val="22"/>
          <w:szCs w:val="22"/>
        </w:rPr>
        <w:t xml:space="preserve"> </w:t>
      </w:r>
      <w:r w:rsidRPr="0044100E">
        <w:rPr>
          <w:rFonts w:ascii="Arial" w:hAnsi="Arial" w:cs="Arial"/>
          <w:sz w:val="22"/>
          <w:szCs w:val="22"/>
        </w:rPr>
        <w:t>complementar el análisis y efectuar</w:t>
      </w:r>
      <w:r w:rsidR="00F84806">
        <w:rPr>
          <w:rFonts w:ascii="Arial" w:hAnsi="Arial" w:cs="Arial"/>
          <w:sz w:val="22"/>
          <w:szCs w:val="22"/>
        </w:rPr>
        <w:t xml:space="preserve"> </w:t>
      </w:r>
      <w:r w:rsidR="00620F85" w:rsidRPr="0044100E">
        <w:rPr>
          <w:rFonts w:ascii="Arial" w:hAnsi="Arial" w:cs="Arial"/>
          <w:sz w:val="22"/>
          <w:szCs w:val="22"/>
        </w:rPr>
        <w:t>las validaciones a que haya lugar.</w:t>
      </w:r>
    </w:p>
    <w:p w14:paraId="160562F6" w14:textId="7D797B91" w:rsidR="00643CE2" w:rsidRPr="0044100E" w:rsidRDefault="00620F85" w:rsidP="001F19FD">
      <w:pPr>
        <w:jc w:val="both"/>
        <w:rPr>
          <w:rFonts w:ascii="Arial" w:hAnsi="Arial" w:cs="Arial"/>
          <w:b/>
          <w:sz w:val="22"/>
          <w:szCs w:val="22"/>
        </w:rPr>
      </w:pPr>
      <w:r w:rsidRPr="0044100E">
        <w:rPr>
          <w:rFonts w:ascii="Arial" w:hAnsi="Arial" w:cs="Arial"/>
          <w:sz w:val="22"/>
          <w:szCs w:val="22"/>
        </w:rPr>
        <w:t xml:space="preserve"> </w:t>
      </w:r>
    </w:p>
    <w:p w14:paraId="67B23BB3" w14:textId="77777777" w:rsidR="00643CE2" w:rsidRPr="0044100E" w:rsidRDefault="00643CE2" w:rsidP="00643CE2">
      <w:pPr>
        <w:pStyle w:val="Prrafodelista"/>
        <w:numPr>
          <w:ilvl w:val="2"/>
          <w:numId w:val="22"/>
        </w:numPr>
        <w:jc w:val="both"/>
        <w:rPr>
          <w:rFonts w:ascii="Arial" w:hAnsi="Arial" w:cs="Arial"/>
          <w:b/>
          <w:sz w:val="22"/>
          <w:szCs w:val="22"/>
        </w:rPr>
      </w:pPr>
      <w:r w:rsidRPr="0044100E">
        <w:rPr>
          <w:rFonts w:ascii="Arial" w:eastAsia="Times New Roman" w:hAnsi="Arial" w:cs="Arial"/>
          <w:b/>
          <w:sz w:val="22"/>
          <w:szCs w:val="22"/>
        </w:rPr>
        <w:t>Ingresos</w:t>
      </w:r>
    </w:p>
    <w:p w14:paraId="3BA9350B" w14:textId="77777777" w:rsidR="00643CE2" w:rsidRPr="0044100E" w:rsidRDefault="00643CE2" w:rsidP="00643CE2">
      <w:pPr>
        <w:jc w:val="both"/>
        <w:rPr>
          <w:rFonts w:ascii="Arial" w:eastAsia="Times New Roman" w:hAnsi="Arial" w:cs="Arial"/>
          <w:sz w:val="22"/>
          <w:szCs w:val="22"/>
          <w:highlight w:val="yellow"/>
        </w:rPr>
      </w:pPr>
    </w:p>
    <w:p w14:paraId="6564B9DD" w14:textId="77777777" w:rsidR="00643CE2" w:rsidRPr="0044100E" w:rsidRDefault="00643CE2" w:rsidP="00643CE2">
      <w:pPr>
        <w:jc w:val="both"/>
        <w:rPr>
          <w:rFonts w:ascii="Arial" w:hAnsi="Arial" w:cs="Arial"/>
          <w:sz w:val="22"/>
          <w:szCs w:val="22"/>
        </w:rPr>
      </w:pPr>
      <w:r w:rsidRPr="0044100E">
        <w:rPr>
          <w:rFonts w:ascii="Arial" w:hAnsi="Arial" w:cs="Arial"/>
          <w:sz w:val="22"/>
          <w:szCs w:val="22"/>
        </w:rPr>
        <w:t>De acuerdo con la ejecución presupuestal de ingresos del FLS presentada por la Entidad en el FUT al cierre 2020 y corte junio de 2021, los resultados son los siguientes:</w:t>
      </w:r>
    </w:p>
    <w:tbl>
      <w:tblPr>
        <w:tblpPr w:leftFromText="141" w:rightFromText="141" w:vertAnchor="text" w:horzAnchor="page" w:tblpX="1101" w:tblpY="187"/>
        <w:tblW w:w="5533" w:type="pct"/>
        <w:tblCellMar>
          <w:left w:w="70" w:type="dxa"/>
          <w:right w:w="70" w:type="dxa"/>
        </w:tblCellMar>
        <w:tblLook w:val="04A0" w:firstRow="1" w:lastRow="0" w:firstColumn="1" w:lastColumn="0" w:noHBand="0" w:noVBand="1"/>
      </w:tblPr>
      <w:tblGrid>
        <w:gridCol w:w="2790"/>
        <w:gridCol w:w="987"/>
        <w:gridCol w:w="967"/>
        <w:gridCol w:w="910"/>
        <w:gridCol w:w="971"/>
        <w:gridCol w:w="988"/>
        <w:gridCol w:w="838"/>
        <w:gridCol w:w="550"/>
        <w:gridCol w:w="779"/>
      </w:tblGrid>
      <w:tr w:rsidR="00643CE2" w:rsidRPr="0044100E" w14:paraId="3FB098EE" w14:textId="77777777" w:rsidTr="00643CE2">
        <w:trPr>
          <w:trHeight w:val="247"/>
        </w:trPr>
        <w:tc>
          <w:tcPr>
            <w:tcW w:w="1198" w:type="pct"/>
            <w:noWrap/>
            <w:vAlign w:val="center"/>
            <w:hideMark/>
          </w:tcPr>
          <w:p w14:paraId="643B4F70"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Cifras en Millones de $</w:t>
            </w:r>
          </w:p>
        </w:tc>
        <w:tc>
          <w:tcPr>
            <w:tcW w:w="541" w:type="pct"/>
            <w:noWrap/>
            <w:vAlign w:val="center"/>
            <w:hideMark/>
          </w:tcPr>
          <w:p w14:paraId="52637B11" w14:textId="77777777" w:rsidR="00643CE2" w:rsidRPr="0044100E" w:rsidRDefault="00643CE2">
            <w:pPr>
              <w:rPr>
                <w:rFonts w:ascii="Arial" w:eastAsia="Times New Roman" w:hAnsi="Arial" w:cs="Arial"/>
                <w:color w:val="000000"/>
                <w:sz w:val="18"/>
                <w:szCs w:val="18"/>
                <w:lang w:val="es-CO" w:eastAsia="es-CO"/>
              </w:rPr>
            </w:pPr>
          </w:p>
        </w:tc>
        <w:tc>
          <w:tcPr>
            <w:tcW w:w="530" w:type="pct"/>
            <w:noWrap/>
            <w:vAlign w:val="center"/>
            <w:hideMark/>
          </w:tcPr>
          <w:p w14:paraId="4D750CEC" w14:textId="77777777" w:rsidR="00643CE2" w:rsidRPr="0044100E" w:rsidRDefault="00643CE2">
            <w:pPr>
              <w:rPr>
                <w:rFonts w:ascii="Arial" w:eastAsiaTheme="minorHAnsi" w:hAnsi="Arial" w:cs="Arial"/>
                <w:sz w:val="20"/>
                <w:szCs w:val="20"/>
                <w:lang w:val="es-CO" w:eastAsia="es-CO"/>
              </w:rPr>
            </w:pPr>
          </w:p>
        </w:tc>
        <w:tc>
          <w:tcPr>
            <w:tcW w:w="501" w:type="pct"/>
            <w:noWrap/>
            <w:vAlign w:val="center"/>
            <w:hideMark/>
          </w:tcPr>
          <w:p w14:paraId="1E7D9A18" w14:textId="77777777" w:rsidR="00643CE2" w:rsidRPr="0044100E" w:rsidRDefault="00643CE2">
            <w:pPr>
              <w:rPr>
                <w:rFonts w:ascii="Arial" w:eastAsiaTheme="minorHAnsi" w:hAnsi="Arial" w:cs="Arial"/>
                <w:sz w:val="20"/>
                <w:szCs w:val="20"/>
                <w:lang w:val="es-CO" w:eastAsia="es-CO"/>
              </w:rPr>
            </w:pPr>
          </w:p>
        </w:tc>
        <w:tc>
          <w:tcPr>
            <w:tcW w:w="532" w:type="pct"/>
            <w:noWrap/>
            <w:vAlign w:val="center"/>
            <w:hideMark/>
          </w:tcPr>
          <w:p w14:paraId="538D54D2" w14:textId="77777777" w:rsidR="00643CE2" w:rsidRPr="0044100E" w:rsidRDefault="00643CE2">
            <w:pPr>
              <w:rPr>
                <w:rFonts w:ascii="Arial" w:eastAsiaTheme="minorHAnsi" w:hAnsi="Arial" w:cs="Arial"/>
                <w:sz w:val="20"/>
                <w:szCs w:val="20"/>
                <w:lang w:val="es-CO" w:eastAsia="es-CO"/>
              </w:rPr>
            </w:pPr>
          </w:p>
        </w:tc>
        <w:tc>
          <w:tcPr>
            <w:tcW w:w="541" w:type="pct"/>
            <w:noWrap/>
            <w:vAlign w:val="center"/>
            <w:hideMark/>
          </w:tcPr>
          <w:p w14:paraId="6FFBEEC7" w14:textId="77777777" w:rsidR="00643CE2" w:rsidRPr="0044100E" w:rsidRDefault="00643CE2">
            <w:pPr>
              <w:rPr>
                <w:rFonts w:ascii="Arial" w:eastAsiaTheme="minorHAnsi" w:hAnsi="Arial" w:cs="Arial"/>
                <w:sz w:val="20"/>
                <w:szCs w:val="20"/>
                <w:lang w:val="es-CO" w:eastAsia="es-CO"/>
              </w:rPr>
            </w:pPr>
          </w:p>
        </w:tc>
        <w:tc>
          <w:tcPr>
            <w:tcW w:w="464" w:type="pct"/>
            <w:noWrap/>
            <w:vAlign w:val="center"/>
            <w:hideMark/>
          </w:tcPr>
          <w:p w14:paraId="2F04371D" w14:textId="77777777" w:rsidR="00643CE2" w:rsidRPr="0044100E" w:rsidRDefault="00643CE2">
            <w:pPr>
              <w:rPr>
                <w:rFonts w:ascii="Arial" w:eastAsiaTheme="minorHAnsi" w:hAnsi="Arial" w:cs="Arial"/>
                <w:sz w:val="20"/>
                <w:szCs w:val="20"/>
                <w:lang w:val="es-CO" w:eastAsia="es-CO"/>
              </w:rPr>
            </w:pPr>
          </w:p>
        </w:tc>
        <w:tc>
          <w:tcPr>
            <w:tcW w:w="259" w:type="pct"/>
            <w:noWrap/>
            <w:vAlign w:val="center"/>
            <w:hideMark/>
          </w:tcPr>
          <w:p w14:paraId="4FC31FE3" w14:textId="77777777" w:rsidR="00643CE2" w:rsidRPr="0044100E" w:rsidRDefault="00643CE2">
            <w:pPr>
              <w:rPr>
                <w:rFonts w:ascii="Arial" w:eastAsiaTheme="minorHAnsi" w:hAnsi="Arial" w:cs="Arial"/>
                <w:sz w:val="20"/>
                <w:szCs w:val="20"/>
                <w:lang w:val="es-CO" w:eastAsia="es-CO"/>
              </w:rPr>
            </w:pPr>
          </w:p>
        </w:tc>
        <w:tc>
          <w:tcPr>
            <w:tcW w:w="434" w:type="pct"/>
            <w:noWrap/>
            <w:vAlign w:val="center"/>
            <w:hideMark/>
          </w:tcPr>
          <w:p w14:paraId="0BAB24D4" w14:textId="77777777" w:rsidR="00643CE2" w:rsidRPr="0044100E" w:rsidRDefault="00643CE2">
            <w:pPr>
              <w:rPr>
                <w:rFonts w:ascii="Arial" w:eastAsiaTheme="minorHAnsi" w:hAnsi="Arial" w:cs="Arial"/>
                <w:sz w:val="20"/>
                <w:szCs w:val="20"/>
                <w:lang w:val="es-CO" w:eastAsia="es-CO"/>
              </w:rPr>
            </w:pPr>
          </w:p>
        </w:tc>
      </w:tr>
      <w:tr w:rsidR="00643CE2" w:rsidRPr="0044100E" w14:paraId="7CB47448" w14:textId="77777777" w:rsidTr="00643CE2">
        <w:trPr>
          <w:trHeight w:val="205"/>
        </w:trPr>
        <w:tc>
          <w:tcPr>
            <w:tcW w:w="1198" w:type="pct"/>
            <w:vMerge w:val="restart"/>
            <w:tcBorders>
              <w:top w:val="single" w:sz="8" w:space="0" w:color="808080"/>
              <w:left w:val="nil"/>
              <w:bottom w:val="single" w:sz="8" w:space="0" w:color="808080"/>
              <w:right w:val="nil"/>
            </w:tcBorders>
            <w:shd w:val="clear" w:color="auto" w:fill="D9D9D9"/>
            <w:noWrap/>
            <w:vAlign w:val="center"/>
            <w:hideMark/>
          </w:tcPr>
          <w:p w14:paraId="74E7B9F9" w14:textId="77777777" w:rsidR="00643CE2" w:rsidRPr="0044100E" w:rsidRDefault="00643CE2">
            <w:pPr>
              <w:jc w:val="center"/>
              <w:rPr>
                <w:rFonts w:ascii="Arial" w:eastAsia="Times New Roman" w:hAnsi="Arial" w:cs="Arial"/>
                <w:b/>
                <w:bCs/>
                <w:color w:val="000000"/>
                <w:sz w:val="18"/>
                <w:szCs w:val="18"/>
                <w:lang w:val="es-CO" w:eastAsia="es-CO"/>
              </w:rPr>
            </w:pPr>
            <w:r w:rsidRPr="0044100E">
              <w:rPr>
                <w:rFonts w:ascii="Arial" w:eastAsia="Times New Roman" w:hAnsi="Arial" w:cs="Arial"/>
                <w:b/>
                <w:bCs/>
                <w:color w:val="000000"/>
                <w:sz w:val="18"/>
                <w:szCs w:val="18"/>
                <w:lang w:val="es-CO" w:eastAsia="es-CO"/>
              </w:rPr>
              <w:t>CONCEPTO</w:t>
            </w:r>
          </w:p>
        </w:tc>
        <w:tc>
          <w:tcPr>
            <w:tcW w:w="1071" w:type="pct"/>
            <w:gridSpan w:val="2"/>
            <w:tcBorders>
              <w:top w:val="single" w:sz="8" w:space="0" w:color="808080"/>
              <w:left w:val="nil"/>
              <w:bottom w:val="nil"/>
              <w:right w:val="nil"/>
            </w:tcBorders>
            <w:shd w:val="clear" w:color="auto" w:fill="D9D9D9"/>
            <w:vAlign w:val="center"/>
            <w:hideMark/>
          </w:tcPr>
          <w:p w14:paraId="78D68BA7"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 xml:space="preserve">Presupuesto </w:t>
            </w:r>
          </w:p>
        </w:tc>
        <w:tc>
          <w:tcPr>
            <w:tcW w:w="1033" w:type="pct"/>
            <w:gridSpan w:val="2"/>
            <w:vMerge w:val="restart"/>
            <w:tcBorders>
              <w:top w:val="single" w:sz="8" w:space="0" w:color="808080"/>
              <w:left w:val="nil"/>
              <w:bottom w:val="nil"/>
              <w:right w:val="nil"/>
            </w:tcBorders>
            <w:shd w:val="clear" w:color="auto" w:fill="D9D9D9"/>
            <w:vAlign w:val="center"/>
            <w:hideMark/>
          </w:tcPr>
          <w:p w14:paraId="59B86BCB"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Presupuesto Definitivo</w:t>
            </w:r>
          </w:p>
        </w:tc>
        <w:tc>
          <w:tcPr>
            <w:tcW w:w="1004" w:type="pct"/>
            <w:gridSpan w:val="2"/>
            <w:vMerge w:val="restart"/>
            <w:tcBorders>
              <w:top w:val="single" w:sz="8" w:space="0" w:color="808080"/>
              <w:left w:val="nil"/>
              <w:bottom w:val="nil"/>
              <w:right w:val="nil"/>
            </w:tcBorders>
            <w:shd w:val="clear" w:color="auto" w:fill="D9D9D9"/>
            <w:vAlign w:val="center"/>
            <w:hideMark/>
          </w:tcPr>
          <w:p w14:paraId="130C3AC4"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Recaudo</w:t>
            </w:r>
          </w:p>
        </w:tc>
        <w:tc>
          <w:tcPr>
            <w:tcW w:w="693" w:type="pct"/>
            <w:gridSpan w:val="2"/>
            <w:vMerge w:val="restart"/>
            <w:tcBorders>
              <w:top w:val="single" w:sz="8" w:space="0" w:color="808080"/>
              <w:left w:val="nil"/>
              <w:bottom w:val="nil"/>
              <w:right w:val="nil"/>
            </w:tcBorders>
            <w:shd w:val="clear" w:color="auto" w:fill="D9D9D9"/>
            <w:vAlign w:val="center"/>
            <w:hideMark/>
          </w:tcPr>
          <w:p w14:paraId="573739E2"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 Ejecución</w:t>
            </w:r>
          </w:p>
        </w:tc>
      </w:tr>
      <w:tr w:rsidR="00643CE2" w:rsidRPr="0044100E" w14:paraId="351C0AEB" w14:textId="77777777" w:rsidTr="00643CE2">
        <w:trPr>
          <w:trHeight w:val="205"/>
        </w:trPr>
        <w:tc>
          <w:tcPr>
            <w:tcW w:w="0" w:type="auto"/>
            <w:vMerge/>
            <w:tcBorders>
              <w:top w:val="single" w:sz="8" w:space="0" w:color="808080"/>
              <w:left w:val="nil"/>
              <w:bottom w:val="single" w:sz="8" w:space="0" w:color="808080"/>
              <w:right w:val="nil"/>
            </w:tcBorders>
            <w:vAlign w:val="center"/>
            <w:hideMark/>
          </w:tcPr>
          <w:p w14:paraId="31DDDE8D" w14:textId="77777777" w:rsidR="00643CE2" w:rsidRPr="0044100E" w:rsidRDefault="00643CE2">
            <w:pPr>
              <w:rPr>
                <w:rFonts w:ascii="Arial" w:eastAsia="Times New Roman" w:hAnsi="Arial" w:cs="Arial"/>
                <w:b/>
                <w:bCs/>
                <w:color w:val="000000"/>
                <w:sz w:val="18"/>
                <w:szCs w:val="18"/>
                <w:lang w:val="es-CO" w:eastAsia="es-CO"/>
              </w:rPr>
            </w:pPr>
          </w:p>
        </w:tc>
        <w:tc>
          <w:tcPr>
            <w:tcW w:w="1071" w:type="pct"/>
            <w:gridSpan w:val="2"/>
            <w:shd w:val="clear" w:color="auto" w:fill="D9D9D9"/>
            <w:vAlign w:val="center"/>
            <w:hideMark/>
          </w:tcPr>
          <w:p w14:paraId="27AF8C62"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Inicial</w:t>
            </w:r>
          </w:p>
        </w:tc>
        <w:tc>
          <w:tcPr>
            <w:tcW w:w="0" w:type="auto"/>
            <w:gridSpan w:val="2"/>
            <w:vMerge/>
            <w:tcBorders>
              <w:top w:val="single" w:sz="8" w:space="0" w:color="808080"/>
              <w:left w:val="nil"/>
              <w:bottom w:val="nil"/>
              <w:right w:val="nil"/>
            </w:tcBorders>
            <w:vAlign w:val="center"/>
            <w:hideMark/>
          </w:tcPr>
          <w:p w14:paraId="14A9582E" w14:textId="77777777" w:rsidR="00643CE2" w:rsidRPr="0044100E" w:rsidRDefault="00643CE2">
            <w:pPr>
              <w:rPr>
                <w:rFonts w:ascii="Arial" w:eastAsia="Times New Roman" w:hAnsi="Arial" w:cs="Arial"/>
                <w:b/>
                <w:bCs/>
                <w:sz w:val="18"/>
                <w:szCs w:val="18"/>
                <w:lang w:val="es-CO" w:eastAsia="es-CO"/>
              </w:rPr>
            </w:pPr>
          </w:p>
        </w:tc>
        <w:tc>
          <w:tcPr>
            <w:tcW w:w="0" w:type="auto"/>
            <w:gridSpan w:val="2"/>
            <w:vMerge/>
            <w:tcBorders>
              <w:top w:val="single" w:sz="8" w:space="0" w:color="808080"/>
              <w:left w:val="nil"/>
              <w:bottom w:val="nil"/>
              <w:right w:val="nil"/>
            </w:tcBorders>
            <w:vAlign w:val="center"/>
            <w:hideMark/>
          </w:tcPr>
          <w:p w14:paraId="3FA8A89D" w14:textId="77777777" w:rsidR="00643CE2" w:rsidRPr="0044100E" w:rsidRDefault="00643CE2">
            <w:pPr>
              <w:rPr>
                <w:rFonts w:ascii="Arial" w:eastAsia="Times New Roman" w:hAnsi="Arial" w:cs="Arial"/>
                <w:b/>
                <w:bCs/>
                <w:sz w:val="18"/>
                <w:szCs w:val="18"/>
                <w:lang w:val="es-CO" w:eastAsia="es-CO"/>
              </w:rPr>
            </w:pPr>
          </w:p>
        </w:tc>
        <w:tc>
          <w:tcPr>
            <w:tcW w:w="0" w:type="auto"/>
            <w:gridSpan w:val="2"/>
            <w:vMerge/>
            <w:tcBorders>
              <w:top w:val="single" w:sz="8" w:space="0" w:color="808080"/>
              <w:left w:val="nil"/>
              <w:bottom w:val="nil"/>
              <w:right w:val="nil"/>
            </w:tcBorders>
            <w:vAlign w:val="center"/>
            <w:hideMark/>
          </w:tcPr>
          <w:p w14:paraId="445968F3" w14:textId="77777777" w:rsidR="00643CE2" w:rsidRPr="0044100E" w:rsidRDefault="00643CE2">
            <w:pPr>
              <w:rPr>
                <w:rFonts w:ascii="Arial" w:eastAsia="Times New Roman" w:hAnsi="Arial" w:cs="Arial"/>
                <w:b/>
                <w:bCs/>
                <w:sz w:val="18"/>
                <w:szCs w:val="18"/>
                <w:lang w:val="es-CO" w:eastAsia="es-CO"/>
              </w:rPr>
            </w:pPr>
          </w:p>
        </w:tc>
      </w:tr>
      <w:tr w:rsidR="00643CE2" w:rsidRPr="0044100E" w14:paraId="4443D019" w14:textId="77777777" w:rsidTr="00643CE2">
        <w:trPr>
          <w:trHeight w:val="205"/>
        </w:trPr>
        <w:tc>
          <w:tcPr>
            <w:tcW w:w="0" w:type="auto"/>
            <w:vMerge/>
            <w:tcBorders>
              <w:top w:val="single" w:sz="8" w:space="0" w:color="808080"/>
              <w:left w:val="nil"/>
              <w:bottom w:val="single" w:sz="8" w:space="0" w:color="808080"/>
              <w:right w:val="nil"/>
            </w:tcBorders>
            <w:vAlign w:val="center"/>
            <w:hideMark/>
          </w:tcPr>
          <w:p w14:paraId="0FDBAEA5" w14:textId="77777777" w:rsidR="00643CE2" w:rsidRPr="0044100E" w:rsidRDefault="00643CE2">
            <w:pPr>
              <w:rPr>
                <w:rFonts w:ascii="Arial" w:eastAsia="Times New Roman" w:hAnsi="Arial" w:cs="Arial"/>
                <w:b/>
                <w:bCs/>
                <w:color w:val="000000"/>
                <w:sz w:val="18"/>
                <w:szCs w:val="18"/>
                <w:lang w:val="es-CO" w:eastAsia="es-CO"/>
              </w:rPr>
            </w:pPr>
          </w:p>
        </w:tc>
        <w:tc>
          <w:tcPr>
            <w:tcW w:w="541" w:type="pct"/>
            <w:vMerge w:val="restart"/>
            <w:tcBorders>
              <w:top w:val="nil"/>
              <w:left w:val="nil"/>
              <w:bottom w:val="single" w:sz="8" w:space="0" w:color="808080"/>
              <w:right w:val="nil"/>
            </w:tcBorders>
            <w:shd w:val="clear" w:color="auto" w:fill="D9D9D9"/>
            <w:vAlign w:val="center"/>
            <w:hideMark/>
          </w:tcPr>
          <w:p w14:paraId="79C7982D"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2020</w:t>
            </w:r>
          </w:p>
        </w:tc>
        <w:tc>
          <w:tcPr>
            <w:tcW w:w="530" w:type="pct"/>
            <w:shd w:val="clear" w:color="auto" w:fill="D9D9D9"/>
            <w:vAlign w:val="center"/>
            <w:hideMark/>
          </w:tcPr>
          <w:p w14:paraId="7925E4F0"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 xml:space="preserve">junio </w:t>
            </w:r>
          </w:p>
        </w:tc>
        <w:tc>
          <w:tcPr>
            <w:tcW w:w="501" w:type="pct"/>
            <w:vMerge w:val="restart"/>
            <w:tcBorders>
              <w:top w:val="nil"/>
              <w:left w:val="nil"/>
              <w:bottom w:val="single" w:sz="8" w:space="0" w:color="808080"/>
              <w:right w:val="nil"/>
            </w:tcBorders>
            <w:shd w:val="clear" w:color="auto" w:fill="D9D9D9"/>
            <w:vAlign w:val="center"/>
            <w:hideMark/>
          </w:tcPr>
          <w:p w14:paraId="3DCCCF49"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2020</w:t>
            </w:r>
          </w:p>
        </w:tc>
        <w:tc>
          <w:tcPr>
            <w:tcW w:w="532" w:type="pct"/>
            <w:shd w:val="clear" w:color="auto" w:fill="D9D9D9"/>
            <w:vAlign w:val="center"/>
            <w:hideMark/>
          </w:tcPr>
          <w:p w14:paraId="75390659"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 xml:space="preserve">junio </w:t>
            </w:r>
          </w:p>
        </w:tc>
        <w:tc>
          <w:tcPr>
            <w:tcW w:w="541" w:type="pct"/>
            <w:vMerge w:val="restart"/>
            <w:tcBorders>
              <w:top w:val="nil"/>
              <w:left w:val="nil"/>
              <w:bottom w:val="single" w:sz="8" w:space="0" w:color="808080"/>
              <w:right w:val="nil"/>
            </w:tcBorders>
            <w:shd w:val="clear" w:color="auto" w:fill="D9D9D9"/>
            <w:vAlign w:val="center"/>
            <w:hideMark/>
          </w:tcPr>
          <w:p w14:paraId="27B57494"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2020</w:t>
            </w:r>
          </w:p>
        </w:tc>
        <w:tc>
          <w:tcPr>
            <w:tcW w:w="464" w:type="pct"/>
            <w:shd w:val="clear" w:color="auto" w:fill="D9D9D9"/>
            <w:vAlign w:val="center"/>
            <w:hideMark/>
          </w:tcPr>
          <w:p w14:paraId="77460922"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 xml:space="preserve">junio </w:t>
            </w:r>
          </w:p>
        </w:tc>
        <w:tc>
          <w:tcPr>
            <w:tcW w:w="259" w:type="pct"/>
            <w:vMerge w:val="restart"/>
            <w:tcBorders>
              <w:top w:val="nil"/>
              <w:left w:val="nil"/>
              <w:bottom w:val="single" w:sz="8" w:space="0" w:color="808080"/>
              <w:right w:val="nil"/>
            </w:tcBorders>
            <w:shd w:val="clear" w:color="auto" w:fill="D9D9D9"/>
            <w:vAlign w:val="center"/>
            <w:hideMark/>
          </w:tcPr>
          <w:p w14:paraId="54D96678"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2020</w:t>
            </w:r>
          </w:p>
        </w:tc>
        <w:tc>
          <w:tcPr>
            <w:tcW w:w="434" w:type="pct"/>
            <w:shd w:val="clear" w:color="auto" w:fill="D9D9D9"/>
            <w:vAlign w:val="center"/>
            <w:hideMark/>
          </w:tcPr>
          <w:p w14:paraId="333CF305"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 xml:space="preserve">junio </w:t>
            </w:r>
          </w:p>
        </w:tc>
      </w:tr>
      <w:tr w:rsidR="00643CE2" w:rsidRPr="0044100E" w14:paraId="6F261162" w14:textId="77777777" w:rsidTr="00643CE2">
        <w:trPr>
          <w:trHeight w:val="214"/>
        </w:trPr>
        <w:tc>
          <w:tcPr>
            <w:tcW w:w="0" w:type="auto"/>
            <w:vMerge/>
            <w:tcBorders>
              <w:top w:val="single" w:sz="8" w:space="0" w:color="808080"/>
              <w:left w:val="nil"/>
              <w:bottom w:val="single" w:sz="8" w:space="0" w:color="808080"/>
              <w:right w:val="nil"/>
            </w:tcBorders>
            <w:vAlign w:val="center"/>
            <w:hideMark/>
          </w:tcPr>
          <w:p w14:paraId="78931B48" w14:textId="77777777" w:rsidR="00643CE2" w:rsidRPr="0044100E" w:rsidRDefault="00643CE2">
            <w:pPr>
              <w:rPr>
                <w:rFonts w:ascii="Arial" w:eastAsia="Times New Roman" w:hAnsi="Arial" w:cs="Arial"/>
                <w:b/>
                <w:bCs/>
                <w:color w:val="000000"/>
                <w:sz w:val="18"/>
                <w:szCs w:val="18"/>
                <w:lang w:val="es-CO" w:eastAsia="es-CO"/>
              </w:rPr>
            </w:pPr>
          </w:p>
        </w:tc>
        <w:tc>
          <w:tcPr>
            <w:tcW w:w="0" w:type="auto"/>
            <w:vMerge/>
            <w:tcBorders>
              <w:top w:val="nil"/>
              <w:left w:val="nil"/>
              <w:bottom w:val="single" w:sz="8" w:space="0" w:color="808080"/>
              <w:right w:val="nil"/>
            </w:tcBorders>
            <w:vAlign w:val="center"/>
            <w:hideMark/>
          </w:tcPr>
          <w:p w14:paraId="3E8A8EF2" w14:textId="77777777" w:rsidR="00643CE2" w:rsidRPr="0044100E" w:rsidRDefault="00643CE2">
            <w:pPr>
              <w:rPr>
                <w:rFonts w:ascii="Arial" w:eastAsia="Times New Roman" w:hAnsi="Arial" w:cs="Arial"/>
                <w:b/>
                <w:bCs/>
                <w:sz w:val="18"/>
                <w:szCs w:val="18"/>
                <w:lang w:val="es-CO" w:eastAsia="es-CO"/>
              </w:rPr>
            </w:pPr>
          </w:p>
        </w:tc>
        <w:tc>
          <w:tcPr>
            <w:tcW w:w="530" w:type="pct"/>
            <w:tcBorders>
              <w:top w:val="nil"/>
              <w:left w:val="nil"/>
              <w:bottom w:val="single" w:sz="8" w:space="0" w:color="808080"/>
              <w:right w:val="nil"/>
            </w:tcBorders>
            <w:shd w:val="clear" w:color="auto" w:fill="D9D9D9"/>
            <w:vAlign w:val="center"/>
            <w:hideMark/>
          </w:tcPr>
          <w:p w14:paraId="649AA211"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2021</w:t>
            </w:r>
          </w:p>
        </w:tc>
        <w:tc>
          <w:tcPr>
            <w:tcW w:w="0" w:type="auto"/>
            <w:vMerge/>
            <w:tcBorders>
              <w:top w:val="nil"/>
              <w:left w:val="nil"/>
              <w:bottom w:val="single" w:sz="8" w:space="0" w:color="808080"/>
              <w:right w:val="nil"/>
            </w:tcBorders>
            <w:vAlign w:val="center"/>
            <w:hideMark/>
          </w:tcPr>
          <w:p w14:paraId="1B48634F" w14:textId="77777777" w:rsidR="00643CE2" w:rsidRPr="0044100E" w:rsidRDefault="00643CE2">
            <w:pPr>
              <w:rPr>
                <w:rFonts w:ascii="Arial" w:eastAsia="Times New Roman" w:hAnsi="Arial" w:cs="Arial"/>
                <w:b/>
                <w:bCs/>
                <w:sz w:val="18"/>
                <w:szCs w:val="18"/>
                <w:lang w:val="es-CO" w:eastAsia="es-CO"/>
              </w:rPr>
            </w:pPr>
          </w:p>
        </w:tc>
        <w:tc>
          <w:tcPr>
            <w:tcW w:w="532" w:type="pct"/>
            <w:tcBorders>
              <w:top w:val="nil"/>
              <w:left w:val="nil"/>
              <w:bottom w:val="single" w:sz="8" w:space="0" w:color="808080"/>
              <w:right w:val="nil"/>
            </w:tcBorders>
            <w:shd w:val="clear" w:color="auto" w:fill="D9D9D9"/>
            <w:vAlign w:val="center"/>
            <w:hideMark/>
          </w:tcPr>
          <w:p w14:paraId="43168E36"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2021</w:t>
            </w:r>
          </w:p>
        </w:tc>
        <w:tc>
          <w:tcPr>
            <w:tcW w:w="0" w:type="auto"/>
            <w:vMerge/>
            <w:tcBorders>
              <w:top w:val="nil"/>
              <w:left w:val="nil"/>
              <w:bottom w:val="single" w:sz="8" w:space="0" w:color="808080"/>
              <w:right w:val="nil"/>
            </w:tcBorders>
            <w:vAlign w:val="center"/>
            <w:hideMark/>
          </w:tcPr>
          <w:p w14:paraId="535A9684" w14:textId="77777777" w:rsidR="00643CE2" w:rsidRPr="0044100E" w:rsidRDefault="00643CE2">
            <w:pPr>
              <w:rPr>
                <w:rFonts w:ascii="Arial" w:eastAsia="Times New Roman" w:hAnsi="Arial" w:cs="Arial"/>
                <w:b/>
                <w:bCs/>
                <w:sz w:val="18"/>
                <w:szCs w:val="18"/>
                <w:lang w:val="es-CO" w:eastAsia="es-CO"/>
              </w:rPr>
            </w:pPr>
          </w:p>
        </w:tc>
        <w:tc>
          <w:tcPr>
            <w:tcW w:w="464" w:type="pct"/>
            <w:tcBorders>
              <w:top w:val="nil"/>
              <w:left w:val="nil"/>
              <w:bottom w:val="single" w:sz="8" w:space="0" w:color="808080"/>
              <w:right w:val="nil"/>
            </w:tcBorders>
            <w:shd w:val="clear" w:color="auto" w:fill="D9D9D9"/>
            <w:vAlign w:val="center"/>
            <w:hideMark/>
          </w:tcPr>
          <w:p w14:paraId="554D2B2E"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2021</w:t>
            </w:r>
          </w:p>
        </w:tc>
        <w:tc>
          <w:tcPr>
            <w:tcW w:w="0" w:type="auto"/>
            <w:vMerge/>
            <w:tcBorders>
              <w:top w:val="nil"/>
              <w:left w:val="nil"/>
              <w:bottom w:val="single" w:sz="8" w:space="0" w:color="808080"/>
              <w:right w:val="nil"/>
            </w:tcBorders>
            <w:vAlign w:val="center"/>
            <w:hideMark/>
          </w:tcPr>
          <w:p w14:paraId="0C7E6CC4" w14:textId="77777777" w:rsidR="00643CE2" w:rsidRPr="0044100E" w:rsidRDefault="00643CE2">
            <w:pPr>
              <w:rPr>
                <w:rFonts w:ascii="Arial" w:eastAsia="Times New Roman" w:hAnsi="Arial" w:cs="Arial"/>
                <w:b/>
                <w:bCs/>
                <w:sz w:val="18"/>
                <w:szCs w:val="18"/>
                <w:lang w:val="es-CO" w:eastAsia="es-CO"/>
              </w:rPr>
            </w:pPr>
          </w:p>
        </w:tc>
        <w:tc>
          <w:tcPr>
            <w:tcW w:w="434" w:type="pct"/>
            <w:tcBorders>
              <w:top w:val="nil"/>
              <w:left w:val="nil"/>
              <w:bottom w:val="single" w:sz="8" w:space="0" w:color="808080"/>
              <w:right w:val="nil"/>
            </w:tcBorders>
            <w:shd w:val="clear" w:color="auto" w:fill="D9D9D9"/>
            <w:vAlign w:val="center"/>
            <w:hideMark/>
          </w:tcPr>
          <w:p w14:paraId="691F41A4" w14:textId="77777777" w:rsidR="00643CE2" w:rsidRPr="0044100E" w:rsidRDefault="00643CE2">
            <w:pPr>
              <w:jc w:val="center"/>
              <w:rPr>
                <w:rFonts w:ascii="Arial" w:eastAsia="Times New Roman" w:hAnsi="Arial" w:cs="Arial"/>
                <w:b/>
                <w:bCs/>
                <w:sz w:val="18"/>
                <w:szCs w:val="18"/>
                <w:lang w:val="es-CO" w:eastAsia="es-CO"/>
              </w:rPr>
            </w:pPr>
            <w:r w:rsidRPr="0044100E">
              <w:rPr>
                <w:rFonts w:ascii="Arial" w:eastAsia="Times New Roman" w:hAnsi="Arial" w:cs="Arial"/>
                <w:b/>
                <w:bCs/>
                <w:sz w:val="18"/>
                <w:szCs w:val="18"/>
                <w:lang w:val="es-CO" w:eastAsia="es-CO"/>
              </w:rPr>
              <w:t>2021</w:t>
            </w:r>
          </w:p>
        </w:tc>
      </w:tr>
      <w:tr w:rsidR="00643CE2" w:rsidRPr="0044100E" w14:paraId="11AD5D18" w14:textId="77777777" w:rsidTr="00643CE2">
        <w:trPr>
          <w:trHeight w:val="214"/>
        </w:trPr>
        <w:tc>
          <w:tcPr>
            <w:tcW w:w="1198" w:type="pct"/>
            <w:tcBorders>
              <w:top w:val="nil"/>
              <w:left w:val="nil"/>
              <w:bottom w:val="single" w:sz="8" w:space="0" w:color="808080"/>
              <w:right w:val="nil"/>
            </w:tcBorders>
            <w:noWrap/>
            <w:vAlign w:val="center"/>
            <w:hideMark/>
          </w:tcPr>
          <w:p w14:paraId="2275D085" w14:textId="77777777" w:rsidR="00643CE2" w:rsidRPr="0044100E" w:rsidRDefault="00643CE2">
            <w:pPr>
              <w:rPr>
                <w:rFonts w:ascii="Arial" w:eastAsia="Times New Roman" w:hAnsi="Arial" w:cs="Arial"/>
                <w:b/>
                <w:bCs/>
                <w:color w:val="000000"/>
                <w:sz w:val="16"/>
                <w:szCs w:val="16"/>
                <w:lang w:val="es-CO" w:eastAsia="es-CO"/>
              </w:rPr>
            </w:pPr>
            <w:r w:rsidRPr="0044100E">
              <w:rPr>
                <w:rFonts w:ascii="Arial" w:eastAsia="Times New Roman" w:hAnsi="Arial" w:cs="Arial"/>
                <w:b/>
                <w:bCs/>
                <w:color w:val="000000"/>
                <w:sz w:val="16"/>
                <w:szCs w:val="16"/>
                <w:lang w:val="es-CO" w:eastAsia="es-CO"/>
              </w:rPr>
              <w:t>Ingresos Corrientes Salud</w:t>
            </w:r>
          </w:p>
        </w:tc>
        <w:tc>
          <w:tcPr>
            <w:tcW w:w="541" w:type="pct"/>
            <w:tcBorders>
              <w:top w:val="nil"/>
              <w:left w:val="nil"/>
              <w:bottom w:val="single" w:sz="8" w:space="0" w:color="808080"/>
              <w:right w:val="nil"/>
            </w:tcBorders>
            <w:noWrap/>
            <w:vAlign w:val="center"/>
            <w:hideMark/>
          </w:tcPr>
          <w:p w14:paraId="1CCD31CB" w14:textId="44888B18"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18.193 </w:t>
            </w:r>
          </w:p>
        </w:tc>
        <w:tc>
          <w:tcPr>
            <w:tcW w:w="530" w:type="pct"/>
            <w:tcBorders>
              <w:top w:val="nil"/>
              <w:left w:val="nil"/>
              <w:bottom w:val="single" w:sz="8" w:space="0" w:color="808080"/>
              <w:right w:val="nil"/>
            </w:tcBorders>
            <w:noWrap/>
            <w:vAlign w:val="center"/>
            <w:hideMark/>
          </w:tcPr>
          <w:p w14:paraId="06FC0A6C" w14:textId="2CA2C4C9"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19.768 </w:t>
            </w:r>
          </w:p>
        </w:tc>
        <w:tc>
          <w:tcPr>
            <w:tcW w:w="501" w:type="pct"/>
            <w:tcBorders>
              <w:top w:val="nil"/>
              <w:left w:val="nil"/>
              <w:bottom w:val="single" w:sz="8" w:space="0" w:color="808080"/>
              <w:right w:val="nil"/>
            </w:tcBorders>
            <w:noWrap/>
            <w:vAlign w:val="center"/>
            <w:hideMark/>
          </w:tcPr>
          <w:p w14:paraId="0E288444" w14:textId="7927FFA8"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24.047 </w:t>
            </w:r>
          </w:p>
        </w:tc>
        <w:tc>
          <w:tcPr>
            <w:tcW w:w="532" w:type="pct"/>
            <w:tcBorders>
              <w:top w:val="nil"/>
              <w:left w:val="nil"/>
              <w:bottom w:val="single" w:sz="8" w:space="0" w:color="808080"/>
              <w:right w:val="nil"/>
            </w:tcBorders>
            <w:noWrap/>
            <w:vAlign w:val="center"/>
            <w:hideMark/>
          </w:tcPr>
          <w:p w14:paraId="4366CC91" w14:textId="084CE201"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27.086 </w:t>
            </w:r>
          </w:p>
        </w:tc>
        <w:tc>
          <w:tcPr>
            <w:tcW w:w="541" w:type="pct"/>
            <w:tcBorders>
              <w:top w:val="nil"/>
              <w:left w:val="nil"/>
              <w:bottom w:val="single" w:sz="8" w:space="0" w:color="808080"/>
              <w:right w:val="nil"/>
            </w:tcBorders>
            <w:noWrap/>
            <w:vAlign w:val="center"/>
            <w:hideMark/>
          </w:tcPr>
          <w:p w14:paraId="59C2A26D" w14:textId="4B76187A"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23.454 </w:t>
            </w:r>
          </w:p>
        </w:tc>
        <w:tc>
          <w:tcPr>
            <w:tcW w:w="464" w:type="pct"/>
            <w:tcBorders>
              <w:top w:val="nil"/>
              <w:left w:val="nil"/>
              <w:bottom w:val="single" w:sz="8" w:space="0" w:color="808080"/>
              <w:right w:val="nil"/>
            </w:tcBorders>
            <w:noWrap/>
            <w:vAlign w:val="center"/>
            <w:hideMark/>
          </w:tcPr>
          <w:p w14:paraId="1ADE21F1" w14:textId="2F67E854"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12.537 </w:t>
            </w:r>
          </w:p>
        </w:tc>
        <w:tc>
          <w:tcPr>
            <w:tcW w:w="259" w:type="pct"/>
            <w:tcBorders>
              <w:top w:val="nil"/>
              <w:left w:val="nil"/>
              <w:bottom w:val="single" w:sz="8" w:space="0" w:color="808080"/>
              <w:right w:val="nil"/>
            </w:tcBorders>
            <w:noWrap/>
            <w:vAlign w:val="center"/>
            <w:hideMark/>
          </w:tcPr>
          <w:p w14:paraId="56C8D512" w14:textId="77777777" w:rsidR="00643CE2" w:rsidRPr="0044100E" w:rsidRDefault="00643CE2">
            <w:pPr>
              <w:jc w:val="center"/>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98%</w:t>
            </w:r>
          </w:p>
        </w:tc>
        <w:tc>
          <w:tcPr>
            <w:tcW w:w="434" w:type="pct"/>
            <w:tcBorders>
              <w:top w:val="nil"/>
              <w:left w:val="nil"/>
              <w:bottom w:val="single" w:sz="8" w:space="0" w:color="808080"/>
              <w:right w:val="nil"/>
            </w:tcBorders>
            <w:noWrap/>
            <w:vAlign w:val="center"/>
            <w:hideMark/>
          </w:tcPr>
          <w:p w14:paraId="71A2E80E" w14:textId="77777777" w:rsidR="00643CE2" w:rsidRPr="0044100E" w:rsidRDefault="00643CE2">
            <w:pPr>
              <w:jc w:val="center"/>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46%</w:t>
            </w:r>
          </w:p>
        </w:tc>
      </w:tr>
      <w:tr w:rsidR="00643CE2" w:rsidRPr="0044100E" w14:paraId="634B4B2A" w14:textId="77777777" w:rsidTr="00643CE2">
        <w:trPr>
          <w:trHeight w:val="214"/>
        </w:trPr>
        <w:tc>
          <w:tcPr>
            <w:tcW w:w="1198" w:type="pct"/>
            <w:tcBorders>
              <w:top w:val="nil"/>
              <w:left w:val="nil"/>
              <w:bottom w:val="single" w:sz="8" w:space="0" w:color="808080"/>
              <w:right w:val="nil"/>
            </w:tcBorders>
            <w:noWrap/>
            <w:vAlign w:val="center"/>
            <w:hideMark/>
          </w:tcPr>
          <w:p w14:paraId="42D92CDF" w14:textId="77777777" w:rsidR="00643CE2" w:rsidRPr="0044100E" w:rsidRDefault="00643CE2">
            <w:pPr>
              <w:rPr>
                <w:rFonts w:ascii="Arial" w:eastAsia="Times New Roman" w:hAnsi="Arial" w:cs="Arial"/>
                <w:b/>
                <w:bCs/>
                <w:color w:val="000000"/>
                <w:sz w:val="16"/>
                <w:szCs w:val="16"/>
                <w:lang w:val="es-CO" w:eastAsia="es-CO"/>
              </w:rPr>
            </w:pPr>
            <w:r w:rsidRPr="0044100E">
              <w:rPr>
                <w:rFonts w:ascii="Arial" w:eastAsia="Times New Roman" w:hAnsi="Arial" w:cs="Arial"/>
                <w:b/>
                <w:bCs/>
                <w:color w:val="000000"/>
                <w:sz w:val="16"/>
                <w:szCs w:val="16"/>
                <w:lang w:val="es-CO" w:eastAsia="es-CO"/>
              </w:rPr>
              <w:t>Tributarios</w:t>
            </w:r>
          </w:p>
        </w:tc>
        <w:tc>
          <w:tcPr>
            <w:tcW w:w="541" w:type="pct"/>
            <w:noWrap/>
            <w:vAlign w:val="center"/>
            <w:hideMark/>
          </w:tcPr>
          <w:p w14:paraId="209B47F9" w14:textId="3A5F86A2"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1.129 </w:t>
            </w:r>
          </w:p>
        </w:tc>
        <w:tc>
          <w:tcPr>
            <w:tcW w:w="530" w:type="pct"/>
            <w:tcBorders>
              <w:top w:val="nil"/>
              <w:left w:val="nil"/>
              <w:bottom w:val="single" w:sz="8" w:space="0" w:color="808080"/>
              <w:right w:val="nil"/>
            </w:tcBorders>
            <w:noWrap/>
            <w:vAlign w:val="center"/>
            <w:hideMark/>
          </w:tcPr>
          <w:p w14:paraId="0024D096" w14:textId="42738346"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1.777 </w:t>
            </w:r>
          </w:p>
        </w:tc>
        <w:tc>
          <w:tcPr>
            <w:tcW w:w="501" w:type="pct"/>
            <w:noWrap/>
            <w:vAlign w:val="center"/>
            <w:hideMark/>
          </w:tcPr>
          <w:p w14:paraId="1F62B5A7" w14:textId="69FC3E4A"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1.761 </w:t>
            </w:r>
          </w:p>
        </w:tc>
        <w:tc>
          <w:tcPr>
            <w:tcW w:w="532" w:type="pct"/>
            <w:tcBorders>
              <w:top w:val="nil"/>
              <w:left w:val="nil"/>
              <w:bottom w:val="single" w:sz="8" w:space="0" w:color="808080"/>
              <w:right w:val="nil"/>
            </w:tcBorders>
            <w:noWrap/>
            <w:vAlign w:val="center"/>
            <w:hideMark/>
          </w:tcPr>
          <w:p w14:paraId="28DF9320" w14:textId="3940E456"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1.824 </w:t>
            </w:r>
          </w:p>
        </w:tc>
        <w:tc>
          <w:tcPr>
            <w:tcW w:w="541" w:type="pct"/>
            <w:shd w:val="clear" w:color="auto" w:fill="FFFFFF" w:themeFill="background1"/>
            <w:noWrap/>
            <w:vAlign w:val="center"/>
            <w:hideMark/>
          </w:tcPr>
          <w:p w14:paraId="241BF11E" w14:textId="2421B23B"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2.358 </w:t>
            </w:r>
          </w:p>
        </w:tc>
        <w:tc>
          <w:tcPr>
            <w:tcW w:w="464" w:type="pct"/>
            <w:tcBorders>
              <w:top w:val="nil"/>
              <w:left w:val="nil"/>
              <w:bottom w:val="single" w:sz="8" w:space="0" w:color="808080"/>
              <w:right w:val="nil"/>
            </w:tcBorders>
            <w:shd w:val="clear" w:color="auto" w:fill="FFFFFF" w:themeFill="background1"/>
            <w:noWrap/>
            <w:vAlign w:val="center"/>
            <w:hideMark/>
          </w:tcPr>
          <w:p w14:paraId="5EFDD21B" w14:textId="50240488"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1.117 </w:t>
            </w:r>
          </w:p>
        </w:tc>
        <w:tc>
          <w:tcPr>
            <w:tcW w:w="259" w:type="pct"/>
            <w:tcBorders>
              <w:top w:val="nil"/>
              <w:left w:val="nil"/>
              <w:bottom w:val="single" w:sz="8" w:space="0" w:color="808080"/>
              <w:right w:val="nil"/>
            </w:tcBorders>
            <w:noWrap/>
            <w:vAlign w:val="center"/>
            <w:hideMark/>
          </w:tcPr>
          <w:p w14:paraId="4A723737" w14:textId="77777777" w:rsidR="00643CE2" w:rsidRPr="0044100E" w:rsidRDefault="00643CE2">
            <w:pPr>
              <w:jc w:val="center"/>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134%</w:t>
            </w:r>
          </w:p>
        </w:tc>
        <w:tc>
          <w:tcPr>
            <w:tcW w:w="434" w:type="pct"/>
            <w:tcBorders>
              <w:top w:val="nil"/>
              <w:left w:val="nil"/>
              <w:bottom w:val="single" w:sz="8" w:space="0" w:color="808080"/>
              <w:right w:val="nil"/>
            </w:tcBorders>
            <w:noWrap/>
            <w:vAlign w:val="center"/>
            <w:hideMark/>
          </w:tcPr>
          <w:p w14:paraId="1ABD17EB" w14:textId="77777777" w:rsidR="00643CE2" w:rsidRPr="0044100E" w:rsidRDefault="00643CE2">
            <w:pPr>
              <w:jc w:val="center"/>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61%</w:t>
            </w:r>
          </w:p>
        </w:tc>
      </w:tr>
      <w:tr w:rsidR="00643CE2" w:rsidRPr="0044100E" w14:paraId="00E59B48" w14:textId="77777777" w:rsidTr="00643CE2">
        <w:trPr>
          <w:trHeight w:val="214"/>
        </w:trPr>
        <w:tc>
          <w:tcPr>
            <w:tcW w:w="1198" w:type="pct"/>
            <w:tcBorders>
              <w:top w:val="nil"/>
              <w:left w:val="nil"/>
              <w:bottom w:val="single" w:sz="8" w:space="0" w:color="808080"/>
              <w:right w:val="nil"/>
            </w:tcBorders>
            <w:noWrap/>
            <w:vAlign w:val="center"/>
            <w:hideMark/>
          </w:tcPr>
          <w:p w14:paraId="5A8F7E52" w14:textId="77777777" w:rsidR="00643CE2" w:rsidRPr="0044100E" w:rsidRDefault="00643CE2">
            <w:pPr>
              <w:rPr>
                <w:rFonts w:ascii="Arial" w:eastAsia="Times New Roman" w:hAnsi="Arial" w:cs="Arial"/>
                <w:b/>
                <w:bCs/>
                <w:color w:val="000000"/>
                <w:sz w:val="16"/>
                <w:szCs w:val="16"/>
                <w:lang w:val="es-CO" w:eastAsia="es-CO"/>
              </w:rPr>
            </w:pPr>
            <w:r w:rsidRPr="0044100E">
              <w:rPr>
                <w:rFonts w:ascii="Arial" w:eastAsia="Times New Roman" w:hAnsi="Arial" w:cs="Arial"/>
                <w:b/>
                <w:bCs/>
                <w:color w:val="000000"/>
                <w:sz w:val="16"/>
                <w:szCs w:val="16"/>
                <w:lang w:val="es-CO" w:eastAsia="es-CO"/>
              </w:rPr>
              <w:t>No Tributarios</w:t>
            </w:r>
          </w:p>
        </w:tc>
        <w:tc>
          <w:tcPr>
            <w:tcW w:w="541" w:type="pct"/>
            <w:tcBorders>
              <w:top w:val="single" w:sz="8" w:space="0" w:color="808080"/>
              <w:left w:val="nil"/>
              <w:bottom w:val="single" w:sz="8" w:space="0" w:color="808080"/>
              <w:right w:val="nil"/>
            </w:tcBorders>
            <w:noWrap/>
            <w:vAlign w:val="center"/>
            <w:hideMark/>
          </w:tcPr>
          <w:p w14:paraId="4DEDF77D" w14:textId="79CEADE8"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17.063 </w:t>
            </w:r>
          </w:p>
        </w:tc>
        <w:tc>
          <w:tcPr>
            <w:tcW w:w="530" w:type="pct"/>
            <w:tcBorders>
              <w:top w:val="nil"/>
              <w:left w:val="nil"/>
              <w:bottom w:val="single" w:sz="8" w:space="0" w:color="808080"/>
              <w:right w:val="nil"/>
            </w:tcBorders>
            <w:noWrap/>
            <w:vAlign w:val="center"/>
            <w:hideMark/>
          </w:tcPr>
          <w:p w14:paraId="3D3C5F3C" w14:textId="3E0F20AE"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17.992 </w:t>
            </w:r>
          </w:p>
        </w:tc>
        <w:tc>
          <w:tcPr>
            <w:tcW w:w="501" w:type="pct"/>
            <w:tcBorders>
              <w:top w:val="single" w:sz="8" w:space="0" w:color="808080"/>
              <w:left w:val="nil"/>
              <w:bottom w:val="single" w:sz="8" w:space="0" w:color="808080"/>
              <w:right w:val="nil"/>
            </w:tcBorders>
            <w:noWrap/>
            <w:vAlign w:val="center"/>
            <w:hideMark/>
          </w:tcPr>
          <w:p w14:paraId="501E5F0E" w14:textId="65004BBA"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22.286 </w:t>
            </w:r>
          </w:p>
        </w:tc>
        <w:tc>
          <w:tcPr>
            <w:tcW w:w="532" w:type="pct"/>
            <w:tcBorders>
              <w:top w:val="nil"/>
              <w:left w:val="nil"/>
              <w:bottom w:val="single" w:sz="8" w:space="0" w:color="808080"/>
              <w:right w:val="nil"/>
            </w:tcBorders>
            <w:noWrap/>
            <w:vAlign w:val="center"/>
            <w:hideMark/>
          </w:tcPr>
          <w:p w14:paraId="38318942" w14:textId="02B4AF3F"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25.262 </w:t>
            </w:r>
          </w:p>
        </w:tc>
        <w:tc>
          <w:tcPr>
            <w:tcW w:w="541" w:type="pct"/>
            <w:tcBorders>
              <w:top w:val="single" w:sz="8" w:space="0" w:color="808080"/>
              <w:left w:val="nil"/>
              <w:bottom w:val="single" w:sz="8" w:space="0" w:color="808080"/>
              <w:right w:val="nil"/>
            </w:tcBorders>
            <w:noWrap/>
            <w:vAlign w:val="center"/>
            <w:hideMark/>
          </w:tcPr>
          <w:p w14:paraId="5F6B7567" w14:textId="03C43EB1"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21.096 </w:t>
            </w:r>
          </w:p>
        </w:tc>
        <w:tc>
          <w:tcPr>
            <w:tcW w:w="464" w:type="pct"/>
            <w:tcBorders>
              <w:top w:val="nil"/>
              <w:left w:val="nil"/>
              <w:bottom w:val="single" w:sz="8" w:space="0" w:color="808080"/>
              <w:right w:val="nil"/>
            </w:tcBorders>
            <w:noWrap/>
            <w:vAlign w:val="center"/>
            <w:hideMark/>
          </w:tcPr>
          <w:p w14:paraId="3883D4BF" w14:textId="479CCB53" w:rsidR="00643CE2" w:rsidRPr="0044100E" w:rsidRDefault="006F1BA4" w:rsidP="006F1BA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 xml:space="preserve">11.420 </w:t>
            </w:r>
          </w:p>
        </w:tc>
        <w:tc>
          <w:tcPr>
            <w:tcW w:w="259" w:type="pct"/>
            <w:tcBorders>
              <w:top w:val="nil"/>
              <w:left w:val="nil"/>
              <w:bottom w:val="single" w:sz="8" w:space="0" w:color="808080"/>
              <w:right w:val="nil"/>
            </w:tcBorders>
            <w:noWrap/>
            <w:vAlign w:val="center"/>
            <w:hideMark/>
          </w:tcPr>
          <w:p w14:paraId="3485858B" w14:textId="77777777" w:rsidR="00643CE2" w:rsidRPr="0044100E" w:rsidRDefault="00643CE2">
            <w:pPr>
              <w:jc w:val="center"/>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95%</w:t>
            </w:r>
          </w:p>
        </w:tc>
        <w:tc>
          <w:tcPr>
            <w:tcW w:w="434" w:type="pct"/>
            <w:tcBorders>
              <w:top w:val="nil"/>
              <w:left w:val="nil"/>
              <w:bottom w:val="single" w:sz="8" w:space="0" w:color="808080"/>
              <w:right w:val="nil"/>
            </w:tcBorders>
            <w:noWrap/>
            <w:vAlign w:val="center"/>
            <w:hideMark/>
          </w:tcPr>
          <w:p w14:paraId="0160FD64" w14:textId="77777777" w:rsidR="00643CE2" w:rsidRPr="0044100E" w:rsidRDefault="00643CE2">
            <w:pPr>
              <w:jc w:val="center"/>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45%</w:t>
            </w:r>
          </w:p>
        </w:tc>
      </w:tr>
      <w:tr w:rsidR="00643CE2" w:rsidRPr="0044100E" w14:paraId="64F62C97" w14:textId="77777777" w:rsidTr="00643CE2">
        <w:trPr>
          <w:trHeight w:val="214"/>
        </w:trPr>
        <w:tc>
          <w:tcPr>
            <w:tcW w:w="1198" w:type="pct"/>
            <w:tcBorders>
              <w:top w:val="nil"/>
              <w:left w:val="nil"/>
              <w:bottom w:val="single" w:sz="8" w:space="0" w:color="808080"/>
              <w:right w:val="nil"/>
            </w:tcBorders>
            <w:noWrap/>
            <w:vAlign w:val="center"/>
            <w:hideMark/>
          </w:tcPr>
          <w:p w14:paraId="0382C43F" w14:textId="77777777" w:rsidR="00643CE2" w:rsidRPr="0044100E" w:rsidRDefault="00643CE2">
            <w:pPr>
              <w:ind w:firstLineChars="100" w:firstLine="160"/>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SGP - Régimen Subsidiado</w:t>
            </w:r>
          </w:p>
        </w:tc>
        <w:tc>
          <w:tcPr>
            <w:tcW w:w="541" w:type="pct"/>
            <w:noWrap/>
            <w:vAlign w:val="center"/>
            <w:hideMark/>
          </w:tcPr>
          <w:p w14:paraId="4AAF4E82" w14:textId="4F945338"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1.509 </w:t>
            </w:r>
          </w:p>
        </w:tc>
        <w:tc>
          <w:tcPr>
            <w:tcW w:w="530" w:type="pct"/>
            <w:tcBorders>
              <w:top w:val="nil"/>
              <w:left w:val="nil"/>
              <w:bottom w:val="single" w:sz="8" w:space="0" w:color="808080"/>
              <w:right w:val="nil"/>
            </w:tcBorders>
            <w:noWrap/>
            <w:vAlign w:val="center"/>
            <w:hideMark/>
          </w:tcPr>
          <w:p w14:paraId="4263A378" w14:textId="3CEE9C8C"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1.846 </w:t>
            </w:r>
          </w:p>
        </w:tc>
        <w:tc>
          <w:tcPr>
            <w:tcW w:w="501" w:type="pct"/>
            <w:noWrap/>
            <w:vAlign w:val="center"/>
            <w:hideMark/>
          </w:tcPr>
          <w:p w14:paraId="038315F4" w14:textId="641702D3"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1.758 </w:t>
            </w:r>
          </w:p>
        </w:tc>
        <w:tc>
          <w:tcPr>
            <w:tcW w:w="532" w:type="pct"/>
            <w:tcBorders>
              <w:top w:val="nil"/>
              <w:left w:val="nil"/>
              <w:bottom w:val="single" w:sz="8" w:space="0" w:color="808080"/>
              <w:right w:val="nil"/>
            </w:tcBorders>
            <w:noWrap/>
            <w:vAlign w:val="center"/>
            <w:hideMark/>
          </w:tcPr>
          <w:p w14:paraId="56EDDF92" w14:textId="27CC78FA"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1.691 </w:t>
            </w:r>
          </w:p>
        </w:tc>
        <w:tc>
          <w:tcPr>
            <w:tcW w:w="541" w:type="pct"/>
            <w:noWrap/>
            <w:vAlign w:val="center"/>
            <w:hideMark/>
          </w:tcPr>
          <w:p w14:paraId="7EA6CB23" w14:textId="36FADFA8"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1.758 </w:t>
            </w:r>
          </w:p>
        </w:tc>
        <w:tc>
          <w:tcPr>
            <w:tcW w:w="464" w:type="pct"/>
            <w:tcBorders>
              <w:top w:val="nil"/>
              <w:left w:val="nil"/>
              <w:bottom w:val="single" w:sz="8" w:space="0" w:color="808080"/>
              <w:right w:val="nil"/>
            </w:tcBorders>
            <w:noWrap/>
            <w:vAlign w:val="center"/>
            <w:hideMark/>
          </w:tcPr>
          <w:p w14:paraId="5FCBFB85" w14:textId="0592CD08"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855 </w:t>
            </w:r>
          </w:p>
        </w:tc>
        <w:tc>
          <w:tcPr>
            <w:tcW w:w="259" w:type="pct"/>
            <w:tcBorders>
              <w:top w:val="nil"/>
              <w:left w:val="nil"/>
              <w:bottom w:val="single" w:sz="8" w:space="0" w:color="808080"/>
              <w:right w:val="nil"/>
            </w:tcBorders>
            <w:noWrap/>
            <w:vAlign w:val="center"/>
            <w:hideMark/>
          </w:tcPr>
          <w:p w14:paraId="2F7CF642"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100%</w:t>
            </w:r>
          </w:p>
        </w:tc>
        <w:tc>
          <w:tcPr>
            <w:tcW w:w="434" w:type="pct"/>
            <w:tcBorders>
              <w:top w:val="nil"/>
              <w:left w:val="nil"/>
              <w:bottom w:val="single" w:sz="8" w:space="0" w:color="808080"/>
              <w:right w:val="nil"/>
            </w:tcBorders>
            <w:noWrap/>
            <w:vAlign w:val="center"/>
            <w:hideMark/>
          </w:tcPr>
          <w:p w14:paraId="68000CC1"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51%</w:t>
            </w:r>
          </w:p>
        </w:tc>
      </w:tr>
      <w:tr w:rsidR="00643CE2" w:rsidRPr="0044100E" w14:paraId="3B2D32CA" w14:textId="77777777" w:rsidTr="00643CE2">
        <w:trPr>
          <w:trHeight w:val="214"/>
        </w:trPr>
        <w:tc>
          <w:tcPr>
            <w:tcW w:w="1198" w:type="pct"/>
            <w:tcBorders>
              <w:top w:val="nil"/>
              <w:left w:val="nil"/>
              <w:bottom w:val="single" w:sz="8" w:space="0" w:color="808080"/>
              <w:right w:val="nil"/>
            </w:tcBorders>
            <w:noWrap/>
            <w:vAlign w:val="center"/>
            <w:hideMark/>
          </w:tcPr>
          <w:p w14:paraId="53198CF3" w14:textId="77777777" w:rsidR="00643CE2" w:rsidRPr="0044100E" w:rsidRDefault="00643CE2">
            <w:pPr>
              <w:ind w:firstLineChars="100" w:firstLine="160"/>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SGP - Prestación de servicios CSF</w:t>
            </w:r>
          </w:p>
        </w:tc>
        <w:tc>
          <w:tcPr>
            <w:tcW w:w="541" w:type="pct"/>
            <w:tcBorders>
              <w:top w:val="single" w:sz="8" w:space="0" w:color="808080"/>
              <w:left w:val="nil"/>
              <w:bottom w:val="single" w:sz="8" w:space="0" w:color="808080"/>
              <w:right w:val="nil"/>
            </w:tcBorders>
            <w:noWrap/>
            <w:vAlign w:val="center"/>
            <w:hideMark/>
          </w:tcPr>
          <w:p w14:paraId="164115EE" w14:textId="32D130D2"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6.538 </w:t>
            </w:r>
          </w:p>
        </w:tc>
        <w:tc>
          <w:tcPr>
            <w:tcW w:w="530" w:type="pct"/>
            <w:tcBorders>
              <w:top w:val="nil"/>
              <w:left w:val="nil"/>
              <w:bottom w:val="single" w:sz="8" w:space="0" w:color="808080"/>
              <w:right w:val="nil"/>
            </w:tcBorders>
            <w:noWrap/>
            <w:vAlign w:val="center"/>
            <w:hideMark/>
          </w:tcPr>
          <w:p w14:paraId="59F30228" w14:textId="5DA8A09D"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6.280 </w:t>
            </w:r>
          </w:p>
        </w:tc>
        <w:tc>
          <w:tcPr>
            <w:tcW w:w="501" w:type="pct"/>
            <w:tcBorders>
              <w:top w:val="single" w:sz="8" w:space="0" w:color="808080"/>
              <w:left w:val="nil"/>
              <w:bottom w:val="single" w:sz="8" w:space="0" w:color="808080"/>
              <w:right w:val="nil"/>
            </w:tcBorders>
            <w:noWrap/>
            <w:vAlign w:val="center"/>
            <w:hideMark/>
          </w:tcPr>
          <w:p w14:paraId="5AA6A94C" w14:textId="2EAF013E"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8.339 </w:t>
            </w:r>
          </w:p>
        </w:tc>
        <w:tc>
          <w:tcPr>
            <w:tcW w:w="532" w:type="pct"/>
            <w:tcBorders>
              <w:top w:val="nil"/>
              <w:left w:val="nil"/>
              <w:bottom w:val="single" w:sz="8" w:space="0" w:color="808080"/>
              <w:right w:val="nil"/>
            </w:tcBorders>
            <w:noWrap/>
            <w:vAlign w:val="center"/>
            <w:hideMark/>
          </w:tcPr>
          <w:p w14:paraId="46B9B09C" w14:textId="542CEF45"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8.993 </w:t>
            </w:r>
          </w:p>
        </w:tc>
        <w:tc>
          <w:tcPr>
            <w:tcW w:w="541" w:type="pct"/>
            <w:tcBorders>
              <w:top w:val="single" w:sz="8" w:space="0" w:color="808080"/>
              <w:left w:val="nil"/>
              <w:bottom w:val="single" w:sz="8" w:space="0" w:color="808080"/>
              <w:right w:val="nil"/>
            </w:tcBorders>
            <w:noWrap/>
            <w:vAlign w:val="center"/>
            <w:hideMark/>
          </w:tcPr>
          <w:p w14:paraId="5CB92F01" w14:textId="5B56F188"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8.339 </w:t>
            </w:r>
          </w:p>
        </w:tc>
        <w:tc>
          <w:tcPr>
            <w:tcW w:w="464" w:type="pct"/>
            <w:tcBorders>
              <w:top w:val="nil"/>
              <w:left w:val="nil"/>
              <w:bottom w:val="single" w:sz="8" w:space="0" w:color="808080"/>
              <w:right w:val="nil"/>
            </w:tcBorders>
            <w:noWrap/>
            <w:vAlign w:val="center"/>
            <w:hideMark/>
          </w:tcPr>
          <w:p w14:paraId="474D2D81" w14:textId="31A224B8"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4.480 </w:t>
            </w:r>
          </w:p>
        </w:tc>
        <w:tc>
          <w:tcPr>
            <w:tcW w:w="259" w:type="pct"/>
            <w:tcBorders>
              <w:top w:val="nil"/>
              <w:left w:val="nil"/>
              <w:bottom w:val="single" w:sz="8" w:space="0" w:color="808080"/>
              <w:right w:val="nil"/>
            </w:tcBorders>
            <w:noWrap/>
            <w:vAlign w:val="center"/>
            <w:hideMark/>
          </w:tcPr>
          <w:p w14:paraId="76D7762B"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100%</w:t>
            </w:r>
          </w:p>
        </w:tc>
        <w:tc>
          <w:tcPr>
            <w:tcW w:w="434" w:type="pct"/>
            <w:tcBorders>
              <w:top w:val="nil"/>
              <w:left w:val="nil"/>
              <w:bottom w:val="single" w:sz="8" w:space="0" w:color="808080"/>
              <w:right w:val="nil"/>
            </w:tcBorders>
            <w:noWrap/>
            <w:vAlign w:val="center"/>
            <w:hideMark/>
          </w:tcPr>
          <w:p w14:paraId="42DD3453"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50%</w:t>
            </w:r>
          </w:p>
        </w:tc>
      </w:tr>
      <w:tr w:rsidR="00643CE2" w:rsidRPr="0044100E" w14:paraId="7ADFC550" w14:textId="77777777" w:rsidTr="00643CE2">
        <w:trPr>
          <w:trHeight w:val="214"/>
        </w:trPr>
        <w:tc>
          <w:tcPr>
            <w:tcW w:w="1198" w:type="pct"/>
            <w:tcBorders>
              <w:top w:val="nil"/>
              <w:left w:val="nil"/>
              <w:bottom w:val="single" w:sz="8" w:space="0" w:color="808080"/>
              <w:right w:val="nil"/>
            </w:tcBorders>
            <w:noWrap/>
            <w:vAlign w:val="center"/>
            <w:hideMark/>
          </w:tcPr>
          <w:p w14:paraId="500232AB" w14:textId="77777777" w:rsidR="00643CE2" w:rsidRPr="0044100E" w:rsidRDefault="00643CE2">
            <w:pPr>
              <w:ind w:firstLineChars="100" w:firstLine="160"/>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SGP - Prestación de servicios SSF</w:t>
            </w:r>
          </w:p>
        </w:tc>
        <w:tc>
          <w:tcPr>
            <w:tcW w:w="541" w:type="pct"/>
            <w:tcBorders>
              <w:top w:val="nil"/>
              <w:left w:val="nil"/>
              <w:bottom w:val="single" w:sz="8" w:space="0" w:color="808080"/>
              <w:right w:val="nil"/>
            </w:tcBorders>
            <w:noWrap/>
            <w:vAlign w:val="center"/>
            <w:hideMark/>
          </w:tcPr>
          <w:p w14:paraId="7F5EA84D" w14:textId="7E793101"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371 </w:t>
            </w:r>
          </w:p>
        </w:tc>
        <w:tc>
          <w:tcPr>
            <w:tcW w:w="530" w:type="pct"/>
            <w:tcBorders>
              <w:top w:val="nil"/>
              <w:left w:val="nil"/>
              <w:bottom w:val="single" w:sz="8" w:space="0" w:color="808080"/>
              <w:right w:val="nil"/>
            </w:tcBorders>
            <w:noWrap/>
            <w:vAlign w:val="center"/>
            <w:hideMark/>
          </w:tcPr>
          <w:p w14:paraId="6D6B9E89" w14:textId="77777777" w:rsidR="00643CE2" w:rsidRPr="0044100E" w:rsidRDefault="00643CE2" w:rsidP="006F1BA4">
            <w:pPr>
              <w:jc w:val="right"/>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 </w:t>
            </w:r>
          </w:p>
        </w:tc>
        <w:tc>
          <w:tcPr>
            <w:tcW w:w="501" w:type="pct"/>
            <w:tcBorders>
              <w:top w:val="nil"/>
              <w:left w:val="nil"/>
              <w:bottom w:val="single" w:sz="8" w:space="0" w:color="808080"/>
              <w:right w:val="nil"/>
            </w:tcBorders>
            <w:noWrap/>
            <w:vAlign w:val="center"/>
            <w:hideMark/>
          </w:tcPr>
          <w:p w14:paraId="54ADE4AE" w14:textId="45329B87"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w:t>
            </w:r>
            <w:r w:rsidR="009C7544">
              <w:rPr>
                <w:rFonts w:ascii="Arial" w:eastAsia="Times New Roman" w:hAnsi="Arial" w:cs="Arial"/>
                <w:sz w:val="16"/>
                <w:szCs w:val="16"/>
                <w:lang w:val="es-CO" w:eastAsia="es-CO"/>
              </w:rPr>
              <w:t xml:space="preserve"> </w:t>
            </w:r>
            <w:r w:rsidR="00643CE2" w:rsidRPr="0044100E">
              <w:rPr>
                <w:rFonts w:ascii="Arial" w:eastAsia="Times New Roman" w:hAnsi="Arial" w:cs="Arial"/>
                <w:sz w:val="16"/>
                <w:szCs w:val="16"/>
                <w:lang w:val="es-CO" w:eastAsia="es-CO"/>
              </w:rPr>
              <w:t xml:space="preserve"> </w:t>
            </w:r>
          </w:p>
        </w:tc>
        <w:tc>
          <w:tcPr>
            <w:tcW w:w="532" w:type="pct"/>
            <w:tcBorders>
              <w:top w:val="nil"/>
              <w:left w:val="nil"/>
              <w:bottom w:val="single" w:sz="8" w:space="0" w:color="808080"/>
              <w:right w:val="nil"/>
            </w:tcBorders>
            <w:noWrap/>
            <w:vAlign w:val="center"/>
            <w:hideMark/>
          </w:tcPr>
          <w:p w14:paraId="2E2ACB3E" w14:textId="33B4D987"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w:t>
            </w:r>
            <w:r w:rsidR="009C7544">
              <w:rPr>
                <w:rFonts w:ascii="Arial" w:eastAsia="Times New Roman" w:hAnsi="Arial" w:cs="Arial"/>
                <w:sz w:val="16"/>
                <w:szCs w:val="16"/>
                <w:lang w:val="es-CO" w:eastAsia="es-CO"/>
              </w:rPr>
              <w:t xml:space="preserve"> </w:t>
            </w:r>
            <w:r w:rsidR="00643CE2" w:rsidRPr="0044100E">
              <w:rPr>
                <w:rFonts w:ascii="Arial" w:eastAsia="Times New Roman" w:hAnsi="Arial" w:cs="Arial"/>
                <w:sz w:val="16"/>
                <w:szCs w:val="16"/>
                <w:lang w:val="es-CO" w:eastAsia="es-CO"/>
              </w:rPr>
              <w:t xml:space="preserve"> </w:t>
            </w:r>
          </w:p>
        </w:tc>
        <w:tc>
          <w:tcPr>
            <w:tcW w:w="541" w:type="pct"/>
            <w:tcBorders>
              <w:top w:val="nil"/>
              <w:left w:val="nil"/>
              <w:bottom w:val="single" w:sz="8" w:space="0" w:color="808080"/>
              <w:right w:val="nil"/>
            </w:tcBorders>
            <w:noWrap/>
            <w:vAlign w:val="center"/>
            <w:hideMark/>
          </w:tcPr>
          <w:p w14:paraId="3AC3CFCF" w14:textId="60DD519D"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w:t>
            </w:r>
            <w:r w:rsidR="009C7544">
              <w:rPr>
                <w:rFonts w:ascii="Arial" w:eastAsia="Times New Roman" w:hAnsi="Arial" w:cs="Arial"/>
                <w:sz w:val="16"/>
                <w:szCs w:val="16"/>
                <w:lang w:val="es-CO" w:eastAsia="es-CO"/>
              </w:rPr>
              <w:t xml:space="preserve"> </w:t>
            </w:r>
            <w:r w:rsidR="00643CE2" w:rsidRPr="0044100E">
              <w:rPr>
                <w:rFonts w:ascii="Arial" w:eastAsia="Times New Roman" w:hAnsi="Arial" w:cs="Arial"/>
                <w:sz w:val="16"/>
                <w:szCs w:val="16"/>
                <w:lang w:val="es-CO" w:eastAsia="es-CO"/>
              </w:rPr>
              <w:t xml:space="preserve"> </w:t>
            </w:r>
          </w:p>
        </w:tc>
        <w:tc>
          <w:tcPr>
            <w:tcW w:w="464" w:type="pct"/>
            <w:tcBorders>
              <w:top w:val="nil"/>
              <w:left w:val="nil"/>
              <w:bottom w:val="single" w:sz="8" w:space="0" w:color="808080"/>
              <w:right w:val="nil"/>
            </w:tcBorders>
            <w:noWrap/>
            <w:vAlign w:val="center"/>
            <w:hideMark/>
          </w:tcPr>
          <w:p w14:paraId="0507FA37" w14:textId="77777777" w:rsidR="00643CE2" w:rsidRPr="0044100E" w:rsidRDefault="00643CE2" w:rsidP="006F1BA4">
            <w:pPr>
              <w:jc w:val="right"/>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0</w:t>
            </w:r>
          </w:p>
        </w:tc>
        <w:tc>
          <w:tcPr>
            <w:tcW w:w="259" w:type="pct"/>
            <w:tcBorders>
              <w:top w:val="nil"/>
              <w:left w:val="nil"/>
              <w:bottom w:val="single" w:sz="8" w:space="0" w:color="808080"/>
              <w:right w:val="nil"/>
            </w:tcBorders>
            <w:noWrap/>
            <w:vAlign w:val="center"/>
            <w:hideMark/>
          </w:tcPr>
          <w:p w14:paraId="1E16C46F"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0</w:t>
            </w:r>
          </w:p>
        </w:tc>
        <w:tc>
          <w:tcPr>
            <w:tcW w:w="434" w:type="pct"/>
            <w:tcBorders>
              <w:top w:val="nil"/>
              <w:left w:val="nil"/>
              <w:bottom w:val="single" w:sz="8" w:space="0" w:color="808080"/>
              <w:right w:val="nil"/>
            </w:tcBorders>
            <w:noWrap/>
            <w:vAlign w:val="center"/>
            <w:hideMark/>
          </w:tcPr>
          <w:p w14:paraId="6A7A8F7E"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0%</w:t>
            </w:r>
          </w:p>
        </w:tc>
      </w:tr>
      <w:tr w:rsidR="00643CE2" w:rsidRPr="0044100E" w14:paraId="34D245B4" w14:textId="77777777" w:rsidTr="00643CE2">
        <w:trPr>
          <w:trHeight w:val="214"/>
        </w:trPr>
        <w:tc>
          <w:tcPr>
            <w:tcW w:w="1198" w:type="pct"/>
            <w:tcBorders>
              <w:top w:val="nil"/>
              <w:left w:val="nil"/>
              <w:bottom w:val="single" w:sz="8" w:space="0" w:color="808080"/>
              <w:right w:val="nil"/>
            </w:tcBorders>
            <w:noWrap/>
            <w:vAlign w:val="center"/>
            <w:hideMark/>
          </w:tcPr>
          <w:p w14:paraId="75A18785" w14:textId="77777777" w:rsidR="00643CE2" w:rsidRPr="0044100E" w:rsidRDefault="00643CE2">
            <w:pPr>
              <w:ind w:firstLineChars="100" w:firstLine="160"/>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SGP - Salud Pública</w:t>
            </w:r>
          </w:p>
        </w:tc>
        <w:tc>
          <w:tcPr>
            <w:tcW w:w="541" w:type="pct"/>
            <w:tcBorders>
              <w:top w:val="nil"/>
              <w:left w:val="nil"/>
              <w:bottom w:val="single" w:sz="8" w:space="0" w:color="808080"/>
              <w:right w:val="nil"/>
            </w:tcBorders>
            <w:noWrap/>
            <w:vAlign w:val="center"/>
            <w:hideMark/>
          </w:tcPr>
          <w:p w14:paraId="50D8E417" w14:textId="2342B43A"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4.119 </w:t>
            </w:r>
          </w:p>
        </w:tc>
        <w:tc>
          <w:tcPr>
            <w:tcW w:w="530" w:type="pct"/>
            <w:tcBorders>
              <w:top w:val="nil"/>
              <w:left w:val="nil"/>
              <w:bottom w:val="single" w:sz="8" w:space="0" w:color="808080"/>
              <w:right w:val="nil"/>
            </w:tcBorders>
            <w:noWrap/>
            <w:vAlign w:val="center"/>
            <w:hideMark/>
          </w:tcPr>
          <w:p w14:paraId="2BB31A0D" w14:textId="09BD3B80"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4.962 </w:t>
            </w:r>
          </w:p>
        </w:tc>
        <w:tc>
          <w:tcPr>
            <w:tcW w:w="501" w:type="pct"/>
            <w:tcBorders>
              <w:top w:val="nil"/>
              <w:left w:val="nil"/>
              <w:bottom w:val="single" w:sz="8" w:space="0" w:color="808080"/>
              <w:right w:val="nil"/>
            </w:tcBorders>
            <w:noWrap/>
            <w:vAlign w:val="center"/>
            <w:hideMark/>
          </w:tcPr>
          <w:p w14:paraId="10FB3A72" w14:textId="29B216EC"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6.979 </w:t>
            </w:r>
          </w:p>
        </w:tc>
        <w:tc>
          <w:tcPr>
            <w:tcW w:w="532" w:type="pct"/>
            <w:tcBorders>
              <w:top w:val="nil"/>
              <w:left w:val="nil"/>
              <w:bottom w:val="single" w:sz="8" w:space="0" w:color="808080"/>
              <w:right w:val="nil"/>
            </w:tcBorders>
            <w:noWrap/>
            <w:vAlign w:val="center"/>
            <w:hideMark/>
          </w:tcPr>
          <w:p w14:paraId="10FDD31A" w14:textId="4501B8A7"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9.488 </w:t>
            </w:r>
          </w:p>
        </w:tc>
        <w:tc>
          <w:tcPr>
            <w:tcW w:w="541" w:type="pct"/>
            <w:tcBorders>
              <w:top w:val="nil"/>
              <w:left w:val="nil"/>
              <w:bottom w:val="single" w:sz="8" w:space="0" w:color="808080"/>
              <w:right w:val="nil"/>
            </w:tcBorders>
            <w:noWrap/>
            <w:vAlign w:val="center"/>
            <w:hideMark/>
          </w:tcPr>
          <w:p w14:paraId="74983BF2" w14:textId="40F3E027"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6.979 </w:t>
            </w:r>
          </w:p>
        </w:tc>
        <w:tc>
          <w:tcPr>
            <w:tcW w:w="464" w:type="pct"/>
            <w:tcBorders>
              <w:top w:val="nil"/>
              <w:left w:val="nil"/>
              <w:bottom w:val="single" w:sz="8" w:space="0" w:color="808080"/>
              <w:right w:val="nil"/>
            </w:tcBorders>
            <w:noWrap/>
            <w:vAlign w:val="center"/>
            <w:hideMark/>
          </w:tcPr>
          <w:p w14:paraId="0F40B944" w14:textId="5E635695"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4.809 </w:t>
            </w:r>
          </w:p>
        </w:tc>
        <w:tc>
          <w:tcPr>
            <w:tcW w:w="259" w:type="pct"/>
            <w:tcBorders>
              <w:top w:val="nil"/>
              <w:left w:val="nil"/>
              <w:bottom w:val="single" w:sz="8" w:space="0" w:color="808080"/>
              <w:right w:val="nil"/>
            </w:tcBorders>
            <w:noWrap/>
            <w:vAlign w:val="center"/>
            <w:hideMark/>
          </w:tcPr>
          <w:p w14:paraId="41100D0A"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100%</w:t>
            </w:r>
          </w:p>
        </w:tc>
        <w:tc>
          <w:tcPr>
            <w:tcW w:w="434" w:type="pct"/>
            <w:tcBorders>
              <w:top w:val="nil"/>
              <w:left w:val="nil"/>
              <w:bottom w:val="single" w:sz="8" w:space="0" w:color="808080"/>
              <w:right w:val="nil"/>
            </w:tcBorders>
            <w:noWrap/>
            <w:vAlign w:val="center"/>
            <w:hideMark/>
          </w:tcPr>
          <w:p w14:paraId="1FD12056"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51%</w:t>
            </w:r>
          </w:p>
        </w:tc>
      </w:tr>
      <w:tr w:rsidR="00643CE2" w:rsidRPr="0044100E" w14:paraId="56B01431" w14:textId="77777777" w:rsidTr="00643CE2">
        <w:trPr>
          <w:trHeight w:val="214"/>
        </w:trPr>
        <w:tc>
          <w:tcPr>
            <w:tcW w:w="1198" w:type="pct"/>
            <w:tcBorders>
              <w:top w:val="nil"/>
              <w:left w:val="nil"/>
              <w:bottom w:val="single" w:sz="8" w:space="0" w:color="808080"/>
              <w:right w:val="nil"/>
            </w:tcBorders>
            <w:noWrap/>
            <w:vAlign w:val="center"/>
            <w:hideMark/>
          </w:tcPr>
          <w:p w14:paraId="01C8E8A8" w14:textId="77777777" w:rsidR="00643CE2" w:rsidRPr="0044100E" w:rsidRDefault="00643CE2">
            <w:pPr>
              <w:ind w:firstLineChars="100" w:firstLine="160"/>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Otras Transferencias Nación</w:t>
            </w:r>
          </w:p>
        </w:tc>
        <w:tc>
          <w:tcPr>
            <w:tcW w:w="541" w:type="pct"/>
            <w:tcBorders>
              <w:top w:val="nil"/>
              <w:left w:val="nil"/>
              <w:bottom w:val="single" w:sz="8" w:space="0" w:color="808080"/>
              <w:right w:val="nil"/>
            </w:tcBorders>
            <w:noWrap/>
            <w:vAlign w:val="center"/>
            <w:hideMark/>
          </w:tcPr>
          <w:p w14:paraId="1392157A" w14:textId="4F349776"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4.501 </w:t>
            </w:r>
          </w:p>
        </w:tc>
        <w:tc>
          <w:tcPr>
            <w:tcW w:w="530" w:type="pct"/>
            <w:tcBorders>
              <w:top w:val="nil"/>
              <w:left w:val="nil"/>
              <w:bottom w:val="single" w:sz="8" w:space="0" w:color="808080"/>
              <w:right w:val="nil"/>
            </w:tcBorders>
            <w:noWrap/>
            <w:vAlign w:val="center"/>
            <w:hideMark/>
          </w:tcPr>
          <w:p w14:paraId="664EB5BF" w14:textId="4BF16306"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4.863 </w:t>
            </w:r>
          </w:p>
        </w:tc>
        <w:tc>
          <w:tcPr>
            <w:tcW w:w="501" w:type="pct"/>
            <w:tcBorders>
              <w:top w:val="nil"/>
              <w:left w:val="nil"/>
              <w:bottom w:val="single" w:sz="8" w:space="0" w:color="808080"/>
              <w:right w:val="nil"/>
            </w:tcBorders>
            <w:noWrap/>
            <w:vAlign w:val="center"/>
            <w:hideMark/>
          </w:tcPr>
          <w:p w14:paraId="749F5BB7" w14:textId="513791B3"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5.183 </w:t>
            </w:r>
          </w:p>
        </w:tc>
        <w:tc>
          <w:tcPr>
            <w:tcW w:w="532" w:type="pct"/>
            <w:tcBorders>
              <w:top w:val="nil"/>
              <w:left w:val="nil"/>
              <w:bottom w:val="single" w:sz="8" w:space="0" w:color="808080"/>
              <w:right w:val="nil"/>
            </w:tcBorders>
            <w:noWrap/>
            <w:vAlign w:val="center"/>
            <w:hideMark/>
          </w:tcPr>
          <w:p w14:paraId="208E7AF0" w14:textId="596541EF"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5.049 </w:t>
            </w:r>
          </w:p>
        </w:tc>
        <w:tc>
          <w:tcPr>
            <w:tcW w:w="541" w:type="pct"/>
            <w:tcBorders>
              <w:top w:val="nil"/>
              <w:left w:val="nil"/>
              <w:bottom w:val="single" w:sz="8" w:space="0" w:color="808080"/>
              <w:right w:val="nil"/>
            </w:tcBorders>
            <w:noWrap/>
            <w:vAlign w:val="center"/>
            <w:hideMark/>
          </w:tcPr>
          <w:p w14:paraId="150EFB9E" w14:textId="607E06A9"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3.990 </w:t>
            </w:r>
          </w:p>
        </w:tc>
        <w:tc>
          <w:tcPr>
            <w:tcW w:w="464" w:type="pct"/>
            <w:tcBorders>
              <w:top w:val="nil"/>
              <w:left w:val="nil"/>
              <w:bottom w:val="single" w:sz="8" w:space="0" w:color="808080"/>
              <w:right w:val="nil"/>
            </w:tcBorders>
            <w:noWrap/>
            <w:vAlign w:val="center"/>
            <w:hideMark/>
          </w:tcPr>
          <w:p w14:paraId="7AD7993D" w14:textId="28439ECD"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1.256 </w:t>
            </w:r>
          </w:p>
        </w:tc>
        <w:tc>
          <w:tcPr>
            <w:tcW w:w="259" w:type="pct"/>
            <w:tcBorders>
              <w:top w:val="nil"/>
              <w:left w:val="nil"/>
              <w:bottom w:val="single" w:sz="8" w:space="0" w:color="808080"/>
              <w:right w:val="nil"/>
            </w:tcBorders>
            <w:noWrap/>
            <w:vAlign w:val="center"/>
            <w:hideMark/>
          </w:tcPr>
          <w:p w14:paraId="3C1EA5E2"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77%</w:t>
            </w:r>
          </w:p>
        </w:tc>
        <w:tc>
          <w:tcPr>
            <w:tcW w:w="434" w:type="pct"/>
            <w:tcBorders>
              <w:top w:val="nil"/>
              <w:left w:val="nil"/>
              <w:bottom w:val="single" w:sz="8" w:space="0" w:color="808080"/>
              <w:right w:val="nil"/>
            </w:tcBorders>
            <w:noWrap/>
            <w:vAlign w:val="center"/>
            <w:hideMark/>
          </w:tcPr>
          <w:p w14:paraId="7ECE9827"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25%</w:t>
            </w:r>
          </w:p>
        </w:tc>
      </w:tr>
      <w:tr w:rsidR="00643CE2" w:rsidRPr="0044100E" w14:paraId="3DD34338" w14:textId="77777777" w:rsidTr="00643CE2">
        <w:trPr>
          <w:trHeight w:val="214"/>
        </w:trPr>
        <w:tc>
          <w:tcPr>
            <w:tcW w:w="1198" w:type="pct"/>
            <w:tcBorders>
              <w:top w:val="nil"/>
              <w:left w:val="nil"/>
              <w:bottom w:val="single" w:sz="8" w:space="0" w:color="808080"/>
              <w:right w:val="nil"/>
            </w:tcBorders>
            <w:noWrap/>
            <w:vAlign w:val="center"/>
            <w:hideMark/>
          </w:tcPr>
          <w:p w14:paraId="3C0377BD" w14:textId="77777777" w:rsidR="00643CE2" w:rsidRPr="0044100E" w:rsidRDefault="00643CE2">
            <w:pPr>
              <w:ind w:firstLineChars="100" w:firstLine="160"/>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Otros ingresos</w:t>
            </w:r>
          </w:p>
        </w:tc>
        <w:tc>
          <w:tcPr>
            <w:tcW w:w="541" w:type="pct"/>
            <w:tcBorders>
              <w:top w:val="nil"/>
              <w:left w:val="nil"/>
              <w:bottom w:val="single" w:sz="8" w:space="0" w:color="808080"/>
              <w:right w:val="nil"/>
            </w:tcBorders>
            <w:noWrap/>
            <w:vAlign w:val="center"/>
            <w:hideMark/>
          </w:tcPr>
          <w:p w14:paraId="6C1562A0" w14:textId="339961D5"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25 </w:t>
            </w:r>
          </w:p>
        </w:tc>
        <w:tc>
          <w:tcPr>
            <w:tcW w:w="530" w:type="pct"/>
            <w:tcBorders>
              <w:top w:val="nil"/>
              <w:left w:val="nil"/>
              <w:bottom w:val="single" w:sz="8" w:space="0" w:color="808080"/>
              <w:right w:val="nil"/>
            </w:tcBorders>
            <w:noWrap/>
            <w:vAlign w:val="center"/>
            <w:hideMark/>
          </w:tcPr>
          <w:p w14:paraId="0B759395" w14:textId="59E0630E"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41 </w:t>
            </w:r>
          </w:p>
        </w:tc>
        <w:tc>
          <w:tcPr>
            <w:tcW w:w="501" w:type="pct"/>
            <w:tcBorders>
              <w:top w:val="nil"/>
              <w:left w:val="nil"/>
              <w:bottom w:val="single" w:sz="8" w:space="0" w:color="808080"/>
              <w:right w:val="nil"/>
            </w:tcBorders>
            <w:noWrap/>
            <w:vAlign w:val="center"/>
            <w:hideMark/>
          </w:tcPr>
          <w:p w14:paraId="38AB6D8E" w14:textId="2913ADD3"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28 </w:t>
            </w:r>
          </w:p>
        </w:tc>
        <w:tc>
          <w:tcPr>
            <w:tcW w:w="532" w:type="pct"/>
            <w:tcBorders>
              <w:top w:val="nil"/>
              <w:left w:val="nil"/>
              <w:bottom w:val="single" w:sz="8" w:space="0" w:color="808080"/>
              <w:right w:val="nil"/>
            </w:tcBorders>
            <w:noWrap/>
            <w:vAlign w:val="center"/>
            <w:hideMark/>
          </w:tcPr>
          <w:p w14:paraId="2396C3CB" w14:textId="69FED196"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41 </w:t>
            </w:r>
          </w:p>
        </w:tc>
        <w:tc>
          <w:tcPr>
            <w:tcW w:w="541" w:type="pct"/>
            <w:tcBorders>
              <w:top w:val="nil"/>
              <w:left w:val="nil"/>
              <w:bottom w:val="single" w:sz="8" w:space="0" w:color="808080"/>
              <w:right w:val="nil"/>
            </w:tcBorders>
            <w:noWrap/>
            <w:vAlign w:val="center"/>
            <w:hideMark/>
          </w:tcPr>
          <w:p w14:paraId="69E2091A" w14:textId="0271F5C1"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30 </w:t>
            </w:r>
          </w:p>
        </w:tc>
        <w:tc>
          <w:tcPr>
            <w:tcW w:w="464" w:type="pct"/>
            <w:tcBorders>
              <w:top w:val="nil"/>
              <w:left w:val="nil"/>
              <w:bottom w:val="single" w:sz="8" w:space="0" w:color="808080"/>
              <w:right w:val="nil"/>
            </w:tcBorders>
            <w:noWrap/>
            <w:vAlign w:val="center"/>
            <w:hideMark/>
          </w:tcPr>
          <w:p w14:paraId="1F8419CB" w14:textId="00F6FE5C"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20 </w:t>
            </w:r>
          </w:p>
        </w:tc>
        <w:tc>
          <w:tcPr>
            <w:tcW w:w="259" w:type="pct"/>
            <w:tcBorders>
              <w:top w:val="nil"/>
              <w:left w:val="nil"/>
              <w:bottom w:val="single" w:sz="8" w:space="0" w:color="808080"/>
              <w:right w:val="nil"/>
            </w:tcBorders>
            <w:noWrap/>
            <w:vAlign w:val="center"/>
            <w:hideMark/>
          </w:tcPr>
          <w:p w14:paraId="29DE3114"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106%</w:t>
            </w:r>
          </w:p>
        </w:tc>
        <w:tc>
          <w:tcPr>
            <w:tcW w:w="434" w:type="pct"/>
            <w:tcBorders>
              <w:top w:val="nil"/>
              <w:left w:val="nil"/>
              <w:bottom w:val="single" w:sz="8" w:space="0" w:color="808080"/>
              <w:right w:val="nil"/>
            </w:tcBorders>
            <w:noWrap/>
            <w:vAlign w:val="center"/>
            <w:hideMark/>
          </w:tcPr>
          <w:p w14:paraId="4C0D85CF"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49%</w:t>
            </w:r>
          </w:p>
        </w:tc>
      </w:tr>
      <w:tr w:rsidR="00643CE2" w:rsidRPr="0044100E" w14:paraId="59342B6F" w14:textId="77777777" w:rsidTr="00643CE2">
        <w:trPr>
          <w:trHeight w:val="214"/>
        </w:trPr>
        <w:tc>
          <w:tcPr>
            <w:tcW w:w="1198" w:type="pct"/>
            <w:tcBorders>
              <w:top w:val="nil"/>
              <w:left w:val="nil"/>
              <w:bottom w:val="single" w:sz="8" w:space="0" w:color="808080"/>
              <w:right w:val="nil"/>
            </w:tcBorders>
            <w:noWrap/>
            <w:vAlign w:val="center"/>
            <w:hideMark/>
          </w:tcPr>
          <w:p w14:paraId="6CC6A032" w14:textId="77777777" w:rsidR="00643CE2" w:rsidRPr="0044100E" w:rsidRDefault="00643CE2">
            <w:pPr>
              <w:rPr>
                <w:rFonts w:ascii="Arial" w:eastAsia="Times New Roman" w:hAnsi="Arial" w:cs="Arial"/>
                <w:b/>
                <w:bCs/>
                <w:sz w:val="16"/>
                <w:szCs w:val="16"/>
                <w:lang w:val="es-CO" w:eastAsia="es-CO"/>
              </w:rPr>
            </w:pPr>
            <w:r w:rsidRPr="0044100E">
              <w:rPr>
                <w:rFonts w:ascii="Arial" w:eastAsia="Times New Roman" w:hAnsi="Arial" w:cs="Arial"/>
                <w:b/>
                <w:bCs/>
                <w:sz w:val="16"/>
                <w:szCs w:val="16"/>
                <w:lang w:val="es-CO" w:eastAsia="es-CO"/>
              </w:rPr>
              <w:t>Ingresos de capital</w:t>
            </w:r>
          </w:p>
        </w:tc>
        <w:tc>
          <w:tcPr>
            <w:tcW w:w="541" w:type="pct"/>
            <w:tcBorders>
              <w:top w:val="nil"/>
              <w:left w:val="nil"/>
              <w:bottom w:val="single" w:sz="8" w:space="0" w:color="808080"/>
              <w:right w:val="nil"/>
            </w:tcBorders>
            <w:noWrap/>
            <w:vAlign w:val="center"/>
            <w:hideMark/>
          </w:tcPr>
          <w:p w14:paraId="1AFC8ABD" w14:textId="3EE37FCC"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w:t>
            </w:r>
            <w:r w:rsidR="009C7544">
              <w:rPr>
                <w:rFonts w:ascii="Arial" w:eastAsia="Times New Roman" w:hAnsi="Arial" w:cs="Arial"/>
                <w:sz w:val="16"/>
                <w:szCs w:val="16"/>
                <w:lang w:val="es-CO" w:eastAsia="es-CO"/>
              </w:rPr>
              <w:t xml:space="preserve"> </w:t>
            </w:r>
            <w:r w:rsidR="00643CE2" w:rsidRPr="0044100E">
              <w:rPr>
                <w:rFonts w:ascii="Arial" w:eastAsia="Times New Roman" w:hAnsi="Arial" w:cs="Arial"/>
                <w:sz w:val="16"/>
                <w:szCs w:val="16"/>
                <w:lang w:val="es-CO" w:eastAsia="es-CO"/>
              </w:rPr>
              <w:t xml:space="preserve"> </w:t>
            </w:r>
          </w:p>
        </w:tc>
        <w:tc>
          <w:tcPr>
            <w:tcW w:w="530" w:type="pct"/>
            <w:tcBorders>
              <w:top w:val="nil"/>
              <w:left w:val="nil"/>
              <w:bottom w:val="single" w:sz="8" w:space="0" w:color="808080"/>
              <w:right w:val="nil"/>
            </w:tcBorders>
            <w:noWrap/>
            <w:vAlign w:val="center"/>
            <w:hideMark/>
          </w:tcPr>
          <w:p w14:paraId="65632FC7" w14:textId="77777777" w:rsidR="00643CE2" w:rsidRPr="0044100E" w:rsidRDefault="00643CE2" w:rsidP="006F1BA4">
            <w:pPr>
              <w:jc w:val="right"/>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 </w:t>
            </w:r>
          </w:p>
        </w:tc>
        <w:tc>
          <w:tcPr>
            <w:tcW w:w="501" w:type="pct"/>
            <w:tcBorders>
              <w:top w:val="nil"/>
              <w:left w:val="nil"/>
              <w:bottom w:val="single" w:sz="8" w:space="0" w:color="808080"/>
              <w:right w:val="nil"/>
            </w:tcBorders>
            <w:noWrap/>
            <w:vAlign w:val="center"/>
            <w:hideMark/>
          </w:tcPr>
          <w:p w14:paraId="292CCB32" w14:textId="161A2DAF"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13.731 </w:t>
            </w:r>
          </w:p>
        </w:tc>
        <w:tc>
          <w:tcPr>
            <w:tcW w:w="532" w:type="pct"/>
            <w:tcBorders>
              <w:top w:val="nil"/>
              <w:left w:val="nil"/>
              <w:bottom w:val="single" w:sz="8" w:space="0" w:color="808080"/>
              <w:right w:val="nil"/>
            </w:tcBorders>
            <w:noWrap/>
            <w:vAlign w:val="center"/>
            <w:hideMark/>
          </w:tcPr>
          <w:p w14:paraId="367C1834" w14:textId="7FAE77D3"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20.000 </w:t>
            </w:r>
          </w:p>
        </w:tc>
        <w:tc>
          <w:tcPr>
            <w:tcW w:w="541" w:type="pct"/>
            <w:tcBorders>
              <w:top w:val="nil"/>
              <w:left w:val="nil"/>
              <w:bottom w:val="single" w:sz="8" w:space="0" w:color="808080"/>
              <w:right w:val="nil"/>
            </w:tcBorders>
            <w:noWrap/>
            <w:vAlign w:val="center"/>
            <w:hideMark/>
          </w:tcPr>
          <w:p w14:paraId="51B950F7" w14:textId="1578B4A4"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13.733 </w:t>
            </w:r>
          </w:p>
        </w:tc>
        <w:tc>
          <w:tcPr>
            <w:tcW w:w="464" w:type="pct"/>
            <w:tcBorders>
              <w:top w:val="nil"/>
              <w:left w:val="nil"/>
              <w:bottom w:val="single" w:sz="8" w:space="0" w:color="808080"/>
              <w:right w:val="nil"/>
            </w:tcBorders>
            <w:noWrap/>
            <w:vAlign w:val="center"/>
            <w:hideMark/>
          </w:tcPr>
          <w:p w14:paraId="4D63F7E9" w14:textId="2EDC51C6"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20.063 </w:t>
            </w:r>
          </w:p>
        </w:tc>
        <w:tc>
          <w:tcPr>
            <w:tcW w:w="259" w:type="pct"/>
            <w:tcBorders>
              <w:top w:val="nil"/>
              <w:left w:val="nil"/>
              <w:bottom w:val="single" w:sz="8" w:space="0" w:color="808080"/>
              <w:right w:val="nil"/>
            </w:tcBorders>
            <w:noWrap/>
            <w:vAlign w:val="center"/>
            <w:hideMark/>
          </w:tcPr>
          <w:p w14:paraId="0F2A79DE"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100%</w:t>
            </w:r>
          </w:p>
        </w:tc>
        <w:tc>
          <w:tcPr>
            <w:tcW w:w="434" w:type="pct"/>
            <w:tcBorders>
              <w:top w:val="nil"/>
              <w:left w:val="nil"/>
              <w:bottom w:val="single" w:sz="8" w:space="0" w:color="808080"/>
              <w:right w:val="nil"/>
            </w:tcBorders>
            <w:noWrap/>
            <w:vAlign w:val="center"/>
            <w:hideMark/>
          </w:tcPr>
          <w:p w14:paraId="6B91F36A"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100%</w:t>
            </w:r>
          </w:p>
        </w:tc>
      </w:tr>
      <w:tr w:rsidR="00643CE2" w:rsidRPr="0044100E" w14:paraId="1D1C609B" w14:textId="77777777" w:rsidTr="00643CE2">
        <w:trPr>
          <w:trHeight w:val="214"/>
        </w:trPr>
        <w:tc>
          <w:tcPr>
            <w:tcW w:w="1198" w:type="pct"/>
            <w:tcBorders>
              <w:top w:val="nil"/>
              <w:left w:val="nil"/>
              <w:bottom w:val="single" w:sz="8" w:space="0" w:color="808080"/>
              <w:right w:val="nil"/>
            </w:tcBorders>
            <w:noWrap/>
            <w:vAlign w:val="center"/>
            <w:hideMark/>
          </w:tcPr>
          <w:p w14:paraId="417319F7" w14:textId="77777777" w:rsidR="00643CE2" w:rsidRPr="0044100E" w:rsidRDefault="00643CE2">
            <w:pPr>
              <w:jc w:val="center"/>
              <w:rPr>
                <w:rFonts w:ascii="Arial" w:eastAsia="Times New Roman" w:hAnsi="Arial" w:cs="Arial"/>
                <w:b/>
                <w:bCs/>
                <w:sz w:val="16"/>
                <w:szCs w:val="16"/>
                <w:lang w:val="es-CO" w:eastAsia="es-CO"/>
              </w:rPr>
            </w:pPr>
            <w:r w:rsidRPr="0044100E">
              <w:rPr>
                <w:rFonts w:ascii="Arial" w:eastAsia="Times New Roman" w:hAnsi="Arial" w:cs="Arial"/>
                <w:b/>
                <w:bCs/>
                <w:sz w:val="16"/>
                <w:szCs w:val="16"/>
                <w:lang w:val="es-CO" w:eastAsia="es-CO"/>
              </w:rPr>
              <w:t>Total Ingresos FLS 2020</w:t>
            </w:r>
          </w:p>
        </w:tc>
        <w:tc>
          <w:tcPr>
            <w:tcW w:w="541" w:type="pct"/>
            <w:tcBorders>
              <w:top w:val="nil"/>
              <w:left w:val="nil"/>
              <w:bottom w:val="single" w:sz="8" w:space="0" w:color="808080"/>
              <w:right w:val="nil"/>
            </w:tcBorders>
            <w:noWrap/>
            <w:vAlign w:val="center"/>
            <w:hideMark/>
          </w:tcPr>
          <w:p w14:paraId="77B7EDFF" w14:textId="3AE3EEB5"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18.193 </w:t>
            </w:r>
          </w:p>
        </w:tc>
        <w:tc>
          <w:tcPr>
            <w:tcW w:w="530" w:type="pct"/>
            <w:tcBorders>
              <w:top w:val="nil"/>
              <w:left w:val="nil"/>
              <w:bottom w:val="single" w:sz="8" w:space="0" w:color="808080"/>
              <w:right w:val="nil"/>
            </w:tcBorders>
            <w:noWrap/>
            <w:vAlign w:val="center"/>
            <w:hideMark/>
          </w:tcPr>
          <w:p w14:paraId="66324499" w14:textId="4611DB25"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19.768 </w:t>
            </w:r>
          </w:p>
        </w:tc>
        <w:tc>
          <w:tcPr>
            <w:tcW w:w="501" w:type="pct"/>
            <w:tcBorders>
              <w:top w:val="nil"/>
              <w:left w:val="nil"/>
              <w:bottom w:val="single" w:sz="8" w:space="0" w:color="808080"/>
              <w:right w:val="nil"/>
            </w:tcBorders>
            <w:noWrap/>
            <w:vAlign w:val="center"/>
            <w:hideMark/>
          </w:tcPr>
          <w:p w14:paraId="317E9041" w14:textId="6DCD9969"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37.778 </w:t>
            </w:r>
          </w:p>
        </w:tc>
        <w:tc>
          <w:tcPr>
            <w:tcW w:w="532" w:type="pct"/>
            <w:tcBorders>
              <w:top w:val="nil"/>
              <w:left w:val="nil"/>
              <w:bottom w:val="single" w:sz="8" w:space="0" w:color="808080"/>
              <w:right w:val="nil"/>
            </w:tcBorders>
            <w:noWrap/>
            <w:vAlign w:val="center"/>
            <w:hideMark/>
          </w:tcPr>
          <w:p w14:paraId="5F70CBF4" w14:textId="5DEECB02"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47.086 </w:t>
            </w:r>
          </w:p>
        </w:tc>
        <w:tc>
          <w:tcPr>
            <w:tcW w:w="541" w:type="pct"/>
            <w:tcBorders>
              <w:top w:val="nil"/>
              <w:left w:val="nil"/>
              <w:bottom w:val="single" w:sz="8" w:space="0" w:color="808080"/>
              <w:right w:val="nil"/>
            </w:tcBorders>
            <w:noWrap/>
            <w:vAlign w:val="center"/>
            <w:hideMark/>
          </w:tcPr>
          <w:p w14:paraId="054D2E47" w14:textId="429AE9C9"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37.187 </w:t>
            </w:r>
          </w:p>
        </w:tc>
        <w:tc>
          <w:tcPr>
            <w:tcW w:w="464" w:type="pct"/>
            <w:tcBorders>
              <w:top w:val="nil"/>
              <w:left w:val="nil"/>
              <w:bottom w:val="single" w:sz="8" w:space="0" w:color="808080"/>
              <w:right w:val="nil"/>
            </w:tcBorders>
            <w:noWrap/>
            <w:vAlign w:val="center"/>
            <w:hideMark/>
          </w:tcPr>
          <w:p w14:paraId="7CF51D13" w14:textId="49970EFF" w:rsidR="00643CE2" w:rsidRPr="0044100E" w:rsidRDefault="006F1BA4" w:rsidP="006F1BA4">
            <w:pPr>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w:t>
            </w:r>
            <w:r w:rsidR="00643CE2" w:rsidRPr="0044100E">
              <w:rPr>
                <w:rFonts w:ascii="Arial" w:eastAsia="Times New Roman" w:hAnsi="Arial" w:cs="Arial"/>
                <w:sz w:val="16"/>
                <w:szCs w:val="16"/>
                <w:lang w:val="es-CO" w:eastAsia="es-CO"/>
              </w:rPr>
              <w:t xml:space="preserve">32.599 </w:t>
            </w:r>
          </w:p>
        </w:tc>
        <w:tc>
          <w:tcPr>
            <w:tcW w:w="259" w:type="pct"/>
            <w:tcBorders>
              <w:top w:val="nil"/>
              <w:left w:val="nil"/>
              <w:bottom w:val="single" w:sz="8" w:space="0" w:color="808080"/>
              <w:right w:val="nil"/>
            </w:tcBorders>
            <w:noWrap/>
            <w:vAlign w:val="center"/>
            <w:hideMark/>
          </w:tcPr>
          <w:p w14:paraId="62696673"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98%</w:t>
            </w:r>
          </w:p>
        </w:tc>
        <w:tc>
          <w:tcPr>
            <w:tcW w:w="434" w:type="pct"/>
            <w:tcBorders>
              <w:top w:val="nil"/>
              <w:left w:val="nil"/>
              <w:bottom w:val="single" w:sz="8" w:space="0" w:color="808080"/>
              <w:right w:val="nil"/>
            </w:tcBorders>
            <w:noWrap/>
            <w:vAlign w:val="center"/>
            <w:hideMark/>
          </w:tcPr>
          <w:p w14:paraId="008C300F" w14:textId="77777777" w:rsidR="00643CE2" w:rsidRPr="0044100E" w:rsidRDefault="00643CE2">
            <w:pPr>
              <w:jc w:val="cente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t>69%</w:t>
            </w:r>
          </w:p>
        </w:tc>
      </w:tr>
      <w:tr w:rsidR="00643CE2" w:rsidRPr="0044100E" w14:paraId="5DDB0182" w14:textId="77777777" w:rsidTr="00643CE2">
        <w:trPr>
          <w:trHeight w:val="238"/>
        </w:trPr>
        <w:tc>
          <w:tcPr>
            <w:tcW w:w="1198" w:type="pct"/>
            <w:noWrap/>
            <w:vAlign w:val="center"/>
            <w:hideMark/>
          </w:tcPr>
          <w:p w14:paraId="64B2D3C7"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 xml:space="preserve">Fuente: FUT </w:t>
            </w:r>
          </w:p>
        </w:tc>
        <w:tc>
          <w:tcPr>
            <w:tcW w:w="541" w:type="pct"/>
            <w:noWrap/>
            <w:vAlign w:val="center"/>
            <w:hideMark/>
          </w:tcPr>
          <w:p w14:paraId="3B736AD9" w14:textId="77777777" w:rsidR="00643CE2" w:rsidRPr="0044100E" w:rsidRDefault="00643CE2">
            <w:pPr>
              <w:rPr>
                <w:rFonts w:ascii="Arial" w:eastAsia="Times New Roman" w:hAnsi="Arial" w:cs="Arial"/>
                <w:color w:val="000000"/>
                <w:sz w:val="18"/>
                <w:szCs w:val="18"/>
                <w:lang w:val="es-CO" w:eastAsia="es-CO"/>
              </w:rPr>
            </w:pPr>
          </w:p>
        </w:tc>
        <w:tc>
          <w:tcPr>
            <w:tcW w:w="530" w:type="pct"/>
            <w:noWrap/>
            <w:vAlign w:val="center"/>
            <w:hideMark/>
          </w:tcPr>
          <w:p w14:paraId="55D6D80E" w14:textId="77777777" w:rsidR="00643CE2" w:rsidRPr="0044100E" w:rsidRDefault="00643CE2">
            <w:pPr>
              <w:rPr>
                <w:rFonts w:ascii="Arial" w:eastAsiaTheme="minorHAnsi" w:hAnsi="Arial" w:cs="Arial"/>
                <w:sz w:val="20"/>
                <w:szCs w:val="20"/>
                <w:lang w:val="es-CO" w:eastAsia="es-CO"/>
              </w:rPr>
            </w:pPr>
          </w:p>
        </w:tc>
        <w:tc>
          <w:tcPr>
            <w:tcW w:w="501" w:type="pct"/>
            <w:noWrap/>
            <w:vAlign w:val="center"/>
            <w:hideMark/>
          </w:tcPr>
          <w:p w14:paraId="2E2B6708" w14:textId="77777777" w:rsidR="00643CE2" w:rsidRPr="0044100E" w:rsidRDefault="00643CE2">
            <w:pPr>
              <w:rPr>
                <w:rFonts w:ascii="Arial" w:eastAsiaTheme="minorHAnsi" w:hAnsi="Arial" w:cs="Arial"/>
                <w:sz w:val="20"/>
                <w:szCs w:val="20"/>
                <w:lang w:val="es-CO" w:eastAsia="es-CO"/>
              </w:rPr>
            </w:pPr>
          </w:p>
        </w:tc>
        <w:tc>
          <w:tcPr>
            <w:tcW w:w="532" w:type="pct"/>
            <w:noWrap/>
            <w:vAlign w:val="center"/>
            <w:hideMark/>
          </w:tcPr>
          <w:p w14:paraId="521C5E7E" w14:textId="77777777" w:rsidR="00643CE2" w:rsidRPr="0044100E" w:rsidRDefault="00643CE2">
            <w:pPr>
              <w:rPr>
                <w:rFonts w:ascii="Arial" w:eastAsiaTheme="minorHAnsi" w:hAnsi="Arial" w:cs="Arial"/>
                <w:sz w:val="20"/>
                <w:szCs w:val="20"/>
                <w:lang w:val="es-CO" w:eastAsia="es-CO"/>
              </w:rPr>
            </w:pPr>
          </w:p>
        </w:tc>
        <w:tc>
          <w:tcPr>
            <w:tcW w:w="541" w:type="pct"/>
            <w:noWrap/>
            <w:vAlign w:val="center"/>
            <w:hideMark/>
          </w:tcPr>
          <w:p w14:paraId="2561F7A5" w14:textId="77777777" w:rsidR="00643CE2" w:rsidRPr="0044100E" w:rsidRDefault="00643CE2">
            <w:pPr>
              <w:rPr>
                <w:rFonts w:ascii="Arial" w:eastAsiaTheme="minorHAnsi" w:hAnsi="Arial" w:cs="Arial"/>
                <w:sz w:val="20"/>
                <w:szCs w:val="20"/>
                <w:lang w:val="es-CO" w:eastAsia="es-CO"/>
              </w:rPr>
            </w:pPr>
          </w:p>
        </w:tc>
        <w:tc>
          <w:tcPr>
            <w:tcW w:w="464" w:type="pct"/>
            <w:noWrap/>
            <w:vAlign w:val="center"/>
            <w:hideMark/>
          </w:tcPr>
          <w:p w14:paraId="3A662FB0" w14:textId="77777777" w:rsidR="00643CE2" w:rsidRPr="0044100E" w:rsidRDefault="00643CE2">
            <w:pPr>
              <w:rPr>
                <w:rFonts w:ascii="Arial" w:eastAsiaTheme="minorHAnsi" w:hAnsi="Arial" w:cs="Arial"/>
                <w:sz w:val="20"/>
                <w:szCs w:val="20"/>
                <w:lang w:val="es-CO" w:eastAsia="es-CO"/>
              </w:rPr>
            </w:pPr>
          </w:p>
        </w:tc>
        <w:tc>
          <w:tcPr>
            <w:tcW w:w="259" w:type="pct"/>
            <w:noWrap/>
            <w:vAlign w:val="center"/>
            <w:hideMark/>
          </w:tcPr>
          <w:p w14:paraId="7D4035FF" w14:textId="77777777" w:rsidR="00643CE2" w:rsidRPr="0044100E" w:rsidRDefault="00643CE2">
            <w:pPr>
              <w:rPr>
                <w:rFonts w:ascii="Arial" w:eastAsiaTheme="minorHAnsi" w:hAnsi="Arial" w:cs="Arial"/>
                <w:sz w:val="20"/>
                <w:szCs w:val="20"/>
                <w:lang w:val="es-CO" w:eastAsia="es-CO"/>
              </w:rPr>
            </w:pPr>
          </w:p>
        </w:tc>
        <w:tc>
          <w:tcPr>
            <w:tcW w:w="434" w:type="pct"/>
            <w:noWrap/>
            <w:vAlign w:val="center"/>
            <w:hideMark/>
          </w:tcPr>
          <w:p w14:paraId="23646748" w14:textId="77777777" w:rsidR="00643CE2" w:rsidRPr="0044100E" w:rsidRDefault="00643CE2">
            <w:pPr>
              <w:rPr>
                <w:rFonts w:ascii="Arial" w:eastAsiaTheme="minorHAnsi" w:hAnsi="Arial" w:cs="Arial"/>
                <w:sz w:val="20"/>
                <w:szCs w:val="20"/>
                <w:lang w:val="es-CO" w:eastAsia="es-CO"/>
              </w:rPr>
            </w:pPr>
          </w:p>
        </w:tc>
      </w:tr>
    </w:tbl>
    <w:p w14:paraId="62A421C4" w14:textId="77777777" w:rsidR="00643CE2" w:rsidRPr="0044100E" w:rsidRDefault="00643CE2" w:rsidP="00643CE2">
      <w:pPr>
        <w:jc w:val="both"/>
        <w:rPr>
          <w:rFonts w:ascii="Arial" w:hAnsi="Arial" w:cs="Arial"/>
          <w:sz w:val="22"/>
          <w:szCs w:val="22"/>
        </w:rPr>
      </w:pPr>
    </w:p>
    <w:p w14:paraId="4DB05A15" w14:textId="636B0E6F"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De acuerdo con la ejecución presupuestal de ingresos reportada por la Entidad en el FUT, al cierre de la vigencia 2020 se presupuestaron ingresos totales en el Sector Salud por </w:t>
      </w:r>
      <w:r w:rsidR="006F1BA4">
        <w:rPr>
          <w:rFonts w:ascii="Arial" w:hAnsi="Arial" w:cs="Arial"/>
          <w:sz w:val="22"/>
          <w:szCs w:val="22"/>
        </w:rPr>
        <w:t>$</w:t>
      </w:r>
      <w:r w:rsidRPr="0044100E">
        <w:rPr>
          <w:rFonts w:ascii="Arial" w:hAnsi="Arial" w:cs="Arial"/>
          <w:sz w:val="22"/>
          <w:szCs w:val="22"/>
        </w:rPr>
        <w:t xml:space="preserve">37.778 millones, reportando un recaudo por $37.187 millones para financiar los componentes de Régimen Subsidiado, Prestación de Servicios, Salud Pública y Otros Gastos en Salud, mostrando un porcentaje de ejecución del 98%. Respecto </w:t>
      </w:r>
      <w:r w:rsidR="007A0806" w:rsidRPr="0044100E">
        <w:rPr>
          <w:rFonts w:ascii="Arial" w:hAnsi="Arial" w:cs="Arial"/>
          <w:sz w:val="22"/>
          <w:szCs w:val="22"/>
        </w:rPr>
        <w:t>al total recaudado el</w:t>
      </w:r>
      <w:r w:rsidRPr="0044100E">
        <w:rPr>
          <w:rFonts w:ascii="Arial" w:hAnsi="Arial" w:cs="Arial"/>
          <w:sz w:val="22"/>
          <w:szCs w:val="22"/>
        </w:rPr>
        <w:t xml:space="preserve"> </w:t>
      </w:r>
      <w:r w:rsidR="007A0806" w:rsidRPr="0044100E">
        <w:rPr>
          <w:rFonts w:ascii="Arial" w:hAnsi="Arial" w:cs="Arial"/>
          <w:sz w:val="22"/>
          <w:szCs w:val="22"/>
        </w:rPr>
        <w:t>63</w:t>
      </w:r>
      <w:r w:rsidRPr="0044100E">
        <w:rPr>
          <w:rFonts w:ascii="Arial" w:hAnsi="Arial" w:cs="Arial"/>
          <w:sz w:val="22"/>
          <w:szCs w:val="22"/>
        </w:rPr>
        <w:t xml:space="preserve">% correspondió a Ingresos Corrientes y el </w:t>
      </w:r>
      <w:r w:rsidR="007A0806" w:rsidRPr="0044100E">
        <w:rPr>
          <w:rFonts w:ascii="Arial" w:hAnsi="Arial" w:cs="Arial"/>
          <w:sz w:val="22"/>
          <w:szCs w:val="22"/>
        </w:rPr>
        <w:t>37</w:t>
      </w:r>
      <w:r w:rsidRPr="0044100E">
        <w:rPr>
          <w:rFonts w:ascii="Arial" w:hAnsi="Arial" w:cs="Arial"/>
          <w:sz w:val="22"/>
          <w:szCs w:val="22"/>
        </w:rPr>
        <w:t>% ($13.733</w:t>
      </w:r>
      <w:r w:rsidR="005E422C">
        <w:rPr>
          <w:rFonts w:ascii="Arial" w:hAnsi="Arial" w:cs="Arial"/>
          <w:sz w:val="22"/>
          <w:szCs w:val="22"/>
        </w:rPr>
        <w:t xml:space="preserve"> </w:t>
      </w:r>
      <w:r w:rsidRPr="0044100E">
        <w:rPr>
          <w:rFonts w:ascii="Arial" w:hAnsi="Arial" w:cs="Arial"/>
          <w:sz w:val="22"/>
          <w:szCs w:val="22"/>
        </w:rPr>
        <w:t>millones) a recursos de Capital.</w:t>
      </w:r>
    </w:p>
    <w:p w14:paraId="017CB777" w14:textId="77777777" w:rsidR="00643CE2" w:rsidRPr="0044100E" w:rsidRDefault="00643CE2" w:rsidP="00643CE2">
      <w:pPr>
        <w:jc w:val="both"/>
        <w:rPr>
          <w:rFonts w:ascii="Arial" w:hAnsi="Arial" w:cs="Arial"/>
          <w:sz w:val="22"/>
          <w:szCs w:val="22"/>
        </w:rPr>
      </w:pPr>
    </w:p>
    <w:p w14:paraId="28970FEC" w14:textId="02D32B19" w:rsidR="00643CE2" w:rsidRPr="005E422C" w:rsidRDefault="00643CE2" w:rsidP="00643CE2">
      <w:pPr>
        <w:jc w:val="both"/>
        <w:rPr>
          <w:rFonts w:ascii="Arial" w:hAnsi="Arial" w:cs="Arial"/>
          <w:i/>
          <w:sz w:val="22"/>
          <w:szCs w:val="22"/>
        </w:rPr>
      </w:pPr>
      <w:r w:rsidRPr="0044100E">
        <w:rPr>
          <w:rFonts w:ascii="Arial" w:hAnsi="Arial" w:cs="Arial"/>
          <w:sz w:val="22"/>
          <w:szCs w:val="22"/>
        </w:rPr>
        <w:lastRenderedPageBreak/>
        <w:t>Del total de ingresos corrientes recaudados ($23.454 millones), los ingresos tributarios tuvieron una participación del 10% ($2.358</w:t>
      </w:r>
      <w:r w:rsidR="00620F85" w:rsidRPr="0044100E">
        <w:rPr>
          <w:rFonts w:ascii="Arial" w:hAnsi="Arial" w:cs="Arial"/>
          <w:sz w:val="22"/>
          <w:szCs w:val="22"/>
        </w:rPr>
        <w:t xml:space="preserve"> </w:t>
      </w:r>
      <w:r w:rsidRPr="0044100E">
        <w:rPr>
          <w:rFonts w:ascii="Arial" w:hAnsi="Arial" w:cs="Arial"/>
          <w:sz w:val="22"/>
          <w:szCs w:val="22"/>
        </w:rPr>
        <w:t>millones) y los no tributarios una participación del 90% ($21.096</w:t>
      </w:r>
      <w:r w:rsidR="00620F85" w:rsidRPr="0044100E">
        <w:rPr>
          <w:rFonts w:ascii="Arial" w:hAnsi="Arial" w:cs="Arial"/>
          <w:sz w:val="22"/>
          <w:szCs w:val="22"/>
        </w:rPr>
        <w:t xml:space="preserve"> </w:t>
      </w:r>
      <w:r w:rsidRPr="0044100E">
        <w:rPr>
          <w:rFonts w:ascii="Arial" w:hAnsi="Arial" w:cs="Arial"/>
          <w:sz w:val="22"/>
          <w:szCs w:val="22"/>
        </w:rPr>
        <w:t>millones); respecto a estos últimos, las transferencias para inversión del nivel nacional tuvieron una participación del 99,2% ($20.935 millones) ,los recursos de transferencias de libre destinación 0,7% (</w:t>
      </w:r>
      <w:r w:rsidR="007A0806" w:rsidRPr="0044100E">
        <w:rPr>
          <w:rFonts w:ascii="Arial" w:hAnsi="Arial" w:cs="Arial"/>
          <w:sz w:val="22"/>
          <w:szCs w:val="22"/>
        </w:rPr>
        <w:t>$</w:t>
      </w:r>
      <w:r w:rsidRPr="0044100E">
        <w:rPr>
          <w:rFonts w:ascii="Arial" w:hAnsi="Arial" w:cs="Arial"/>
          <w:sz w:val="22"/>
          <w:szCs w:val="22"/>
        </w:rPr>
        <w:t>130millones) y Tasas y derechos 0.1% ($30 millones)</w:t>
      </w:r>
      <w:r w:rsidR="00620F85" w:rsidRPr="0044100E">
        <w:rPr>
          <w:rFonts w:ascii="Arial" w:hAnsi="Arial" w:cs="Arial"/>
          <w:sz w:val="22"/>
          <w:szCs w:val="22"/>
        </w:rPr>
        <w:t>;</w:t>
      </w:r>
      <w:r w:rsidRPr="0044100E">
        <w:rPr>
          <w:rFonts w:ascii="Arial" w:hAnsi="Arial" w:cs="Arial"/>
          <w:sz w:val="22"/>
          <w:szCs w:val="22"/>
        </w:rPr>
        <w:t xml:space="preserve"> en cuanto a las Transferencias</w:t>
      </w:r>
      <w:r w:rsidR="007A0806" w:rsidRPr="0044100E">
        <w:rPr>
          <w:rFonts w:ascii="Arial" w:hAnsi="Arial" w:cs="Arial"/>
          <w:sz w:val="22"/>
          <w:szCs w:val="22"/>
        </w:rPr>
        <w:t xml:space="preserve"> del nivel nacional</w:t>
      </w:r>
      <w:r w:rsidRPr="0044100E">
        <w:rPr>
          <w:rFonts w:ascii="Arial" w:hAnsi="Arial" w:cs="Arial"/>
          <w:sz w:val="22"/>
          <w:szCs w:val="22"/>
        </w:rPr>
        <w:t xml:space="preserve">, </w:t>
      </w:r>
      <w:r w:rsidR="007A0806" w:rsidRPr="0044100E">
        <w:rPr>
          <w:rFonts w:ascii="Arial" w:hAnsi="Arial" w:cs="Arial"/>
          <w:sz w:val="22"/>
          <w:szCs w:val="22"/>
        </w:rPr>
        <w:t xml:space="preserve">los recursos del </w:t>
      </w:r>
      <w:r w:rsidRPr="0044100E">
        <w:rPr>
          <w:rFonts w:ascii="Arial" w:hAnsi="Arial" w:cs="Arial"/>
          <w:sz w:val="22"/>
          <w:szCs w:val="22"/>
        </w:rPr>
        <w:t xml:space="preserve">Sistema General de Participaciones </w:t>
      </w:r>
      <w:r w:rsidR="007A0806" w:rsidRPr="0044100E">
        <w:rPr>
          <w:rFonts w:ascii="Arial" w:hAnsi="Arial" w:cs="Arial"/>
          <w:sz w:val="22"/>
          <w:szCs w:val="22"/>
        </w:rPr>
        <w:t xml:space="preserve">representaron un </w:t>
      </w:r>
      <w:r w:rsidRPr="0044100E">
        <w:rPr>
          <w:rFonts w:ascii="Arial" w:hAnsi="Arial" w:cs="Arial"/>
          <w:sz w:val="22"/>
          <w:szCs w:val="22"/>
        </w:rPr>
        <w:t>82% ($17.075</w:t>
      </w:r>
      <w:r w:rsidR="007A0806" w:rsidRPr="0044100E">
        <w:rPr>
          <w:rFonts w:ascii="Arial" w:hAnsi="Arial" w:cs="Arial"/>
          <w:sz w:val="22"/>
          <w:szCs w:val="22"/>
        </w:rPr>
        <w:t xml:space="preserve"> </w:t>
      </w:r>
      <w:r w:rsidRPr="0044100E">
        <w:rPr>
          <w:rFonts w:ascii="Arial" w:hAnsi="Arial" w:cs="Arial"/>
          <w:sz w:val="22"/>
          <w:szCs w:val="22"/>
        </w:rPr>
        <w:t xml:space="preserve">millones), </w:t>
      </w:r>
      <w:r w:rsidR="007A0806" w:rsidRPr="0044100E">
        <w:rPr>
          <w:rFonts w:ascii="Arial" w:hAnsi="Arial" w:cs="Arial"/>
          <w:sz w:val="22"/>
          <w:szCs w:val="22"/>
        </w:rPr>
        <w:t xml:space="preserve">los </w:t>
      </w:r>
      <w:r w:rsidRPr="0044100E">
        <w:rPr>
          <w:rFonts w:ascii="Arial" w:hAnsi="Arial" w:cs="Arial"/>
          <w:sz w:val="22"/>
          <w:szCs w:val="22"/>
        </w:rPr>
        <w:t>recursos de Coljuegos 3% ($666</w:t>
      </w:r>
      <w:r w:rsidR="007A0806" w:rsidRPr="0044100E">
        <w:rPr>
          <w:rFonts w:ascii="Arial" w:hAnsi="Arial" w:cs="Arial"/>
          <w:sz w:val="22"/>
          <w:szCs w:val="22"/>
        </w:rPr>
        <w:t xml:space="preserve"> </w:t>
      </w:r>
      <w:r w:rsidRPr="0044100E">
        <w:rPr>
          <w:rFonts w:ascii="Arial" w:hAnsi="Arial" w:cs="Arial"/>
          <w:sz w:val="22"/>
          <w:szCs w:val="22"/>
        </w:rPr>
        <w:t>millones),</w:t>
      </w:r>
      <w:r w:rsidR="005E422C">
        <w:rPr>
          <w:rFonts w:ascii="Arial" w:hAnsi="Arial" w:cs="Arial"/>
          <w:sz w:val="22"/>
          <w:szCs w:val="22"/>
        </w:rPr>
        <w:t xml:space="preserve"> </w:t>
      </w:r>
      <w:r w:rsidRPr="0044100E">
        <w:rPr>
          <w:rFonts w:ascii="Arial" w:hAnsi="Arial" w:cs="Arial"/>
          <w:sz w:val="22"/>
          <w:szCs w:val="22"/>
        </w:rPr>
        <w:t>FOSYGA operación corriente régimen Subsidiado 7% (</w:t>
      </w:r>
      <w:r w:rsidR="006F1BA4">
        <w:rPr>
          <w:rFonts w:ascii="Arial" w:hAnsi="Arial" w:cs="Arial"/>
          <w:sz w:val="22"/>
          <w:szCs w:val="22"/>
        </w:rPr>
        <w:t>$</w:t>
      </w:r>
      <w:r w:rsidRPr="0044100E">
        <w:rPr>
          <w:rFonts w:ascii="Arial" w:hAnsi="Arial" w:cs="Arial"/>
          <w:sz w:val="22"/>
          <w:szCs w:val="22"/>
        </w:rPr>
        <w:t>1480)</w:t>
      </w:r>
      <w:r w:rsidR="009C7544">
        <w:rPr>
          <w:rFonts w:ascii="Arial" w:hAnsi="Arial" w:cs="Arial"/>
          <w:sz w:val="22"/>
          <w:szCs w:val="22"/>
        </w:rPr>
        <w:t xml:space="preserve"> </w:t>
      </w:r>
      <w:r w:rsidRPr="0044100E">
        <w:rPr>
          <w:rFonts w:ascii="Arial" w:hAnsi="Arial" w:cs="Arial"/>
          <w:sz w:val="22"/>
          <w:szCs w:val="22"/>
        </w:rPr>
        <w:t xml:space="preserve">y Otras Transferencias del Nivel Nacional para Inversión-Salud 8% ($1.714 millones). En el caso del Sistema General de Participaciones, </w:t>
      </w:r>
      <w:r w:rsidR="00620F85" w:rsidRPr="0044100E">
        <w:rPr>
          <w:rFonts w:ascii="Arial" w:hAnsi="Arial" w:cs="Arial"/>
          <w:sz w:val="22"/>
          <w:szCs w:val="22"/>
        </w:rPr>
        <w:t xml:space="preserve">el </w:t>
      </w:r>
      <w:r w:rsidRPr="0044100E">
        <w:rPr>
          <w:rFonts w:ascii="Arial" w:hAnsi="Arial" w:cs="Arial"/>
          <w:sz w:val="22"/>
          <w:szCs w:val="22"/>
        </w:rPr>
        <w:t xml:space="preserve">41% ($6.979 millones) correspondió a Salud Pública, </w:t>
      </w:r>
      <w:r w:rsidRPr="005E422C">
        <w:rPr>
          <w:rFonts w:ascii="Arial" w:hAnsi="Arial" w:cs="Arial"/>
          <w:sz w:val="22"/>
          <w:szCs w:val="22"/>
        </w:rPr>
        <w:t>49% ($8.339 millones) a Prestación de Servicios y 10% ($1.758 millones) a Régimen Subsidiado.</w:t>
      </w:r>
    </w:p>
    <w:p w14:paraId="464A9359" w14:textId="77777777" w:rsidR="00643CE2" w:rsidRPr="005E422C" w:rsidRDefault="00643CE2" w:rsidP="00643CE2">
      <w:pPr>
        <w:jc w:val="both"/>
        <w:rPr>
          <w:rFonts w:ascii="Arial" w:hAnsi="Arial" w:cs="Arial"/>
          <w:i/>
          <w:sz w:val="22"/>
          <w:szCs w:val="22"/>
        </w:rPr>
      </w:pPr>
    </w:p>
    <w:p w14:paraId="36038EAB" w14:textId="5B90245A" w:rsidR="00643CE2" w:rsidRPr="005E422C" w:rsidRDefault="00643CE2" w:rsidP="00643CE2">
      <w:pPr>
        <w:jc w:val="both"/>
        <w:rPr>
          <w:rFonts w:ascii="Arial" w:hAnsi="Arial" w:cs="Arial"/>
          <w:i/>
          <w:sz w:val="22"/>
          <w:szCs w:val="22"/>
        </w:rPr>
      </w:pPr>
      <w:r w:rsidRPr="005E422C">
        <w:rPr>
          <w:rFonts w:ascii="Arial" w:hAnsi="Arial" w:cs="Arial"/>
          <w:sz w:val="22"/>
          <w:szCs w:val="22"/>
        </w:rPr>
        <w:t>Del total de recursos de Capital ($13.733 millones) el 96% ($13.185</w:t>
      </w:r>
      <w:r w:rsidR="005E422C">
        <w:rPr>
          <w:rFonts w:ascii="Arial" w:hAnsi="Arial" w:cs="Arial"/>
          <w:sz w:val="22"/>
          <w:szCs w:val="22"/>
        </w:rPr>
        <w:t xml:space="preserve"> </w:t>
      </w:r>
      <w:r w:rsidRPr="005E422C">
        <w:rPr>
          <w:rFonts w:ascii="Arial" w:hAnsi="Arial" w:cs="Arial"/>
          <w:sz w:val="22"/>
          <w:szCs w:val="22"/>
        </w:rPr>
        <w:t>millones) corresponde a recursos del balance de la vigencia anterior y el 4% ($548</w:t>
      </w:r>
      <w:r w:rsidR="005E422C">
        <w:rPr>
          <w:rFonts w:ascii="Arial" w:hAnsi="Arial" w:cs="Arial"/>
          <w:sz w:val="22"/>
          <w:szCs w:val="22"/>
        </w:rPr>
        <w:t xml:space="preserve"> </w:t>
      </w:r>
      <w:r w:rsidRPr="005E422C">
        <w:rPr>
          <w:rFonts w:ascii="Arial" w:hAnsi="Arial" w:cs="Arial"/>
          <w:sz w:val="22"/>
          <w:szCs w:val="22"/>
        </w:rPr>
        <w:t xml:space="preserve">millones) a rendimientos financieros. </w:t>
      </w:r>
    </w:p>
    <w:p w14:paraId="4185034C" w14:textId="77777777" w:rsidR="00643CE2" w:rsidRPr="005E422C" w:rsidRDefault="00643CE2" w:rsidP="00643CE2">
      <w:pPr>
        <w:jc w:val="both"/>
        <w:rPr>
          <w:rFonts w:ascii="Arial" w:hAnsi="Arial" w:cs="Arial"/>
          <w:sz w:val="22"/>
          <w:szCs w:val="22"/>
        </w:rPr>
      </w:pPr>
    </w:p>
    <w:p w14:paraId="26DC57E6" w14:textId="43CF75EC" w:rsidR="00643CE2" w:rsidRPr="0044100E" w:rsidRDefault="00643CE2" w:rsidP="00643CE2">
      <w:pPr>
        <w:jc w:val="both"/>
        <w:rPr>
          <w:rFonts w:ascii="Arial" w:hAnsi="Arial" w:cs="Arial"/>
          <w:sz w:val="22"/>
          <w:szCs w:val="22"/>
        </w:rPr>
      </w:pPr>
      <w:r w:rsidRPr="0044100E">
        <w:rPr>
          <w:rFonts w:ascii="Arial" w:hAnsi="Arial" w:cs="Arial"/>
          <w:sz w:val="22"/>
          <w:szCs w:val="22"/>
        </w:rPr>
        <w:t>Al corte junio de 2021, el presupuesto inicial fue de $19.768 millones y el definitivo de $47.086 millones. El total de ingresos recaudados fue de $32.599, lo cual representa una ejecución del 69%. Respecto al total recaudado, el 38% correspondió a Ingresos Corrientes y el 62% ($20.063</w:t>
      </w:r>
      <w:r w:rsidR="005E422C">
        <w:rPr>
          <w:rFonts w:ascii="Arial" w:hAnsi="Arial" w:cs="Arial"/>
          <w:sz w:val="22"/>
          <w:szCs w:val="22"/>
        </w:rPr>
        <w:t xml:space="preserve"> </w:t>
      </w:r>
      <w:r w:rsidRPr="0044100E">
        <w:rPr>
          <w:rFonts w:ascii="Arial" w:hAnsi="Arial" w:cs="Arial"/>
          <w:sz w:val="22"/>
          <w:szCs w:val="22"/>
        </w:rPr>
        <w:t>millones) a Ingresos de Capital.</w:t>
      </w:r>
    </w:p>
    <w:p w14:paraId="6E24CB7F" w14:textId="77777777" w:rsidR="00643CE2" w:rsidRPr="0044100E" w:rsidRDefault="00643CE2" w:rsidP="00643CE2">
      <w:pPr>
        <w:jc w:val="both"/>
        <w:rPr>
          <w:rFonts w:ascii="Arial" w:hAnsi="Arial" w:cs="Arial"/>
          <w:sz w:val="22"/>
          <w:szCs w:val="22"/>
        </w:rPr>
      </w:pPr>
    </w:p>
    <w:p w14:paraId="149FC924" w14:textId="16457919" w:rsidR="00643CE2" w:rsidRPr="0044100E" w:rsidRDefault="00643CE2" w:rsidP="00643CE2">
      <w:pPr>
        <w:jc w:val="both"/>
        <w:rPr>
          <w:rFonts w:ascii="Arial" w:hAnsi="Arial" w:cs="Arial"/>
          <w:i/>
          <w:sz w:val="22"/>
          <w:szCs w:val="22"/>
        </w:rPr>
      </w:pPr>
      <w:r w:rsidRPr="0044100E">
        <w:rPr>
          <w:rFonts w:ascii="Arial" w:hAnsi="Arial" w:cs="Arial"/>
          <w:sz w:val="22"/>
          <w:szCs w:val="22"/>
        </w:rPr>
        <w:t>Del total de ingresos corrientes recaudados ($12.537</w:t>
      </w:r>
      <w:r w:rsidR="005E422C">
        <w:rPr>
          <w:rFonts w:ascii="Arial" w:hAnsi="Arial" w:cs="Arial"/>
          <w:sz w:val="22"/>
          <w:szCs w:val="22"/>
        </w:rPr>
        <w:t xml:space="preserve"> </w:t>
      </w:r>
      <w:r w:rsidRPr="0044100E">
        <w:rPr>
          <w:rFonts w:ascii="Arial" w:hAnsi="Arial" w:cs="Arial"/>
          <w:sz w:val="22"/>
          <w:szCs w:val="22"/>
        </w:rPr>
        <w:t>millones), los ingresos tributarios tuvieron una participación del 9% ($1.117 millones) y los no tributarios una participación del 91% ($11.420 millones); respecto a estos últimos, las transferencias para inversión del nivel nacional tuvieron una participación del 99.7% ($11.380</w:t>
      </w:r>
      <w:r w:rsidR="005E422C">
        <w:rPr>
          <w:rFonts w:ascii="Arial" w:hAnsi="Arial" w:cs="Arial"/>
          <w:sz w:val="22"/>
          <w:szCs w:val="22"/>
        </w:rPr>
        <w:t xml:space="preserve"> </w:t>
      </w:r>
      <w:r w:rsidRPr="0044100E">
        <w:rPr>
          <w:rFonts w:ascii="Arial" w:hAnsi="Arial" w:cs="Arial"/>
          <w:sz w:val="22"/>
          <w:szCs w:val="22"/>
        </w:rPr>
        <w:t>millones), los recursos de Tasas y Derechos 0.2% ($20 millones) y transferencias de libre inversión</w:t>
      </w:r>
      <w:r w:rsidR="009C7544">
        <w:rPr>
          <w:rFonts w:ascii="Arial" w:hAnsi="Arial" w:cs="Arial"/>
          <w:sz w:val="22"/>
          <w:szCs w:val="22"/>
        </w:rPr>
        <w:t xml:space="preserve"> </w:t>
      </w:r>
      <w:r w:rsidRPr="0044100E">
        <w:rPr>
          <w:rFonts w:ascii="Arial" w:hAnsi="Arial" w:cs="Arial"/>
          <w:sz w:val="22"/>
          <w:szCs w:val="22"/>
        </w:rPr>
        <w:t>0.1% ($19 millones); en cuanto a las Transferencias</w:t>
      </w:r>
      <w:r w:rsidR="007A0806" w:rsidRPr="0044100E">
        <w:rPr>
          <w:rFonts w:ascii="Arial" w:hAnsi="Arial" w:cs="Arial"/>
          <w:sz w:val="22"/>
          <w:szCs w:val="22"/>
        </w:rPr>
        <w:t xml:space="preserve"> del nivel nacional</w:t>
      </w:r>
      <w:r w:rsidRPr="0044100E">
        <w:rPr>
          <w:rFonts w:ascii="Arial" w:hAnsi="Arial" w:cs="Arial"/>
          <w:sz w:val="22"/>
          <w:szCs w:val="22"/>
        </w:rPr>
        <w:t xml:space="preserve">, </w:t>
      </w:r>
      <w:r w:rsidR="007A0806" w:rsidRPr="0044100E">
        <w:rPr>
          <w:rFonts w:ascii="Arial" w:hAnsi="Arial" w:cs="Arial"/>
          <w:sz w:val="22"/>
          <w:szCs w:val="22"/>
        </w:rPr>
        <w:t>los recursos del</w:t>
      </w:r>
      <w:r w:rsidR="00F84806">
        <w:rPr>
          <w:rFonts w:ascii="Arial" w:hAnsi="Arial" w:cs="Arial"/>
          <w:sz w:val="22"/>
          <w:szCs w:val="22"/>
        </w:rPr>
        <w:t xml:space="preserve"> </w:t>
      </w:r>
      <w:r w:rsidRPr="0044100E">
        <w:rPr>
          <w:rFonts w:ascii="Arial" w:hAnsi="Arial" w:cs="Arial"/>
          <w:sz w:val="22"/>
          <w:szCs w:val="22"/>
        </w:rPr>
        <w:t xml:space="preserve">Sistema General de Participaciones </w:t>
      </w:r>
      <w:r w:rsidR="007A0806" w:rsidRPr="0044100E">
        <w:rPr>
          <w:rFonts w:ascii="Arial" w:hAnsi="Arial" w:cs="Arial"/>
          <w:sz w:val="22"/>
          <w:szCs w:val="22"/>
        </w:rPr>
        <w:t>representaron un</w:t>
      </w:r>
      <w:r w:rsidRPr="0044100E">
        <w:rPr>
          <w:rFonts w:ascii="Arial" w:hAnsi="Arial" w:cs="Arial"/>
          <w:sz w:val="22"/>
          <w:szCs w:val="22"/>
        </w:rPr>
        <w:t xml:space="preserve"> 89% ($10.144 millones) y a Otras Transferencias del Nivel Nacional para Inversión-Salud en 11% ($1.256 millones). En el caso del Sistema General de Participaciones, 47% ($4.809 millones) correspondió a Salud Pública, 44% ($4.480</w:t>
      </w:r>
      <w:r w:rsidR="005E422C">
        <w:rPr>
          <w:rFonts w:ascii="Arial" w:hAnsi="Arial" w:cs="Arial"/>
          <w:sz w:val="22"/>
          <w:szCs w:val="22"/>
        </w:rPr>
        <w:t xml:space="preserve"> </w:t>
      </w:r>
      <w:r w:rsidRPr="0044100E">
        <w:rPr>
          <w:rFonts w:ascii="Arial" w:hAnsi="Arial" w:cs="Arial"/>
          <w:sz w:val="22"/>
          <w:szCs w:val="22"/>
        </w:rPr>
        <w:t>millones) a Prestación de Servicios y 8% ($855 millones) a Régimen Subsidiado.</w:t>
      </w:r>
    </w:p>
    <w:p w14:paraId="50F4233F" w14:textId="77777777" w:rsidR="00643CE2" w:rsidRPr="0044100E" w:rsidRDefault="00643CE2" w:rsidP="00643CE2">
      <w:pPr>
        <w:jc w:val="both"/>
        <w:rPr>
          <w:rFonts w:ascii="Arial" w:hAnsi="Arial" w:cs="Arial"/>
          <w:sz w:val="22"/>
          <w:szCs w:val="22"/>
          <w:highlight w:val="yellow"/>
        </w:rPr>
      </w:pPr>
    </w:p>
    <w:p w14:paraId="40F9186E" w14:textId="77777777" w:rsidR="00643CE2" w:rsidRPr="0044100E" w:rsidRDefault="00643CE2" w:rsidP="00643CE2">
      <w:pPr>
        <w:jc w:val="both"/>
        <w:rPr>
          <w:rFonts w:ascii="Arial" w:hAnsi="Arial" w:cs="Arial"/>
          <w:sz w:val="22"/>
          <w:szCs w:val="22"/>
        </w:rPr>
      </w:pPr>
      <w:r w:rsidRPr="0044100E">
        <w:rPr>
          <w:rFonts w:ascii="Arial" w:hAnsi="Arial" w:cs="Arial"/>
          <w:sz w:val="22"/>
          <w:szCs w:val="22"/>
        </w:rPr>
        <w:t>Del total de recursos de Capital ($20.063 millones) el 97% ($19.361 millones) corresponde a recursos del balance de la vigencia anterior y el 3% ($702 millones) a rendimientos financieros.</w:t>
      </w:r>
    </w:p>
    <w:p w14:paraId="2F2B070F" w14:textId="77777777" w:rsidR="00643CE2" w:rsidRPr="0044100E" w:rsidRDefault="00643CE2" w:rsidP="00643CE2">
      <w:pPr>
        <w:jc w:val="both"/>
        <w:rPr>
          <w:rFonts w:ascii="Arial" w:hAnsi="Arial" w:cs="Arial"/>
          <w:sz w:val="22"/>
          <w:szCs w:val="22"/>
        </w:rPr>
      </w:pPr>
    </w:p>
    <w:p w14:paraId="20BA8EC9" w14:textId="77777777" w:rsidR="00643CE2" w:rsidRPr="0044100E" w:rsidRDefault="00643CE2" w:rsidP="00643CE2">
      <w:pPr>
        <w:jc w:val="both"/>
        <w:rPr>
          <w:rFonts w:ascii="Arial" w:hAnsi="Arial" w:cs="Arial"/>
          <w:i/>
          <w:sz w:val="22"/>
          <w:szCs w:val="22"/>
        </w:rPr>
      </w:pPr>
      <w:r w:rsidRPr="0044100E">
        <w:rPr>
          <w:rFonts w:ascii="Arial" w:hAnsi="Arial" w:cs="Arial"/>
          <w:sz w:val="22"/>
          <w:szCs w:val="22"/>
        </w:rPr>
        <w:t>Verificada la información reportada a través del Formulario Único Territorial – FUT frente a la información reportada en las ejecuciones presupuestales remitidas por la ET se identifica consistencia en el reporte de los ingresos</w:t>
      </w:r>
      <w:r w:rsidRPr="0044100E">
        <w:rPr>
          <w:rFonts w:ascii="Arial" w:hAnsi="Arial" w:cs="Arial"/>
          <w:i/>
          <w:sz w:val="22"/>
          <w:szCs w:val="22"/>
        </w:rPr>
        <w:t xml:space="preserve">. </w:t>
      </w:r>
      <w:r w:rsidRPr="0044100E">
        <w:rPr>
          <w:rFonts w:ascii="Arial" w:hAnsi="Arial" w:cs="Arial"/>
          <w:sz w:val="22"/>
          <w:szCs w:val="22"/>
        </w:rPr>
        <w:t>De igual forma, se identifica que fueron apropiados la totalidad de los recursos que fueron transferidos por el SGP a cada componente</w:t>
      </w:r>
      <w:r w:rsidRPr="0044100E">
        <w:rPr>
          <w:rFonts w:ascii="Arial" w:hAnsi="Arial" w:cs="Arial"/>
          <w:i/>
          <w:sz w:val="22"/>
          <w:szCs w:val="22"/>
        </w:rPr>
        <w:t>.</w:t>
      </w:r>
      <w:r w:rsidRPr="0044100E">
        <w:rPr>
          <w:rFonts w:ascii="Arial" w:hAnsi="Arial" w:cs="Arial"/>
          <w:i/>
          <w:sz w:val="22"/>
          <w:szCs w:val="22"/>
          <w:highlight w:val="yellow"/>
        </w:rPr>
        <w:t xml:space="preserve"> </w:t>
      </w:r>
    </w:p>
    <w:p w14:paraId="300481AC" w14:textId="5BC225DC" w:rsidR="00643CE2" w:rsidRDefault="00643CE2" w:rsidP="00643CE2">
      <w:pPr>
        <w:jc w:val="both"/>
        <w:rPr>
          <w:rFonts w:ascii="Arial" w:hAnsi="Arial" w:cs="Arial"/>
          <w:sz w:val="22"/>
          <w:szCs w:val="22"/>
        </w:rPr>
      </w:pPr>
    </w:p>
    <w:p w14:paraId="42335545" w14:textId="43542C76" w:rsidR="00A11BF2" w:rsidRDefault="00A11BF2" w:rsidP="00643CE2">
      <w:pPr>
        <w:jc w:val="both"/>
        <w:rPr>
          <w:rFonts w:ascii="Arial" w:hAnsi="Arial" w:cs="Arial"/>
          <w:sz w:val="22"/>
          <w:szCs w:val="22"/>
        </w:rPr>
      </w:pPr>
    </w:p>
    <w:p w14:paraId="0F3A93C5" w14:textId="4623209E" w:rsidR="00A11BF2" w:rsidRDefault="00A11BF2" w:rsidP="00643CE2">
      <w:pPr>
        <w:jc w:val="both"/>
        <w:rPr>
          <w:rFonts w:ascii="Arial" w:hAnsi="Arial" w:cs="Arial"/>
          <w:sz w:val="22"/>
          <w:szCs w:val="22"/>
        </w:rPr>
      </w:pPr>
    </w:p>
    <w:p w14:paraId="4CA7395F" w14:textId="77777777" w:rsidR="00A11BF2" w:rsidRPr="0044100E" w:rsidRDefault="00A11BF2" w:rsidP="00643CE2">
      <w:pPr>
        <w:jc w:val="both"/>
        <w:rPr>
          <w:rFonts w:ascii="Arial" w:hAnsi="Arial" w:cs="Arial"/>
          <w:sz w:val="22"/>
          <w:szCs w:val="22"/>
        </w:rPr>
      </w:pPr>
    </w:p>
    <w:p w14:paraId="37EF765B" w14:textId="77777777" w:rsidR="00643CE2" w:rsidRPr="0044100E" w:rsidRDefault="00643CE2" w:rsidP="00643CE2">
      <w:pPr>
        <w:pStyle w:val="Prrafodelista"/>
        <w:numPr>
          <w:ilvl w:val="2"/>
          <w:numId w:val="22"/>
        </w:numPr>
        <w:jc w:val="both"/>
        <w:rPr>
          <w:rFonts w:ascii="Arial" w:eastAsia="Times New Roman" w:hAnsi="Arial" w:cs="Arial"/>
          <w:b/>
          <w:sz w:val="22"/>
          <w:szCs w:val="22"/>
        </w:rPr>
      </w:pPr>
      <w:r w:rsidRPr="0044100E">
        <w:rPr>
          <w:rFonts w:ascii="Arial" w:eastAsia="Times New Roman" w:hAnsi="Arial" w:cs="Arial"/>
          <w:b/>
          <w:sz w:val="22"/>
          <w:szCs w:val="22"/>
        </w:rPr>
        <w:lastRenderedPageBreak/>
        <w:t>Gastos</w:t>
      </w:r>
    </w:p>
    <w:p w14:paraId="789C56D9" w14:textId="77777777" w:rsidR="00643CE2" w:rsidRPr="0044100E" w:rsidRDefault="00643CE2" w:rsidP="00643CE2">
      <w:pPr>
        <w:jc w:val="both"/>
        <w:rPr>
          <w:rFonts w:ascii="Arial" w:hAnsi="Arial" w:cs="Arial"/>
          <w:sz w:val="22"/>
          <w:szCs w:val="22"/>
        </w:rPr>
      </w:pPr>
    </w:p>
    <w:p w14:paraId="20BCC236" w14:textId="77777777" w:rsidR="00643CE2" w:rsidRPr="0044100E" w:rsidRDefault="00643CE2" w:rsidP="00643CE2">
      <w:pPr>
        <w:jc w:val="both"/>
        <w:rPr>
          <w:rFonts w:ascii="Arial" w:hAnsi="Arial" w:cs="Arial"/>
          <w:sz w:val="22"/>
          <w:szCs w:val="22"/>
        </w:rPr>
      </w:pPr>
      <w:r w:rsidRPr="0044100E">
        <w:rPr>
          <w:rFonts w:ascii="Arial" w:hAnsi="Arial" w:cs="Arial"/>
          <w:sz w:val="22"/>
          <w:szCs w:val="22"/>
        </w:rPr>
        <w:t>En cuanto a la ejecución presupuestal de gastos del FLS presentada por la Entidad en el FUT al cierre 2020 y corte junio de 2021, los resultados son los siguientes:</w:t>
      </w:r>
    </w:p>
    <w:p w14:paraId="0473635E" w14:textId="114D7387" w:rsidR="00643CE2" w:rsidRPr="0044100E" w:rsidRDefault="00643CE2" w:rsidP="00643CE2">
      <w:pPr>
        <w:jc w:val="both"/>
        <w:rPr>
          <w:rFonts w:ascii="Arial" w:eastAsiaTheme="minorHAnsi" w:hAnsi="Arial" w:cs="Arial"/>
          <w:sz w:val="22"/>
          <w:szCs w:val="22"/>
          <w:lang w:val="es-CO" w:eastAsia="en-US"/>
        </w:rPr>
      </w:pPr>
      <w:r w:rsidRPr="0044100E">
        <w:rPr>
          <w:rFonts w:ascii="Arial" w:hAnsi="Arial" w:cs="Arial"/>
          <w:highlight w:val="yellow"/>
        </w:rPr>
        <w:fldChar w:fldCharType="begin"/>
      </w:r>
      <w:r w:rsidRPr="0044100E">
        <w:rPr>
          <w:rFonts w:ascii="Arial" w:hAnsi="Arial" w:cs="Arial"/>
          <w:highlight w:val="yellow"/>
        </w:rPr>
        <w:instrText xml:space="preserve"> LINK Excel.Sheet.8 "https://minhaciendagovco-my.sharepoint.com/personal/svalenci_minhacienda_gov_co/Documents/Entidades%20028/VAUPES/Ejecucion%20Presupuestal/11979700079K398610-1220201630675301892.xls" "cuadro informe!F49C2:F59C14" \a \f 4 \h </w:instrText>
      </w:r>
      <w:r w:rsidR="0044100E">
        <w:rPr>
          <w:rFonts w:ascii="Arial" w:hAnsi="Arial" w:cs="Arial"/>
          <w:highlight w:val="yellow"/>
        </w:rPr>
        <w:instrText xml:space="preserve"> \* MERGEFORMAT </w:instrText>
      </w:r>
      <w:r w:rsidRPr="0044100E">
        <w:rPr>
          <w:rFonts w:ascii="Arial" w:hAnsi="Arial" w:cs="Arial"/>
          <w:highlight w:val="yellow"/>
        </w:rPr>
        <w:fldChar w:fldCharType="separate"/>
      </w:r>
    </w:p>
    <w:p w14:paraId="59B7C724" w14:textId="77777777" w:rsidR="00643CE2" w:rsidRPr="0044100E" w:rsidRDefault="00643CE2" w:rsidP="00643CE2">
      <w:pPr>
        <w:jc w:val="both"/>
        <w:rPr>
          <w:rFonts w:ascii="Arial" w:hAnsi="Arial" w:cs="Arial"/>
          <w:sz w:val="22"/>
          <w:szCs w:val="22"/>
          <w:highlight w:val="yellow"/>
        </w:rPr>
      </w:pPr>
      <w:r w:rsidRPr="0044100E">
        <w:rPr>
          <w:rFonts w:ascii="Arial" w:hAnsi="Arial" w:cs="Arial"/>
          <w:sz w:val="22"/>
          <w:szCs w:val="22"/>
          <w:highlight w:val="yellow"/>
        </w:rPr>
        <w:fldChar w:fldCharType="end"/>
      </w:r>
      <w:r w:rsidRPr="0044100E">
        <w:rPr>
          <w:rFonts w:ascii="Arial" w:hAnsi="Arial" w:cs="Arial"/>
          <w:noProof/>
          <w:lang w:val="es-CO" w:eastAsia="es-CO"/>
        </w:rPr>
        <w:drawing>
          <wp:inline distT="0" distB="0" distL="0" distR="0" wp14:anchorId="36F96C21" wp14:editId="19B5FA6B">
            <wp:extent cx="5610225" cy="1819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819275"/>
                    </a:xfrm>
                    <a:prstGeom prst="rect">
                      <a:avLst/>
                    </a:prstGeom>
                    <a:noFill/>
                    <a:ln>
                      <a:noFill/>
                    </a:ln>
                  </pic:spPr>
                </pic:pic>
              </a:graphicData>
            </a:graphic>
          </wp:inline>
        </w:drawing>
      </w:r>
    </w:p>
    <w:p w14:paraId="7A5FA08B" w14:textId="77777777" w:rsidR="00643CE2" w:rsidRPr="0044100E" w:rsidRDefault="00643CE2" w:rsidP="00643CE2">
      <w:pPr>
        <w:jc w:val="both"/>
        <w:rPr>
          <w:rFonts w:ascii="Arial" w:hAnsi="Arial" w:cs="Arial"/>
          <w:sz w:val="22"/>
          <w:szCs w:val="22"/>
          <w:highlight w:val="yellow"/>
        </w:rPr>
      </w:pPr>
    </w:p>
    <w:p w14:paraId="419EE6FD" w14:textId="6B22D71A" w:rsidR="00643CE2" w:rsidRPr="0044100E" w:rsidRDefault="00643CE2" w:rsidP="00643CE2">
      <w:pPr>
        <w:jc w:val="both"/>
        <w:rPr>
          <w:rFonts w:ascii="Arial" w:hAnsi="Arial" w:cs="Arial"/>
          <w:sz w:val="22"/>
          <w:szCs w:val="22"/>
        </w:rPr>
      </w:pPr>
      <w:r w:rsidRPr="0044100E">
        <w:rPr>
          <w:rFonts w:ascii="Arial" w:hAnsi="Arial" w:cs="Arial"/>
          <w:sz w:val="22"/>
          <w:szCs w:val="22"/>
        </w:rPr>
        <w:t>Al cierre de la vigencia 2020, se apropiaron recursos por $37.778 millones, se generaron compromisos por $18.645 millones, sobre los cuales se efectuaron obligaciones por $14.610 millones y se efectuaron pagos por $14.215 millones, demostrando una ejecución del 48%. Del total de compromisos registrados, el 24% ($4.445 millones) correspondió a la cofinanciación del régimen subsidiado, el 33% ($6.107millones) al componente de Prestación de Servicios, el 25% ($4.619 millones) a las acciones de Salud Pública, y el 17% ($3.070 millones) a otros gastos en salud.</w:t>
      </w:r>
    </w:p>
    <w:p w14:paraId="0810405F" w14:textId="77777777" w:rsidR="00643CE2" w:rsidRPr="0044100E" w:rsidRDefault="00643CE2" w:rsidP="00643CE2">
      <w:pPr>
        <w:jc w:val="both"/>
        <w:rPr>
          <w:rFonts w:ascii="Arial" w:hAnsi="Arial" w:cs="Arial"/>
          <w:sz w:val="22"/>
          <w:szCs w:val="22"/>
          <w:lang w:eastAsia="en-US"/>
        </w:rPr>
      </w:pPr>
    </w:p>
    <w:p w14:paraId="056F85FE" w14:textId="7109F3DE"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Frente al componente de prestación de servicios, el 99% ($6.021millones) se orientó a financiar la prestación de servicios de la población pobre no asegurada, de los cuales el 66% corresponden a servicios contratados con Empresas Sociales </w:t>
      </w:r>
      <w:r w:rsidR="005E422C">
        <w:rPr>
          <w:rFonts w:ascii="Arial" w:hAnsi="Arial" w:cs="Arial"/>
          <w:sz w:val="22"/>
          <w:szCs w:val="22"/>
        </w:rPr>
        <w:t>d</w:t>
      </w:r>
      <w:r w:rsidRPr="0044100E">
        <w:rPr>
          <w:rFonts w:ascii="Arial" w:hAnsi="Arial" w:cs="Arial"/>
          <w:sz w:val="22"/>
          <w:szCs w:val="22"/>
        </w:rPr>
        <w:t xml:space="preserve">el Estado, el 2% a recursos orientados a financiar la atención de urgencias (sin contrato) en los diferentes niveles de complejidad, el 30% Servicios Contratados </w:t>
      </w:r>
      <w:r w:rsidR="005E422C">
        <w:rPr>
          <w:rFonts w:ascii="Arial" w:hAnsi="Arial" w:cs="Arial"/>
          <w:sz w:val="22"/>
          <w:szCs w:val="22"/>
        </w:rPr>
        <w:t>c</w:t>
      </w:r>
      <w:r w:rsidRPr="0044100E">
        <w:rPr>
          <w:rFonts w:ascii="Arial" w:hAnsi="Arial" w:cs="Arial"/>
          <w:sz w:val="22"/>
          <w:szCs w:val="22"/>
        </w:rPr>
        <w:t xml:space="preserve">on Instituciones Prestadoras </w:t>
      </w:r>
      <w:r w:rsidR="005E422C">
        <w:rPr>
          <w:rFonts w:ascii="Arial" w:hAnsi="Arial" w:cs="Arial"/>
          <w:sz w:val="22"/>
          <w:szCs w:val="22"/>
        </w:rPr>
        <w:t>d</w:t>
      </w:r>
      <w:r w:rsidRPr="0044100E">
        <w:rPr>
          <w:rFonts w:ascii="Arial" w:hAnsi="Arial" w:cs="Arial"/>
          <w:sz w:val="22"/>
          <w:szCs w:val="22"/>
        </w:rPr>
        <w:t xml:space="preserve">e Servicios </w:t>
      </w:r>
      <w:r w:rsidR="005E422C">
        <w:rPr>
          <w:rFonts w:ascii="Arial" w:hAnsi="Arial" w:cs="Arial"/>
          <w:sz w:val="22"/>
          <w:szCs w:val="22"/>
        </w:rPr>
        <w:t>d</w:t>
      </w:r>
      <w:r w:rsidRPr="0044100E">
        <w:rPr>
          <w:rFonts w:ascii="Arial" w:hAnsi="Arial" w:cs="Arial"/>
          <w:sz w:val="22"/>
          <w:szCs w:val="22"/>
        </w:rPr>
        <w:t>e Salud</w:t>
      </w:r>
      <w:r w:rsidR="00F84806">
        <w:rPr>
          <w:rFonts w:ascii="Arial" w:hAnsi="Arial" w:cs="Arial"/>
          <w:sz w:val="22"/>
          <w:szCs w:val="22"/>
        </w:rPr>
        <w:t xml:space="preserve"> </w:t>
      </w:r>
      <w:r w:rsidRPr="0044100E">
        <w:rPr>
          <w:rFonts w:ascii="Arial" w:hAnsi="Arial" w:cs="Arial"/>
          <w:sz w:val="22"/>
          <w:szCs w:val="22"/>
        </w:rPr>
        <w:t xml:space="preserve">Privadas </w:t>
      </w:r>
      <w:r w:rsidR="005E422C">
        <w:rPr>
          <w:rFonts w:ascii="Arial" w:hAnsi="Arial" w:cs="Arial"/>
          <w:sz w:val="22"/>
          <w:szCs w:val="22"/>
        </w:rPr>
        <w:t>o</w:t>
      </w:r>
      <w:r w:rsidRPr="0044100E">
        <w:rPr>
          <w:rFonts w:ascii="Arial" w:hAnsi="Arial" w:cs="Arial"/>
          <w:sz w:val="22"/>
          <w:szCs w:val="22"/>
        </w:rPr>
        <w:t xml:space="preserve"> Mixtas, el 2% Atención </w:t>
      </w:r>
      <w:r w:rsidR="009C7544">
        <w:rPr>
          <w:rFonts w:ascii="Arial" w:hAnsi="Arial" w:cs="Arial"/>
          <w:sz w:val="22"/>
          <w:szCs w:val="22"/>
        </w:rPr>
        <w:t>d</w:t>
      </w:r>
      <w:r w:rsidRPr="0044100E">
        <w:rPr>
          <w:rFonts w:ascii="Arial" w:hAnsi="Arial" w:cs="Arial"/>
          <w:sz w:val="22"/>
          <w:szCs w:val="22"/>
        </w:rPr>
        <w:t xml:space="preserve">e Urgencias (Sin Contrato) </w:t>
      </w:r>
      <w:r w:rsidR="009C7544">
        <w:rPr>
          <w:rFonts w:ascii="Arial" w:hAnsi="Arial" w:cs="Arial"/>
          <w:sz w:val="22"/>
          <w:szCs w:val="22"/>
        </w:rPr>
        <w:t>c</w:t>
      </w:r>
      <w:r w:rsidRPr="0044100E">
        <w:rPr>
          <w:rFonts w:ascii="Arial" w:hAnsi="Arial" w:cs="Arial"/>
          <w:sz w:val="22"/>
          <w:szCs w:val="22"/>
        </w:rPr>
        <w:t xml:space="preserve">on Instituciones Prestadoras </w:t>
      </w:r>
      <w:r w:rsidR="009C7544">
        <w:rPr>
          <w:rFonts w:ascii="Arial" w:hAnsi="Arial" w:cs="Arial"/>
          <w:sz w:val="22"/>
          <w:szCs w:val="22"/>
        </w:rPr>
        <w:t>d</w:t>
      </w:r>
      <w:r w:rsidRPr="0044100E">
        <w:rPr>
          <w:rFonts w:ascii="Arial" w:hAnsi="Arial" w:cs="Arial"/>
          <w:sz w:val="22"/>
          <w:szCs w:val="22"/>
        </w:rPr>
        <w:t xml:space="preserve">e Servicios </w:t>
      </w:r>
      <w:r w:rsidR="009C7544">
        <w:rPr>
          <w:rFonts w:ascii="Arial" w:hAnsi="Arial" w:cs="Arial"/>
          <w:sz w:val="22"/>
          <w:szCs w:val="22"/>
        </w:rPr>
        <w:t>d</w:t>
      </w:r>
      <w:r w:rsidRPr="0044100E">
        <w:rPr>
          <w:rFonts w:ascii="Arial" w:hAnsi="Arial" w:cs="Arial"/>
          <w:sz w:val="22"/>
          <w:szCs w:val="22"/>
        </w:rPr>
        <w:t xml:space="preserve">e Salud Privadas </w:t>
      </w:r>
      <w:r w:rsidR="009C7544">
        <w:rPr>
          <w:rFonts w:ascii="Arial" w:hAnsi="Arial" w:cs="Arial"/>
          <w:sz w:val="22"/>
          <w:szCs w:val="22"/>
        </w:rPr>
        <w:t>o</w:t>
      </w:r>
      <w:r w:rsidRPr="0044100E">
        <w:rPr>
          <w:rFonts w:ascii="Arial" w:hAnsi="Arial" w:cs="Arial"/>
          <w:sz w:val="22"/>
          <w:szCs w:val="22"/>
        </w:rPr>
        <w:t xml:space="preserve"> Mixtas</w:t>
      </w:r>
      <w:r w:rsidR="009C7544">
        <w:rPr>
          <w:rFonts w:ascii="Arial" w:hAnsi="Arial" w:cs="Arial"/>
          <w:sz w:val="22"/>
          <w:szCs w:val="22"/>
        </w:rPr>
        <w:t xml:space="preserve"> </w:t>
      </w:r>
      <w:r w:rsidRPr="0044100E">
        <w:rPr>
          <w:rFonts w:ascii="Arial" w:hAnsi="Arial" w:cs="Arial"/>
          <w:sz w:val="22"/>
          <w:szCs w:val="22"/>
        </w:rPr>
        <w:t>y el 1% (</w:t>
      </w:r>
      <w:r w:rsidR="006F1BA4">
        <w:rPr>
          <w:rFonts w:ascii="Arial" w:hAnsi="Arial" w:cs="Arial"/>
          <w:sz w:val="22"/>
          <w:szCs w:val="22"/>
        </w:rPr>
        <w:t>$</w:t>
      </w:r>
      <w:r w:rsidRPr="0044100E">
        <w:rPr>
          <w:rFonts w:ascii="Arial" w:eastAsia="Times New Roman" w:hAnsi="Arial" w:cs="Arial"/>
          <w:sz w:val="22"/>
          <w:szCs w:val="22"/>
          <w:lang w:val="es-CO" w:eastAsia="es-CO"/>
        </w:rPr>
        <w:t xml:space="preserve">86 </w:t>
      </w:r>
      <w:r w:rsidRPr="0044100E">
        <w:rPr>
          <w:rFonts w:ascii="Arial" w:hAnsi="Arial" w:cs="Arial"/>
          <w:sz w:val="22"/>
          <w:szCs w:val="22"/>
        </w:rPr>
        <w:t>millones) a financiar eventos no incluidos en el Plan de Beneficios del Régimen Subsidiado.</w:t>
      </w:r>
      <w:r w:rsidR="00BE711F" w:rsidRPr="0044100E">
        <w:rPr>
          <w:rFonts w:ascii="Arial" w:hAnsi="Arial" w:cs="Arial"/>
          <w:sz w:val="22"/>
          <w:szCs w:val="22"/>
        </w:rPr>
        <w:t xml:space="preserve"> En atención a lo dispuesto por la Ley 1955 de 2019, la ejecución de recursos del componente de prestación de servicios será objeto de verificación dada la orientación hacia el aseguramiento universal y la eliminación de la asignación de recursos del SGP para este fin.</w:t>
      </w:r>
    </w:p>
    <w:p w14:paraId="7F760736" w14:textId="77777777" w:rsidR="001846CC" w:rsidRPr="0044100E" w:rsidRDefault="001846CC" w:rsidP="00643CE2">
      <w:pPr>
        <w:jc w:val="both"/>
        <w:rPr>
          <w:rFonts w:ascii="Arial" w:hAnsi="Arial" w:cs="Arial"/>
          <w:sz w:val="22"/>
          <w:szCs w:val="22"/>
        </w:rPr>
      </w:pPr>
    </w:p>
    <w:p w14:paraId="22742563" w14:textId="7105124E" w:rsidR="00643CE2" w:rsidRPr="0044100E" w:rsidRDefault="00643CE2" w:rsidP="00643CE2">
      <w:pPr>
        <w:jc w:val="both"/>
        <w:rPr>
          <w:rFonts w:ascii="Arial" w:hAnsi="Arial" w:cs="Arial"/>
          <w:sz w:val="22"/>
          <w:szCs w:val="22"/>
          <w:highlight w:val="yellow"/>
        </w:rPr>
      </w:pPr>
      <w:r w:rsidRPr="0044100E">
        <w:rPr>
          <w:rFonts w:ascii="Arial" w:hAnsi="Arial" w:cs="Arial"/>
          <w:sz w:val="22"/>
          <w:szCs w:val="22"/>
        </w:rPr>
        <w:t xml:space="preserve">Con respecto al componente de salud pública, se presupuestaron recursos por $10.056 millones, de los cuales se comprometieron $4.619 millones, se efectuaron obligaciones por </w:t>
      </w:r>
      <w:r w:rsidR="006F1BA4">
        <w:rPr>
          <w:rFonts w:ascii="Arial" w:hAnsi="Arial" w:cs="Arial"/>
          <w:sz w:val="22"/>
          <w:szCs w:val="22"/>
        </w:rPr>
        <w:t>$</w:t>
      </w:r>
      <w:r w:rsidRPr="0044100E">
        <w:rPr>
          <w:rFonts w:ascii="Arial" w:hAnsi="Arial" w:cs="Arial"/>
          <w:sz w:val="22"/>
          <w:szCs w:val="22"/>
        </w:rPr>
        <w:t>3.965 millones y se realizaron pagos por $3.681 millones, mostrando una ejecución de 46%.</w:t>
      </w:r>
      <w:r w:rsidR="009C7544">
        <w:rPr>
          <w:rFonts w:ascii="Arial" w:hAnsi="Arial" w:cs="Arial"/>
          <w:sz w:val="22"/>
          <w:szCs w:val="22"/>
        </w:rPr>
        <w:t xml:space="preserve"> </w:t>
      </w:r>
      <w:r w:rsidRPr="0044100E">
        <w:rPr>
          <w:rFonts w:ascii="Arial" w:hAnsi="Arial" w:cs="Arial"/>
          <w:sz w:val="22"/>
          <w:szCs w:val="22"/>
        </w:rPr>
        <w:t xml:space="preserve">Se orientaron compromisos para el financiamiento de las 9 dimensiones, siendo la correspondiente a </w:t>
      </w:r>
      <w:r w:rsidR="00BE7A7D" w:rsidRPr="0044100E">
        <w:rPr>
          <w:rFonts w:ascii="Arial" w:hAnsi="Arial" w:cs="Arial"/>
          <w:sz w:val="22"/>
          <w:szCs w:val="22"/>
        </w:rPr>
        <w:t xml:space="preserve">Gestión de la Salud Pública la que mayor participación (70%) mostró, seguida de </w:t>
      </w:r>
      <w:r w:rsidRPr="0044100E">
        <w:rPr>
          <w:rFonts w:ascii="Arial" w:hAnsi="Arial" w:cs="Arial"/>
          <w:sz w:val="22"/>
          <w:szCs w:val="22"/>
        </w:rPr>
        <w:t xml:space="preserve">Vida Saludable </w:t>
      </w:r>
      <w:r w:rsidR="009C7544">
        <w:rPr>
          <w:rFonts w:ascii="Arial" w:hAnsi="Arial" w:cs="Arial"/>
          <w:sz w:val="22"/>
          <w:szCs w:val="22"/>
        </w:rPr>
        <w:t>y</w:t>
      </w:r>
      <w:r w:rsidRPr="0044100E">
        <w:rPr>
          <w:rFonts w:ascii="Arial" w:hAnsi="Arial" w:cs="Arial"/>
          <w:sz w:val="22"/>
          <w:szCs w:val="22"/>
        </w:rPr>
        <w:t xml:space="preserve"> Enfermedades Transmisibles la </w:t>
      </w:r>
      <w:r w:rsidR="00BE7A7D" w:rsidRPr="0044100E">
        <w:rPr>
          <w:rFonts w:ascii="Arial" w:hAnsi="Arial" w:cs="Arial"/>
          <w:sz w:val="22"/>
          <w:szCs w:val="22"/>
        </w:rPr>
        <w:t xml:space="preserve">cual representó un </w:t>
      </w:r>
      <w:r w:rsidRPr="0044100E">
        <w:rPr>
          <w:rFonts w:ascii="Arial" w:hAnsi="Arial" w:cs="Arial"/>
          <w:sz w:val="22"/>
          <w:szCs w:val="22"/>
        </w:rPr>
        <w:t>20</w:t>
      </w:r>
      <w:r w:rsidR="00BE7A7D" w:rsidRPr="0044100E">
        <w:rPr>
          <w:rFonts w:ascii="Arial" w:hAnsi="Arial" w:cs="Arial"/>
          <w:sz w:val="22"/>
          <w:szCs w:val="22"/>
        </w:rPr>
        <w:t>%.</w:t>
      </w:r>
    </w:p>
    <w:p w14:paraId="5CCAFEB6" w14:textId="77777777" w:rsidR="00643CE2" w:rsidRPr="0044100E" w:rsidRDefault="00643CE2" w:rsidP="00643CE2">
      <w:pPr>
        <w:jc w:val="both"/>
        <w:rPr>
          <w:rFonts w:ascii="Arial" w:hAnsi="Arial" w:cs="Arial"/>
          <w:sz w:val="22"/>
          <w:szCs w:val="22"/>
          <w:highlight w:val="yellow"/>
        </w:rPr>
      </w:pPr>
    </w:p>
    <w:p w14:paraId="729A6B59" w14:textId="532DDF04" w:rsidR="00643CE2" w:rsidRPr="0044100E" w:rsidRDefault="00643CE2" w:rsidP="00643CE2">
      <w:pPr>
        <w:jc w:val="both"/>
        <w:rPr>
          <w:rFonts w:ascii="Arial" w:hAnsi="Arial" w:cs="Arial"/>
          <w:sz w:val="22"/>
          <w:szCs w:val="22"/>
        </w:rPr>
      </w:pPr>
      <w:r w:rsidRPr="0044100E">
        <w:rPr>
          <w:rFonts w:ascii="Arial" w:hAnsi="Arial" w:cs="Arial"/>
          <w:sz w:val="22"/>
          <w:szCs w:val="22"/>
        </w:rPr>
        <w:lastRenderedPageBreak/>
        <w:t xml:space="preserve">Frente a la cofinanciación del régimen subsidiado en la vigencia 2020, se identifica que el Ministerio de Salud y Protección Social </w:t>
      </w:r>
      <w:r w:rsidR="00BE711F" w:rsidRPr="0044100E">
        <w:rPr>
          <w:rFonts w:ascii="Arial" w:hAnsi="Arial" w:cs="Arial"/>
          <w:sz w:val="22"/>
          <w:szCs w:val="22"/>
        </w:rPr>
        <w:t xml:space="preserve">en el mes de enero </w:t>
      </w:r>
      <w:r w:rsidRPr="0044100E">
        <w:rPr>
          <w:rFonts w:ascii="Arial" w:hAnsi="Arial" w:cs="Arial"/>
          <w:sz w:val="22"/>
          <w:szCs w:val="22"/>
        </w:rPr>
        <w:t>estim</w:t>
      </w:r>
      <w:r w:rsidR="00BE711F" w:rsidRPr="0044100E">
        <w:rPr>
          <w:rFonts w:ascii="Arial" w:hAnsi="Arial" w:cs="Arial"/>
          <w:sz w:val="22"/>
          <w:szCs w:val="22"/>
        </w:rPr>
        <w:t>ó</w:t>
      </w:r>
      <w:r w:rsidRPr="0044100E">
        <w:rPr>
          <w:rFonts w:ascii="Arial" w:hAnsi="Arial" w:cs="Arial"/>
          <w:sz w:val="22"/>
          <w:szCs w:val="22"/>
        </w:rPr>
        <w:t xml:space="preserve"> recursos para el Departamento de Vaupés </w:t>
      </w:r>
      <w:r w:rsidR="00BE711F" w:rsidRPr="0044100E">
        <w:rPr>
          <w:rFonts w:ascii="Arial" w:hAnsi="Arial" w:cs="Arial"/>
          <w:sz w:val="22"/>
          <w:szCs w:val="22"/>
        </w:rPr>
        <w:t xml:space="preserve">por concepto de </w:t>
      </w:r>
      <w:r w:rsidRPr="0044100E">
        <w:rPr>
          <w:rFonts w:ascii="Arial" w:hAnsi="Arial" w:cs="Arial"/>
          <w:sz w:val="22"/>
          <w:szCs w:val="22"/>
        </w:rPr>
        <w:t xml:space="preserve">esfuerzo propio </w:t>
      </w:r>
      <w:r w:rsidR="00BE711F" w:rsidRPr="0044100E">
        <w:rPr>
          <w:rFonts w:ascii="Arial" w:hAnsi="Arial" w:cs="Arial"/>
          <w:sz w:val="22"/>
          <w:szCs w:val="22"/>
        </w:rPr>
        <w:t>por valor de</w:t>
      </w:r>
      <w:r w:rsidR="009C7544">
        <w:rPr>
          <w:rFonts w:ascii="Arial" w:hAnsi="Arial" w:cs="Arial"/>
          <w:sz w:val="22"/>
          <w:szCs w:val="22"/>
        </w:rPr>
        <w:t xml:space="preserve"> </w:t>
      </w:r>
      <w:r w:rsidR="006F1BA4">
        <w:rPr>
          <w:rFonts w:ascii="Arial" w:hAnsi="Arial" w:cs="Arial"/>
          <w:sz w:val="22"/>
          <w:szCs w:val="22"/>
        </w:rPr>
        <w:t>$</w:t>
      </w:r>
      <w:r w:rsidRPr="0044100E">
        <w:rPr>
          <w:rFonts w:ascii="Arial" w:hAnsi="Arial" w:cs="Arial"/>
          <w:sz w:val="22"/>
          <w:szCs w:val="22"/>
        </w:rPr>
        <w:t xml:space="preserve">667 millones, monto que fue modificado </w:t>
      </w:r>
      <w:r w:rsidR="00BE711F" w:rsidRPr="0044100E">
        <w:rPr>
          <w:rFonts w:ascii="Arial" w:hAnsi="Arial" w:cs="Arial"/>
          <w:sz w:val="22"/>
          <w:szCs w:val="22"/>
        </w:rPr>
        <w:t xml:space="preserve">en el mes de </w:t>
      </w:r>
      <w:r w:rsidR="009C7544">
        <w:rPr>
          <w:rFonts w:ascii="Arial" w:hAnsi="Arial" w:cs="Arial"/>
          <w:sz w:val="22"/>
          <w:szCs w:val="22"/>
        </w:rPr>
        <w:t>o</w:t>
      </w:r>
      <w:r w:rsidR="00BE711F" w:rsidRPr="0044100E">
        <w:rPr>
          <w:rFonts w:ascii="Arial" w:hAnsi="Arial" w:cs="Arial"/>
          <w:sz w:val="22"/>
          <w:szCs w:val="22"/>
        </w:rPr>
        <w:t xml:space="preserve">ctubre evidenciando un total de </w:t>
      </w:r>
      <w:r w:rsidRPr="0044100E">
        <w:rPr>
          <w:rFonts w:ascii="Arial" w:hAnsi="Arial" w:cs="Arial"/>
          <w:sz w:val="22"/>
          <w:szCs w:val="22"/>
        </w:rPr>
        <w:t xml:space="preserve">$1.078 millones. </w:t>
      </w:r>
      <w:r w:rsidR="00BE711F" w:rsidRPr="0044100E">
        <w:rPr>
          <w:rFonts w:ascii="Arial" w:hAnsi="Arial" w:cs="Arial"/>
          <w:sz w:val="22"/>
          <w:szCs w:val="22"/>
        </w:rPr>
        <w:t>Efectuada la verificación de</w:t>
      </w:r>
      <w:r w:rsidR="009C7544">
        <w:rPr>
          <w:rFonts w:ascii="Arial" w:hAnsi="Arial" w:cs="Arial"/>
          <w:sz w:val="22"/>
          <w:szCs w:val="22"/>
        </w:rPr>
        <w:t xml:space="preserve"> </w:t>
      </w:r>
      <w:r w:rsidRPr="0044100E">
        <w:rPr>
          <w:rFonts w:ascii="Arial" w:hAnsi="Arial" w:cs="Arial"/>
          <w:sz w:val="22"/>
          <w:szCs w:val="22"/>
        </w:rPr>
        <w:t xml:space="preserve">la matriz de ejecución del MSPS y la ejecución presupuestal remitida por la Entidad Territorial se evidencia un valor ejecutado de </w:t>
      </w:r>
      <w:r w:rsidR="006F1BA4">
        <w:rPr>
          <w:rFonts w:ascii="Arial" w:hAnsi="Arial" w:cs="Arial"/>
          <w:sz w:val="22"/>
          <w:szCs w:val="22"/>
        </w:rPr>
        <w:t>$</w:t>
      </w:r>
      <w:r w:rsidRPr="0044100E">
        <w:rPr>
          <w:rFonts w:ascii="Arial" w:hAnsi="Arial" w:cs="Arial"/>
          <w:sz w:val="22"/>
          <w:szCs w:val="22"/>
        </w:rPr>
        <w:t>1.207 millones</w:t>
      </w:r>
      <w:r w:rsidR="00E52DE0" w:rsidRPr="0044100E">
        <w:rPr>
          <w:rFonts w:ascii="Arial" w:hAnsi="Arial" w:cs="Arial"/>
          <w:sz w:val="22"/>
          <w:szCs w:val="22"/>
        </w:rPr>
        <w:t xml:space="preserve">, mostrando una </w:t>
      </w:r>
      <w:r w:rsidRPr="0044100E">
        <w:rPr>
          <w:rFonts w:ascii="Arial" w:hAnsi="Arial" w:cs="Arial"/>
          <w:sz w:val="22"/>
          <w:szCs w:val="22"/>
        </w:rPr>
        <w:t xml:space="preserve">diferencia </w:t>
      </w:r>
      <w:r w:rsidR="00E52DE0" w:rsidRPr="0044100E">
        <w:rPr>
          <w:rFonts w:ascii="Arial" w:hAnsi="Arial" w:cs="Arial"/>
          <w:sz w:val="22"/>
          <w:szCs w:val="22"/>
        </w:rPr>
        <w:t>en relación</w:t>
      </w:r>
      <w:r w:rsidR="009C7544">
        <w:rPr>
          <w:rFonts w:ascii="Arial" w:hAnsi="Arial" w:cs="Arial"/>
          <w:sz w:val="22"/>
          <w:szCs w:val="22"/>
        </w:rPr>
        <w:t xml:space="preserve"> con</w:t>
      </w:r>
      <w:r w:rsidR="00E52DE0" w:rsidRPr="0044100E">
        <w:rPr>
          <w:rFonts w:ascii="Arial" w:hAnsi="Arial" w:cs="Arial"/>
          <w:sz w:val="22"/>
          <w:szCs w:val="22"/>
        </w:rPr>
        <w:t xml:space="preserve"> </w:t>
      </w:r>
      <w:r w:rsidR="009C7544">
        <w:rPr>
          <w:rFonts w:ascii="Arial" w:hAnsi="Arial" w:cs="Arial"/>
          <w:sz w:val="22"/>
          <w:szCs w:val="22"/>
        </w:rPr>
        <w:t>e</w:t>
      </w:r>
      <w:r w:rsidR="00E52DE0" w:rsidRPr="0044100E">
        <w:rPr>
          <w:rFonts w:ascii="Arial" w:hAnsi="Arial" w:cs="Arial"/>
          <w:sz w:val="22"/>
          <w:szCs w:val="22"/>
        </w:rPr>
        <w:t>l</w:t>
      </w:r>
      <w:r w:rsidR="009C7544">
        <w:rPr>
          <w:rFonts w:ascii="Arial" w:hAnsi="Arial" w:cs="Arial"/>
          <w:sz w:val="22"/>
          <w:szCs w:val="22"/>
        </w:rPr>
        <w:t xml:space="preserve"> </w:t>
      </w:r>
      <w:r w:rsidRPr="0044100E">
        <w:rPr>
          <w:rFonts w:ascii="Arial" w:hAnsi="Arial" w:cs="Arial"/>
          <w:sz w:val="22"/>
          <w:szCs w:val="22"/>
        </w:rPr>
        <w:t>techo establecido por el Ministerio de Salud</w:t>
      </w:r>
      <w:r w:rsidR="009C7544">
        <w:rPr>
          <w:rFonts w:ascii="Arial" w:hAnsi="Arial" w:cs="Arial"/>
          <w:sz w:val="22"/>
          <w:szCs w:val="22"/>
        </w:rPr>
        <w:t xml:space="preserve"> y Protección Social</w:t>
      </w:r>
      <w:r w:rsidRPr="0044100E">
        <w:rPr>
          <w:rFonts w:ascii="Arial" w:hAnsi="Arial" w:cs="Arial"/>
          <w:sz w:val="22"/>
          <w:szCs w:val="22"/>
        </w:rPr>
        <w:t xml:space="preserve">, dicha </w:t>
      </w:r>
      <w:r w:rsidR="00E52DE0" w:rsidRPr="0044100E">
        <w:rPr>
          <w:rFonts w:ascii="Arial" w:hAnsi="Arial" w:cs="Arial"/>
          <w:sz w:val="22"/>
          <w:szCs w:val="22"/>
        </w:rPr>
        <w:t>situación</w:t>
      </w:r>
      <w:r w:rsidR="009C7544">
        <w:rPr>
          <w:rFonts w:ascii="Arial" w:hAnsi="Arial" w:cs="Arial"/>
          <w:sz w:val="22"/>
          <w:szCs w:val="22"/>
        </w:rPr>
        <w:t xml:space="preserve"> </w:t>
      </w:r>
      <w:r w:rsidRPr="0044100E">
        <w:rPr>
          <w:rFonts w:ascii="Arial" w:hAnsi="Arial" w:cs="Arial"/>
          <w:sz w:val="22"/>
          <w:szCs w:val="22"/>
        </w:rPr>
        <w:t>será verificada en el reconocimiento Institucional.</w:t>
      </w:r>
    </w:p>
    <w:p w14:paraId="2915305E" w14:textId="77777777" w:rsidR="00643CE2" w:rsidRPr="0044100E" w:rsidRDefault="00643CE2" w:rsidP="00643CE2">
      <w:pPr>
        <w:jc w:val="both"/>
        <w:rPr>
          <w:rFonts w:ascii="Arial" w:hAnsi="Arial" w:cs="Arial"/>
          <w:sz w:val="22"/>
          <w:szCs w:val="22"/>
          <w:highlight w:val="yellow"/>
        </w:rPr>
      </w:pPr>
    </w:p>
    <w:p w14:paraId="2CED4384" w14:textId="288AB560"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Al corte junio de 2021, se apropiaron recursos por </w:t>
      </w:r>
      <w:r w:rsidR="006F1BA4">
        <w:rPr>
          <w:rFonts w:ascii="Arial" w:hAnsi="Arial" w:cs="Arial"/>
          <w:sz w:val="22"/>
          <w:szCs w:val="22"/>
        </w:rPr>
        <w:t>$</w:t>
      </w:r>
      <w:r w:rsidRPr="0044100E">
        <w:rPr>
          <w:rFonts w:ascii="Arial" w:hAnsi="Arial" w:cs="Arial"/>
          <w:sz w:val="22"/>
          <w:szCs w:val="22"/>
        </w:rPr>
        <w:t xml:space="preserve">47.086 millones, se generaron compromisos por $18.645 millones, sobre los cuales se efectuaron obligaciones por </w:t>
      </w:r>
      <w:r w:rsidR="006F1BA4">
        <w:rPr>
          <w:rFonts w:ascii="Arial" w:hAnsi="Arial" w:cs="Arial"/>
          <w:sz w:val="22"/>
          <w:szCs w:val="22"/>
        </w:rPr>
        <w:t>$</w:t>
      </w:r>
      <w:r w:rsidRPr="0044100E">
        <w:rPr>
          <w:rFonts w:ascii="Arial" w:hAnsi="Arial" w:cs="Arial"/>
          <w:sz w:val="22"/>
          <w:szCs w:val="22"/>
        </w:rPr>
        <w:t>9.971 millones y se efectuaron pagos por $9.864 millones, demostrando una ejecución del 40%. Del total de compromisos registrados, el 17% ($3.090 millones) correspondió a la cofinanciación del régimen subsidiado, el 30% ($5.669 millones) al componente de Prestación de Servicios, el 48% ($8.900 millones) a las acciones de Salud Pública y el 5% ($983 millones) a otros gastos en salud.</w:t>
      </w:r>
    </w:p>
    <w:p w14:paraId="2543EFBA" w14:textId="77777777" w:rsidR="00643CE2" w:rsidRPr="0044100E" w:rsidRDefault="00643CE2" w:rsidP="00643CE2">
      <w:pPr>
        <w:jc w:val="both"/>
        <w:rPr>
          <w:rFonts w:ascii="Arial" w:hAnsi="Arial" w:cs="Arial"/>
          <w:sz w:val="22"/>
          <w:szCs w:val="22"/>
          <w:highlight w:val="yellow"/>
        </w:rPr>
      </w:pPr>
    </w:p>
    <w:p w14:paraId="3A508511" w14:textId="7A7B840A" w:rsidR="00643CE2" w:rsidRPr="0044100E" w:rsidRDefault="00643CE2" w:rsidP="00643CE2">
      <w:pPr>
        <w:jc w:val="both"/>
        <w:rPr>
          <w:rFonts w:ascii="Arial" w:hAnsi="Arial" w:cs="Arial"/>
          <w:i/>
          <w:color w:val="000000" w:themeColor="text1"/>
          <w:sz w:val="22"/>
          <w:szCs w:val="22"/>
          <w:highlight w:val="yellow"/>
        </w:rPr>
      </w:pPr>
      <w:r w:rsidRPr="0044100E">
        <w:rPr>
          <w:rFonts w:ascii="Arial" w:hAnsi="Arial" w:cs="Arial"/>
          <w:color w:val="000000" w:themeColor="text1"/>
          <w:sz w:val="22"/>
          <w:szCs w:val="22"/>
        </w:rPr>
        <w:t>Verificada la información reportada a través del Formulario Único Territorial – FUT frente a la información reportada en las ejecuciones presupuestales remitidas por la ET se identifica</w:t>
      </w:r>
      <w:r w:rsidR="00E52DE0" w:rsidRPr="0044100E">
        <w:rPr>
          <w:rFonts w:ascii="Arial" w:hAnsi="Arial" w:cs="Arial"/>
          <w:color w:val="000000" w:themeColor="text1"/>
          <w:sz w:val="22"/>
          <w:szCs w:val="22"/>
        </w:rPr>
        <w:t>n</w:t>
      </w:r>
      <w:r w:rsidRPr="0044100E">
        <w:rPr>
          <w:rFonts w:ascii="Arial" w:hAnsi="Arial" w:cs="Arial"/>
          <w:color w:val="000000" w:themeColor="text1"/>
          <w:sz w:val="22"/>
          <w:szCs w:val="22"/>
        </w:rPr>
        <w:t xml:space="preserve"> inconsistencia</w:t>
      </w:r>
      <w:r w:rsidR="00E52DE0" w:rsidRPr="0044100E">
        <w:rPr>
          <w:rFonts w:ascii="Arial" w:hAnsi="Arial" w:cs="Arial"/>
          <w:color w:val="000000" w:themeColor="text1"/>
          <w:sz w:val="22"/>
          <w:szCs w:val="22"/>
        </w:rPr>
        <w:t>s</w:t>
      </w:r>
      <w:r w:rsidRPr="0044100E">
        <w:rPr>
          <w:rFonts w:ascii="Arial" w:hAnsi="Arial" w:cs="Arial"/>
          <w:color w:val="000000" w:themeColor="text1"/>
          <w:sz w:val="22"/>
          <w:szCs w:val="22"/>
        </w:rPr>
        <w:t xml:space="preserve"> en</w:t>
      </w:r>
      <w:r w:rsidR="00E52DE0" w:rsidRPr="0044100E">
        <w:rPr>
          <w:rFonts w:ascii="Arial" w:hAnsi="Arial" w:cs="Arial"/>
          <w:color w:val="000000" w:themeColor="text1"/>
          <w:sz w:val="22"/>
          <w:szCs w:val="22"/>
        </w:rPr>
        <w:t>tre los valores registrados relacionados con las</w:t>
      </w:r>
      <w:r w:rsidR="009C7544">
        <w:rPr>
          <w:rFonts w:ascii="Arial" w:hAnsi="Arial" w:cs="Arial"/>
          <w:color w:val="000000" w:themeColor="text1"/>
          <w:sz w:val="22"/>
          <w:szCs w:val="22"/>
        </w:rPr>
        <w:t xml:space="preserve"> </w:t>
      </w:r>
      <w:r w:rsidRPr="0044100E">
        <w:rPr>
          <w:rFonts w:ascii="Arial" w:hAnsi="Arial" w:cs="Arial"/>
          <w:color w:val="000000" w:themeColor="text1"/>
          <w:sz w:val="22"/>
          <w:szCs w:val="22"/>
        </w:rPr>
        <w:t>apropiaci</w:t>
      </w:r>
      <w:r w:rsidR="00E52DE0" w:rsidRPr="0044100E">
        <w:rPr>
          <w:rFonts w:ascii="Arial" w:hAnsi="Arial" w:cs="Arial"/>
          <w:color w:val="000000" w:themeColor="text1"/>
          <w:sz w:val="22"/>
          <w:szCs w:val="22"/>
        </w:rPr>
        <w:t>ones</w:t>
      </w:r>
      <w:r w:rsidRPr="0044100E">
        <w:rPr>
          <w:rFonts w:ascii="Arial" w:hAnsi="Arial" w:cs="Arial"/>
          <w:color w:val="000000" w:themeColor="text1"/>
          <w:sz w:val="22"/>
          <w:szCs w:val="22"/>
        </w:rPr>
        <w:t xml:space="preserve"> definitiva en la subcuenta de Régimen Subsidiado, Prestación de Servicios y Otros Gastos en Salud. </w:t>
      </w:r>
    </w:p>
    <w:p w14:paraId="5EA20B1E" w14:textId="77777777" w:rsidR="001846CC" w:rsidRPr="00EE0A7F" w:rsidRDefault="001846CC" w:rsidP="00643CE2">
      <w:pPr>
        <w:jc w:val="both"/>
        <w:rPr>
          <w:rFonts w:ascii="Arial" w:hAnsi="Arial" w:cs="Arial"/>
          <w:iCs/>
          <w:sz w:val="22"/>
          <w:szCs w:val="22"/>
          <w:highlight w:val="yellow"/>
        </w:rPr>
      </w:pPr>
    </w:p>
    <w:tbl>
      <w:tblPr>
        <w:tblW w:w="0" w:type="auto"/>
        <w:tblCellMar>
          <w:left w:w="70" w:type="dxa"/>
          <w:right w:w="70" w:type="dxa"/>
        </w:tblCellMar>
        <w:tblLook w:val="04A0" w:firstRow="1" w:lastRow="0" w:firstColumn="1" w:lastColumn="0" w:noHBand="0" w:noVBand="1"/>
      </w:tblPr>
      <w:tblGrid>
        <w:gridCol w:w="2397"/>
        <w:gridCol w:w="1667"/>
        <w:gridCol w:w="1599"/>
        <w:gridCol w:w="1014"/>
        <w:gridCol w:w="1046"/>
        <w:gridCol w:w="752"/>
        <w:gridCol w:w="363"/>
      </w:tblGrid>
      <w:tr w:rsidR="00643CE2" w:rsidRPr="0044100E" w14:paraId="78EFF55A" w14:textId="77777777" w:rsidTr="004A54B3">
        <w:trPr>
          <w:trHeight w:val="260"/>
        </w:trPr>
        <w:tc>
          <w:tcPr>
            <w:tcW w:w="0" w:type="auto"/>
            <w:tcBorders>
              <w:bottom w:val="single" w:sz="4" w:space="0" w:color="auto"/>
            </w:tcBorders>
            <w:shd w:val="clear" w:color="auto" w:fill="FFFFFF"/>
            <w:noWrap/>
            <w:vAlign w:val="bottom"/>
            <w:hideMark/>
          </w:tcPr>
          <w:p w14:paraId="2F1EC708" w14:textId="77777777" w:rsidR="00643CE2" w:rsidRPr="0044100E" w:rsidRDefault="00643CE2">
            <w:pPr>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Cifras: En millones de $</w:t>
            </w:r>
          </w:p>
        </w:tc>
        <w:tc>
          <w:tcPr>
            <w:tcW w:w="0" w:type="auto"/>
            <w:tcBorders>
              <w:bottom w:val="single" w:sz="4" w:space="0" w:color="auto"/>
            </w:tcBorders>
            <w:shd w:val="clear" w:color="auto" w:fill="FFFFFF"/>
            <w:noWrap/>
            <w:vAlign w:val="bottom"/>
            <w:hideMark/>
          </w:tcPr>
          <w:p w14:paraId="4AC64DC8" w14:textId="77777777" w:rsidR="00643CE2" w:rsidRPr="0044100E" w:rsidRDefault="00643CE2">
            <w:pPr>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 </w:t>
            </w:r>
          </w:p>
        </w:tc>
        <w:tc>
          <w:tcPr>
            <w:tcW w:w="0" w:type="auto"/>
            <w:tcBorders>
              <w:bottom w:val="single" w:sz="4" w:space="0" w:color="auto"/>
            </w:tcBorders>
            <w:shd w:val="clear" w:color="auto" w:fill="FFFFFF"/>
            <w:noWrap/>
            <w:vAlign w:val="bottom"/>
            <w:hideMark/>
          </w:tcPr>
          <w:p w14:paraId="34A2BD43" w14:textId="77777777" w:rsidR="00643CE2" w:rsidRPr="0044100E" w:rsidRDefault="00643CE2">
            <w:pPr>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 </w:t>
            </w:r>
          </w:p>
        </w:tc>
        <w:tc>
          <w:tcPr>
            <w:tcW w:w="0" w:type="auto"/>
            <w:tcBorders>
              <w:bottom w:val="single" w:sz="4" w:space="0" w:color="auto"/>
            </w:tcBorders>
            <w:shd w:val="clear" w:color="auto" w:fill="FFFFFF"/>
            <w:noWrap/>
            <w:vAlign w:val="bottom"/>
            <w:hideMark/>
          </w:tcPr>
          <w:p w14:paraId="62437161" w14:textId="77777777" w:rsidR="00643CE2" w:rsidRPr="0044100E" w:rsidRDefault="00643CE2">
            <w:pPr>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 </w:t>
            </w:r>
          </w:p>
        </w:tc>
        <w:tc>
          <w:tcPr>
            <w:tcW w:w="0" w:type="auto"/>
            <w:tcBorders>
              <w:bottom w:val="single" w:sz="4" w:space="0" w:color="auto"/>
            </w:tcBorders>
            <w:shd w:val="clear" w:color="auto" w:fill="FFFFFF"/>
            <w:noWrap/>
            <w:vAlign w:val="bottom"/>
            <w:hideMark/>
          </w:tcPr>
          <w:p w14:paraId="50617F5D" w14:textId="77777777" w:rsidR="00643CE2" w:rsidRPr="0044100E" w:rsidRDefault="00643CE2">
            <w:pPr>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 </w:t>
            </w:r>
          </w:p>
        </w:tc>
        <w:tc>
          <w:tcPr>
            <w:tcW w:w="0" w:type="auto"/>
            <w:tcBorders>
              <w:bottom w:val="single" w:sz="4" w:space="0" w:color="auto"/>
            </w:tcBorders>
            <w:shd w:val="clear" w:color="auto" w:fill="FFFFFF"/>
            <w:noWrap/>
            <w:vAlign w:val="bottom"/>
            <w:hideMark/>
          </w:tcPr>
          <w:p w14:paraId="475FE68E" w14:textId="77777777" w:rsidR="00643CE2" w:rsidRPr="0044100E" w:rsidRDefault="00643CE2">
            <w:pPr>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 </w:t>
            </w:r>
          </w:p>
        </w:tc>
        <w:tc>
          <w:tcPr>
            <w:tcW w:w="0" w:type="auto"/>
            <w:tcBorders>
              <w:bottom w:val="single" w:sz="4" w:space="0" w:color="auto"/>
            </w:tcBorders>
            <w:noWrap/>
            <w:vAlign w:val="bottom"/>
            <w:hideMark/>
          </w:tcPr>
          <w:p w14:paraId="451CB246" w14:textId="77777777" w:rsidR="00643CE2" w:rsidRPr="0044100E" w:rsidRDefault="00643CE2">
            <w:pPr>
              <w:rPr>
                <w:rFonts w:ascii="Arial" w:eastAsia="Times New Roman" w:hAnsi="Arial" w:cs="Arial"/>
                <w:sz w:val="20"/>
                <w:szCs w:val="20"/>
                <w:lang w:val="es-CO" w:eastAsia="es-CO"/>
              </w:rPr>
            </w:pPr>
          </w:p>
        </w:tc>
      </w:tr>
      <w:tr w:rsidR="00643CE2" w:rsidRPr="0044100E" w14:paraId="48F4B882" w14:textId="77777777" w:rsidTr="004A54B3">
        <w:trPr>
          <w:trHeight w:val="260"/>
        </w:trPr>
        <w:tc>
          <w:tcPr>
            <w:tcW w:w="0" w:type="auto"/>
            <w:gridSpan w:val="7"/>
            <w:tcBorders>
              <w:top w:val="single" w:sz="4" w:space="0" w:color="auto"/>
              <w:left w:val="single" w:sz="4" w:space="0" w:color="auto"/>
              <w:bottom w:val="single" w:sz="4" w:space="0" w:color="auto"/>
              <w:right w:val="single" w:sz="4" w:space="0" w:color="auto"/>
            </w:tcBorders>
            <w:shd w:val="clear" w:color="auto" w:fill="E7E6E6"/>
            <w:vAlign w:val="center"/>
            <w:hideMark/>
          </w:tcPr>
          <w:p w14:paraId="28A47A4E" w14:textId="77777777" w:rsidR="00643CE2" w:rsidRPr="0044100E" w:rsidRDefault="00643CE2">
            <w:pPr>
              <w:jc w:val="center"/>
              <w:rPr>
                <w:rFonts w:ascii="Arial" w:eastAsia="Times New Roman" w:hAnsi="Arial" w:cs="Arial"/>
                <w:b/>
                <w:bCs/>
                <w:sz w:val="20"/>
                <w:szCs w:val="20"/>
                <w:lang w:val="es-CO" w:eastAsia="es-CO"/>
              </w:rPr>
            </w:pPr>
            <w:r w:rsidRPr="0044100E">
              <w:rPr>
                <w:rFonts w:ascii="Arial" w:eastAsia="Times New Roman" w:hAnsi="Arial" w:cs="Arial"/>
                <w:b/>
                <w:bCs/>
                <w:sz w:val="20"/>
                <w:szCs w:val="20"/>
                <w:lang w:val="es-CO" w:eastAsia="es-CO"/>
              </w:rPr>
              <w:t>Diferencia entre el reporte FUT y Ejecución de Gastos Remitida por la Entidad 2020</w:t>
            </w:r>
          </w:p>
        </w:tc>
      </w:tr>
      <w:tr w:rsidR="00643CE2" w:rsidRPr="0044100E" w14:paraId="4A868197" w14:textId="77777777" w:rsidTr="004A54B3">
        <w:trPr>
          <w:trHeight w:val="690"/>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hideMark/>
          </w:tcPr>
          <w:p w14:paraId="6F573993" w14:textId="77777777" w:rsidR="00643CE2" w:rsidRPr="0044100E" w:rsidRDefault="00643CE2">
            <w:pPr>
              <w:jc w:val="center"/>
              <w:rPr>
                <w:rFonts w:ascii="Arial" w:eastAsia="Times New Roman" w:hAnsi="Arial" w:cs="Arial"/>
                <w:b/>
                <w:bCs/>
                <w:sz w:val="20"/>
                <w:szCs w:val="20"/>
                <w:lang w:val="es-CO" w:eastAsia="es-CO"/>
              </w:rPr>
            </w:pPr>
            <w:r w:rsidRPr="0044100E">
              <w:rPr>
                <w:rFonts w:ascii="Arial" w:eastAsia="Times New Roman" w:hAnsi="Arial" w:cs="Arial"/>
                <w:b/>
                <w:bCs/>
                <w:sz w:val="20"/>
                <w:szCs w:val="20"/>
                <w:lang w:val="es-CO" w:eastAsia="es-CO"/>
              </w:rPr>
              <w:t>Concepto</w:t>
            </w:r>
          </w:p>
        </w:tc>
        <w:tc>
          <w:tcPr>
            <w:tcW w:w="0" w:type="auto"/>
            <w:tcBorders>
              <w:top w:val="single" w:sz="4" w:space="0" w:color="auto"/>
              <w:left w:val="nil"/>
              <w:bottom w:val="single" w:sz="4" w:space="0" w:color="auto"/>
              <w:right w:val="single" w:sz="4" w:space="0" w:color="auto"/>
            </w:tcBorders>
            <w:shd w:val="clear" w:color="auto" w:fill="E7E6E6"/>
            <w:vAlign w:val="center"/>
            <w:hideMark/>
          </w:tcPr>
          <w:p w14:paraId="0048C141" w14:textId="77777777" w:rsidR="00643CE2" w:rsidRPr="0044100E" w:rsidRDefault="00643CE2">
            <w:pPr>
              <w:jc w:val="center"/>
              <w:rPr>
                <w:rFonts w:ascii="Arial" w:eastAsia="Times New Roman" w:hAnsi="Arial" w:cs="Arial"/>
                <w:b/>
                <w:bCs/>
                <w:sz w:val="20"/>
                <w:szCs w:val="20"/>
                <w:lang w:val="es-CO" w:eastAsia="es-CO"/>
              </w:rPr>
            </w:pPr>
            <w:r w:rsidRPr="0044100E">
              <w:rPr>
                <w:rFonts w:ascii="Arial" w:eastAsia="Times New Roman" w:hAnsi="Arial" w:cs="Arial"/>
                <w:b/>
                <w:bCs/>
                <w:sz w:val="20"/>
                <w:szCs w:val="20"/>
                <w:lang w:val="es-CO" w:eastAsia="es-CO"/>
              </w:rPr>
              <w:t>FUT-Presupuesto Definitivo</w:t>
            </w:r>
          </w:p>
        </w:tc>
        <w:tc>
          <w:tcPr>
            <w:tcW w:w="0" w:type="auto"/>
            <w:tcBorders>
              <w:top w:val="single" w:sz="4" w:space="0" w:color="auto"/>
              <w:left w:val="nil"/>
              <w:bottom w:val="single" w:sz="4" w:space="0" w:color="auto"/>
              <w:right w:val="single" w:sz="4" w:space="0" w:color="auto"/>
            </w:tcBorders>
            <w:shd w:val="clear" w:color="auto" w:fill="E7E6E6"/>
            <w:vAlign w:val="center"/>
            <w:hideMark/>
          </w:tcPr>
          <w:p w14:paraId="022A900B" w14:textId="77777777" w:rsidR="00643CE2" w:rsidRPr="0044100E" w:rsidRDefault="00643CE2">
            <w:pPr>
              <w:jc w:val="center"/>
              <w:rPr>
                <w:rFonts w:ascii="Arial" w:eastAsia="Times New Roman" w:hAnsi="Arial" w:cs="Arial"/>
                <w:b/>
                <w:bCs/>
                <w:sz w:val="20"/>
                <w:szCs w:val="20"/>
                <w:lang w:val="es-CO" w:eastAsia="es-CO"/>
              </w:rPr>
            </w:pPr>
            <w:r w:rsidRPr="0044100E">
              <w:rPr>
                <w:rFonts w:ascii="Arial" w:eastAsia="Times New Roman" w:hAnsi="Arial" w:cs="Arial"/>
                <w:b/>
                <w:bCs/>
                <w:sz w:val="20"/>
                <w:szCs w:val="20"/>
                <w:lang w:val="es-CO" w:eastAsia="es-CO"/>
              </w:rPr>
              <w:t>FUT-Compromisos</w:t>
            </w:r>
          </w:p>
        </w:tc>
        <w:tc>
          <w:tcPr>
            <w:tcW w:w="0" w:type="auto"/>
            <w:tcBorders>
              <w:top w:val="single" w:sz="4" w:space="0" w:color="auto"/>
              <w:left w:val="nil"/>
              <w:bottom w:val="single" w:sz="4" w:space="0" w:color="auto"/>
              <w:right w:val="single" w:sz="4" w:space="0" w:color="auto"/>
            </w:tcBorders>
            <w:shd w:val="clear" w:color="auto" w:fill="E7E6E6"/>
            <w:vAlign w:val="center"/>
            <w:hideMark/>
          </w:tcPr>
          <w:p w14:paraId="35E496AB" w14:textId="77777777" w:rsidR="00643CE2" w:rsidRPr="0044100E" w:rsidRDefault="00643CE2">
            <w:pPr>
              <w:jc w:val="center"/>
              <w:rPr>
                <w:rFonts w:ascii="Arial" w:eastAsia="Times New Roman" w:hAnsi="Arial" w:cs="Arial"/>
                <w:b/>
                <w:bCs/>
                <w:sz w:val="20"/>
                <w:szCs w:val="20"/>
                <w:lang w:val="es-CO" w:eastAsia="es-CO"/>
              </w:rPr>
            </w:pPr>
            <w:r w:rsidRPr="0044100E">
              <w:rPr>
                <w:rFonts w:ascii="Arial" w:eastAsia="Times New Roman" w:hAnsi="Arial" w:cs="Arial"/>
                <w:b/>
                <w:bCs/>
                <w:sz w:val="20"/>
                <w:szCs w:val="20"/>
                <w:lang w:val="es-CO" w:eastAsia="es-CO"/>
              </w:rPr>
              <w:t>EJEC-PD-ET</w:t>
            </w:r>
          </w:p>
        </w:tc>
        <w:tc>
          <w:tcPr>
            <w:tcW w:w="0" w:type="auto"/>
            <w:tcBorders>
              <w:top w:val="single" w:sz="4" w:space="0" w:color="auto"/>
              <w:left w:val="nil"/>
              <w:bottom w:val="single" w:sz="4" w:space="0" w:color="auto"/>
              <w:right w:val="single" w:sz="4" w:space="0" w:color="auto"/>
            </w:tcBorders>
            <w:shd w:val="clear" w:color="auto" w:fill="E7E6E6"/>
            <w:vAlign w:val="center"/>
            <w:hideMark/>
          </w:tcPr>
          <w:p w14:paraId="1D74E777" w14:textId="77777777" w:rsidR="00643CE2" w:rsidRPr="0044100E" w:rsidRDefault="00643CE2">
            <w:pPr>
              <w:jc w:val="center"/>
              <w:rPr>
                <w:rFonts w:ascii="Arial" w:eastAsia="Times New Roman" w:hAnsi="Arial" w:cs="Arial"/>
                <w:b/>
                <w:bCs/>
                <w:sz w:val="20"/>
                <w:szCs w:val="20"/>
                <w:lang w:val="es-CO" w:eastAsia="es-CO"/>
              </w:rPr>
            </w:pPr>
            <w:r w:rsidRPr="0044100E">
              <w:rPr>
                <w:rFonts w:ascii="Arial" w:eastAsia="Times New Roman" w:hAnsi="Arial" w:cs="Arial"/>
                <w:b/>
                <w:bCs/>
                <w:sz w:val="20"/>
                <w:szCs w:val="20"/>
                <w:lang w:val="es-CO" w:eastAsia="es-CO"/>
              </w:rPr>
              <w:t>EJEC-Com-ET</w:t>
            </w:r>
          </w:p>
        </w:tc>
        <w:tc>
          <w:tcPr>
            <w:tcW w:w="0" w:type="auto"/>
            <w:gridSpan w:val="2"/>
            <w:tcBorders>
              <w:top w:val="single" w:sz="4" w:space="0" w:color="auto"/>
              <w:left w:val="nil"/>
              <w:bottom w:val="single" w:sz="4" w:space="0" w:color="auto"/>
              <w:right w:val="single" w:sz="4" w:space="0" w:color="auto"/>
            </w:tcBorders>
            <w:shd w:val="clear" w:color="auto" w:fill="E7E6E6"/>
            <w:vAlign w:val="center"/>
            <w:hideMark/>
          </w:tcPr>
          <w:p w14:paraId="28E0937A" w14:textId="77777777" w:rsidR="00643CE2" w:rsidRPr="0044100E" w:rsidRDefault="00643CE2">
            <w:pPr>
              <w:jc w:val="center"/>
              <w:rPr>
                <w:rFonts w:ascii="Arial" w:eastAsia="Times New Roman" w:hAnsi="Arial" w:cs="Arial"/>
                <w:b/>
                <w:bCs/>
                <w:sz w:val="20"/>
                <w:szCs w:val="20"/>
                <w:lang w:val="es-CO" w:eastAsia="es-CO"/>
              </w:rPr>
            </w:pPr>
            <w:r w:rsidRPr="0044100E">
              <w:rPr>
                <w:rFonts w:ascii="Arial" w:eastAsia="Times New Roman" w:hAnsi="Arial" w:cs="Arial"/>
                <w:b/>
                <w:bCs/>
                <w:sz w:val="20"/>
                <w:szCs w:val="20"/>
                <w:lang w:val="es-CO" w:eastAsia="es-CO"/>
              </w:rPr>
              <w:t>Diferencia</w:t>
            </w:r>
          </w:p>
        </w:tc>
      </w:tr>
      <w:tr w:rsidR="00643CE2" w:rsidRPr="0044100E" w14:paraId="59FBF5A1" w14:textId="77777777" w:rsidTr="004A54B3">
        <w:trPr>
          <w:trHeight w:val="260"/>
        </w:trPr>
        <w:tc>
          <w:tcPr>
            <w:tcW w:w="0" w:type="auto"/>
            <w:tcBorders>
              <w:top w:val="single" w:sz="4" w:space="0" w:color="auto"/>
              <w:left w:val="single" w:sz="4" w:space="0" w:color="auto"/>
              <w:bottom w:val="single" w:sz="4" w:space="0" w:color="auto"/>
              <w:right w:val="nil"/>
            </w:tcBorders>
            <w:shd w:val="clear" w:color="auto" w:fill="FFFFFF"/>
            <w:noWrap/>
            <w:vAlign w:val="center"/>
            <w:hideMark/>
          </w:tcPr>
          <w:p w14:paraId="252668A1" w14:textId="77777777" w:rsidR="00643CE2" w:rsidRPr="0044100E" w:rsidRDefault="00643CE2">
            <w:pPr>
              <w:ind w:firstLineChars="100" w:firstLine="200"/>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Régimen Subsidiado</w:t>
            </w:r>
          </w:p>
        </w:tc>
        <w:tc>
          <w:tcPr>
            <w:tcW w:w="0" w:type="auto"/>
            <w:tcBorders>
              <w:top w:val="single" w:sz="4" w:space="0" w:color="auto"/>
              <w:left w:val="single" w:sz="4" w:space="0" w:color="auto"/>
              <w:bottom w:val="single" w:sz="4" w:space="0" w:color="auto"/>
              <w:right w:val="single" w:sz="4" w:space="0" w:color="auto"/>
            </w:tcBorders>
            <w:noWrap/>
            <w:hideMark/>
          </w:tcPr>
          <w:p w14:paraId="4D88BC1C" w14:textId="43EEC4A4"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4.608 </w:t>
            </w:r>
          </w:p>
        </w:tc>
        <w:tc>
          <w:tcPr>
            <w:tcW w:w="0" w:type="auto"/>
            <w:tcBorders>
              <w:top w:val="single" w:sz="4" w:space="0" w:color="auto"/>
              <w:left w:val="nil"/>
              <w:bottom w:val="single" w:sz="4" w:space="0" w:color="auto"/>
              <w:right w:val="single" w:sz="4" w:space="0" w:color="auto"/>
            </w:tcBorders>
            <w:noWrap/>
            <w:hideMark/>
          </w:tcPr>
          <w:p w14:paraId="11A54CED" w14:textId="5C1879AF"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4.446 </w:t>
            </w:r>
          </w:p>
        </w:tc>
        <w:tc>
          <w:tcPr>
            <w:tcW w:w="0" w:type="auto"/>
            <w:tcBorders>
              <w:top w:val="single" w:sz="4" w:space="0" w:color="auto"/>
              <w:left w:val="nil"/>
              <w:bottom w:val="single" w:sz="4" w:space="0" w:color="auto"/>
              <w:right w:val="single" w:sz="4" w:space="0" w:color="auto"/>
            </w:tcBorders>
            <w:noWrap/>
            <w:vAlign w:val="center"/>
            <w:hideMark/>
          </w:tcPr>
          <w:p w14:paraId="0D84CFE8" w14:textId="6EAC4528"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5.343 </w:t>
            </w:r>
          </w:p>
        </w:tc>
        <w:tc>
          <w:tcPr>
            <w:tcW w:w="0" w:type="auto"/>
            <w:tcBorders>
              <w:top w:val="single" w:sz="4" w:space="0" w:color="auto"/>
              <w:left w:val="nil"/>
              <w:bottom w:val="single" w:sz="4" w:space="0" w:color="auto"/>
              <w:right w:val="single" w:sz="4" w:space="0" w:color="auto"/>
            </w:tcBorders>
            <w:noWrap/>
            <w:vAlign w:val="center"/>
            <w:hideMark/>
          </w:tcPr>
          <w:p w14:paraId="3B28A669" w14:textId="5132F9D6"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4.446 </w:t>
            </w:r>
          </w:p>
        </w:tc>
        <w:tc>
          <w:tcPr>
            <w:tcW w:w="0" w:type="auto"/>
            <w:tcBorders>
              <w:top w:val="single" w:sz="4" w:space="0" w:color="auto"/>
              <w:left w:val="nil"/>
              <w:bottom w:val="single" w:sz="4" w:space="0" w:color="auto"/>
              <w:right w:val="single" w:sz="4" w:space="0" w:color="auto"/>
            </w:tcBorders>
            <w:noWrap/>
            <w:vAlign w:val="center"/>
            <w:hideMark/>
          </w:tcPr>
          <w:p w14:paraId="2184EDA7" w14:textId="51EB8660" w:rsidR="00643CE2" w:rsidRPr="0044100E" w:rsidRDefault="00643CE2" w:rsidP="004A54B3">
            <w:pPr>
              <w:jc w:val="right"/>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w:t>
            </w:r>
            <w:r w:rsidR="006F1BA4">
              <w:rPr>
                <w:rFonts w:ascii="Arial" w:eastAsia="Times New Roman" w:hAnsi="Arial" w:cs="Arial"/>
                <w:sz w:val="20"/>
                <w:szCs w:val="20"/>
                <w:lang w:val="es-CO" w:eastAsia="es-CO"/>
              </w:rPr>
              <w:t>$</w:t>
            </w:r>
            <w:r w:rsidRPr="0044100E">
              <w:rPr>
                <w:rFonts w:ascii="Arial" w:eastAsia="Times New Roman" w:hAnsi="Arial" w:cs="Arial"/>
                <w:sz w:val="20"/>
                <w:szCs w:val="20"/>
                <w:lang w:val="es-CO" w:eastAsia="es-CO"/>
              </w:rPr>
              <w:t>735</w:t>
            </w:r>
          </w:p>
        </w:tc>
        <w:tc>
          <w:tcPr>
            <w:tcW w:w="0" w:type="auto"/>
            <w:tcBorders>
              <w:top w:val="single" w:sz="4" w:space="0" w:color="auto"/>
              <w:left w:val="nil"/>
              <w:bottom w:val="single" w:sz="4" w:space="0" w:color="auto"/>
              <w:right w:val="single" w:sz="4" w:space="0" w:color="auto"/>
            </w:tcBorders>
            <w:noWrap/>
            <w:vAlign w:val="center"/>
            <w:hideMark/>
          </w:tcPr>
          <w:p w14:paraId="039DDB8A" w14:textId="2C25A7C9" w:rsidR="00643CE2" w:rsidRPr="0044100E" w:rsidRDefault="006F1BA4">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0</w:t>
            </w:r>
          </w:p>
        </w:tc>
      </w:tr>
      <w:tr w:rsidR="00643CE2" w:rsidRPr="0044100E" w14:paraId="030CDAFE" w14:textId="77777777" w:rsidTr="004A54B3">
        <w:trPr>
          <w:trHeight w:val="260"/>
        </w:trPr>
        <w:tc>
          <w:tcPr>
            <w:tcW w:w="0" w:type="auto"/>
            <w:tcBorders>
              <w:top w:val="single" w:sz="4" w:space="0" w:color="auto"/>
              <w:left w:val="single" w:sz="4" w:space="0" w:color="auto"/>
              <w:bottom w:val="single" w:sz="4" w:space="0" w:color="auto"/>
              <w:right w:val="nil"/>
            </w:tcBorders>
            <w:shd w:val="clear" w:color="auto" w:fill="FFFFFF"/>
            <w:noWrap/>
            <w:vAlign w:val="center"/>
            <w:hideMark/>
          </w:tcPr>
          <w:p w14:paraId="320AF9AE" w14:textId="77777777" w:rsidR="00643CE2" w:rsidRPr="0044100E" w:rsidRDefault="00643CE2">
            <w:pPr>
              <w:ind w:firstLineChars="100" w:firstLine="200"/>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Prestación de servicios</w:t>
            </w:r>
          </w:p>
        </w:tc>
        <w:tc>
          <w:tcPr>
            <w:tcW w:w="0" w:type="auto"/>
            <w:tcBorders>
              <w:top w:val="single" w:sz="4" w:space="0" w:color="auto"/>
              <w:left w:val="single" w:sz="4" w:space="0" w:color="auto"/>
              <w:bottom w:val="single" w:sz="4" w:space="0" w:color="auto"/>
              <w:right w:val="single" w:sz="4" w:space="0" w:color="auto"/>
            </w:tcBorders>
            <w:noWrap/>
            <w:hideMark/>
          </w:tcPr>
          <w:p w14:paraId="6A195A08" w14:textId="66D23BDA"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18.010 </w:t>
            </w:r>
          </w:p>
        </w:tc>
        <w:tc>
          <w:tcPr>
            <w:tcW w:w="0" w:type="auto"/>
            <w:tcBorders>
              <w:top w:val="single" w:sz="4" w:space="0" w:color="auto"/>
              <w:left w:val="nil"/>
              <w:bottom w:val="single" w:sz="4" w:space="0" w:color="auto"/>
              <w:right w:val="single" w:sz="4" w:space="0" w:color="auto"/>
            </w:tcBorders>
            <w:noWrap/>
            <w:hideMark/>
          </w:tcPr>
          <w:p w14:paraId="699FCC3B" w14:textId="65954D36"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6.108 </w:t>
            </w:r>
          </w:p>
        </w:tc>
        <w:tc>
          <w:tcPr>
            <w:tcW w:w="0" w:type="auto"/>
            <w:tcBorders>
              <w:top w:val="single" w:sz="4" w:space="0" w:color="auto"/>
              <w:left w:val="nil"/>
              <w:bottom w:val="single" w:sz="4" w:space="0" w:color="auto"/>
              <w:right w:val="single" w:sz="4" w:space="0" w:color="auto"/>
            </w:tcBorders>
            <w:noWrap/>
            <w:vAlign w:val="center"/>
            <w:hideMark/>
          </w:tcPr>
          <w:p w14:paraId="326ADFC8" w14:textId="70C8D4E3"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18.370 </w:t>
            </w:r>
          </w:p>
        </w:tc>
        <w:tc>
          <w:tcPr>
            <w:tcW w:w="0" w:type="auto"/>
            <w:tcBorders>
              <w:top w:val="single" w:sz="4" w:space="0" w:color="auto"/>
              <w:left w:val="nil"/>
              <w:bottom w:val="single" w:sz="4" w:space="0" w:color="auto"/>
              <w:right w:val="single" w:sz="4" w:space="0" w:color="auto"/>
            </w:tcBorders>
            <w:noWrap/>
            <w:vAlign w:val="center"/>
            <w:hideMark/>
          </w:tcPr>
          <w:p w14:paraId="4917C828" w14:textId="2CFB0D1B"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6.108 </w:t>
            </w:r>
          </w:p>
        </w:tc>
        <w:tc>
          <w:tcPr>
            <w:tcW w:w="0" w:type="auto"/>
            <w:tcBorders>
              <w:top w:val="single" w:sz="4" w:space="0" w:color="auto"/>
              <w:left w:val="nil"/>
              <w:bottom w:val="single" w:sz="4" w:space="0" w:color="auto"/>
              <w:right w:val="single" w:sz="4" w:space="0" w:color="auto"/>
            </w:tcBorders>
            <w:noWrap/>
            <w:vAlign w:val="center"/>
            <w:hideMark/>
          </w:tcPr>
          <w:p w14:paraId="306691D4" w14:textId="4D454BC3" w:rsidR="00643CE2" w:rsidRPr="0044100E" w:rsidRDefault="00643CE2" w:rsidP="004A54B3">
            <w:pPr>
              <w:jc w:val="right"/>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w:t>
            </w:r>
            <w:r w:rsidR="006F1BA4">
              <w:rPr>
                <w:rFonts w:ascii="Arial" w:eastAsia="Times New Roman" w:hAnsi="Arial" w:cs="Arial"/>
                <w:sz w:val="20"/>
                <w:szCs w:val="20"/>
                <w:lang w:val="es-CO" w:eastAsia="es-CO"/>
              </w:rPr>
              <w:t>$</w:t>
            </w:r>
            <w:r w:rsidRPr="0044100E">
              <w:rPr>
                <w:rFonts w:ascii="Arial" w:eastAsia="Times New Roman" w:hAnsi="Arial" w:cs="Arial"/>
                <w:sz w:val="20"/>
                <w:szCs w:val="20"/>
                <w:lang w:val="es-CO" w:eastAsia="es-CO"/>
              </w:rPr>
              <w:t>361</w:t>
            </w:r>
          </w:p>
        </w:tc>
        <w:tc>
          <w:tcPr>
            <w:tcW w:w="0" w:type="auto"/>
            <w:tcBorders>
              <w:top w:val="single" w:sz="4" w:space="0" w:color="auto"/>
              <w:left w:val="nil"/>
              <w:bottom w:val="single" w:sz="4" w:space="0" w:color="auto"/>
              <w:right w:val="single" w:sz="4" w:space="0" w:color="auto"/>
            </w:tcBorders>
            <w:noWrap/>
            <w:vAlign w:val="center"/>
            <w:hideMark/>
          </w:tcPr>
          <w:p w14:paraId="69F5500C" w14:textId="035215D3" w:rsidR="00643CE2" w:rsidRPr="0044100E" w:rsidRDefault="006F1BA4">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0</w:t>
            </w:r>
          </w:p>
        </w:tc>
      </w:tr>
      <w:tr w:rsidR="00643CE2" w:rsidRPr="0044100E" w14:paraId="244E5D83" w14:textId="77777777" w:rsidTr="004A54B3">
        <w:trPr>
          <w:trHeight w:val="260"/>
        </w:trPr>
        <w:tc>
          <w:tcPr>
            <w:tcW w:w="0" w:type="auto"/>
            <w:tcBorders>
              <w:top w:val="single" w:sz="4" w:space="0" w:color="auto"/>
              <w:left w:val="single" w:sz="4" w:space="0" w:color="auto"/>
              <w:bottom w:val="single" w:sz="4" w:space="0" w:color="auto"/>
              <w:right w:val="nil"/>
            </w:tcBorders>
            <w:shd w:val="clear" w:color="auto" w:fill="FFFFFF"/>
            <w:noWrap/>
            <w:vAlign w:val="center"/>
            <w:hideMark/>
          </w:tcPr>
          <w:p w14:paraId="1F39F4B4" w14:textId="77777777" w:rsidR="00643CE2" w:rsidRPr="0044100E" w:rsidRDefault="00643CE2">
            <w:pPr>
              <w:ind w:firstLineChars="100" w:firstLine="200"/>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Salud Pública</w:t>
            </w:r>
          </w:p>
        </w:tc>
        <w:tc>
          <w:tcPr>
            <w:tcW w:w="0" w:type="auto"/>
            <w:tcBorders>
              <w:top w:val="single" w:sz="4" w:space="0" w:color="auto"/>
              <w:left w:val="single" w:sz="4" w:space="0" w:color="auto"/>
              <w:bottom w:val="single" w:sz="4" w:space="0" w:color="auto"/>
              <w:right w:val="single" w:sz="4" w:space="0" w:color="auto"/>
            </w:tcBorders>
            <w:noWrap/>
            <w:hideMark/>
          </w:tcPr>
          <w:p w14:paraId="0D6D5A3D" w14:textId="0020A904"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10.057 </w:t>
            </w:r>
          </w:p>
        </w:tc>
        <w:tc>
          <w:tcPr>
            <w:tcW w:w="0" w:type="auto"/>
            <w:tcBorders>
              <w:top w:val="single" w:sz="4" w:space="0" w:color="auto"/>
              <w:left w:val="nil"/>
              <w:bottom w:val="single" w:sz="4" w:space="0" w:color="auto"/>
              <w:right w:val="single" w:sz="4" w:space="0" w:color="auto"/>
            </w:tcBorders>
            <w:noWrap/>
            <w:hideMark/>
          </w:tcPr>
          <w:p w14:paraId="372B8D29" w14:textId="6C739FDF"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4.619 </w:t>
            </w:r>
          </w:p>
        </w:tc>
        <w:tc>
          <w:tcPr>
            <w:tcW w:w="0" w:type="auto"/>
            <w:tcBorders>
              <w:top w:val="single" w:sz="4" w:space="0" w:color="auto"/>
              <w:left w:val="nil"/>
              <w:bottom w:val="single" w:sz="4" w:space="0" w:color="auto"/>
              <w:right w:val="single" w:sz="4" w:space="0" w:color="auto"/>
            </w:tcBorders>
            <w:noWrap/>
            <w:vAlign w:val="center"/>
            <w:hideMark/>
          </w:tcPr>
          <w:p w14:paraId="1CD31DD0" w14:textId="1A6005BD"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10.057 </w:t>
            </w:r>
          </w:p>
        </w:tc>
        <w:tc>
          <w:tcPr>
            <w:tcW w:w="0" w:type="auto"/>
            <w:tcBorders>
              <w:top w:val="single" w:sz="4" w:space="0" w:color="auto"/>
              <w:left w:val="nil"/>
              <w:bottom w:val="single" w:sz="4" w:space="0" w:color="auto"/>
              <w:right w:val="single" w:sz="4" w:space="0" w:color="auto"/>
            </w:tcBorders>
            <w:noWrap/>
            <w:vAlign w:val="center"/>
            <w:hideMark/>
          </w:tcPr>
          <w:p w14:paraId="6A2B65B7" w14:textId="36CA523E"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4.619 </w:t>
            </w:r>
          </w:p>
        </w:tc>
        <w:tc>
          <w:tcPr>
            <w:tcW w:w="0" w:type="auto"/>
            <w:tcBorders>
              <w:top w:val="single" w:sz="4" w:space="0" w:color="auto"/>
              <w:left w:val="nil"/>
              <w:bottom w:val="single" w:sz="4" w:space="0" w:color="auto"/>
              <w:right w:val="single" w:sz="4" w:space="0" w:color="auto"/>
            </w:tcBorders>
            <w:noWrap/>
            <w:vAlign w:val="center"/>
            <w:hideMark/>
          </w:tcPr>
          <w:p w14:paraId="1DE9FD51" w14:textId="4C60DD47"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0</w:t>
            </w:r>
          </w:p>
        </w:tc>
        <w:tc>
          <w:tcPr>
            <w:tcW w:w="0" w:type="auto"/>
            <w:tcBorders>
              <w:top w:val="single" w:sz="4" w:space="0" w:color="auto"/>
              <w:left w:val="nil"/>
              <w:bottom w:val="single" w:sz="4" w:space="0" w:color="auto"/>
              <w:right w:val="single" w:sz="4" w:space="0" w:color="auto"/>
            </w:tcBorders>
            <w:noWrap/>
            <w:vAlign w:val="center"/>
            <w:hideMark/>
          </w:tcPr>
          <w:p w14:paraId="34A7CC1E" w14:textId="4C6C724B" w:rsidR="00643CE2" w:rsidRPr="0044100E" w:rsidRDefault="006F1BA4">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0</w:t>
            </w:r>
          </w:p>
        </w:tc>
      </w:tr>
      <w:tr w:rsidR="00643CE2" w:rsidRPr="0044100E" w14:paraId="2B5DAF2A" w14:textId="77777777" w:rsidTr="004A54B3">
        <w:trPr>
          <w:trHeight w:val="260"/>
        </w:trPr>
        <w:tc>
          <w:tcPr>
            <w:tcW w:w="0" w:type="auto"/>
            <w:tcBorders>
              <w:top w:val="single" w:sz="4" w:space="0" w:color="auto"/>
              <w:left w:val="single" w:sz="4" w:space="0" w:color="auto"/>
              <w:bottom w:val="single" w:sz="4" w:space="0" w:color="auto"/>
              <w:right w:val="nil"/>
            </w:tcBorders>
            <w:shd w:val="clear" w:color="auto" w:fill="FFFFFF"/>
            <w:noWrap/>
            <w:vAlign w:val="center"/>
            <w:hideMark/>
          </w:tcPr>
          <w:p w14:paraId="6D66306C" w14:textId="77777777" w:rsidR="00643CE2" w:rsidRPr="0044100E" w:rsidRDefault="00643CE2">
            <w:pPr>
              <w:ind w:firstLineChars="100" w:firstLine="200"/>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Otros gastos en salud</w:t>
            </w:r>
          </w:p>
        </w:tc>
        <w:tc>
          <w:tcPr>
            <w:tcW w:w="0" w:type="auto"/>
            <w:tcBorders>
              <w:top w:val="single" w:sz="4" w:space="0" w:color="auto"/>
              <w:left w:val="single" w:sz="4" w:space="0" w:color="auto"/>
              <w:bottom w:val="single" w:sz="4" w:space="0" w:color="auto"/>
              <w:right w:val="single" w:sz="4" w:space="0" w:color="auto"/>
            </w:tcBorders>
            <w:noWrap/>
            <w:hideMark/>
          </w:tcPr>
          <w:p w14:paraId="045C842B" w14:textId="242E2A51"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5.104 </w:t>
            </w:r>
          </w:p>
        </w:tc>
        <w:tc>
          <w:tcPr>
            <w:tcW w:w="0" w:type="auto"/>
            <w:tcBorders>
              <w:top w:val="single" w:sz="4" w:space="0" w:color="auto"/>
              <w:left w:val="nil"/>
              <w:bottom w:val="single" w:sz="4" w:space="0" w:color="auto"/>
              <w:right w:val="single" w:sz="4" w:space="0" w:color="auto"/>
            </w:tcBorders>
            <w:noWrap/>
            <w:hideMark/>
          </w:tcPr>
          <w:p w14:paraId="6C470C82" w14:textId="7628E85D"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3.070 </w:t>
            </w:r>
          </w:p>
        </w:tc>
        <w:tc>
          <w:tcPr>
            <w:tcW w:w="0" w:type="auto"/>
            <w:tcBorders>
              <w:top w:val="single" w:sz="4" w:space="0" w:color="auto"/>
              <w:left w:val="nil"/>
              <w:bottom w:val="single" w:sz="4" w:space="0" w:color="auto"/>
              <w:right w:val="single" w:sz="4" w:space="0" w:color="auto"/>
            </w:tcBorders>
            <w:noWrap/>
            <w:vAlign w:val="center"/>
            <w:hideMark/>
          </w:tcPr>
          <w:p w14:paraId="7CB7BB7A" w14:textId="02BF4EF9"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4.008 </w:t>
            </w:r>
          </w:p>
        </w:tc>
        <w:tc>
          <w:tcPr>
            <w:tcW w:w="0" w:type="auto"/>
            <w:tcBorders>
              <w:top w:val="single" w:sz="4" w:space="0" w:color="auto"/>
              <w:left w:val="nil"/>
              <w:bottom w:val="single" w:sz="4" w:space="0" w:color="auto"/>
              <w:right w:val="single" w:sz="4" w:space="0" w:color="auto"/>
            </w:tcBorders>
            <w:noWrap/>
            <w:vAlign w:val="center"/>
            <w:hideMark/>
          </w:tcPr>
          <w:p w14:paraId="2FA03906" w14:textId="01B17F52"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3.070 </w:t>
            </w:r>
          </w:p>
        </w:tc>
        <w:tc>
          <w:tcPr>
            <w:tcW w:w="0" w:type="auto"/>
            <w:tcBorders>
              <w:top w:val="single" w:sz="4" w:space="0" w:color="auto"/>
              <w:left w:val="nil"/>
              <w:bottom w:val="single" w:sz="4" w:space="0" w:color="auto"/>
              <w:right w:val="single" w:sz="4" w:space="0" w:color="auto"/>
            </w:tcBorders>
            <w:noWrap/>
            <w:vAlign w:val="center"/>
            <w:hideMark/>
          </w:tcPr>
          <w:p w14:paraId="30B85ED7" w14:textId="45F88CDE"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1.096</w:t>
            </w:r>
          </w:p>
        </w:tc>
        <w:tc>
          <w:tcPr>
            <w:tcW w:w="0" w:type="auto"/>
            <w:tcBorders>
              <w:top w:val="single" w:sz="4" w:space="0" w:color="auto"/>
              <w:left w:val="nil"/>
              <w:bottom w:val="single" w:sz="4" w:space="0" w:color="auto"/>
              <w:right w:val="single" w:sz="4" w:space="0" w:color="auto"/>
            </w:tcBorders>
            <w:noWrap/>
            <w:vAlign w:val="center"/>
            <w:hideMark/>
          </w:tcPr>
          <w:p w14:paraId="2C1B38C5" w14:textId="3989AFF1" w:rsidR="00643CE2" w:rsidRPr="0044100E" w:rsidRDefault="006F1BA4">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0</w:t>
            </w:r>
          </w:p>
        </w:tc>
      </w:tr>
      <w:tr w:rsidR="00643CE2" w:rsidRPr="0044100E" w14:paraId="29F81F12" w14:textId="77777777" w:rsidTr="004A54B3">
        <w:trPr>
          <w:trHeight w:val="260"/>
        </w:trPr>
        <w:tc>
          <w:tcPr>
            <w:tcW w:w="0" w:type="auto"/>
            <w:tcBorders>
              <w:top w:val="single" w:sz="4" w:space="0" w:color="auto"/>
              <w:left w:val="single" w:sz="4" w:space="0" w:color="auto"/>
              <w:bottom w:val="single" w:sz="4" w:space="0" w:color="auto"/>
              <w:right w:val="nil"/>
            </w:tcBorders>
            <w:shd w:val="clear" w:color="auto" w:fill="FFFFFF"/>
            <w:noWrap/>
            <w:vAlign w:val="center"/>
            <w:hideMark/>
          </w:tcPr>
          <w:p w14:paraId="4415B0AE" w14:textId="77777777" w:rsidR="00643CE2" w:rsidRPr="0044100E" w:rsidRDefault="00643CE2">
            <w:pP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Total Gastos FLS</w:t>
            </w:r>
          </w:p>
        </w:tc>
        <w:tc>
          <w:tcPr>
            <w:tcW w:w="0" w:type="auto"/>
            <w:tcBorders>
              <w:top w:val="single" w:sz="4" w:space="0" w:color="auto"/>
              <w:left w:val="single" w:sz="4" w:space="0" w:color="auto"/>
              <w:bottom w:val="single" w:sz="4" w:space="0" w:color="auto"/>
              <w:right w:val="single" w:sz="4" w:space="0" w:color="auto"/>
            </w:tcBorders>
            <w:noWrap/>
            <w:hideMark/>
          </w:tcPr>
          <w:p w14:paraId="0F27D58F" w14:textId="1394D179"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 xml:space="preserve">37.778 </w:t>
            </w:r>
          </w:p>
        </w:tc>
        <w:tc>
          <w:tcPr>
            <w:tcW w:w="0" w:type="auto"/>
            <w:tcBorders>
              <w:top w:val="single" w:sz="4" w:space="0" w:color="auto"/>
              <w:left w:val="nil"/>
              <w:bottom w:val="single" w:sz="4" w:space="0" w:color="auto"/>
              <w:right w:val="single" w:sz="4" w:space="0" w:color="auto"/>
            </w:tcBorders>
            <w:noWrap/>
            <w:hideMark/>
          </w:tcPr>
          <w:p w14:paraId="06389A55" w14:textId="2538EBDD" w:rsidR="00643CE2" w:rsidRPr="0044100E" w:rsidRDefault="00643CE2" w:rsidP="004A54B3">
            <w:pPr>
              <w:jc w:val="right"/>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 xml:space="preserve"> </w:t>
            </w:r>
            <w:r w:rsidR="006F1BA4">
              <w:rPr>
                <w:rFonts w:ascii="Arial" w:eastAsia="Times New Roman" w:hAnsi="Arial" w:cs="Arial"/>
                <w:sz w:val="20"/>
                <w:szCs w:val="20"/>
                <w:lang w:val="es-CO" w:eastAsia="es-CO"/>
              </w:rPr>
              <w:t>$</w:t>
            </w:r>
            <w:r w:rsidRPr="0044100E">
              <w:rPr>
                <w:rFonts w:ascii="Arial" w:eastAsia="Times New Roman" w:hAnsi="Arial" w:cs="Arial"/>
                <w:sz w:val="20"/>
                <w:szCs w:val="20"/>
                <w:lang w:val="es-CO" w:eastAsia="es-CO"/>
              </w:rPr>
              <w:t xml:space="preserve">18.243 </w:t>
            </w:r>
          </w:p>
        </w:tc>
        <w:tc>
          <w:tcPr>
            <w:tcW w:w="0" w:type="auto"/>
            <w:tcBorders>
              <w:top w:val="single" w:sz="4" w:space="0" w:color="auto"/>
              <w:left w:val="nil"/>
              <w:bottom w:val="single" w:sz="4" w:space="0" w:color="auto"/>
              <w:right w:val="single" w:sz="4" w:space="0" w:color="auto"/>
            </w:tcBorders>
            <w:noWrap/>
            <w:vAlign w:val="center"/>
            <w:hideMark/>
          </w:tcPr>
          <w:p w14:paraId="44855804" w14:textId="5F34D5C8" w:rsidR="00643CE2" w:rsidRPr="0044100E" w:rsidRDefault="00643CE2" w:rsidP="004A54B3">
            <w:pPr>
              <w:jc w:val="right"/>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 xml:space="preserve"> </w:t>
            </w:r>
            <w:r w:rsidR="006F1BA4">
              <w:rPr>
                <w:rFonts w:ascii="Arial" w:eastAsia="Times New Roman" w:hAnsi="Arial" w:cs="Arial"/>
                <w:sz w:val="20"/>
                <w:szCs w:val="20"/>
                <w:lang w:val="es-CO" w:eastAsia="es-CO"/>
              </w:rPr>
              <w:t>$</w:t>
            </w:r>
            <w:r w:rsidRPr="0044100E">
              <w:rPr>
                <w:rFonts w:ascii="Arial" w:eastAsia="Times New Roman" w:hAnsi="Arial" w:cs="Arial"/>
                <w:sz w:val="20"/>
                <w:szCs w:val="20"/>
                <w:lang w:val="es-CO" w:eastAsia="es-CO"/>
              </w:rPr>
              <w:t xml:space="preserve">37.778 </w:t>
            </w:r>
          </w:p>
        </w:tc>
        <w:tc>
          <w:tcPr>
            <w:tcW w:w="0" w:type="auto"/>
            <w:tcBorders>
              <w:top w:val="single" w:sz="4" w:space="0" w:color="auto"/>
              <w:left w:val="nil"/>
              <w:bottom w:val="single" w:sz="4" w:space="0" w:color="auto"/>
              <w:right w:val="single" w:sz="4" w:space="0" w:color="auto"/>
            </w:tcBorders>
            <w:noWrap/>
            <w:vAlign w:val="center"/>
            <w:hideMark/>
          </w:tcPr>
          <w:p w14:paraId="4A8E6094" w14:textId="04598100" w:rsidR="00643CE2" w:rsidRPr="0044100E" w:rsidRDefault="00643CE2" w:rsidP="004A54B3">
            <w:pPr>
              <w:jc w:val="right"/>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 xml:space="preserve"> </w:t>
            </w:r>
            <w:r w:rsidR="006F1BA4">
              <w:rPr>
                <w:rFonts w:ascii="Arial" w:eastAsia="Times New Roman" w:hAnsi="Arial" w:cs="Arial"/>
                <w:sz w:val="20"/>
                <w:szCs w:val="20"/>
                <w:lang w:val="es-CO" w:eastAsia="es-CO"/>
              </w:rPr>
              <w:t>$</w:t>
            </w:r>
            <w:r w:rsidRPr="0044100E">
              <w:rPr>
                <w:rFonts w:ascii="Arial" w:eastAsia="Times New Roman" w:hAnsi="Arial" w:cs="Arial"/>
                <w:sz w:val="20"/>
                <w:szCs w:val="20"/>
                <w:lang w:val="es-CO" w:eastAsia="es-CO"/>
              </w:rPr>
              <w:t xml:space="preserve">18.243 </w:t>
            </w:r>
          </w:p>
        </w:tc>
        <w:tc>
          <w:tcPr>
            <w:tcW w:w="0" w:type="auto"/>
            <w:tcBorders>
              <w:top w:val="single" w:sz="4" w:space="0" w:color="auto"/>
              <w:left w:val="nil"/>
              <w:bottom w:val="single" w:sz="4" w:space="0" w:color="auto"/>
              <w:right w:val="single" w:sz="4" w:space="0" w:color="auto"/>
            </w:tcBorders>
            <w:noWrap/>
            <w:vAlign w:val="center"/>
            <w:hideMark/>
          </w:tcPr>
          <w:p w14:paraId="531BE069" w14:textId="0C4D86F7" w:rsidR="00643CE2" w:rsidRPr="0044100E" w:rsidRDefault="006F1BA4" w:rsidP="004A54B3">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0</w:t>
            </w:r>
          </w:p>
        </w:tc>
        <w:tc>
          <w:tcPr>
            <w:tcW w:w="0" w:type="auto"/>
            <w:tcBorders>
              <w:top w:val="single" w:sz="4" w:space="0" w:color="auto"/>
              <w:left w:val="nil"/>
              <w:bottom w:val="single" w:sz="4" w:space="0" w:color="auto"/>
              <w:right w:val="single" w:sz="4" w:space="0" w:color="auto"/>
            </w:tcBorders>
            <w:noWrap/>
            <w:vAlign w:val="center"/>
            <w:hideMark/>
          </w:tcPr>
          <w:p w14:paraId="6F7D0365" w14:textId="3C6AF04E" w:rsidR="00643CE2" w:rsidRPr="0044100E" w:rsidRDefault="006F1BA4">
            <w:pPr>
              <w:jc w:val="right"/>
              <w:rPr>
                <w:rFonts w:ascii="Arial" w:eastAsia="Times New Roman" w:hAnsi="Arial" w:cs="Arial"/>
                <w:sz w:val="20"/>
                <w:szCs w:val="20"/>
                <w:lang w:val="es-CO" w:eastAsia="es-CO"/>
              </w:rPr>
            </w:pPr>
            <w:r>
              <w:rPr>
                <w:rFonts w:ascii="Arial" w:eastAsia="Times New Roman" w:hAnsi="Arial" w:cs="Arial"/>
                <w:sz w:val="20"/>
                <w:szCs w:val="20"/>
                <w:lang w:val="es-CO" w:eastAsia="es-CO"/>
              </w:rPr>
              <w:t>$</w:t>
            </w:r>
            <w:r w:rsidR="00643CE2" w:rsidRPr="0044100E">
              <w:rPr>
                <w:rFonts w:ascii="Arial" w:eastAsia="Times New Roman" w:hAnsi="Arial" w:cs="Arial"/>
                <w:sz w:val="20"/>
                <w:szCs w:val="20"/>
                <w:lang w:val="es-CO" w:eastAsia="es-CO"/>
              </w:rPr>
              <w:t>0</w:t>
            </w:r>
          </w:p>
        </w:tc>
      </w:tr>
      <w:tr w:rsidR="00643CE2" w:rsidRPr="0044100E" w14:paraId="00DDDDB1" w14:textId="77777777" w:rsidTr="004A54B3">
        <w:trPr>
          <w:trHeight w:val="250"/>
        </w:trPr>
        <w:tc>
          <w:tcPr>
            <w:tcW w:w="0" w:type="auto"/>
            <w:gridSpan w:val="7"/>
            <w:tcBorders>
              <w:top w:val="single" w:sz="4" w:space="0" w:color="auto"/>
            </w:tcBorders>
            <w:shd w:val="clear" w:color="auto" w:fill="FFFFFF"/>
            <w:noWrap/>
            <w:vAlign w:val="bottom"/>
            <w:hideMark/>
          </w:tcPr>
          <w:p w14:paraId="2ECCC63D" w14:textId="77777777" w:rsidR="00643CE2" w:rsidRPr="0044100E" w:rsidRDefault="00643CE2">
            <w:pPr>
              <w:rPr>
                <w:rFonts w:ascii="Arial" w:eastAsia="Times New Roman" w:hAnsi="Arial" w:cs="Arial"/>
                <w:sz w:val="20"/>
                <w:szCs w:val="20"/>
                <w:lang w:val="es-CO" w:eastAsia="es-CO"/>
              </w:rPr>
            </w:pPr>
            <w:r w:rsidRPr="0044100E">
              <w:rPr>
                <w:rFonts w:ascii="Arial" w:eastAsia="Times New Roman" w:hAnsi="Arial" w:cs="Arial"/>
                <w:sz w:val="20"/>
                <w:szCs w:val="20"/>
                <w:lang w:val="es-CO" w:eastAsia="es-CO"/>
              </w:rPr>
              <w:t>Fuente: Elaboración Propia a partir de FUT-Ejecución FLS e Información Remitida por la ET</w:t>
            </w:r>
          </w:p>
        </w:tc>
      </w:tr>
    </w:tbl>
    <w:p w14:paraId="2F2D176F" w14:textId="77777777" w:rsidR="00643CE2" w:rsidRPr="0044100E" w:rsidRDefault="00643CE2" w:rsidP="00643CE2">
      <w:pPr>
        <w:jc w:val="both"/>
        <w:rPr>
          <w:rFonts w:ascii="Arial" w:hAnsi="Arial" w:cs="Arial"/>
          <w:sz w:val="22"/>
          <w:szCs w:val="22"/>
        </w:rPr>
      </w:pPr>
    </w:p>
    <w:p w14:paraId="6FE8CF25" w14:textId="77777777" w:rsidR="00643CE2" w:rsidRPr="0044100E" w:rsidRDefault="00643CE2" w:rsidP="00643CE2">
      <w:pPr>
        <w:pStyle w:val="Prrafodelista"/>
        <w:numPr>
          <w:ilvl w:val="2"/>
          <w:numId w:val="22"/>
        </w:numPr>
        <w:jc w:val="both"/>
        <w:rPr>
          <w:rFonts w:ascii="Arial" w:eastAsia="Times New Roman" w:hAnsi="Arial" w:cs="Arial"/>
          <w:b/>
          <w:sz w:val="22"/>
          <w:szCs w:val="22"/>
        </w:rPr>
      </w:pPr>
      <w:r w:rsidRPr="0044100E">
        <w:rPr>
          <w:rFonts w:ascii="Arial" w:eastAsia="Times New Roman" w:hAnsi="Arial" w:cs="Arial"/>
          <w:b/>
          <w:sz w:val="22"/>
          <w:szCs w:val="22"/>
        </w:rPr>
        <w:t>Cierre Fiscal y de Tesorería</w:t>
      </w:r>
    </w:p>
    <w:p w14:paraId="515FA5C4" w14:textId="77777777" w:rsidR="00643CE2" w:rsidRPr="0044100E" w:rsidRDefault="00643CE2" w:rsidP="00643CE2">
      <w:pPr>
        <w:jc w:val="both"/>
        <w:rPr>
          <w:rFonts w:ascii="Arial" w:hAnsi="Arial" w:cs="Arial"/>
          <w:sz w:val="22"/>
          <w:szCs w:val="22"/>
        </w:rPr>
      </w:pPr>
    </w:p>
    <w:p w14:paraId="5D673C9F" w14:textId="365D9E16" w:rsidR="00643CE2" w:rsidRDefault="00643CE2" w:rsidP="00643CE2">
      <w:pPr>
        <w:pStyle w:val="Sinespaciado"/>
        <w:spacing w:line="276" w:lineRule="auto"/>
        <w:jc w:val="both"/>
        <w:rPr>
          <w:rFonts w:ascii="Arial" w:hAnsi="Arial" w:cs="Arial"/>
        </w:rPr>
      </w:pPr>
      <w:r w:rsidRPr="0044100E">
        <w:rPr>
          <w:rFonts w:ascii="Arial" w:hAnsi="Arial" w:cs="Arial"/>
        </w:rPr>
        <w:t>De acuerdo con lo expuesto, el cierre presupuestal y de tesorería del Fondo Local de Salud para la vigencia 2020 mostró lo siguiente</w:t>
      </w:r>
      <w:r w:rsidR="00A11BF2">
        <w:rPr>
          <w:rFonts w:ascii="Arial" w:hAnsi="Arial" w:cs="Arial"/>
        </w:rPr>
        <w:t>:</w:t>
      </w:r>
    </w:p>
    <w:p w14:paraId="408682FD" w14:textId="3A4B62D3" w:rsidR="00A11BF2" w:rsidRDefault="00A11BF2" w:rsidP="00643CE2">
      <w:pPr>
        <w:pStyle w:val="Sinespaciado"/>
        <w:spacing w:line="276" w:lineRule="auto"/>
        <w:jc w:val="both"/>
        <w:rPr>
          <w:rFonts w:ascii="Arial" w:hAnsi="Arial" w:cs="Arial"/>
        </w:rPr>
      </w:pPr>
    </w:p>
    <w:p w14:paraId="791AFB43" w14:textId="5905AA44" w:rsidR="00A11BF2" w:rsidRDefault="00A11BF2" w:rsidP="00643CE2">
      <w:pPr>
        <w:pStyle w:val="Sinespaciado"/>
        <w:spacing w:line="276" w:lineRule="auto"/>
        <w:jc w:val="both"/>
        <w:rPr>
          <w:rFonts w:ascii="Arial" w:hAnsi="Arial" w:cs="Arial"/>
        </w:rPr>
      </w:pPr>
    </w:p>
    <w:p w14:paraId="431793A8" w14:textId="097416E5" w:rsidR="00A11BF2" w:rsidRPr="0044100E" w:rsidRDefault="00A11BF2" w:rsidP="00643CE2">
      <w:pPr>
        <w:pStyle w:val="Sinespaciado"/>
        <w:spacing w:line="276" w:lineRule="auto"/>
        <w:jc w:val="both"/>
        <w:rPr>
          <w:rFonts w:ascii="Arial" w:hAnsi="Arial" w:cs="Arial"/>
        </w:rPr>
      </w:pPr>
    </w:p>
    <w:tbl>
      <w:tblPr>
        <w:tblW w:w="3406" w:type="dxa"/>
        <w:tblInd w:w="3129" w:type="dxa"/>
        <w:tblCellMar>
          <w:left w:w="70" w:type="dxa"/>
          <w:right w:w="70" w:type="dxa"/>
        </w:tblCellMar>
        <w:tblLook w:val="04A0" w:firstRow="1" w:lastRow="0" w:firstColumn="1" w:lastColumn="0" w:noHBand="0" w:noVBand="1"/>
      </w:tblPr>
      <w:tblGrid>
        <w:gridCol w:w="2340"/>
        <w:gridCol w:w="920"/>
        <w:gridCol w:w="146"/>
      </w:tblGrid>
      <w:tr w:rsidR="00643CE2" w:rsidRPr="0044100E" w14:paraId="3F4A4365" w14:textId="77777777" w:rsidTr="004A54B3">
        <w:trPr>
          <w:gridAfter w:val="1"/>
          <w:wAfter w:w="146" w:type="dxa"/>
          <w:trHeight w:val="300"/>
          <w:tblHeader/>
        </w:trPr>
        <w:tc>
          <w:tcPr>
            <w:tcW w:w="3260" w:type="dxa"/>
            <w:gridSpan w:val="2"/>
            <w:shd w:val="clear" w:color="auto" w:fill="FFFFFF"/>
            <w:noWrap/>
            <w:vAlign w:val="center"/>
            <w:hideMark/>
          </w:tcPr>
          <w:p w14:paraId="5C8D9998" w14:textId="77777777" w:rsidR="00643CE2" w:rsidRPr="0044100E" w:rsidRDefault="00643CE2">
            <w:pPr>
              <w:rPr>
                <w:rFonts w:ascii="Arial" w:eastAsia="Times New Roman" w:hAnsi="Arial" w:cs="Arial"/>
                <w:sz w:val="16"/>
                <w:szCs w:val="16"/>
                <w:lang w:val="es-CO" w:eastAsia="es-CO"/>
              </w:rPr>
            </w:pPr>
            <w:r w:rsidRPr="0044100E">
              <w:rPr>
                <w:rFonts w:ascii="Arial" w:eastAsia="Times New Roman" w:hAnsi="Arial" w:cs="Arial"/>
                <w:sz w:val="16"/>
                <w:szCs w:val="16"/>
                <w:lang w:val="es-CO" w:eastAsia="es-CO"/>
              </w:rPr>
              <w:lastRenderedPageBreak/>
              <w:t>(En millones de pesos)</w:t>
            </w:r>
          </w:p>
        </w:tc>
      </w:tr>
      <w:tr w:rsidR="00643CE2" w:rsidRPr="0044100E" w14:paraId="1A48C5FD" w14:textId="77777777" w:rsidTr="004A54B3">
        <w:trPr>
          <w:gridAfter w:val="1"/>
          <w:wAfter w:w="146" w:type="dxa"/>
          <w:trHeight w:val="290"/>
          <w:tblHeader/>
        </w:trPr>
        <w:tc>
          <w:tcPr>
            <w:tcW w:w="2340" w:type="dxa"/>
            <w:vMerge w:val="restart"/>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1F08581A" w14:textId="77777777" w:rsidR="00643CE2" w:rsidRPr="0044100E" w:rsidRDefault="00643CE2">
            <w:pPr>
              <w:jc w:val="center"/>
              <w:rPr>
                <w:rFonts w:ascii="Arial" w:eastAsia="Times New Roman" w:hAnsi="Arial" w:cs="Arial"/>
                <w:b/>
                <w:bCs/>
                <w:color w:val="000000"/>
                <w:sz w:val="16"/>
                <w:szCs w:val="16"/>
                <w:lang w:val="es-CO" w:eastAsia="es-CO"/>
              </w:rPr>
            </w:pPr>
            <w:r w:rsidRPr="0044100E">
              <w:rPr>
                <w:rFonts w:ascii="Arial" w:eastAsia="Times New Roman" w:hAnsi="Arial" w:cs="Arial"/>
                <w:b/>
                <w:bCs/>
                <w:color w:val="000000"/>
                <w:sz w:val="16"/>
                <w:szCs w:val="16"/>
                <w:lang w:val="es-CO" w:eastAsia="es-CO"/>
              </w:rPr>
              <w:t>Concepto</w:t>
            </w:r>
          </w:p>
        </w:tc>
        <w:tc>
          <w:tcPr>
            <w:tcW w:w="920" w:type="dxa"/>
            <w:vMerge w:val="restart"/>
            <w:tcBorders>
              <w:top w:val="single" w:sz="8" w:space="0" w:color="auto"/>
              <w:left w:val="single" w:sz="4" w:space="0" w:color="auto"/>
              <w:bottom w:val="single" w:sz="4" w:space="0" w:color="auto"/>
              <w:right w:val="single" w:sz="8" w:space="0" w:color="auto"/>
            </w:tcBorders>
            <w:shd w:val="clear" w:color="auto" w:fill="D9D9D9"/>
            <w:vAlign w:val="center"/>
            <w:hideMark/>
          </w:tcPr>
          <w:p w14:paraId="1E28B231" w14:textId="77777777" w:rsidR="00643CE2" w:rsidRPr="0044100E" w:rsidRDefault="00643CE2">
            <w:pPr>
              <w:jc w:val="center"/>
              <w:rPr>
                <w:rFonts w:ascii="Arial" w:eastAsia="Times New Roman" w:hAnsi="Arial" w:cs="Arial"/>
                <w:b/>
                <w:bCs/>
                <w:color w:val="000000"/>
                <w:sz w:val="16"/>
                <w:szCs w:val="16"/>
                <w:lang w:val="es-CO" w:eastAsia="es-CO"/>
              </w:rPr>
            </w:pPr>
            <w:r w:rsidRPr="0044100E">
              <w:rPr>
                <w:rFonts w:ascii="Arial" w:eastAsia="Times New Roman" w:hAnsi="Arial" w:cs="Arial"/>
                <w:b/>
                <w:bCs/>
                <w:color w:val="000000"/>
                <w:sz w:val="16"/>
                <w:szCs w:val="16"/>
                <w:lang w:val="es-CO" w:eastAsia="es-CO"/>
              </w:rPr>
              <w:t>valor</w:t>
            </w:r>
          </w:p>
        </w:tc>
      </w:tr>
      <w:tr w:rsidR="00643CE2" w:rsidRPr="0044100E" w14:paraId="111B79F4" w14:textId="77777777" w:rsidTr="004A54B3">
        <w:trPr>
          <w:trHeight w:val="290"/>
          <w:tblHead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74E0399F" w14:textId="77777777" w:rsidR="00643CE2" w:rsidRPr="0044100E" w:rsidRDefault="00643CE2">
            <w:pPr>
              <w:rPr>
                <w:rFonts w:ascii="Arial" w:eastAsia="Times New Roman" w:hAnsi="Arial" w:cs="Arial"/>
                <w:b/>
                <w:bCs/>
                <w:color w:val="000000"/>
                <w:sz w:val="16"/>
                <w:szCs w:val="16"/>
                <w:lang w:val="es-CO" w:eastAsia="es-CO"/>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590F8A3D" w14:textId="77777777" w:rsidR="00643CE2" w:rsidRPr="0044100E" w:rsidRDefault="00643CE2">
            <w:pPr>
              <w:rPr>
                <w:rFonts w:ascii="Arial" w:eastAsia="Times New Roman" w:hAnsi="Arial" w:cs="Arial"/>
                <w:b/>
                <w:bCs/>
                <w:color w:val="000000"/>
                <w:sz w:val="16"/>
                <w:szCs w:val="16"/>
                <w:lang w:val="es-CO" w:eastAsia="es-CO"/>
              </w:rPr>
            </w:pPr>
          </w:p>
        </w:tc>
        <w:tc>
          <w:tcPr>
            <w:tcW w:w="146" w:type="dxa"/>
            <w:noWrap/>
            <w:vAlign w:val="bottom"/>
            <w:hideMark/>
          </w:tcPr>
          <w:p w14:paraId="44371B34" w14:textId="77777777" w:rsidR="00643CE2" w:rsidRPr="0044100E" w:rsidRDefault="00643CE2">
            <w:pPr>
              <w:rPr>
                <w:rFonts w:ascii="Arial" w:hAnsi="Arial" w:cs="Arial"/>
              </w:rPr>
            </w:pPr>
          </w:p>
        </w:tc>
      </w:tr>
      <w:tr w:rsidR="00643CE2" w:rsidRPr="0044100E" w14:paraId="2653DAFF" w14:textId="77777777" w:rsidTr="00643CE2">
        <w:trPr>
          <w:trHeight w:val="290"/>
        </w:trPr>
        <w:tc>
          <w:tcPr>
            <w:tcW w:w="2340" w:type="dxa"/>
            <w:tcBorders>
              <w:top w:val="nil"/>
              <w:left w:val="single" w:sz="8" w:space="0" w:color="auto"/>
              <w:bottom w:val="single" w:sz="4" w:space="0" w:color="auto"/>
              <w:right w:val="single" w:sz="4" w:space="0" w:color="auto"/>
            </w:tcBorders>
            <w:noWrap/>
            <w:vAlign w:val="center"/>
            <w:hideMark/>
          </w:tcPr>
          <w:p w14:paraId="662233DF" w14:textId="77777777" w:rsidR="00643CE2" w:rsidRPr="0044100E" w:rsidRDefault="00643CE2">
            <w:pPr>
              <w:jc w:val="both"/>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 xml:space="preserve"> 1. Ingresos (Recaudados)</w:t>
            </w:r>
          </w:p>
        </w:tc>
        <w:tc>
          <w:tcPr>
            <w:tcW w:w="920" w:type="dxa"/>
            <w:tcBorders>
              <w:top w:val="nil"/>
              <w:left w:val="nil"/>
              <w:bottom w:val="single" w:sz="4" w:space="0" w:color="auto"/>
              <w:right w:val="single" w:sz="8" w:space="0" w:color="auto"/>
            </w:tcBorders>
            <w:noWrap/>
            <w:vAlign w:val="center"/>
            <w:hideMark/>
          </w:tcPr>
          <w:p w14:paraId="492CCE9F" w14:textId="0A836351" w:rsidR="00643CE2" w:rsidRPr="0044100E" w:rsidRDefault="006F1B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37.187</w:t>
            </w:r>
          </w:p>
        </w:tc>
        <w:tc>
          <w:tcPr>
            <w:tcW w:w="146" w:type="dxa"/>
            <w:vAlign w:val="center"/>
            <w:hideMark/>
          </w:tcPr>
          <w:p w14:paraId="56FF9715" w14:textId="77777777" w:rsidR="00643CE2" w:rsidRPr="0044100E" w:rsidRDefault="00643CE2">
            <w:pPr>
              <w:rPr>
                <w:rFonts w:ascii="Arial" w:eastAsia="Times New Roman" w:hAnsi="Arial" w:cs="Arial"/>
                <w:color w:val="000000"/>
                <w:sz w:val="16"/>
                <w:szCs w:val="16"/>
                <w:lang w:val="es-CO" w:eastAsia="es-CO"/>
              </w:rPr>
            </w:pPr>
          </w:p>
        </w:tc>
      </w:tr>
      <w:tr w:rsidR="00643CE2" w:rsidRPr="0044100E" w14:paraId="2115D640" w14:textId="77777777" w:rsidTr="00643CE2">
        <w:trPr>
          <w:trHeight w:val="290"/>
        </w:trPr>
        <w:tc>
          <w:tcPr>
            <w:tcW w:w="2340" w:type="dxa"/>
            <w:tcBorders>
              <w:top w:val="nil"/>
              <w:left w:val="single" w:sz="8" w:space="0" w:color="auto"/>
              <w:bottom w:val="single" w:sz="4" w:space="0" w:color="auto"/>
              <w:right w:val="single" w:sz="4" w:space="0" w:color="auto"/>
            </w:tcBorders>
            <w:noWrap/>
            <w:vAlign w:val="center"/>
            <w:hideMark/>
          </w:tcPr>
          <w:p w14:paraId="7A051E5B" w14:textId="77777777" w:rsidR="00643CE2" w:rsidRPr="0044100E" w:rsidRDefault="00643CE2">
            <w:pPr>
              <w:jc w:val="both"/>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 xml:space="preserve"> 2. Gastos (Comprometidos) </w:t>
            </w:r>
          </w:p>
        </w:tc>
        <w:tc>
          <w:tcPr>
            <w:tcW w:w="920" w:type="dxa"/>
            <w:tcBorders>
              <w:top w:val="nil"/>
              <w:left w:val="nil"/>
              <w:bottom w:val="single" w:sz="4" w:space="0" w:color="auto"/>
              <w:right w:val="single" w:sz="8" w:space="0" w:color="auto"/>
            </w:tcBorders>
            <w:noWrap/>
            <w:vAlign w:val="center"/>
            <w:hideMark/>
          </w:tcPr>
          <w:p w14:paraId="316A9254" w14:textId="4194E474" w:rsidR="00643CE2" w:rsidRPr="0044100E" w:rsidRDefault="006F1B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18.243</w:t>
            </w:r>
          </w:p>
        </w:tc>
        <w:tc>
          <w:tcPr>
            <w:tcW w:w="146" w:type="dxa"/>
            <w:vAlign w:val="center"/>
            <w:hideMark/>
          </w:tcPr>
          <w:p w14:paraId="607C715D" w14:textId="77777777" w:rsidR="00643CE2" w:rsidRPr="0044100E" w:rsidRDefault="00643CE2">
            <w:pPr>
              <w:rPr>
                <w:rFonts w:ascii="Arial" w:eastAsia="Times New Roman" w:hAnsi="Arial" w:cs="Arial"/>
                <w:color w:val="000000"/>
                <w:sz w:val="16"/>
                <w:szCs w:val="16"/>
                <w:lang w:val="es-CO" w:eastAsia="es-CO"/>
              </w:rPr>
            </w:pPr>
          </w:p>
        </w:tc>
      </w:tr>
      <w:tr w:rsidR="00643CE2" w:rsidRPr="0044100E" w14:paraId="6F5EB27A" w14:textId="77777777" w:rsidTr="00643CE2">
        <w:trPr>
          <w:trHeight w:val="290"/>
        </w:trPr>
        <w:tc>
          <w:tcPr>
            <w:tcW w:w="2340" w:type="dxa"/>
            <w:tcBorders>
              <w:top w:val="nil"/>
              <w:left w:val="single" w:sz="8" w:space="0" w:color="auto"/>
              <w:bottom w:val="single" w:sz="4" w:space="0" w:color="auto"/>
              <w:right w:val="single" w:sz="4" w:space="0" w:color="auto"/>
            </w:tcBorders>
            <w:noWrap/>
            <w:vAlign w:val="center"/>
            <w:hideMark/>
          </w:tcPr>
          <w:p w14:paraId="5DC92A71" w14:textId="77777777" w:rsidR="00643CE2" w:rsidRPr="0044100E" w:rsidRDefault="00643CE2">
            <w:pPr>
              <w:jc w:val="both"/>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 xml:space="preserve"> 3. Gastos (Obligados) </w:t>
            </w:r>
          </w:p>
        </w:tc>
        <w:tc>
          <w:tcPr>
            <w:tcW w:w="920" w:type="dxa"/>
            <w:tcBorders>
              <w:top w:val="nil"/>
              <w:left w:val="nil"/>
              <w:bottom w:val="single" w:sz="4" w:space="0" w:color="auto"/>
              <w:right w:val="single" w:sz="8" w:space="0" w:color="auto"/>
            </w:tcBorders>
            <w:noWrap/>
            <w:vAlign w:val="center"/>
            <w:hideMark/>
          </w:tcPr>
          <w:p w14:paraId="096E1F0D" w14:textId="759B7F57" w:rsidR="00643CE2" w:rsidRPr="0044100E" w:rsidRDefault="006F1B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14.610</w:t>
            </w:r>
          </w:p>
        </w:tc>
        <w:tc>
          <w:tcPr>
            <w:tcW w:w="146" w:type="dxa"/>
            <w:vAlign w:val="center"/>
            <w:hideMark/>
          </w:tcPr>
          <w:p w14:paraId="60A9DBB6" w14:textId="77777777" w:rsidR="00643CE2" w:rsidRPr="0044100E" w:rsidRDefault="00643CE2">
            <w:pPr>
              <w:rPr>
                <w:rFonts w:ascii="Arial" w:eastAsia="Times New Roman" w:hAnsi="Arial" w:cs="Arial"/>
                <w:color w:val="000000"/>
                <w:sz w:val="16"/>
                <w:szCs w:val="16"/>
                <w:lang w:val="es-CO" w:eastAsia="es-CO"/>
              </w:rPr>
            </w:pPr>
          </w:p>
        </w:tc>
      </w:tr>
      <w:tr w:rsidR="00643CE2" w:rsidRPr="0044100E" w14:paraId="1BF3ABF4" w14:textId="77777777" w:rsidTr="00643CE2">
        <w:trPr>
          <w:trHeight w:val="290"/>
        </w:trPr>
        <w:tc>
          <w:tcPr>
            <w:tcW w:w="2340" w:type="dxa"/>
            <w:tcBorders>
              <w:top w:val="nil"/>
              <w:left w:val="single" w:sz="8" w:space="0" w:color="auto"/>
              <w:bottom w:val="single" w:sz="4" w:space="0" w:color="auto"/>
              <w:right w:val="single" w:sz="4" w:space="0" w:color="auto"/>
            </w:tcBorders>
            <w:noWrap/>
            <w:vAlign w:val="center"/>
            <w:hideMark/>
          </w:tcPr>
          <w:p w14:paraId="1EF1D89A" w14:textId="77777777" w:rsidR="00643CE2" w:rsidRPr="0044100E" w:rsidRDefault="00643CE2">
            <w:pPr>
              <w:jc w:val="both"/>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 xml:space="preserve"> 4. Pagos </w:t>
            </w:r>
          </w:p>
        </w:tc>
        <w:tc>
          <w:tcPr>
            <w:tcW w:w="920" w:type="dxa"/>
            <w:tcBorders>
              <w:top w:val="nil"/>
              <w:left w:val="nil"/>
              <w:bottom w:val="single" w:sz="4" w:space="0" w:color="auto"/>
              <w:right w:val="single" w:sz="8" w:space="0" w:color="auto"/>
            </w:tcBorders>
            <w:noWrap/>
            <w:vAlign w:val="center"/>
            <w:hideMark/>
          </w:tcPr>
          <w:p w14:paraId="3F0F3D2C" w14:textId="32D43559" w:rsidR="00643CE2" w:rsidRPr="0044100E" w:rsidRDefault="006F1B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14.215</w:t>
            </w:r>
          </w:p>
        </w:tc>
        <w:tc>
          <w:tcPr>
            <w:tcW w:w="146" w:type="dxa"/>
            <w:vAlign w:val="center"/>
            <w:hideMark/>
          </w:tcPr>
          <w:p w14:paraId="46AAA7C9" w14:textId="77777777" w:rsidR="00643CE2" w:rsidRPr="0044100E" w:rsidRDefault="00643CE2">
            <w:pPr>
              <w:rPr>
                <w:rFonts w:ascii="Arial" w:eastAsia="Times New Roman" w:hAnsi="Arial" w:cs="Arial"/>
                <w:color w:val="000000"/>
                <w:sz w:val="16"/>
                <w:szCs w:val="16"/>
                <w:lang w:val="es-CO" w:eastAsia="es-CO"/>
              </w:rPr>
            </w:pPr>
          </w:p>
        </w:tc>
      </w:tr>
      <w:tr w:rsidR="00643CE2" w:rsidRPr="0044100E" w14:paraId="4E885507" w14:textId="77777777" w:rsidTr="00643CE2">
        <w:trPr>
          <w:trHeight w:val="290"/>
        </w:trPr>
        <w:tc>
          <w:tcPr>
            <w:tcW w:w="2340" w:type="dxa"/>
            <w:tcBorders>
              <w:top w:val="nil"/>
              <w:left w:val="single" w:sz="8" w:space="0" w:color="auto"/>
              <w:bottom w:val="single" w:sz="4" w:space="0" w:color="auto"/>
              <w:right w:val="single" w:sz="4" w:space="0" w:color="auto"/>
            </w:tcBorders>
            <w:noWrap/>
            <w:vAlign w:val="center"/>
            <w:hideMark/>
          </w:tcPr>
          <w:p w14:paraId="6E1872A0" w14:textId="77777777" w:rsidR="00643CE2" w:rsidRPr="0044100E" w:rsidRDefault="00643CE2">
            <w:pPr>
              <w:jc w:val="both"/>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 xml:space="preserve"> Déficit o superávit (1) - (2) </w:t>
            </w:r>
          </w:p>
        </w:tc>
        <w:tc>
          <w:tcPr>
            <w:tcW w:w="920" w:type="dxa"/>
            <w:tcBorders>
              <w:top w:val="nil"/>
              <w:left w:val="nil"/>
              <w:bottom w:val="single" w:sz="4" w:space="0" w:color="auto"/>
              <w:right w:val="single" w:sz="8" w:space="0" w:color="auto"/>
            </w:tcBorders>
            <w:noWrap/>
            <w:vAlign w:val="center"/>
            <w:hideMark/>
          </w:tcPr>
          <w:p w14:paraId="3AF24CCD" w14:textId="73FCE798" w:rsidR="00643CE2" w:rsidRPr="0044100E" w:rsidRDefault="006F1B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18.944</w:t>
            </w:r>
          </w:p>
        </w:tc>
        <w:tc>
          <w:tcPr>
            <w:tcW w:w="146" w:type="dxa"/>
            <w:vAlign w:val="center"/>
            <w:hideMark/>
          </w:tcPr>
          <w:p w14:paraId="7C7924DE" w14:textId="77777777" w:rsidR="00643CE2" w:rsidRPr="0044100E" w:rsidRDefault="00643CE2">
            <w:pPr>
              <w:rPr>
                <w:rFonts w:ascii="Arial" w:eastAsia="Times New Roman" w:hAnsi="Arial" w:cs="Arial"/>
                <w:color w:val="000000"/>
                <w:sz w:val="16"/>
                <w:szCs w:val="16"/>
                <w:lang w:val="es-CO" w:eastAsia="es-CO"/>
              </w:rPr>
            </w:pPr>
          </w:p>
        </w:tc>
      </w:tr>
      <w:tr w:rsidR="00643CE2" w:rsidRPr="0044100E" w14:paraId="3F99A6DB" w14:textId="77777777" w:rsidTr="00643CE2">
        <w:trPr>
          <w:trHeight w:val="290"/>
        </w:trPr>
        <w:tc>
          <w:tcPr>
            <w:tcW w:w="2340" w:type="dxa"/>
            <w:tcBorders>
              <w:top w:val="nil"/>
              <w:left w:val="single" w:sz="8" w:space="0" w:color="auto"/>
              <w:bottom w:val="single" w:sz="4" w:space="0" w:color="auto"/>
              <w:right w:val="single" w:sz="4" w:space="0" w:color="auto"/>
            </w:tcBorders>
            <w:noWrap/>
            <w:vAlign w:val="center"/>
            <w:hideMark/>
          </w:tcPr>
          <w:p w14:paraId="5F32DB76" w14:textId="77777777" w:rsidR="00643CE2" w:rsidRPr="0044100E" w:rsidRDefault="00643CE2">
            <w:pPr>
              <w:jc w:val="both"/>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 xml:space="preserve"> Reservas (2) - (3) </w:t>
            </w:r>
          </w:p>
        </w:tc>
        <w:tc>
          <w:tcPr>
            <w:tcW w:w="920" w:type="dxa"/>
            <w:tcBorders>
              <w:top w:val="nil"/>
              <w:left w:val="nil"/>
              <w:bottom w:val="single" w:sz="4" w:space="0" w:color="auto"/>
              <w:right w:val="single" w:sz="8" w:space="0" w:color="auto"/>
            </w:tcBorders>
            <w:noWrap/>
            <w:vAlign w:val="center"/>
            <w:hideMark/>
          </w:tcPr>
          <w:p w14:paraId="3D1A299D" w14:textId="681BC70B" w:rsidR="00643CE2" w:rsidRPr="0044100E" w:rsidRDefault="006F1B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3.633</w:t>
            </w:r>
          </w:p>
        </w:tc>
        <w:tc>
          <w:tcPr>
            <w:tcW w:w="146" w:type="dxa"/>
            <w:vAlign w:val="center"/>
            <w:hideMark/>
          </w:tcPr>
          <w:p w14:paraId="2FBB4D85" w14:textId="77777777" w:rsidR="00643CE2" w:rsidRPr="0044100E" w:rsidRDefault="00643CE2">
            <w:pPr>
              <w:rPr>
                <w:rFonts w:ascii="Arial" w:eastAsia="Times New Roman" w:hAnsi="Arial" w:cs="Arial"/>
                <w:color w:val="000000"/>
                <w:sz w:val="16"/>
                <w:szCs w:val="16"/>
                <w:lang w:val="es-CO" w:eastAsia="es-CO"/>
              </w:rPr>
            </w:pPr>
          </w:p>
        </w:tc>
      </w:tr>
      <w:tr w:rsidR="00643CE2" w:rsidRPr="0044100E" w14:paraId="4C0ACDE9" w14:textId="77777777" w:rsidTr="00643CE2">
        <w:trPr>
          <w:trHeight w:val="290"/>
        </w:trPr>
        <w:tc>
          <w:tcPr>
            <w:tcW w:w="2340" w:type="dxa"/>
            <w:tcBorders>
              <w:top w:val="nil"/>
              <w:left w:val="single" w:sz="8" w:space="0" w:color="auto"/>
              <w:bottom w:val="single" w:sz="4" w:space="0" w:color="auto"/>
              <w:right w:val="single" w:sz="4" w:space="0" w:color="auto"/>
            </w:tcBorders>
            <w:noWrap/>
            <w:vAlign w:val="center"/>
            <w:hideMark/>
          </w:tcPr>
          <w:p w14:paraId="04A2FA9A" w14:textId="77777777" w:rsidR="00643CE2" w:rsidRPr="0044100E" w:rsidRDefault="00643CE2">
            <w:pPr>
              <w:jc w:val="both"/>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 xml:space="preserve"> Cuentas por pagar (3) - (4) </w:t>
            </w:r>
          </w:p>
        </w:tc>
        <w:tc>
          <w:tcPr>
            <w:tcW w:w="920" w:type="dxa"/>
            <w:tcBorders>
              <w:top w:val="nil"/>
              <w:left w:val="nil"/>
              <w:bottom w:val="single" w:sz="4" w:space="0" w:color="auto"/>
              <w:right w:val="single" w:sz="8" w:space="0" w:color="auto"/>
            </w:tcBorders>
            <w:noWrap/>
            <w:vAlign w:val="center"/>
            <w:hideMark/>
          </w:tcPr>
          <w:p w14:paraId="7B748DA7" w14:textId="54E4A1C7" w:rsidR="00643CE2" w:rsidRPr="0044100E" w:rsidRDefault="006F1B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395</w:t>
            </w:r>
          </w:p>
        </w:tc>
        <w:tc>
          <w:tcPr>
            <w:tcW w:w="146" w:type="dxa"/>
            <w:vAlign w:val="center"/>
            <w:hideMark/>
          </w:tcPr>
          <w:p w14:paraId="416B4A36" w14:textId="77777777" w:rsidR="00643CE2" w:rsidRPr="0044100E" w:rsidRDefault="00643CE2">
            <w:pPr>
              <w:rPr>
                <w:rFonts w:ascii="Arial" w:eastAsia="Times New Roman" w:hAnsi="Arial" w:cs="Arial"/>
                <w:color w:val="000000"/>
                <w:sz w:val="16"/>
                <w:szCs w:val="16"/>
                <w:lang w:val="es-CO" w:eastAsia="es-CO"/>
              </w:rPr>
            </w:pPr>
          </w:p>
        </w:tc>
      </w:tr>
      <w:tr w:rsidR="00643CE2" w:rsidRPr="0044100E" w14:paraId="46E0C2E9" w14:textId="77777777" w:rsidTr="00643CE2">
        <w:trPr>
          <w:trHeight w:val="430"/>
        </w:trPr>
        <w:tc>
          <w:tcPr>
            <w:tcW w:w="2340" w:type="dxa"/>
            <w:tcBorders>
              <w:top w:val="nil"/>
              <w:left w:val="single" w:sz="8" w:space="0" w:color="auto"/>
              <w:bottom w:val="single" w:sz="8" w:space="0" w:color="auto"/>
              <w:right w:val="single" w:sz="4" w:space="0" w:color="auto"/>
            </w:tcBorders>
            <w:noWrap/>
            <w:vAlign w:val="center"/>
            <w:hideMark/>
          </w:tcPr>
          <w:p w14:paraId="558A4ABF" w14:textId="77777777" w:rsidR="00643CE2" w:rsidRPr="0044100E" w:rsidRDefault="00643CE2">
            <w:pPr>
              <w:jc w:val="both"/>
              <w:rPr>
                <w:rFonts w:ascii="Arial" w:eastAsia="Times New Roman" w:hAnsi="Arial" w:cs="Arial"/>
                <w:color w:val="000000"/>
                <w:sz w:val="16"/>
                <w:szCs w:val="16"/>
                <w:lang w:val="es-CO" w:eastAsia="es-CO"/>
              </w:rPr>
            </w:pPr>
            <w:r w:rsidRPr="0044100E">
              <w:rPr>
                <w:rFonts w:ascii="Arial" w:eastAsia="Times New Roman" w:hAnsi="Arial" w:cs="Arial"/>
                <w:color w:val="000000"/>
                <w:sz w:val="16"/>
                <w:szCs w:val="16"/>
                <w:lang w:val="es-CO" w:eastAsia="es-CO"/>
              </w:rPr>
              <w:t xml:space="preserve"> Saldo en Caja y Bancos (1) - (4) </w:t>
            </w:r>
          </w:p>
        </w:tc>
        <w:tc>
          <w:tcPr>
            <w:tcW w:w="920" w:type="dxa"/>
            <w:tcBorders>
              <w:top w:val="nil"/>
              <w:left w:val="nil"/>
              <w:bottom w:val="single" w:sz="8" w:space="0" w:color="auto"/>
              <w:right w:val="single" w:sz="8" w:space="0" w:color="auto"/>
            </w:tcBorders>
            <w:noWrap/>
            <w:vAlign w:val="center"/>
            <w:hideMark/>
          </w:tcPr>
          <w:p w14:paraId="356258D4" w14:textId="5F5D3BD3" w:rsidR="00643CE2" w:rsidRPr="0044100E" w:rsidRDefault="006F1B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r w:rsidR="00643CE2" w:rsidRPr="0044100E">
              <w:rPr>
                <w:rFonts w:ascii="Arial" w:eastAsia="Times New Roman" w:hAnsi="Arial" w:cs="Arial"/>
                <w:color w:val="000000"/>
                <w:sz w:val="16"/>
                <w:szCs w:val="16"/>
                <w:lang w:val="es-CO" w:eastAsia="es-CO"/>
              </w:rPr>
              <w:t>22.972</w:t>
            </w:r>
          </w:p>
        </w:tc>
        <w:tc>
          <w:tcPr>
            <w:tcW w:w="146" w:type="dxa"/>
            <w:vAlign w:val="center"/>
            <w:hideMark/>
          </w:tcPr>
          <w:p w14:paraId="18F695E2" w14:textId="77777777" w:rsidR="00643CE2" w:rsidRPr="0044100E" w:rsidRDefault="00643CE2">
            <w:pPr>
              <w:rPr>
                <w:rFonts w:ascii="Arial" w:eastAsia="Times New Roman" w:hAnsi="Arial" w:cs="Arial"/>
                <w:color w:val="000000"/>
                <w:sz w:val="16"/>
                <w:szCs w:val="16"/>
                <w:lang w:val="es-CO" w:eastAsia="es-CO"/>
              </w:rPr>
            </w:pPr>
          </w:p>
        </w:tc>
      </w:tr>
    </w:tbl>
    <w:p w14:paraId="37A24D3F" w14:textId="77777777" w:rsidR="00643CE2" w:rsidRPr="0044100E" w:rsidRDefault="00643CE2" w:rsidP="00643CE2">
      <w:pPr>
        <w:jc w:val="center"/>
        <w:rPr>
          <w:rFonts w:ascii="Arial" w:hAnsi="Arial" w:cs="Arial"/>
          <w:sz w:val="22"/>
          <w:szCs w:val="22"/>
        </w:rPr>
      </w:pPr>
      <w:r w:rsidRPr="0044100E">
        <w:rPr>
          <w:rFonts w:ascii="Arial" w:hAnsi="Arial" w:cs="Arial"/>
          <w:sz w:val="18"/>
          <w:szCs w:val="18"/>
        </w:rPr>
        <w:t>Fuente: Ejecución Presupuestal FLS- reportada a través del CHIP. Corte diciembre 2020</w:t>
      </w:r>
    </w:p>
    <w:p w14:paraId="687A333D" w14:textId="77777777" w:rsidR="00643CE2" w:rsidRPr="0044100E" w:rsidRDefault="00643CE2" w:rsidP="00643CE2">
      <w:pPr>
        <w:rPr>
          <w:rFonts w:ascii="Arial" w:hAnsi="Arial" w:cs="Arial"/>
          <w:sz w:val="18"/>
          <w:szCs w:val="18"/>
          <w:highlight w:val="yellow"/>
        </w:rPr>
      </w:pPr>
    </w:p>
    <w:p w14:paraId="07170BF9" w14:textId="79AB70E5"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En resumen, la </w:t>
      </w:r>
      <w:r w:rsidR="004A54B3">
        <w:rPr>
          <w:rFonts w:ascii="Arial" w:hAnsi="Arial" w:cs="Arial"/>
          <w:sz w:val="22"/>
          <w:szCs w:val="22"/>
        </w:rPr>
        <w:t>E</w:t>
      </w:r>
      <w:r w:rsidRPr="0044100E">
        <w:rPr>
          <w:rFonts w:ascii="Arial" w:hAnsi="Arial" w:cs="Arial"/>
          <w:sz w:val="22"/>
          <w:szCs w:val="22"/>
        </w:rPr>
        <w:t xml:space="preserve">ntidad para el sector salud durante la vigencia 2020 recaudó ingresos por $37.187millones, comprometió $18.243 millones, generó obligaciones por $14.610 millones y efectuó pagos por $14.215 millones, generando así un superávit de $18.944 millones, debiendo entonces constituir reservas presupuestales por $3.633 millones y cuentas por pagar por $395 millones. No obstante, lo anterior no es posible </w:t>
      </w:r>
      <w:r w:rsidR="00E52DE0" w:rsidRPr="0044100E">
        <w:rPr>
          <w:rFonts w:ascii="Arial" w:hAnsi="Arial" w:cs="Arial"/>
          <w:sz w:val="22"/>
          <w:szCs w:val="22"/>
        </w:rPr>
        <w:t>efectuar la verificación respectiva de estos resultados con</w:t>
      </w:r>
      <w:r w:rsidR="009C7544">
        <w:rPr>
          <w:rFonts w:ascii="Arial" w:hAnsi="Arial" w:cs="Arial"/>
          <w:sz w:val="22"/>
          <w:szCs w:val="22"/>
        </w:rPr>
        <w:t xml:space="preserve"> </w:t>
      </w:r>
      <w:r w:rsidRPr="0044100E">
        <w:rPr>
          <w:rFonts w:ascii="Arial" w:hAnsi="Arial" w:cs="Arial"/>
          <w:sz w:val="22"/>
          <w:szCs w:val="22"/>
        </w:rPr>
        <w:t xml:space="preserve">los actos administrativos </w:t>
      </w:r>
      <w:r w:rsidR="00E52DE0" w:rsidRPr="0044100E">
        <w:rPr>
          <w:rFonts w:ascii="Arial" w:hAnsi="Arial" w:cs="Arial"/>
          <w:sz w:val="22"/>
          <w:szCs w:val="22"/>
        </w:rPr>
        <w:t xml:space="preserve">respectivos </w:t>
      </w:r>
      <w:r w:rsidRPr="0044100E">
        <w:rPr>
          <w:rFonts w:ascii="Arial" w:hAnsi="Arial" w:cs="Arial"/>
          <w:sz w:val="22"/>
          <w:szCs w:val="22"/>
        </w:rPr>
        <w:t xml:space="preserve">debido a que la </w:t>
      </w:r>
      <w:r w:rsidR="00587CD3">
        <w:rPr>
          <w:rFonts w:ascii="Arial" w:hAnsi="Arial" w:cs="Arial"/>
          <w:sz w:val="22"/>
          <w:szCs w:val="22"/>
        </w:rPr>
        <w:t>E</w:t>
      </w:r>
      <w:r w:rsidRPr="0044100E">
        <w:rPr>
          <w:rFonts w:ascii="Arial" w:hAnsi="Arial" w:cs="Arial"/>
          <w:sz w:val="22"/>
          <w:szCs w:val="22"/>
        </w:rPr>
        <w:t xml:space="preserve">ntidad no remitió </w:t>
      </w:r>
      <w:r w:rsidR="00E52DE0" w:rsidRPr="0044100E">
        <w:rPr>
          <w:rFonts w:ascii="Arial" w:hAnsi="Arial" w:cs="Arial"/>
          <w:sz w:val="22"/>
          <w:szCs w:val="22"/>
        </w:rPr>
        <w:t xml:space="preserve">dicha información. </w:t>
      </w:r>
    </w:p>
    <w:p w14:paraId="500A460C" w14:textId="77777777" w:rsidR="001846CC" w:rsidRPr="0044100E" w:rsidRDefault="001846CC" w:rsidP="00643CE2">
      <w:pPr>
        <w:jc w:val="both"/>
        <w:rPr>
          <w:rFonts w:ascii="Arial" w:hAnsi="Arial" w:cs="Arial"/>
          <w:sz w:val="22"/>
          <w:szCs w:val="22"/>
          <w:highlight w:val="yellow"/>
        </w:rPr>
      </w:pPr>
    </w:p>
    <w:p w14:paraId="0F8B18AC" w14:textId="72E5AB89" w:rsidR="00973B15" w:rsidRDefault="00643CE2" w:rsidP="00643CE2">
      <w:pPr>
        <w:jc w:val="both"/>
        <w:rPr>
          <w:rFonts w:ascii="Arial" w:hAnsi="Arial" w:cs="Arial"/>
          <w:sz w:val="22"/>
          <w:szCs w:val="22"/>
        </w:rPr>
      </w:pPr>
      <w:r w:rsidRPr="0044100E">
        <w:rPr>
          <w:rFonts w:ascii="Arial" w:hAnsi="Arial" w:cs="Arial"/>
          <w:sz w:val="22"/>
          <w:szCs w:val="22"/>
        </w:rPr>
        <w:t xml:space="preserve">Por otra parte, con relación </w:t>
      </w:r>
      <w:r w:rsidR="00587CD3">
        <w:rPr>
          <w:rFonts w:ascii="Arial" w:hAnsi="Arial" w:cs="Arial"/>
          <w:sz w:val="22"/>
          <w:szCs w:val="22"/>
        </w:rPr>
        <w:t>con</w:t>
      </w:r>
      <w:r w:rsidRPr="0044100E">
        <w:rPr>
          <w:rFonts w:ascii="Arial" w:hAnsi="Arial" w:cs="Arial"/>
          <w:sz w:val="22"/>
          <w:szCs w:val="22"/>
        </w:rPr>
        <w:t xml:space="preserve"> la ejecución de reservas constituidas al cierre de la vigencia 2019 ($3.633 millones) de acuerdo con la información entregada por el Departamento, al finalizar la vigencia 2020 se registraron pagos por </w:t>
      </w:r>
      <w:r w:rsidR="006F1BA4">
        <w:rPr>
          <w:rFonts w:ascii="Arial" w:hAnsi="Arial" w:cs="Arial"/>
          <w:sz w:val="22"/>
          <w:szCs w:val="22"/>
        </w:rPr>
        <w:t>$</w:t>
      </w:r>
      <w:r w:rsidRPr="0044100E">
        <w:rPr>
          <w:rFonts w:ascii="Arial" w:hAnsi="Arial" w:cs="Arial"/>
          <w:sz w:val="22"/>
          <w:szCs w:val="22"/>
        </w:rPr>
        <w:t xml:space="preserve">187 millones, correspondiente al 5%. De otro lado, la </w:t>
      </w:r>
      <w:r w:rsidR="00587CD3">
        <w:rPr>
          <w:rFonts w:ascii="Arial" w:hAnsi="Arial" w:cs="Arial"/>
          <w:sz w:val="22"/>
          <w:szCs w:val="22"/>
        </w:rPr>
        <w:t>E</w:t>
      </w:r>
      <w:r w:rsidRPr="0044100E">
        <w:rPr>
          <w:rFonts w:ascii="Arial" w:hAnsi="Arial" w:cs="Arial"/>
          <w:sz w:val="22"/>
          <w:szCs w:val="22"/>
        </w:rPr>
        <w:t>ntidad no aport</w:t>
      </w:r>
      <w:r w:rsidR="00646D5E" w:rsidRPr="0044100E">
        <w:rPr>
          <w:rFonts w:ascii="Arial" w:hAnsi="Arial" w:cs="Arial"/>
          <w:sz w:val="22"/>
          <w:szCs w:val="22"/>
        </w:rPr>
        <w:t>ó</w:t>
      </w:r>
      <w:r w:rsidRPr="0044100E">
        <w:rPr>
          <w:rFonts w:ascii="Arial" w:hAnsi="Arial" w:cs="Arial"/>
          <w:sz w:val="22"/>
          <w:szCs w:val="22"/>
        </w:rPr>
        <w:t xml:space="preserve"> la ejecución de </w:t>
      </w:r>
      <w:r w:rsidR="00973B15" w:rsidRPr="0044100E">
        <w:rPr>
          <w:rFonts w:ascii="Arial" w:hAnsi="Arial" w:cs="Arial"/>
          <w:sz w:val="22"/>
          <w:szCs w:val="22"/>
        </w:rPr>
        <w:t xml:space="preserve">cuentas por pagar constituidas al cierre de la vigencia 2019. </w:t>
      </w:r>
    </w:p>
    <w:p w14:paraId="2A3E75C8" w14:textId="77777777" w:rsidR="00587CD3" w:rsidRPr="0044100E" w:rsidRDefault="00587CD3" w:rsidP="00643CE2">
      <w:pPr>
        <w:jc w:val="both"/>
        <w:rPr>
          <w:rFonts w:ascii="Arial" w:hAnsi="Arial" w:cs="Arial"/>
          <w:sz w:val="22"/>
          <w:szCs w:val="22"/>
        </w:rPr>
      </w:pPr>
    </w:p>
    <w:p w14:paraId="1A32F1A1" w14:textId="74F4418C" w:rsidR="00643CE2" w:rsidRPr="0044100E" w:rsidRDefault="00973B15" w:rsidP="00643CE2">
      <w:pPr>
        <w:jc w:val="both"/>
        <w:rPr>
          <w:rFonts w:ascii="Arial" w:hAnsi="Arial" w:cs="Arial"/>
          <w:sz w:val="22"/>
          <w:szCs w:val="22"/>
        </w:rPr>
      </w:pPr>
      <w:r w:rsidRPr="0044100E">
        <w:rPr>
          <w:rFonts w:ascii="Arial" w:hAnsi="Arial" w:cs="Arial"/>
          <w:sz w:val="22"/>
          <w:szCs w:val="22"/>
        </w:rPr>
        <w:t>No obstante, la ejecución de cuentas por pagar constituidas al cierre de la vigencia 2020 mostró una ejecución del 100%. Sin embargo</w:t>
      </w:r>
      <w:r w:rsidR="00587CD3">
        <w:rPr>
          <w:rFonts w:ascii="Arial" w:hAnsi="Arial" w:cs="Arial"/>
          <w:sz w:val="22"/>
          <w:szCs w:val="22"/>
        </w:rPr>
        <w:t>,</w:t>
      </w:r>
      <w:r w:rsidRPr="0044100E">
        <w:rPr>
          <w:rFonts w:ascii="Arial" w:hAnsi="Arial" w:cs="Arial"/>
          <w:sz w:val="22"/>
          <w:szCs w:val="22"/>
        </w:rPr>
        <w:t xml:space="preserve"> la información presentada por la </w:t>
      </w:r>
      <w:r w:rsidR="00587CD3">
        <w:rPr>
          <w:rFonts w:ascii="Arial" w:hAnsi="Arial" w:cs="Arial"/>
          <w:sz w:val="22"/>
          <w:szCs w:val="22"/>
        </w:rPr>
        <w:t>E</w:t>
      </w:r>
      <w:r w:rsidRPr="0044100E">
        <w:rPr>
          <w:rFonts w:ascii="Arial" w:hAnsi="Arial" w:cs="Arial"/>
          <w:sz w:val="22"/>
          <w:szCs w:val="22"/>
        </w:rPr>
        <w:t xml:space="preserve">ntidad territorial </w:t>
      </w:r>
      <w:r w:rsidR="00587CD3">
        <w:rPr>
          <w:rFonts w:ascii="Arial" w:hAnsi="Arial" w:cs="Arial"/>
          <w:sz w:val="22"/>
          <w:szCs w:val="22"/>
        </w:rPr>
        <w:t>respecto de</w:t>
      </w:r>
      <w:r w:rsidRPr="0044100E">
        <w:rPr>
          <w:rFonts w:ascii="Arial" w:hAnsi="Arial" w:cs="Arial"/>
          <w:sz w:val="22"/>
          <w:szCs w:val="22"/>
        </w:rPr>
        <w:t xml:space="preserve"> la ejecución de reservas no permite validar su consistencia frente a lo identificado en el cierre presupuestal. </w:t>
      </w:r>
    </w:p>
    <w:p w14:paraId="2F6C5A5F" w14:textId="77777777" w:rsidR="00643CE2" w:rsidRPr="0044100E" w:rsidRDefault="00643CE2" w:rsidP="00643CE2">
      <w:pPr>
        <w:jc w:val="both"/>
        <w:rPr>
          <w:rFonts w:ascii="Arial" w:hAnsi="Arial" w:cs="Arial"/>
          <w:sz w:val="22"/>
          <w:szCs w:val="22"/>
        </w:rPr>
      </w:pPr>
    </w:p>
    <w:p w14:paraId="6AD3C0C8" w14:textId="25F22C38" w:rsidR="00643CE2" w:rsidRPr="0044100E" w:rsidRDefault="00643CE2" w:rsidP="00643CE2">
      <w:pPr>
        <w:jc w:val="both"/>
        <w:rPr>
          <w:rFonts w:ascii="Arial" w:hAnsi="Arial" w:cs="Arial"/>
          <w:iCs/>
          <w:color w:val="000000" w:themeColor="text1"/>
          <w:sz w:val="22"/>
          <w:szCs w:val="22"/>
        </w:rPr>
      </w:pPr>
      <w:r w:rsidRPr="0044100E">
        <w:rPr>
          <w:rFonts w:ascii="Arial" w:hAnsi="Arial" w:cs="Arial"/>
          <w:iCs/>
          <w:color w:val="000000" w:themeColor="text1"/>
          <w:sz w:val="22"/>
          <w:szCs w:val="22"/>
        </w:rPr>
        <w:t xml:space="preserve">La </w:t>
      </w:r>
      <w:r w:rsidR="00587CD3">
        <w:rPr>
          <w:rFonts w:ascii="Arial" w:hAnsi="Arial" w:cs="Arial"/>
          <w:iCs/>
          <w:color w:val="000000" w:themeColor="text1"/>
          <w:sz w:val="22"/>
          <w:szCs w:val="22"/>
        </w:rPr>
        <w:t>E</w:t>
      </w:r>
      <w:r w:rsidRPr="0044100E">
        <w:rPr>
          <w:rFonts w:ascii="Arial" w:hAnsi="Arial" w:cs="Arial"/>
          <w:iCs/>
          <w:color w:val="000000" w:themeColor="text1"/>
          <w:sz w:val="22"/>
          <w:szCs w:val="22"/>
        </w:rPr>
        <w:t xml:space="preserve">ntidad fue requerida con la relación de vigencias expiradas en el Sector Salud, el estado de </w:t>
      </w:r>
      <w:r w:rsidR="00646D5E" w:rsidRPr="0044100E">
        <w:rPr>
          <w:rFonts w:ascii="Arial" w:hAnsi="Arial" w:cs="Arial"/>
          <w:iCs/>
          <w:color w:val="000000" w:themeColor="text1"/>
          <w:sz w:val="22"/>
          <w:szCs w:val="22"/>
        </w:rPr>
        <w:t>és</w:t>
      </w:r>
      <w:r w:rsidRPr="0044100E">
        <w:rPr>
          <w:rFonts w:ascii="Arial" w:hAnsi="Arial" w:cs="Arial"/>
          <w:iCs/>
          <w:color w:val="000000" w:themeColor="text1"/>
          <w:sz w:val="22"/>
          <w:szCs w:val="22"/>
        </w:rPr>
        <w:t>tas y las acciones a desarrollar</w:t>
      </w:r>
      <w:r w:rsidR="00646D5E" w:rsidRPr="0044100E">
        <w:rPr>
          <w:rFonts w:ascii="Arial" w:hAnsi="Arial" w:cs="Arial"/>
          <w:iCs/>
          <w:color w:val="000000" w:themeColor="text1"/>
          <w:sz w:val="22"/>
          <w:szCs w:val="22"/>
        </w:rPr>
        <w:t xml:space="preserve">, sin </w:t>
      </w:r>
      <w:r w:rsidR="0012296B" w:rsidRPr="0044100E">
        <w:rPr>
          <w:rFonts w:ascii="Arial" w:hAnsi="Arial" w:cs="Arial"/>
          <w:iCs/>
          <w:color w:val="000000" w:themeColor="text1"/>
          <w:sz w:val="22"/>
          <w:szCs w:val="22"/>
        </w:rPr>
        <w:t>embargo,</w:t>
      </w:r>
      <w:r w:rsidR="00646D5E" w:rsidRPr="0044100E">
        <w:rPr>
          <w:rFonts w:ascii="Arial" w:hAnsi="Arial" w:cs="Arial"/>
          <w:iCs/>
          <w:color w:val="000000" w:themeColor="text1"/>
          <w:sz w:val="22"/>
          <w:szCs w:val="22"/>
        </w:rPr>
        <w:t xml:space="preserve"> no fue aportada la documentación para su análisis.</w:t>
      </w:r>
      <w:r w:rsidRPr="0044100E">
        <w:rPr>
          <w:rFonts w:ascii="Arial" w:hAnsi="Arial" w:cs="Arial"/>
          <w:iCs/>
          <w:color w:val="000000" w:themeColor="text1"/>
          <w:sz w:val="22"/>
          <w:szCs w:val="22"/>
        </w:rPr>
        <w:t xml:space="preserve"> </w:t>
      </w:r>
    </w:p>
    <w:p w14:paraId="5897A36E" w14:textId="77777777" w:rsidR="00643CE2" w:rsidRPr="00587CD3" w:rsidRDefault="00643CE2" w:rsidP="00643CE2">
      <w:pPr>
        <w:jc w:val="both"/>
        <w:rPr>
          <w:rFonts w:ascii="Arial" w:hAnsi="Arial" w:cs="Arial"/>
          <w:sz w:val="22"/>
          <w:szCs w:val="22"/>
        </w:rPr>
      </w:pPr>
    </w:p>
    <w:p w14:paraId="4C6586A8" w14:textId="185AF646" w:rsidR="00643CE2" w:rsidRPr="0044100E" w:rsidRDefault="00646D5E" w:rsidP="00643CE2">
      <w:pPr>
        <w:jc w:val="both"/>
        <w:rPr>
          <w:rFonts w:ascii="Arial" w:hAnsi="Arial" w:cs="Arial"/>
          <w:sz w:val="22"/>
          <w:szCs w:val="22"/>
        </w:rPr>
      </w:pPr>
      <w:r w:rsidRPr="0044100E">
        <w:rPr>
          <w:rFonts w:ascii="Arial" w:hAnsi="Arial" w:cs="Arial"/>
          <w:sz w:val="22"/>
          <w:szCs w:val="22"/>
        </w:rPr>
        <w:t>R</w:t>
      </w:r>
      <w:r w:rsidR="00643CE2" w:rsidRPr="0044100E">
        <w:rPr>
          <w:rFonts w:ascii="Arial" w:hAnsi="Arial" w:cs="Arial"/>
          <w:sz w:val="22"/>
          <w:szCs w:val="22"/>
        </w:rPr>
        <w:t>especto a la constitución de reservas presupuestales, cabe precisar que las mismas deben constituirse de manera excepcional ante la ocurrencia de eventos imprevisibles que impidan la ejecución de los recursos dentro de la vigencia, por lo cual, dicha circunstancia será objeto de verificación para poder establecer si su causa estaría relacionada a debilidades en los procesos de planeación financiera o contractual.</w:t>
      </w:r>
      <w:r w:rsidR="00643CE2" w:rsidRPr="0044100E">
        <w:rPr>
          <w:rFonts w:ascii="Arial" w:hAnsi="Arial" w:cs="Arial"/>
          <w:sz w:val="22"/>
          <w:szCs w:val="22"/>
          <w:highlight w:val="yellow"/>
        </w:rPr>
        <w:t xml:space="preserve"> </w:t>
      </w:r>
    </w:p>
    <w:p w14:paraId="6DEBB0BF" w14:textId="77777777" w:rsidR="00643CE2" w:rsidRPr="0044100E" w:rsidRDefault="00643CE2" w:rsidP="00643CE2">
      <w:pPr>
        <w:jc w:val="both"/>
        <w:rPr>
          <w:rFonts w:ascii="Arial" w:hAnsi="Arial" w:cs="Arial"/>
          <w:sz w:val="22"/>
          <w:szCs w:val="22"/>
        </w:rPr>
      </w:pPr>
    </w:p>
    <w:p w14:paraId="05E887CD" w14:textId="656C858F" w:rsidR="00643CE2" w:rsidRPr="0044100E" w:rsidRDefault="00643CE2" w:rsidP="00643CE2">
      <w:pPr>
        <w:jc w:val="both"/>
        <w:rPr>
          <w:rFonts w:ascii="Arial" w:hAnsi="Arial" w:cs="Arial"/>
          <w:sz w:val="22"/>
          <w:szCs w:val="22"/>
        </w:rPr>
      </w:pPr>
      <w:r w:rsidRPr="0044100E">
        <w:rPr>
          <w:rFonts w:ascii="Arial" w:hAnsi="Arial" w:cs="Arial"/>
          <w:sz w:val="22"/>
          <w:szCs w:val="22"/>
        </w:rPr>
        <w:lastRenderedPageBreak/>
        <w:t xml:space="preserve">De otro lado, según el reporte del formato FUT_ Tesorería_ Fondo _ Salud al cierre de la vigencia 2020, la </w:t>
      </w:r>
      <w:r w:rsidR="00587CD3">
        <w:rPr>
          <w:rFonts w:ascii="Arial" w:hAnsi="Arial" w:cs="Arial"/>
          <w:sz w:val="22"/>
          <w:szCs w:val="22"/>
        </w:rPr>
        <w:t>E</w:t>
      </w:r>
      <w:r w:rsidRPr="0044100E">
        <w:rPr>
          <w:rFonts w:ascii="Arial" w:hAnsi="Arial" w:cs="Arial"/>
          <w:sz w:val="22"/>
          <w:szCs w:val="22"/>
        </w:rPr>
        <w:t xml:space="preserve">ntidad </w:t>
      </w:r>
      <w:r w:rsidR="00587CD3">
        <w:rPr>
          <w:rFonts w:ascii="Arial" w:hAnsi="Arial" w:cs="Arial"/>
          <w:sz w:val="22"/>
          <w:szCs w:val="22"/>
        </w:rPr>
        <w:t>T</w:t>
      </w:r>
      <w:r w:rsidRPr="0044100E">
        <w:rPr>
          <w:rFonts w:ascii="Arial" w:hAnsi="Arial" w:cs="Arial"/>
          <w:sz w:val="22"/>
          <w:szCs w:val="22"/>
        </w:rPr>
        <w:t xml:space="preserve">erritorial contaba con saldos en las cuentas maestras de salud y otras cuentas de $31.568, como se evidencia en la siguiente tabla: </w:t>
      </w:r>
    </w:p>
    <w:p w14:paraId="44AE730D" w14:textId="77777777" w:rsidR="00643CE2" w:rsidRPr="0044100E" w:rsidRDefault="00643CE2" w:rsidP="00643CE2">
      <w:pPr>
        <w:jc w:val="both"/>
        <w:rPr>
          <w:rFonts w:ascii="Arial" w:hAnsi="Arial" w:cs="Arial"/>
          <w:sz w:val="22"/>
          <w:szCs w:val="22"/>
        </w:rPr>
      </w:pPr>
    </w:p>
    <w:p w14:paraId="7380A0AC" w14:textId="56971757" w:rsidR="00643CE2" w:rsidRPr="0044100E" w:rsidRDefault="00643CE2" w:rsidP="00587CD3">
      <w:pPr>
        <w:ind w:left="4248" w:firstLine="708"/>
        <w:jc w:val="both"/>
        <w:rPr>
          <w:rFonts w:ascii="Arial" w:hAnsi="Arial" w:cs="Arial"/>
          <w:sz w:val="22"/>
          <w:szCs w:val="22"/>
        </w:rPr>
      </w:pPr>
      <w:r w:rsidRPr="0044100E">
        <w:rPr>
          <w:rFonts w:ascii="Arial" w:hAnsi="Arial" w:cs="Arial"/>
          <w:sz w:val="22"/>
          <w:szCs w:val="22"/>
        </w:rPr>
        <w:t>Cifras: en Millones de $</w:t>
      </w:r>
    </w:p>
    <w:tbl>
      <w:tblPr>
        <w:tblStyle w:val="Tablanormal2"/>
        <w:tblW w:w="0" w:type="auto"/>
        <w:jc w:val="center"/>
        <w:tblInd w:w="0" w:type="dxa"/>
        <w:tblLook w:val="04A0" w:firstRow="1" w:lastRow="0" w:firstColumn="1" w:lastColumn="0" w:noHBand="0" w:noVBand="1"/>
      </w:tblPr>
      <w:tblGrid>
        <w:gridCol w:w="3113"/>
        <w:gridCol w:w="1802"/>
        <w:gridCol w:w="395"/>
      </w:tblGrid>
      <w:tr w:rsidR="00643CE2" w:rsidRPr="0044100E" w14:paraId="2BD650C5" w14:textId="77777777" w:rsidTr="00587CD3">
        <w:trPr>
          <w:gridAfter w:val="1"/>
          <w:cnfStyle w:val="100000000000" w:firstRow="1" w:lastRow="0" w:firstColumn="0" w:lastColumn="0" w:oddVBand="0" w:evenVBand="0" w:oddHBand="0" w:evenHBand="0" w:firstRowFirstColumn="0" w:firstRowLastColumn="0" w:lastRowFirstColumn="0" w:lastRowLastColumn="0"/>
          <w:wAfter w:w="395" w:type="dxa"/>
          <w:trHeight w:val="217"/>
          <w:tblHeader/>
          <w:jc w:val="center"/>
        </w:trPr>
        <w:tc>
          <w:tcPr>
            <w:cnfStyle w:val="001000000000" w:firstRow="0" w:lastRow="0" w:firstColumn="1" w:lastColumn="0" w:oddVBand="0" w:evenVBand="0" w:oddHBand="0" w:evenHBand="0" w:firstRowFirstColumn="0" w:firstRowLastColumn="0" w:lastRowFirstColumn="0" w:lastRowLastColumn="0"/>
            <w:tcW w:w="3113" w:type="dxa"/>
            <w:tcBorders>
              <w:top w:val="single" w:sz="4" w:space="0" w:color="7F7F7F" w:themeColor="text1" w:themeTint="80"/>
              <w:left w:val="nil"/>
              <w:right w:val="nil"/>
            </w:tcBorders>
            <w:hideMark/>
          </w:tcPr>
          <w:p w14:paraId="28A0D65B" w14:textId="77777777" w:rsidR="00643CE2" w:rsidRPr="0044100E" w:rsidRDefault="00643CE2">
            <w:pPr>
              <w:jc w:val="center"/>
              <w:rPr>
                <w:rFonts w:ascii="Arial" w:eastAsia="Calibri" w:hAnsi="Arial" w:cs="Arial"/>
                <w:sz w:val="22"/>
                <w:szCs w:val="22"/>
                <w:lang w:val="es-CO" w:eastAsia="en-US"/>
              </w:rPr>
            </w:pPr>
            <w:r w:rsidRPr="0044100E">
              <w:rPr>
                <w:rFonts w:ascii="Arial" w:eastAsia="Calibri" w:hAnsi="Arial" w:cs="Arial"/>
                <w:sz w:val="22"/>
                <w:szCs w:val="22"/>
                <w:lang w:val="es-CO" w:eastAsia="en-US"/>
              </w:rPr>
              <w:t>Componente</w:t>
            </w:r>
          </w:p>
        </w:tc>
        <w:tc>
          <w:tcPr>
            <w:tcW w:w="1802" w:type="dxa"/>
            <w:tcBorders>
              <w:top w:val="single" w:sz="4" w:space="0" w:color="7F7F7F" w:themeColor="text1" w:themeTint="80"/>
              <w:left w:val="nil"/>
              <w:right w:val="nil"/>
            </w:tcBorders>
            <w:hideMark/>
          </w:tcPr>
          <w:p w14:paraId="3D4C1BE1" w14:textId="77777777" w:rsidR="00643CE2" w:rsidRPr="0044100E" w:rsidRDefault="00643CE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lang w:val="es-CO" w:eastAsia="en-US"/>
              </w:rPr>
            </w:pPr>
            <w:r w:rsidRPr="0044100E">
              <w:rPr>
                <w:rFonts w:ascii="Arial" w:eastAsia="Calibri" w:hAnsi="Arial" w:cs="Arial"/>
                <w:sz w:val="22"/>
                <w:szCs w:val="22"/>
                <w:lang w:val="es-CO" w:eastAsia="en-US"/>
              </w:rPr>
              <w:t>Saldo ($)</w:t>
            </w:r>
          </w:p>
        </w:tc>
      </w:tr>
      <w:tr w:rsidR="00643CE2" w:rsidRPr="0044100E" w14:paraId="7EE6A3B4" w14:textId="77777777" w:rsidTr="00643CE2">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3113" w:type="dxa"/>
            <w:tcBorders>
              <w:left w:val="nil"/>
              <w:right w:val="nil"/>
            </w:tcBorders>
            <w:hideMark/>
          </w:tcPr>
          <w:p w14:paraId="57E55AB9" w14:textId="77777777" w:rsidR="00643CE2" w:rsidRPr="0044100E" w:rsidRDefault="00643CE2">
            <w:pPr>
              <w:jc w:val="both"/>
              <w:rPr>
                <w:rFonts w:ascii="Arial" w:eastAsia="Calibri" w:hAnsi="Arial" w:cs="Arial"/>
                <w:b w:val="0"/>
                <w:sz w:val="20"/>
                <w:szCs w:val="20"/>
                <w:lang w:val="es-CO" w:eastAsia="en-US"/>
              </w:rPr>
            </w:pPr>
            <w:r w:rsidRPr="0044100E">
              <w:rPr>
                <w:rFonts w:ascii="Arial" w:eastAsia="Calibri" w:hAnsi="Arial" w:cs="Arial"/>
                <w:sz w:val="20"/>
                <w:szCs w:val="20"/>
                <w:lang w:val="es-CO" w:eastAsia="en-US"/>
              </w:rPr>
              <w:t>Régimen subsidiado</w:t>
            </w:r>
          </w:p>
        </w:tc>
        <w:tc>
          <w:tcPr>
            <w:tcW w:w="2197" w:type="dxa"/>
            <w:gridSpan w:val="2"/>
            <w:tcBorders>
              <w:left w:val="nil"/>
              <w:right w:val="nil"/>
            </w:tcBorders>
            <w:hideMark/>
          </w:tcPr>
          <w:p w14:paraId="14D65E26" w14:textId="77777777" w:rsidR="00643CE2" w:rsidRPr="0044100E" w:rsidRDefault="00643CE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eastAsia="en-US"/>
              </w:rPr>
            </w:pPr>
            <w:r w:rsidRPr="0044100E">
              <w:rPr>
                <w:rFonts w:ascii="Arial" w:eastAsia="Calibri" w:hAnsi="Arial" w:cs="Arial"/>
                <w:sz w:val="20"/>
                <w:szCs w:val="20"/>
                <w:lang w:val="es-CO" w:eastAsia="en-US"/>
              </w:rPr>
              <w:t>$941</w:t>
            </w:r>
          </w:p>
        </w:tc>
      </w:tr>
      <w:tr w:rsidR="00643CE2" w:rsidRPr="0044100E" w14:paraId="4D04562F" w14:textId="77777777" w:rsidTr="00643CE2">
        <w:trPr>
          <w:trHeight w:val="225"/>
          <w:jc w:val="center"/>
        </w:trPr>
        <w:tc>
          <w:tcPr>
            <w:cnfStyle w:val="001000000000" w:firstRow="0" w:lastRow="0" w:firstColumn="1" w:lastColumn="0" w:oddVBand="0" w:evenVBand="0" w:oddHBand="0" w:evenHBand="0" w:firstRowFirstColumn="0" w:firstRowLastColumn="0" w:lastRowFirstColumn="0" w:lastRowLastColumn="0"/>
            <w:tcW w:w="3113" w:type="dxa"/>
            <w:tcBorders>
              <w:top w:val="nil"/>
              <w:left w:val="nil"/>
              <w:bottom w:val="nil"/>
              <w:right w:val="nil"/>
            </w:tcBorders>
            <w:hideMark/>
          </w:tcPr>
          <w:p w14:paraId="712330AA" w14:textId="77777777" w:rsidR="00643CE2" w:rsidRPr="0044100E" w:rsidRDefault="00643CE2">
            <w:pPr>
              <w:jc w:val="both"/>
              <w:rPr>
                <w:rFonts w:ascii="Arial" w:eastAsia="Calibri" w:hAnsi="Arial" w:cs="Arial"/>
                <w:b w:val="0"/>
                <w:sz w:val="20"/>
                <w:szCs w:val="20"/>
                <w:lang w:val="es-CO" w:eastAsia="en-US"/>
              </w:rPr>
            </w:pPr>
            <w:r w:rsidRPr="0044100E">
              <w:rPr>
                <w:rFonts w:ascii="Arial" w:eastAsia="Calibri" w:hAnsi="Arial" w:cs="Arial"/>
                <w:sz w:val="20"/>
                <w:szCs w:val="20"/>
                <w:lang w:val="es-CO" w:eastAsia="en-US"/>
              </w:rPr>
              <w:t>Prestación de Servicios</w:t>
            </w:r>
          </w:p>
        </w:tc>
        <w:tc>
          <w:tcPr>
            <w:tcW w:w="2197" w:type="dxa"/>
            <w:gridSpan w:val="2"/>
            <w:tcBorders>
              <w:top w:val="nil"/>
              <w:left w:val="nil"/>
              <w:bottom w:val="nil"/>
              <w:right w:val="nil"/>
            </w:tcBorders>
            <w:hideMark/>
          </w:tcPr>
          <w:p w14:paraId="6E0EE8C2" w14:textId="77777777" w:rsidR="00643CE2" w:rsidRPr="0044100E" w:rsidRDefault="00643CE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eastAsia="en-US"/>
              </w:rPr>
            </w:pPr>
            <w:r w:rsidRPr="0044100E">
              <w:rPr>
                <w:rFonts w:ascii="Arial" w:eastAsia="Calibri" w:hAnsi="Arial" w:cs="Arial"/>
                <w:sz w:val="20"/>
                <w:szCs w:val="20"/>
                <w:lang w:val="es-CO" w:eastAsia="en-US"/>
              </w:rPr>
              <w:t>$21.758</w:t>
            </w:r>
          </w:p>
        </w:tc>
      </w:tr>
      <w:tr w:rsidR="00643CE2" w:rsidRPr="0044100E" w14:paraId="4BE88EB9" w14:textId="77777777" w:rsidTr="00643CE2">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3113" w:type="dxa"/>
            <w:tcBorders>
              <w:left w:val="nil"/>
              <w:right w:val="nil"/>
            </w:tcBorders>
            <w:hideMark/>
          </w:tcPr>
          <w:p w14:paraId="3A6B1EB8" w14:textId="77777777" w:rsidR="00643CE2" w:rsidRPr="0044100E" w:rsidRDefault="00643CE2">
            <w:pPr>
              <w:jc w:val="both"/>
              <w:rPr>
                <w:rFonts w:ascii="Arial" w:eastAsia="Calibri" w:hAnsi="Arial" w:cs="Arial"/>
                <w:b w:val="0"/>
                <w:sz w:val="20"/>
                <w:szCs w:val="20"/>
                <w:lang w:val="es-CO" w:eastAsia="en-US"/>
              </w:rPr>
            </w:pPr>
            <w:r w:rsidRPr="0044100E">
              <w:rPr>
                <w:rFonts w:ascii="Arial" w:eastAsia="Calibri" w:hAnsi="Arial" w:cs="Arial"/>
                <w:sz w:val="20"/>
                <w:szCs w:val="20"/>
                <w:lang w:val="es-CO" w:eastAsia="en-US"/>
              </w:rPr>
              <w:t>Salud Pública</w:t>
            </w:r>
          </w:p>
        </w:tc>
        <w:tc>
          <w:tcPr>
            <w:tcW w:w="2197" w:type="dxa"/>
            <w:gridSpan w:val="2"/>
            <w:tcBorders>
              <w:left w:val="nil"/>
              <w:right w:val="nil"/>
            </w:tcBorders>
            <w:hideMark/>
          </w:tcPr>
          <w:p w14:paraId="3A8643EC" w14:textId="77777777" w:rsidR="00643CE2" w:rsidRPr="0044100E" w:rsidRDefault="00643CE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eastAsia="en-US"/>
              </w:rPr>
            </w:pPr>
            <w:r w:rsidRPr="0044100E">
              <w:rPr>
                <w:rFonts w:ascii="Arial" w:eastAsia="Calibri" w:hAnsi="Arial" w:cs="Arial"/>
                <w:sz w:val="20"/>
                <w:szCs w:val="20"/>
                <w:lang w:val="es-CO" w:eastAsia="en-US"/>
              </w:rPr>
              <w:t>$8.801</w:t>
            </w:r>
          </w:p>
        </w:tc>
      </w:tr>
      <w:tr w:rsidR="00643CE2" w:rsidRPr="0044100E" w14:paraId="6EDC7CE0" w14:textId="77777777" w:rsidTr="00643CE2">
        <w:trPr>
          <w:trHeight w:val="319"/>
          <w:jc w:val="center"/>
        </w:trPr>
        <w:tc>
          <w:tcPr>
            <w:cnfStyle w:val="001000000000" w:firstRow="0" w:lastRow="0" w:firstColumn="1" w:lastColumn="0" w:oddVBand="0" w:evenVBand="0" w:oddHBand="0" w:evenHBand="0" w:firstRowFirstColumn="0" w:firstRowLastColumn="0" w:lastRowFirstColumn="0" w:lastRowLastColumn="0"/>
            <w:tcW w:w="3113" w:type="dxa"/>
            <w:tcBorders>
              <w:top w:val="nil"/>
              <w:left w:val="nil"/>
              <w:bottom w:val="nil"/>
              <w:right w:val="nil"/>
            </w:tcBorders>
            <w:hideMark/>
          </w:tcPr>
          <w:p w14:paraId="33B82ED1" w14:textId="77777777" w:rsidR="00643CE2" w:rsidRPr="0044100E" w:rsidRDefault="00643CE2">
            <w:pPr>
              <w:jc w:val="both"/>
              <w:rPr>
                <w:rFonts w:ascii="Arial" w:eastAsia="Calibri" w:hAnsi="Arial" w:cs="Arial"/>
                <w:b w:val="0"/>
                <w:sz w:val="20"/>
                <w:szCs w:val="20"/>
                <w:lang w:val="es-CO" w:eastAsia="en-US"/>
              </w:rPr>
            </w:pPr>
            <w:r w:rsidRPr="0044100E">
              <w:rPr>
                <w:rFonts w:ascii="Arial" w:eastAsia="Calibri" w:hAnsi="Arial" w:cs="Arial"/>
                <w:sz w:val="20"/>
                <w:szCs w:val="20"/>
                <w:lang w:val="es-CO" w:eastAsia="en-US"/>
              </w:rPr>
              <w:t>Otros gastos en salud funcionamiento</w:t>
            </w:r>
          </w:p>
        </w:tc>
        <w:tc>
          <w:tcPr>
            <w:tcW w:w="2197" w:type="dxa"/>
            <w:gridSpan w:val="2"/>
            <w:tcBorders>
              <w:top w:val="nil"/>
              <w:left w:val="nil"/>
              <w:bottom w:val="nil"/>
              <w:right w:val="nil"/>
            </w:tcBorders>
            <w:hideMark/>
          </w:tcPr>
          <w:p w14:paraId="3BE8D913" w14:textId="77777777" w:rsidR="00643CE2" w:rsidRPr="0044100E" w:rsidRDefault="00643CE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eastAsia="en-US"/>
              </w:rPr>
            </w:pPr>
            <w:r w:rsidRPr="0044100E">
              <w:rPr>
                <w:rFonts w:ascii="Arial" w:eastAsia="Calibri" w:hAnsi="Arial" w:cs="Arial"/>
                <w:sz w:val="20"/>
                <w:szCs w:val="20"/>
                <w:lang w:val="es-CO" w:eastAsia="en-US"/>
              </w:rPr>
              <w:t>$12</w:t>
            </w:r>
          </w:p>
        </w:tc>
      </w:tr>
      <w:tr w:rsidR="00643CE2" w:rsidRPr="0044100E" w14:paraId="35EBC4C8" w14:textId="77777777" w:rsidTr="00643CE2">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3113" w:type="dxa"/>
            <w:tcBorders>
              <w:left w:val="nil"/>
              <w:right w:val="nil"/>
            </w:tcBorders>
            <w:hideMark/>
          </w:tcPr>
          <w:p w14:paraId="1BAF8873" w14:textId="77777777" w:rsidR="00643CE2" w:rsidRPr="0044100E" w:rsidRDefault="00643CE2">
            <w:pPr>
              <w:jc w:val="both"/>
              <w:rPr>
                <w:rFonts w:ascii="Arial" w:eastAsia="Calibri" w:hAnsi="Arial" w:cs="Arial"/>
                <w:b w:val="0"/>
                <w:bCs w:val="0"/>
                <w:sz w:val="20"/>
                <w:szCs w:val="20"/>
                <w:lang w:val="es-CO" w:eastAsia="en-US"/>
              </w:rPr>
            </w:pPr>
            <w:r w:rsidRPr="0044100E">
              <w:rPr>
                <w:rFonts w:ascii="Arial" w:eastAsia="Calibri" w:hAnsi="Arial" w:cs="Arial"/>
                <w:sz w:val="20"/>
                <w:szCs w:val="20"/>
                <w:lang w:val="es-CO" w:eastAsia="en-US"/>
              </w:rPr>
              <w:t>Otros Gastos En Salud Inversión</w:t>
            </w:r>
          </w:p>
        </w:tc>
        <w:tc>
          <w:tcPr>
            <w:tcW w:w="2197" w:type="dxa"/>
            <w:gridSpan w:val="2"/>
            <w:tcBorders>
              <w:left w:val="nil"/>
              <w:right w:val="nil"/>
            </w:tcBorders>
            <w:hideMark/>
          </w:tcPr>
          <w:p w14:paraId="38126CFC" w14:textId="77777777" w:rsidR="00643CE2" w:rsidRPr="0044100E" w:rsidRDefault="00643CE2">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eastAsia="en-US"/>
              </w:rPr>
            </w:pPr>
            <w:r w:rsidRPr="0044100E">
              <w:rPr>
                <w:rFonts w:ascii="Arial" w:eastAsia="Calibri" w:hAnsi="Arial" w:cs="Arial"/>
                <w:sz w:val="20"/>
                <w:szCs w:val="20"/>
                <w:lang w:val="es-CO" w:eastAsia="en-US"/>
              </w:rPr>
              <w:t>$56</w:t>
            </w:r>
          </w:p>
        </w:tc>
      </w:tr>
    </w:tbl>
    <w:p w14:paraId="30E90034" w14:textId="0F4CAEE5" w:rsidR="00643CE2" w:rsidRPr="0044100E" w:rsidRDefault="00643CE2" w:rsidP="00587CD3">
      <w:pPr>
        <w:jc w:val="cente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Fuente: elaboración propia a partir de FUT-Tesorería FLS</w:t>
      </w:r>
    </w:p>
    <w:p w14:paraId="75B992AB" w14:textId="77777777" w:rsidR="00643CE2" w:rsidRPr="0044100E" w:rsidRDefault="00643CE2" w:rsidP="00643CE2">
      <w:pPr>
        <w:jc w:val="both"/>
        <w:rPr>
          <w:rFonts w:ascii="Arial" w:hAnsi="Arial" w:cs="Arial"/>
          <w:sz w:val="22"/>
          <w:szCs w:val="22"/>
        </w:rPr>
      </w:pPr>
    </w:p>
    <w:p w14:paraId="6B3CAAC5" w14:textId="4A463405" w:rsidR="00643CE2" w:rsidRPr="0044100E" w:rsidRDefault="00643CE2" w:rsidP="00643CE2">
      <w:pPr>
        <w:jc w:val="both"/>
        <w:rPr>
          <w:rFonts w:ascii="Arial" w:eastAsia="Calibri" w:hAnsi="Arial" w:cs="Arial"/>
          <w:sz w:val="22"/>
          <w:szCs w:val="22"/>
          <w:lang w:val="es-CO" w:eastAsia="en-US"/>
        </w:rPr>
      </w:pPr>
      <w:r w:rsidRPr="0044100E">
        <w:rPr>
          <w:rFonts w:ascii="Arial" w:eastAsia="Calibri" w:hAnsi="Arial" w:cs="Arial"/>
          <w:sz w:val="22"/>
          <w:szCs w:val="22"/>
          <w:lang w:val="es-CO" w:eastAsia="en-US"/>
        </w:rPr>
        <w:t xml:space="preserve">Lo anterior es consistente con el cierre de tesorería del Fondo Local de Salud suministrado por la </w:t>
      </w:r>
      <w:r w:rsidR="00581C84">
        <w:rPr>
          <w:rFonts w:ascii="Arial" w:eastAsia="Calibri" w:hAnsi="Arial" w:cs="Arial"/>
          <w:sz w:val="22"/>
          <w:szCs w:val="22"/>
          <w:lang w:val="es-CO" w:eastAsia="en-US"/>
        </w:rPr>
        <w:t>E</w:t>
      </w:r>
      <w:r w:rsidRPr="0044100E">
        <w:rPr>
          <w:rFonts w:ascii="Arial" w:eastAsia="Calibri" w:hAnsi="Arial" w:cs="Arial"/>
          <w:sz w:val="22"/>
          <w:szCs w:val="22"/>
          <w:lang w:val="es-CO" w:eastAsia="en-US"/>
        </w:rPr>
        <w:t xml:space="preserve">ntidad </w:t>
      </w:r>
      <w:r w:rsidR="00581C84">
        <w:rPr>
          <w:rFonts w:ascii="Arial" w:eastAsia="Calibri" w:hAnsi="Arial" w:cs="Arial"/>
          <w:sz w:val="22"/>
          <w:szCs w:val="22"/>
          <w:lang w:val="es-CO" w:eastAsia="en-US"/>
        </w:rPr>
        <w:t>T</w:t>
      </w:r>
      <w:r w:rsidRPr="0044100E">
        <w:rPr>
          <w:rFonts w:ascii="Arial" w:eastAsia="Calibri" w:hAnsi="Arial" w:cs="Arial"/>
          <w:sz w:val="22"/>
          <w:szCs w:val="22"/>
          <w:lang w:val="es-CO" w:eastAsia="en-US"/>
        </w:rPr>
        <w:t xml:space="preserve">erritorial. No obstante, se resalta el comportamiento identificado en la subcuenta de Otros Gastos en Salud Funcionamiento que evidencia un déficit de </w:t>
      </w:r>
      <w:r w:rsidR="006F1BA4">
        <w:rPr>
          <w:rFonts w:ascii="Arial" w:eastAsia="Calibri" w:hAnsi="Arial" w:cs="Arial"/>
          <w:sz w:val="22"/>
          <w:szCs w:val="22"/>
          <w:lang w:val="es-CO" w:eastAsia="en-US"/>
        </w:rPr>
        <w:t>$</w:t>
      </w:r>
      <w:r w:rsidRPr="0044100E">
        <w:rPr>
          <w:rFonts w:ascii="Arial" w:eastAsia="Calibri" w:hAnsi="Arial" w:cs="Arial"/>
          <w:sz w:val="22"/>
          <w:szCs w:val="22"/>
          <w:lang w:val="es-CO" w:eastAsia="en-US"/>
        </w:rPr>
        <w:t>150 millones</w:t>
      </w:r>
      <w:r w:rsidR="00646D5E" w:rsidRPr="0044100E">
        <w:rPr>
          <w:rFonts w:ascii="Arial" w:eastAsia="Calibri" w:hAnsi="Arial" w:cs="Arial"/>
          <w:sz w:val="22"/>
          <w:szCs w:val="22"/>
          <w:lang w:val="es-CO" w:eastAsia="en-US"/>
        </w:rPr>
        <w:t>, situación que será objeto de validación en el marco del</w:t>
      </w:r>
      <w:r w:rsidR="001846CC" w:rsidRPr="0044100E">
        <w:rPr>
          <w:rFonts w:ascii="Arial" w:eastAsia="Calibri" w:hAnsi="Arial" w:cs="Arial"/>
          <w:sz w:val="22"/>
          <w:szCs w:val="22"/>
          <w:lang w:val="es-CO" w:eastAsia="en-US"/>
        </w:rPr>
        <w:t xml:space="preserve"> </w:t>
      </w:r>
      <w:r w:rsidR="00646D5E" w:rsidRPr="0044100E">
        <w:rPr>
          <w:rFonts w:ascii="Arial" w:eastAsia="Calibri" w:hAnsi="Arial" w:cs="Arial"/>
          <w:sz w:val="22"/>
          <w:szCs w:val="22"/>
          <w:lang w:val="es-CO" w:eastAsia="en-US"/>
        </w:rPr>
        <w:t>r</w:t>
      </w:r>
      <w:r w:rsidR="001846CC" w:rsidRPr="0044100E">
        <w:rPr>
          <w:rFonts w:ascii="Arial" w:eastAsia="Calibri" w:hAnsi="Arial" w:cs="Arial"/>
          <w:sz w:val="22"/>
          <w:szCs w:val="22"/>
          <w:lang w:val="es-CO" w:eastAsia="en-US"/>
        </w:rPr>
        <w:t>e</w:t>
      </w:r>
      <w:r w:rsidRPr="0044100E">
        <w:rPr>
          <w:rFonts w:ascii="Arial" w:eastAsia="Calibri" w:hAnsi="Arial" w:cs="Arial"/>
          <w:sz w:val="22"/>
          <w:szCs w:val="22"/>
          <w:lang w:val="es-CO" w:eastAsia="en-US"/>
        </w:rPr>
        <w:t xml:space="preserve">conocimiento </w:t>
      </w:r>
      <w:r w:rsidR="00646D5E" w:rsidRPr="0044100E">
        <w:rPr>
          <w:rFonts w:ascii="Arial" w:eastAsia="Calibri" w:hAnsi="Arial" w:cs="Arial"/>
          <w:sz w:val="22"/>
          <w:szCs w:val="22"/>
          <w:lang w:val="es-CO" w:eastAsia="en-US"/>
        </w:rPr>
        <w:t>i</w:t>
      </w:r>
      <w:r w:rsidRPr="0044100E">
        <w:rPr>
          <w:rFonts w:ascii="Arial" w:eastAsia="Calibri" w:hAnsi="Arial" w:cs="Arial"/>
          <w:sz w:val="22"/>
          <w:szCs w:val="22"/>
          <w:lang w:val="es-CO" w:eastAsia="en-US"/>
        </w:rPr>
        <w:t>nstitucional</w:t>
      </w:r>
      <w:r w:rsidR="00646D5E" w:rsidRPr="0044100E">
        <w:rPr>
          <w:rFonts w:ascii="Arial" w:eastAsia="Calibri" w:hAnsi="Arial" w:cs="Arial"/>
          <w:sz w:val="22"/>
          <w:szCs w:val="22"/>
          <w:lang w:val="es-CO" w:eastAsia="en-US"/>
        </w:rPr>
        <w:t xml:space="preserve"> que se realice</w:t>
      </w:r>
      <w:r w:rsidRPr="0044100E">
        <w:rPr>
          <w:rFonts w:ascii="Arial" w:eastAsia="Calibri" w:hAnsi="Arial" w:cs="Arial"/>
          <w:sz w:val="22"/>
          <w:szCs w:val="22"/>
          <w:lang w:val="es-CO" w:eastAsia="en-US"/>
        </w:rPr>
        <w:t>.</w:t>
      </w:r>
    </w:p>
    <w:p w14:paraId="11704320" w14:textId="77777777" w:rsidR="00643CE2" w:rsidRPr="0044100E" w:rsidRDefault="00643CE2" w:rsidP="00643CE2">
      <w:pPr>
        <w:jc w:val="both"/>
        <w:rPr>
          <w:rFonts w:ascii="Arial" w:eastAsia="Calibri" w:hAnsi="Arial" w:cs="Arial"/>
          <w:sz w:val="22"/>
          <w:szCs w:val="22"/>
          <w:lang w:val="es-CO" w:eastAsia="en-US"/>
        </w:rPr>
      </w:pPr>
    </w:p>
    <w:tbl>
      <w:tblPr>
        <w:tblW w:w="0" w:type="auto"/>
        <w:tblCellMar>
          <w:left w:w="70" w:type="dxa"/>
          <w:right w:w="70" w:type="dxa"/>
        </w:tblCellMar>
        <w:tblLook w:val="04A0" w:firstRow="1" w:lastRow="0" w:firstColumn="1" w:lastColumn="0" w:noHBand="0" w:noVBand="1"/>
      </w:tblPr>
      <w:tblGrid>
        <w:gridCol w:w="3498"/>
        <w:gridCol w:w="1050"/>
        <w:gridCol w:w="1840"/>
        <w:gridCol w:w="2450"/>
      </w:tblGrid>
      <w:tr w:rsidR="00643CE2" w:rsidRPr="0044100E" w14:paraId="41C5B58E" w14:textId="77777777" w:rsidTr="00643CE2">
        <w:trPr>
          <w:trHeight w:val="250"/>
        </w:trPr>
        <w:tc>
          <w:tcPr>
            <w:tcW w:w="0" w:type="auto"/>
            <w:shd w:val="clear" w:color="auto" w:fill="FFFFFF"/>
            <w:noWrap/>
            <w:vAlign w:val="bottom"/>
            <w:hideMark/>
          </w:tcPr>
          <w:p w14:paraId="1ACBEA55"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Cifras: en Millones de ($)</w:t>
            </w:r>
          </w:p>
        </w:tc>
        <w:tc>
          <w:tcPr>
            <w:tcW w:w="0" w:type="auto"/>
            <w:shd w:val="clear" w:color="auto" w:fill="FFFFFF"/>
            <w:noWrap/>
            <w:vAlign w:val="bottom"/>
            <w:hideMark/>
          </w:tcPr>
          <w:p w14:paraId="1BE99234"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 </w:t>
            </w:r>
          </w:p>
        </w:tc>
        <w:tc>
          <w:tcPr>
            <w:tcW w:w="0" w:type="auto"/>
            <w:shd w:val="clear" w:color="auto" w:fill="FFFFFF"/>
            <w:noWrap/>
            <w:vAlign w:val="bottom"/>
            <w:hideMark/>
          </w:tcPr>
          <w:p w14:paraId="6A9A87C4"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 </w:t>
            </w:r>
          </w:p>
        </w:tc>
        <w:tc>
          <w:tcPr>
            <w:tcW w:w="0" w:type="auto"/>
            <w:shd w:val="clear" w:color="auto" w:fill="FFFFFF"/>
            <w:noWrap/>
            <w:vAlign w:val="bottom"/>
            <w:hideMark/>
          </w:tcPr>
          <w:p w14:paraId="455750DB"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 </w:t>
            </w:r>
          </w:p>
        </w:tc>
      </w:tr>
      <w:tr w:rsidR="00643CE2" w:rsidRPr="0044100E" w14:paraId="2D34F7BC" w14:textId="77777777" w:rsidTr="00643CE2">
        <w:trPr>
          <w:trHeight w:val="680"/>
        </w:trPr>
        <w:tc>
          <w:tcPr>
            <w:tcW w:w="0" w:type="auto"/>
            <w:tcBorders>
              <w:top w:val="single" w:sz="4" w:space="0" w:color="auto"/>
              <w:left w:val="nil"/>
              <w:bottom w:val="nil"/>
              <w:right w:val="nil"/>
            </w:tcBorders>
            <w:shd w:val="clear" w:color="auto" w:fill="D0CECE"/>
            <w:vAlign w:val="center"/>
            <w:hideMark/>
          </w:tcPr>
          <w:p w14:paraId="58D2D3D0"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Componente</w:t>
            </w:r>
          </w:p>
        </w:tc>
        <w:tc>
          <w:tcPr>
            <w:tcW w:w="0" w:type="auto"/>
            <w:tcBorders>
              <w:top w:val="single" w:sz="4" w:space="0" w:color="auto"/>
              <w:left w:val="nil"/>
              <w:bottom w:val="nil"/>
              <w:right w:val="nil"/>
            </w:tcBorders>
            <w:shd w:val="clear" w:color="auto" w:fill="D0CECE"/>
            <w:vAlign w:val="center"/>
            <w:hideMark/>
          </w:tcPr>
          <w:p w14:paraId="2B14BA7D"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Saldo ($) FUT</w:t>
            </w:r>
          </w:p>
        </w:tc>
        <w:tc>
          <w:tcPr>
            <w:tcW w:w="0" w:type="auto"/>
            <w:tcBorders>
              <w:top w:val="single" w:sz="4" w:space="0" w:color="auto"/>
              <w:left w:val="nil"/>
              <w:bottom w:val="nil"/>
              <w:right w:val="nil"/>
            </w:tcBorders>
            <w:shd w:val="clear" w:color="auto" w:fill="D0CECE"/>
            <w:vAlign w:val="center"/>
            <w:hideMark/>
          </w:tcPr>
          <w:p w14:paraId="554324C7"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Saldo ($) información Remitida por la ET</w:t>
            </w:r>
          </w:p>
        </w:tc>
        <w:tc>
          <w:tcPr>
            <w:tcW w:w="0" w:type="auto"/>
            <w:tcBorders>
              <w:top w:val="single" w:sz="4" w:space="0" w:color="auto"/>
              <w:left w:val="nil"/>
              <w:bottom w:val="nil"/>
              <w:right w:val="nil"/>
            </w:tcBorders>
            <w:shd w:val="clear" w:color="auto" w:fill="D0CECE"/>
            <w:vAlign w:val="center"/>
            <w:hideMark/>
          </w:tcPr>
          <w:p w14:paraId="0BE6B831" w14:textId="77777777" w:rsidR="00643CE2" w:rsidRPr="0044100E" w:rsidRDefault="00643CE2">
            <w:pPr>
              <w:jc w:val="center"/>
              <w:rPr>
                <w:rFonts w:ascii="Arial" w:eastAsia="Times New Roman" w:hAnsi="Arial" w:cs="Arial"/>
                <w:b/>
                <w:bCs/>
                <w:color w:val="000000"/>
                <w:sz w:val="20"/>
                <w:szCs w:val="20"/>
                <w:lang w:val="es-CO" w:eastAsia="es-CO"/>
              </w:rPr>
            </w:pPr>
            <w:r w:rsidRPr="0044100E">
              <w:rPr>
                <w:rFonts w:ascii="Arial" w:eastAsia="Times New Roman" w:hAnsi="Arial" w:cs="Arial"/>
                <w:b/>
                <w:bCs/>
                <w:color w:val="000000"/>
                <w:sz w:val="20"/>
                <w:szCs w:val="20"/>
                <w:lang w:val="es-CO" w:eastAsia="es-CO"/>
              </w:rPr>
              <w:t>superávit /Déficit Remitido por la ET</w:t>
            </w:r>
          </w:p>
        </w:tc>
      </w:tr>
      <w:tr w:rsidR="00643CE2" w:rsidRPr="0044100E" w14:paraId="448CBB10" w14:textId="77777777" w:rsidTr="00643CE2">
        <w:trPr>
          <w:trHeight w:val="26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410A928"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Régimen subsidiado</w:t>
            </w:r>
          </w:p>
        </w:tc>
        <w:tc>
          <w:tcPr>
            <w:tcW w:w="0" w:type="auto"/>
            <w:tcBorders>
              <w:top w:val="single" w:sz="4" w:space="0" w:color="auto"/>
              <w:left w:val="nil"/>
              <w:bottom w:val="single" w:sz="4" w:space="0" w:color="auto"/>
              <w:right w:val="single" w:sz="4" w:space="0" w:color="auto"/>
            </w:tcBorders>
            <w:noWrap/>
            <w:vAlign w:val="bottom"/>
            <w:hideMark/>
          </w:tcPr>
          <w:p w14:paraId="6E3656C5" w14:textId="00202BD0"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940</w:t>
            </w:r>
          </w:p>
        </w:tc>
        <w:tc>
          <w:tcPr>
            <w:tcW w:w="0" w:type="auto"/>
            <w:tcBorders>
              <w:top w:val="single" w:sz="4" w:space="0" w:color="auto"/>
              <w:left w:val="nil"/>
              <w:bottom w:val="single" w:sz="4" w:space="0" w:color="auto"/>
              <w:right w:val="single" w:sz="4" w:space="0" w:color="auto"/>
            </w:tcBorders>
            <w:noWrap/>
            <w:vAlign w:val="bottom"/>
            <w:hideMark/>
          </w:tcPr>
          <w:p w14:paraId="35ABAB58" w14:textId="1291F928"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940</w:t>
            </w:r>
          </w:p>
        </w:tc>
        <w:tc>
          <w:tcPr>
            <w:tcW w:w="0" w:type="auto"/>
            <w:tcBorders>
              <w:top w:val="single" w:sz="4" w:space="0" w:color="auto"/>
              <w:left w:val="nil"/>
              <w:bottom w:val="single" w:sz="4" w:space="0" w:color="auto"/>
              <w:right w:val="single" w:sz="4" w:space="0" w:color="auto"/>
            </w:tcBorders>
            <w:noWrap/>
            <w:vAlign w:val="bottom"/>
            <w:hideMark/>
          </w:tcPr>
          <w:p w14:paraId="15D9187A" w14:textId="77777777" w:rsidR="00643CE2" w:rsidRPr="0044100E" w:rsidRDefault="00643CE2">
            <w:pPr>
              <w:jc w:val="cente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Superávit</w:t>
            </w:r>
          </w:p>
        </w:tc>
      </w:tr>
      <w:tr w:rsidR="00643CE2" w:rsidRPr="0044100E" w14:paraId="171272AA" w14:textId="77777777" w:rsidTr="00643CE2">
        <w:trPr>
          <w:trHeight w:val="260"/>
        </w:trPr>
        <w:tc>
          <w:tcPr>
            <w:tcW w:w="0" w:type="auto"/>
            <w:tcBorders>
              <w:top w:val="nil"/>
              <w:left w:val="single" w:sz="4" w:space="0" w:color="auto"/>
              <w:bottom w:val="single" w:sz="4" w:space="0" w:color="auto"/>
              <w:right w:val="single" w:sz="4" w:space="0" w:color="auto"/>
            </w:tcBorders>
            <w:noWrap/>
            <w:vAlign w:val="bottom"/>
            <w:hideMark/>
          </w:tcPr>
          <w:p w14:paraId="65F13E3C"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Prestación de Servicios</w:t>
            </w:r>
          </w:p>
        </w:tc>
        <w:tc>
          <w:tcPr>
            <w:tcW w:w="0" w:type="auto"/>
            <w:tcBorders>
              <w:top w:val="nil"/>
              <w:left w:val="nil"/>
              <w:bottom w:val="single" w:sz="4" w:space="0" w:color="auto"/>
              <w:right w:val="single" w:sz="4" w:space="0" w:color="auto"/>
            </w:tcBorders>
            <w:noWrap/>
            <w:vAlign w:val="bottom"/>
            <w:hideMark/>
          </w:tcPr>
          <w:p w14:paraId="72ED7370" w14:textId="4CE0303A"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21.758</w:t>
            </w:r>
          </w:p>
        </w:tc>
        <w:tc>
          <w:tcPr>
            <w:tcW w:w="0" w:type="auto"/>
            <w:tcBorders>
              <w:top w:val="nil"/>
              <w:left w:val="nil"/>
              <w:bottom w:val="single" w:sz="4" w:space="0" w:color="auto"/>
              <w:right w:val="single" w:sz="4" w:space="0" w:color="auto"/>
            </w:tcBorders>
            <w:noWrap/>
            <w:vAlign w:val="bottom"/>
            <w:hideMark/>
          </w:tcPr>
          <w:p w14:paraId="1A728241" w14:textId="5708D128"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21.758</w:t>
            </w:r>
          </w:p>
        </w:tc>
        <w:tc>
          <w:tcPr>
            <w:tcW w:w="0" w:type="auto"/>
            <w:tcBorders>
              <w:top w:val="nil"/>
              <w:left w:val="nil"/>
              <w:bottom w:val="single" w:sz="4" w:space="0" w:color="auto"/>
              <w:right w:val="single" w:sz="4" w:space="0" w:color="auto"/>
            </w:tcBorders>
            <w:noWrap/>
            <w:vAlign w:val="bottom"/>
            <w:hideMark/>
          </w:tcPr>
          <w:p w14:paraId="35FBC71D" w14:textId="77777777" w:rsidR="00643CE2" w:rsidRPr="0044100E" w:rsidRDefault="00643CE2">
            <w:pPr>
              <w:jc w:val="cente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Superávit</w:t>
            </w:r>
          </w:p>
        </w:tc>
      </w:tr>
      <w:tr w:rsidR="00643CE2" w:rsidRPr="0044100E" w14:paraId="73B00720" w14:textId="77777777" w:rsidTr="00643CE2">
        <w:trPr>
          <w:trHeight w:val="260"/>
        </w:trPr>
        <w:tc>
          <w:tcPr>
            <w:tcW w:w="0" w:type="auto"/>
            <w:tcBorders>
              <w:top w:val="nil"/>
              <w:left w:val="single" w:sz="4" w:space="0" w:color="auto"/>
              <w:bottom w:val="single" w:sz="4" w:space="0" w:color="auto"/>
              <w:right w:val="single" w:sz="4" w:space="0" w:color="auto"/>
            </w:tcBorders>
            <w:noWrap/>
            <w:vAlign w:val="bottom"/>
            <w:hideMark/>
          </w:tcPr>
          <w:p w14:paraId="39C5900B"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Salud Pública</w:t>
            </w:r>
          </w:p>
        </w:tc>
        <w:tc>
          <w:tcPr>
            <w:tcW w:w="0" w:type="auto"/>
            <w:tcBorders>
              <w:top w:val="nil"/>
              <w:left w:val="nil"/>
              <w:bottom w:val="single" w:sz="4" w:space="0" w:color="auto"/>
              <w:right w:val="single" w:sz="4" w:space="0" w:color="auto"/>
            </w:tcBorders>
            <w:noWrap/>
            <w:vAlign w:val="bottom"/>
            <w:hideMark/>
          </w:tcPr>
          <w:p w14:paraId="6B33B6E2" w14:textId="701A5FA4"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8.801</w:t>
            </w:r>
          </w:p>
        </w:tc>
        <w:tc>
          <w:tcPr>
            <w:tcW w:w="0" w:type="auto"/>
            <w:tcBorders>
              <w:top w:val="nil"/>
              <w:left w:val="nil"/>
              <w:bottom w:val="single" w:sz="4" w:space="0" w:color="auto"/>
              <w:right w:val="single" w:sz="4" w:space="0" w:color="auto"/>
            </w:tcBorders>
            <w:noWrap/>
            <w:vAlign w:val="bottom"/>
            <w:hideMark/>
          </w:tcPr>
          <w:p w14:paraId="39FBE17B" w14:textId="45C37B31"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8.801</w:t>
            </w:r>
          </w:p>
        </w:tc>
        <w:tc>
          <w:tcPr>
            <w:tcW w:w="0" w:type="auto"/>
            <w:tcBorders>
              <w:top w:val="nil"/>
              <w:left w:val="nil"/>
              <w:bottom w:val="single" w:sz="4" w:space="0" w:color="auto"/>
              <w:right w:val="single" w:sz="4" w:space="0" w:color="auto"/>
            </w:tcBorders>
            <w:noWrap/>
            <w:vAlign w:val="bottom"/>
            <w:hideMark/>
          </w:tcPr>
          <w:p w14:paraId="0F05FC62" w14:textId="77777777" w:rsidR="00643CE2" w:rsidRPr="0044100E" w:rsidRDefault="00643CE2">
            <w:pPr>
              <w:jc w:val="cente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Superávit</w:t>
            </w:r>
          </w:p>
        </w:tc>
      </w:tr>
      <w:tr w:rsidR="00643CE2" w:rsidRPr="0044100E" w14:paraId="09ED2FB2" w14:textId="77777777" w:rsidTr="00643CE2">
        <w:trPr>
          <w:trHeight w:val="230"/>
        </w:trPr>
        <w:tc>
          <w:tcPr>
            <w:tcW w:w="0" w:type="auto"/>
            <w:tcBorders>
              <w:top w:val="nil"/>
              <w:left w:val="single" w:sz="4" w:space="0" w:color="auto"/>
              <w:bottom w:val="single" w:sz="4" w:space="0" w:color="auto"/>
              <w:right w:val="single" w:sz="4" w:space="0" w:color="auto"/>
            </w:tcBorders>
            <w:noWrap/>
            <w:vAlign w:val="bottom"/>
            <w:hideMark/>
          </w:tcPr>
          <w:p w14:paraId="430E5A6D"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Otros gastos en salud funcionamiento</w:t>
            </w:r>
          </w:p>
        </w:tc>
        <w:tc>
          <w:tcPr>
            <w:tcW w:w="0" w:type="auto"/>
            <w:tcBorders>
              <w:top w:val="nil"/>
              <w:left w:val="nil"/>
              <w:bottom w:val="single" w:sz="4" w:space="0" w:color="auto"/>
              <w:right w:val="single" w:sz="4" w:space="0" w:color="auto"/>
            </w:tcBorders>
            <w:noWrap/>
            <w:vAlign w:val="bottom"/>
            <w:hideMark/>
          </w:tcPr>
          <w:p w14:paraId="18AFCE8F" w14:textId="5A9E00FE"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13</w:t>
            </w:r>
          </w:p>
        </w:tc>
        <w:tc>
          <w:tcPr>
            <w:tcW w:w="0" w:type="auto"/>
            <w:tcBorders>
              <w:top w:val="nil"/>
              <w:left w:val="nil"/>
              <w:bottom w:val="single" w:sz="4" w:space="0" w:color="auto"/>
              <w:right w:val="single" w:sz="4" w:space="0" w:color="auto"/>
            </w:tcBorders>
            <w:noWrap/>
            <w:vAlign w:val="bottom"/>
            <w:hideMark/>
          </w:tcPr>
          <w:p w14:paraId="2B93F7F3" w14:textId="560C00AF"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13</w:t>
            </w:r>
          </w:p>
        </w:tc>
        <w:tc>
          <w:tcPr>
            <w:tcW w:w="0" w:type="auto"/>
            <w:tcBorders>
              <w:top w:val="nil"/>
              <w:left w:val="nil"/>
              <w:bottom w:val="single" w:sz="4" w:space="0" w:color="auto"/>
              <w:right w:val="single" w:sz="4" w:space="0" w:color="auto"/>
            </w:tcBorders>
            <w:noWrap/>
            <w:vAlign w:val="bottom"/>
            <w:hideMark/>
          </w:tcPr>
          <w:p w14:paraId="669C015D" w14:textId="77777777" w:rsidR="00643CE2" w:rsidRPr="0044100E" w:rsidRDefault="00643CE2">
            <w:pPr>
              <w:jc w:val="cente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Déficit ($150 millones)</w:t>
            </w:r>
          </w:p>
        </w:tc>
      </w:tr>
      <w:tr w:rsidR="00643CE2" w:rsidRPr="0044100E" w14:paraId="2BE8AA98" w14:textId="77777777" w:rsidTr="00643CE2">
        <w:trPr>
          <w:trHeight w:val="310"/>
        </w:trPr>
        <w:tc>
          <w:tcPr>
            <w:tcW w:w="0" w:type="auto"/>
            <w:tcBorders>
              <w:top w:val="nil"/>
              <w:left w:val="single" w:sz="4" w:space="0" w:color="auto"/>
              <w:bottom w:val="single" w:sz="4" w:space="0" w:color="auto"/>
              <w:right w:val="single" w:sz="4" w:space="0" w:color="auto"/>
            </w:tcBorders>
            <w:noWrap/>
            <w:vAlign w:val="bottom"/>
            <w:hideMark/>
          </w:tcPr>
          <w:p w14:paraId="6B4B6A25"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Otros Gastos En Salud Inversión</w:t>
            </w:r>
          </w:p>
        </w:tc>
        <w:tc>
          <w:tcPr>
            <w:tcW w:w="0" w:type="auto"/>
            <w:tcBorders>
              <w:top w:val="nil"/>
              <w:left w:val="nil"/>
              <w:bottom w:val="single" w:sz="4" w:space="0" w:color="auto"/>
              <w:right w:val="single" w:sz="4" w:space="0" w:color="auto"/>
            </w:tcBorders>
            <w:noWrap/>
            <w:vAlign w:val="bottom"/>
            <w:hideMark/>
          </w:tcPr>
          <w:p w14:paraId="47340D45" w14:textId="2E3750E5"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56</w:t>
            </w:r>
          </w:p>
        </w:tc>
        <w:tc>
          <w:tcPr>
            <w:tcW w:w="0" w:type="auto"/>
            <w:tcBorders>
              <w:top w:val="nil"/>
              <w:left w:val="nil"/>
              <w:bottom w:val="single" w:sz="4" w:space="0" w:color="auto"/>
              <w:right w:val="single" w:sz="4" w:space="0" w:color="auto"/>
            </w:tcBorders>
            <w:noWrap/>
            <w:vAlign w:val="bottom"/>
            <w:hideMark/>
          </w:tcPr>
          <w:p w14:paraId="32EDE569" w14:textId="03CEDE13" w:rsidR="00643CE2" w:rsidRPr="0044100E" w:rsidRDefault="006F1BA4" w:rsidP="00581C84">
            <w:pPr>
              <w:jc w:val="right"/>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w:t>
            </w:r>
            <w:r w:rsidR="00643CE2" w:rsidRPr="0044100E">
              <w:rPr>
                <w:rFonts w:ascii="Arial" w:eastAsia="Times New Roman" w:hAnsi="Arial" w:cs="Arial"/>
                <w:color w:val="000000"/>
                <w:sz w:val="20"/>
                <w:szCs w:val="20"/>
                <w:lang w:val="es-CO" w:eastAsia="es-CO"/>
              </w:rPr>
              <w:t>56</w:t>
            </w:r>
          </w:p>
        </w:tc>
        <w:tc>
          <w:tcPr>
            <w:tcW w:w="0" w:type="auto"/>
            <w:tcBorders>
              <w:top w:val="nil"/>
              <w:left w:val="nil"/>
              <w:bottom w:val="single" w:sz="4" w:space="0" w:color="auto"/>
              <w:right w:val="single" w:sz="4" w:space="0" w:color="auto"/>
            </w:tcBorders>
            <w:noWrap/>
            <w:vAlign w:val="bottom"/>
            <w:hideMark/>
          </w:tcPr>
          <w:p w14:paraId="6B86C2B6" w14:textId="77777777" w:rsidR="00643CE2" w:rsidRPr="0044100E" w:rsidRDefault="00643CE2">
            <w:pPr>
              <w:jc w:val="cente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Superávit</w:t>
            </w:r>
          </w:p>
        </w:tc>
      </w:tr>
      <w:tr w:rsidR="00643CE2" w:rsidRPr="0044100E" w14:paraId="50FD02D6" w14:textId="77777777" w:rsidTr="00643CE2">
        <w:trPr>
          <w:trHeight w:val="43"/>
        </w:trPr>
        <w:tc>
          <w:tcPr>
            <w:tcW w:w="0" w:type="auto"/>
            <w:gridSpan w:val="4"/>
            <w:shd w:val="clear" w:color="auto" w:fill="FFFFFF"/>
            <w:noWrap/>
            <w:vAlign w:val="bottom"/>
            <w:hideMark/>
          </w:tcPr>
          <w:p w14:paraId="17E5410B" w14:textId="77777777" w:rsidR="00643CE2" w:rsidRPr="0044100E" w:rsidRDefault="00643CE2">
            <w:pPr>
              <w:rPr>
                <w:rFonts w:ascii="Arial" w:eastAsia="Times New Roman" w:hAnsi="Arial" w:cs="Arial"/>
                <w:color w:val="000000"/>
                <w:sz w:val="20"/>
                <w:szCs w:val="20"/>
                <w:lang w:val="es-CO" w:eastAsia="es-CO"/>
              </w:rPr>
            </w:pPr>
            <w:r w:rsidRPr="0044100E">
              <w:rPr>
                <w:rFonts w:ascii="Arial" w:eastAsia="Times New Roman" w:hAnsi="Arial" w:cs="Arial"/>
                <w:color w:val="000000"/>
                <w:sz w:val="20"/>
                <w:szCs w:val="20"/>
                <w:lang w:val="es-CO" w:eastAsia="es-CO"/>
              </w:rPr>
              <w:t>Fuente: elaboración propia a partir de FUT-Tesorería FLS e información Remitida por la ET</w:t>
            </w:r>
          </w:p>
        </w:tc>
      </w:tr>
    </w:tbl>
    <w:p w14:paraId="15629C4B" w14:textId="77777777" w:rsidR="00643CE2" w:rsidRPr="00581C84" w:rsidRDefault="00643CE2" w:rsidP="00643CE2">
      <w:pPr>
        <w:jc w:val="both"/>
        <w:rPr>
          <w:rFonts w:ascii="Arial" w:eastAsia="Calibri" w:hAnsi="Arial" w:cs="Arial"/>
          <w:sz w:val="22"/>
          <w:szCs w:val="22"/>
          <w:highlight w:val="yellow"/>
          <w:lang w:val="es-CO" w:eastAsia="en-US"/>
        </w:rPr>
      </w:pPr>
    </w:p>
    <w:p w14:paraId="0312A6D7" w14:textId="02FC9E16" w:rsidR="00643CE2" w:rsidRPr="0044100E" w:rsidRDefault="00643CE2" w:rsidP="00643CE2">
      <w:pPr>
        <w:jc w:val="both"/>
        <w:rPr>
          <w:rFonts w:ascii="Arial" w:eastAsia="Calibri" w:hAnsi="Arial" w:cs="Arial"/>
          <w:sz w:val="22"/>
          <w:szCs w:val="22"/>
          <w:lang w:val="es-CO" w:eastAsia="en-US"/>
        </w:rPr>
      </w:pPr>
      <w:r w:rsidRPr="0044100E">
        <w:rPr>
          <w:rFonts w:ascii="Arial" w:eastAsia="Calibri" w:hAnsi="Arial" w:cs="Arial"/>
          <w:sz w:val="22"/>
          <w:szCs w:val="22"/>
          <w:lang w:val="es-CO" w:eastAsia="en-US"/>
        </w:rPr>
        <w:t xml:space="preserve">Verificadas las conciliaciones bancarias remitidas por la </w:t>
      </w:r>
      <w:r w:rsidR="00F22828">
        <w:rPr>
          <w:rFonts w:ascii="Arial" w:eastAsia="Calibri" w:hAnsi="Arial" w:cs="Arial"/>
          <w:sz w:val="22"/>
          <w:szCs w:val="22"/>
          <w:lang w:val="es-CO" w:eastAsia="en-US"/>
        </w:rPr>
        <w:t>E</w:t>
      </w:r>
      <w:r w:rsidRPr="0044100E">
        <w:rPr>
          <w:rFonts w:ascii="Arial" w:eastAsia="Calibri" w:hAnsi="Arial" w:cs="Arial"/>
          <w:sz w:val="22"/>
          <w:szCs w:val="22"/>
          <w:lang w:val="es-CO" w:eastAsia="en-US"/>
        </w:rPr>
        <w:t xml:space="preserve">ntidad </w:t>
      </w:r>
      <w:r w:rsidR="00F22828">
        <w:rPr>
          <w:rFonts w:ascii="Arial" w:eastAsia="Calibri" w:hAnsi="Arial" w:cs="Arial"/>
          <w:sz w:val="22"/>
          <w:szCs w:val="22"/>
          <w:lang w:val="es-CO" w:eastAsia="en-US"/>
        </w:rPr>
        <w:t>T</w:t>
      </w:r>
      <w:r w:rsidRPr="0044100E">
        <w:rPr>
          <w:rFonts w:ascii="Arial" w:eastAsia="Calibri" w:hAnsi="Arial" w:cs="Arial"/>
          <w:sz w:val="22"/>
          <w:szCs w:val="22"/>
          <w:lang w:val="es-CO" w:eastAsia="en-US"/>
        </w:rPr>
        <w:t xml:space="preserve">erritorial con corte a diciembre </w:t>
      </w:r>
      <w:r w:rsidR="00284D0B" w:rsidRPr="0044100E">
        <w:rPr>
          <w:rFonts w:ascii="Arial" w:eastAsia="Calibri" w:hAnsi="Arial" w:cs="Arial"/>
          <w:sz w:val="22"/>
          <w:szCs w:val="22"/>
          <w:lang w:val="es-CO" w:eastAsia="en-US"/>
        </w:rPr>
        <w:t xml:space="preserve">2020 </w:t>
      </w:r>
      <w:r w:rsidR="00646D5E" w:rsidRPr="0044100E">
        <w:rPr>
          <w:rFonts w:ascii="Arial" w:eastAsia="Calibri" w:hAnsi="Arial" w:cs="Arial"/>
          <w:sz w:val="22"/>
          <w:szCs w:val="22"/>
          <w:lang w:val="es-CO" w:eastAsia="en-US"/>
        </w:rPr>
        <w:t xml:space="preserve">se identifica su coherencia en relación </w:t>
      </w:r>
      <w:r w:rsidR="00F22828">
        <w:rPr>
          <w:rFonts w:ascii="Arial" w:eastAsia="Calibri" w:hAnsi="Arial" w:cs="Arial"/>
          <w:sz w:val="22"/>
          <w:szCs w:val="22"/>
          <w:lang w:val="es-CO" w:eastAsia="en-US"/>
        </w:rPr>
        <w:t>con</w:t>
      </w:r>
      <w:r w:rsidR="00646D5E" w:rsidRPr="0044100E">
        <w:rPr>
          <w:rFonts w:ascii="Arial" w:eastAsia="Calibri" w:hAnsi="Arial" w:cs="Arial"/>
          <w:sz w:val="22"/>
          <w:szCs w:val="22"/>
          <w:lang w:val="es-CO" w:eastAsia="en-US"/>
        </w:rPr>
        <w:t xml:space="preserve"> los </w:t>
      </w:r>
      <w:r w:rsidRPr="0044100E">
        <w:rPr>
          <w:rFonts w:ascii="Arial" w:eastAsia="Calibri" w:hAnsi="Arial" w:cs="Arial"/>
          <w:sz w:val="22"/>
          <w:szCs w:val="22"/>
          <w:lang w:val="es-CO" w:eastAsia="en-US"/>
        </w:rPr>
        <w:t>saldo</w:t>
      </w:r>
      <w:r w:rsidR="00646D5E" w:rsidRPr="0044100E">
        <w:rPr>
          <w:rFonts w:ascii="Arial" w:eastAsia="Calibri" w:hAnsi="Arial" w:cs="Arial"/>
          <w:sz w:val="22"/>
          <w:szCs w:val="22"/>
          <w:lang w:val="es-CO" w:eastAsia="en-US"/>
        </w:rPr>
        <w:t>s referidos</w:t>
      </w:r>
      <w:r w:rsidRPr="0044100E">
        <w:rPr>
          <w:rFonts w:ascii="Arial" w:eastAsia="Calibri" w:hAnsi="Arial" w:cs="Arial"/>
          <w:sz w:val="22"/>
          <w:szCs w:val="22"/>
          <w:lang w:val="es-CO" w:eastAsia="en-US"/>
        </w:rPr>
        <w:t xml:space="preserve"> en los estados de tesorería. No obstante, </w:t>
      </w:r>
      <w:r w:rsidR="00646D5E" w:rsidRPr="0044100E">
        <w:rPr>
          <w:rFonts w:ascii="Arial" w:eastAsia="Calibri" w:hAnsi="Arial" w:cs="Arial"/>
          <w:sz w:val="22"/>
          <w:szCs w:val="22"/>
          <w:lang w:val="es-CO" w:eastAsia="en-US"/>
        </w:rPr>
        <w:t xml:space="preserve">debe resaltarse que </w:t>
      </w:r>
      <w:r w:rsidRPr="0044100E">
        <w:rPr>
          <w:rFonts w:ascii="Arial" w:eastAsia="Calibri" w:hAnsi="Arial" w:cs="Arial"/>
          <w:sz w:val="22"/>
          <w:szCs w:val="22"/>
          <w:lang w:val="es-CO" w:eastAsia="en-US"/>
        </w:rPr>
        <w:t xml:space="preserve">en la cuenta maestra de Salud Pública </w:t>
      </w:r>
      <w:r w:rsidR="00646D5E" w:rsidRPr="0044100E">
        <w:rPr>
          <w:rFonts w:ascii="Arial" w:eastAsia="Calibri" w:hAnsi="Arial" w:cs="Arial"/>
          <w:sz w:val="22"/>
          <w:szCs w:val="22"/>
          <w:lang w:val="es-CO" w:eastAsia="en-US"/>
        </w:rPr>
        <w:t xml:space="preserve">fueron evidenciados </w:t>
      </w:r>
      <w:r w:rsidRPr="0044100E">
        <w:rPr>
          <w:rFonts w:ascii="Arial" w:eastAsia="Calibri" w:hAnsi="Arial" w:cs="Arial"/>
          <w:sz w:val="22"/>
          <w:szCs w:val="22"/>
          <w:lang w:val="es-CO" w:eastAsia="en-US"/>
        </w:rPr>
        <w:t xml:space="preserve">cheques por cobrar, </w:t>
      </w:r>
      <w:r w:rsidR="00646D5E" w:rsidRPr="0044100E">
        <w:rPr>
          <w:rFonts w:ascii="Arial" w:eastAsia="Calibri" w:hAnsi="Arial" w:cs="Arial"/>
          <w:sz w:val="22"/>
          <w:szCs w:val="22"/>
          <w:lang w:val="es-CO" w:eastAsia="en-US"/>
        </w:rPr>
        <w:t>conducta contraria a lo dispuesto en la normatividad vigente</w:t>
      </w:r>
      <w:r w:rsidRPr="0044100E">
        <w:rPr>
          <w:rFonts w:ascii="Arial" w:eastAsia="Calibri" w:hAnsi="Arial" w:cs="Arial"/>
          <w:sz w:val="22"/>
          <w:szCs w:val="22"/>
          <w:lang w:val="es-CO" w:eastAsia="en-US"/>
        </w:rPr>
        <w:t xml:space="preserve">, ya que todos los movimientos </w:t>
      </w:r>
      <w:r w:rsidR="00646D5E" w:rsidRPr="0044100E">
        <w:rPr>
          <w:rFonts w:ascii="Arial" w:eastAsia="Calibri" w:hAnsi="Arial" w:cs="Arial"/>
          <w:sz w:val="22"/>
          <w:szCs w:val="22"/>
          <w:lang w:val="es-CO" w:eastAsia="en-US"/>
        </w:rPr>
        <w:t xml:space="preserve">que se </w:t>
      </w:r>
      <w:r w:rsidR="001846CC" w:rsidRPr="0044100E">
        <w:rPr>
          <w:rFonts w:ascii="Arial" w:eastAsia="Calibri" w:hAnsi="Arial" w:cs="Arial"/>
          <w:sz w:val="22"/>
          <w:szCs w:val="22"/>
          <w:lang w:val="es-CO" w:eastAsia="en-US"/>
        </w:rPr>
        <w:t>efectúen</w:t>
      </w:r>
      <w:r w:rsidR="00646D5E" w:rsidRPr="0044100E">
        <w:rPr>
          <w:rFonts w:ascii="Arial" w:eastAsia="Calibri" w:hAnsi="Arial" w:cs="Arial"/>
          <w:sz w:val="22"/>
          <w:szCs w:val="22"/>
          <w:lang w:val="es-CO" w:eastAsia="en-US"/>
        </w:rPr>
        <w:t xml:space="preserve"> desde las cuentas maestras </w:t>
      </w:r>
      <w:r w:rsidRPr="0044100E">
        <w:rPr>
          <w:rFonts w:ascii="Arial" w:eastAsia="Calibri" w:hAnsi="Arial" w:cs="Arial"/>
          <w:sz w:val="22"/>
          <w:szCs w:val="22"/>
          <w:lang w:val="es-CO" w:eastAsia="en-US"/>
        </w:rPr>
        <w:t xml:space="preserve">deben </w:t>
      </w:r>
      <w:r w:rsidR="00646D5E" w:rsidRPr="0044100E">
        <w:rPr>
          <w:rFonts w:ascii="Arial" w:eastAsia="Calibri" w:hAnsi="Arial" w:cs="Arial"/>
          <w:sz w:val="22"/>
          <w:szCs w:val="22"/>
          <w:lang w:val="es-CO" w:eastAsia="en-US"/>
        </w:rPr>
        <w:t>realizarse</w:t>
      </w:r>
      <w:r w:rsidR="009C7544">
        <w:rPr>
          <w:rFonts w:ascii="Arial" w:eastAsia="Calibri" w:hAnsi="Arial" w:cs="Arial"/>
          <w:sz w:val="22"/>
          <w:szCs w:val="22"/>
          <w:lang w:val="es-CO" w:eastAsia="en-US"/>
        </w:rPr>
        <w:t xml:space="preserve"> </w:t>
      </w:r>
      <w:r w:rsidRPr="0044100E">
        <w:rPr>
          <w:rFonts w:ascii="Arial" w:eastAsia="Calibri" w:hAnsi="Arial" w:cs="Arial"/>
          <w:sz w:val="22"/>
          <w:szCs w:val="22"/>
          <w:lang w:val="es-CO" w:eastAsia="en-US"/>
        </w:rPr>
        <w:t>por transferencia electrónica</w:t>
      </w:r>
      <w:r w:rsidR="00646D5E" w:rsidRPr="0044100E">
        <w:rPr>
          <w:rFonts w:ascii="Arial" w:eastAsia="Calibri" w:hAnsi="Arial" w:cs="Arial"/>
          <w:sz w:val="22"/>
          <w:szCs w:val="22"/>
          <w:lang w:val="es-CO" w:eastAsia="en-US"/>
        </w:rPr>
        <w:t>, s</w:t>
      </w:r>
      <w:r w:rsidRPr="0044100E">
        <w:rPr>
          <w:rFonts w:ascii="Arial" w:eastAsia="Calibri" w:hAnsi="Arial" w:cs="Arial"/>
          <w:sz w:val="22"/>
          <w:szCs w:val="22"/>
          <w:lang w:val="es-CO" w:eastAsia="en-US"/>
        </w:rPr>
        <w:t xml:space="preserve">ituación </w:t>
      </w:r>
      <w:r w:rsidR="00126909" w:rsidRPr="0044100E">
        <w:rPr>
          <w:rFonts w:ascii="Arial" w:eastAsia="Calibri" w:hAnsi="Arial" w:cs="Arial"/>
          <w:sz w:val="22"/>
          <w:szCs w:val="22"/>
          <w:lang w:val="es-CO" w:eastAsia="en-US"/>
        </w:rPr>
        <w:t>que,</w:t>
      </w:r>
      <w:r w:rsidRPr="0044100E">
        <w:rPr>
          <w:rFonts w:ascii="Arial" w:eastAsia="Calibri" w:hAnsi="Arial" w:cs="Arial"/>
          <w:sz w:val="22"/>
          <w:szCs w:val="22"/>
          <w:lang w:val="es-CO" w:eastAsia="en-US"/>
        </w:rPr>
        <w:t xml:space="preserve"> </w:t>
      </w:r>
      <w:r w:rsidR="00646D5E" w:rsidRPr="0044100E">
        <w:rPr>
          <w:rFonts w:ascii="Arial" w:eastAsia="Calibri" w:hAnsi="Arial" w:cs="Arial"/>
          <w:sz w:val="22"/>
          <w:szCs w:val="22"/>
          <w:lang w:val="es-CO" w:eastAsia="en-US"/>
        </w:rPr>
        <w:t xml:space="preserve">en todo caso, </w:t>
      </w:r>
      <w:r w:rsidRPr="0044100E">
        <w:rPr>
          <w:rFonts w:ascii="Arial" w:eastAsia="Calibri" w:hAnsi="Arial" w:cs="Arial"/>
          <w:sz w:val="22"/>
          <w:szCs w:val="22"/>
          <w:lang w:val="es-CO" w:eastAsia="en-US"/>
        </w:rPr>
        <w:t>será validada en el marco del reconocimiento institucional.</w:t>
      </w:r>
    </w:p>
    <w:p w14:paraId="7D97456B" w14:textId="77777777" w:rsidR="00643CE2" w:rsidRPr="00581C84" w:rsidRDefault="00643CE2" w:rsidP="00643CE2">
      <w:pPr>
        <w:jc w:val="both"/>
        <w:rPr>
          <w:rFonts w:ascii="Arial" w:eastAsia="Calibri" w:hAnsi="Arial" w:cs="Arial"/>
          <w:sz w:val="22"/>
          <w:szCs w:val="22"/>
          <w:lang w:val="es-CO" w:eastAsia="en-US"/>
        </w:rPr>
      </w:pPr>
    </w:p>
    <w:p w14:paraId="2F4F065F" w14:textId="0D85BF94" w:rsidR="00643CE2" w:rsidRPr="00581C84" w:rsidRDefault="00646D5E" w:rsidP="00643CE2">
      <w:pPr>
        <w:jc w:val="both"/>
        <w:rPr>
          <w:rFonts w:ascii="Arial" w:eastAsia="Calibri" w:hAnsi="Arial" w:cs="Arial"/>
          <w:sz w:val="22"/>
          <w:szCs w:val="22"/>
          <w:lang w:val="es-CO" w:eastAsia="en-US"/>
        </w:rPr>
      </w:pPr>
      <w:r w:rsidRPr="00581C84">
        <w:rPr>
          <w:rFonts w:ascii="Arial" w:eastAsia="Calibri" w:hAnsi="Arial" w:cs="Arial"/>
          <w:sz w:val="22"/>
          <w:szCs w:val="22"/>
          <w:lang w:val="es-CO" w:eastAsia="en-US"/>
        </w:rPr>
        <w:t>Con fundamento en e</w:t>
      </w:r>
      <w:r w:rsidR="00643CE2" w:rsidRPr="00581C84">
        <w:rPr>
          <w:rFonts w:ascii="Arial" w:eastAsia="Calibri" w:hAnsi="Arial" w:cs="Arial"/>
          <w:sz w:val="22"/>
          <w:szCs w:val="22"/>
          <w:lang w:val="es-CO" w:eastAsia="en-US"/>
        </w:rPr>
        <w:t>l reporte de tesorería aportado por la ET se identifica que la administración de los recursos del Fondo Local de Salud se lleva a</w:t>
      </w:r>
      <w:r w:rsidR="001846CC" w:rsidRPr="00581C84">
        <w:rPr>
          <w:rFonts w:ascii="Arial" w:eastAsia="Calibri" w:hAnsi="Arial" w:cs="Arial"/>
          <w:sz w:val="22"/>
          <w:szCs w:val="22"/>
          <w:lang w:val="es-CO" w:eastAsia="en-US"/>
        </w:rPr>
        <w:t xml:space="preserve"> </w:t>
      </w:r>
      <w:r w:rsidR="00643CE2" w:rsidRPr="00581C84">
        <w:rPr>
          <w:rFonts w:ascii="Arial" w:eastAsia="Calibri" w:hAnsi="Arial" w:cs="Arial"/>
          <w:sz w:val="22"/>
          <w:szCs w:val="22"/>
          <w:lang w:val="es-CO" w:eastAsia="en-US"/>
        </w:rPr>
        <w:t xml:space="preserve">cabo </w:t>
      </w:r>
      <w:r w:rsidRPr="00581C84">
        <w:rPr>
          <w:rFonts w:ascii="Arial" w:eastAsia="Calibri" w:hAnsi="Arial" w:cs="Arial"/>
          <w:sz w:val="22"/>
          <w:szCs w:val="22"/>
          <w:lang w:val="es-CO" w:eastAsia="en-US"/>
        </w:rPr>
        <w:t>en</w:t>
      </w:r>
      <w:r w:rsidR="00643CE2" w:rsidRPr="00581C84">
        <w:rPr>
          <w:rFonts w:ascii="Arial" w:eastAsia="Calibri" w:hAnsi="Arial" w:cs="Arial"/>
          <w:sz w:val="22"/>
          <w:szCs w:val="22"/>
          <w:lang w:val="es-CO" w:eastAsia="en-US"/>
        </w:rPr>
        <w:t xml:space="preserve"> las 4 cuentas maestras permitidas (Cuenta Maestra Oferta, Salud Publica, Régimen Subsidiado y Otros Gastos en Salud) la cuenta de otros gastos-funcionamiento, la cuenta del fondo de estupefacientes y 8 cuentas recaudadoras adicionales. </w:t>
      </w:r>
      <w:r w:rsidRPr="00581C84">
        <w:rPr>
          <w:rFonts w:ascii="Arial" w:eastAsia="Calibri" w:hAnsi="Arial" w:cs="Arial"/>
          <w:sz w:val="22"/>
          <w:szCs w:val="22"/>
          <w:lang w:val="es-CO" w:eastAsia="en-US"/>
        </w:rPr>
        <w:t xml:space="preserve">Frente a esta últimas debe destacarse </w:t>
      </w:r>
      <w:r w:rsidR="0012296B" w:rsidRPr="00581C84">
        <w:rPr>
          <w:rFonts w:ascii="Arial" w:eastAsia="Calibri" w:hAnsi="Arial" w:cs="Arial"/>
          <w:sz w:val="22"/>
          <w:szCs w:val="22"/>
          <w:lang w:val="es-CO" w:eastAsia="en-US"/>
        </w:rPr>
        <w:t>que evidencian</w:t>
      </w:r>
      <w:r w:rsidR="00643CE2" w:rsidRPr="00581C84">
        <w:rPr>
          <w:rFonts w:ascii="Arial" w:eastAsia="Calibri" w:hAnsi="Arial" w:cs="Arial"/>
          <w:sz w:val="22"/>
          <w:szCs w:val="22"/>
          <w:lang w:val="es-CO" w:eastAsia="en-US"/>
        </w:rPr>
        <w:t xml:space="preserve"> saldos de $2.244 millones, situación que a la luz de lo dispuesto </w:t>
      </w:r>
      <w:r w:rsidR="00643CE2" w:rsidRPr="00581C84">
        <w:rPr>
          <w:rFonts w:ascii="Arial" w:eastAsia="Calibri" w:hAnsi="Arial" w:cs="Arial"/>
          <w:sz w:val="22"/>
          <w:szCs w:val="22"/>
          <w:lang w:val="es-CO" w:eastAsia="en-US"/>
        </w:rPr>
        <w:lastRenderedPageBreak/>
        <w:t xml:space="preserve">por el artículo 7 de la </w:t>
      </w:r>
      <w:r w:rsidR="00A26644">
        <w:rPr>
          <w:rFonts w:ascii="Arial" w:eastAsia="Calibri" w:hAnsi="Arial" w:cs="Arial"/>
          <w:sz w:val="22"/>
          <w:szCs w:val="22"/>
          <w:lang w:val="es-CO" w:eastAsia="en-US"/>
        </w:rPr>
        <w:t>R</w:t>
      </w:r>
      <w:r w:rsidR="00643CE2" w:rsidRPr="00581C84">
        <w:rPr>
          <w:rFonts w:ascii="Arial" w:eastAsia="Calibri" w:hAnsi="Arial" w:cs="Arial"/>
          <w:sz w:val="22"/>
          <w:szCs w:val="22"/>
          <w:lang w:val="es-CO" w:eastAsia="en-US"/>
        </w:rPr>
        <w:t>esolución 4204 de 2008 deberá ser objeto de verificación</w:t>
      </w:r>
      <w:r w:rsidRPr="00581C84">
        <w:rPr>
          <w:rFonts w:ascii="Arial" w:eastAsia="Calibri" w:hAnsi="Arial" w:cs="Arial"/>
          <w:sz w:val="22"/>
          <w:szCs w:val="22"/>
          <w:lang w:val="es-CO" w:eastAsia="en-US"/>
        </w:rPr>
        <w:t>,</w:t>
      </w:r>
      <w:r w:rsidR="00643CE2" w:rsidRPr="00581C84">
        <w:rPr>
          <w:rFonts w:ascii="Arial" w:eastAsia="Calibri" w:hAnsi="Arial" w:cs="Arial"/>
          <w:sz w:val="22"/>
          <w:szCs w:val="22"/>
          <w:lang w:val="es-CO" w:eastAsia="en-US"/>
        </w:rPr>
        <w:t xml:space="preserve"> toda vez que los mismos deben ser trasladados de acuerdo con su destinación, a la cuenta correspondiente. </w:t>
      </w:r>
    </w:p>
    <w:p w14:paraId="05B435AB" w14:textId="77777777" w:rsidR="00643CE2" w:rsidRPr="00581C84" w:rsidRDefault="00643CE2" w:rsidP="00643CE2">
      <w:pPr>
        <w:jc w:val="both"/>
        <w:rPr>
          <w:rFonts w:ascii="Arial" w:eastAsia="Calibri" w:hAnsi="Arial" w:cs="Arial"/>
          <w:sz w:val="22"/>
          <w:szCs w:val="22"/>
          <w:lang w:val="es-CO" w:eastAsia="en-US"/>
        </w:rPr>
      </w:pPr>
    </w:p>
    <w:p w14:paraId="4FD979B1" w14:textId="593BBF3E" w:rsidR="00643CE2" w:rsidRPr="0044100E" w:rsidRDefault="005A5B4E" w:rsidP="00643CE2">
      <w:pPr>
        <w:jc w:val="both"/>
        <w:rPr>
          <w:rFonts w:ascii="Arial" w:hAnsi="Arial" w:cs="Arial"/>
          <w:color w:val="000000" w:themeColor="text1"/>
          <w:sz w:val="22"/>
          <w:szCs w:val="22"/>
        </w:rPr>
      </w:pPr>
      <w:r w:rsidRPr="00581C84">
        <w:rPr>
          <w:rFonts w:ascii="Arial" w:hAnsi="Arial" w:cs="Arial"/>
          <w:sz w:val="22"/>
          <w:szCs w:val="22"/>
        </w:rPr>
        <w:t xml:space="preserve">Se identifica </w:t>
      </w:r>
      <w:r w:rsidRPr="0044100E">
        <w:rPr>
          <w:rFonts w:ascii="Arial" w:hAnsi="Arial" w:cs="Arial"/>
          <w:color w:val="000000" w:themeColor="text1"/>
          <w:sz w:val="22"/>
          <w:szCs w:val="22"/>
        </w:rPr>
        <w:t xml:space="preserve">además una diferencia de </w:t>
      </w:r>
      <w:r w:rsidR="006F1BA4">
        <w:rPr>
          <w:rFonts w:ascii="Arial" w:hAnsi="Arial" w:cs="Arial"/>
          <w:color w:val="000000" w:themeColor="text1"/>
          <w:sz w:val="22"/>
          <w:szCs w:val="22"/>
        </w:rPr>
        <w:t>$</w:t>
      </w:r>
      <w:r w:rsidRPr="0044100E">
        <w:rPr>
          <w:rFonts w:ascii="Arial" w:hAnsi="Arial" w:cs="Arial"/>
          <w:color w:val="000000" w:themeColor="text1"/>
          <w:sz w:val="22"/>
          <w:szCs w:val="22"/>
        </w:rPr>
        <w:t xml:space="preserve">483 millones entre el </w:t>
      </w:r>
      <w:r w:rsidR="00643CE2" w:rsidRPr="0044100E">
        <w:rPr>
          <w:rFonts w:ascii="Arial" w:hAnsi="Arial" w:cs="Arial"/>
          <w:color w:val="000000" w:themeColor="text1"/>
          <w:sz w:val="22"/>
          <w:szCs w:val="22"/>
        </w:rPr>
        <w:t xml:space="preserve">valor del saldo en cuentas maestras reportado en el FUT en la categoría Tesorería Fondo Salud el cual asciende a $31.568 millones, </w:t>
      </w:r>
      <w:r w:rsidRPr="0044100E">
        <w:rPr>
          <w:rFonts w:ascii="Arial" w:hAnsi="Arial" w:cs="Arial"/>
          <w:color w:val="000000" w:themeColor="text1"/>
          <w:sz w:val="22"/>
          <w:szCs w:val="22"/>
        </w:rPr>
        <w:t xml:space="preserve">y </w:t>
      </w:r>
      <w:r w:rsidR="00643CE2" w:rsidRPr="0044100E">
        <w:rPr>
          <w:rFonts w:ascii="Arial" w:hAnsi="Arial" w:cs="Arial"/>
          <w:color w:val="000000" w:themeColor="text1"/>
          <w:sz w:val="22"/>
          <w:szCs w:val="22"/>
        </w:rPr>
        <w:t xml:space="preserve">el valor reportado por la </w:t>
      </w:r>
      <w:r w:rsidR="00A26644">
        <w:rPr>
          <w:rFonts w:ascii="Arial" w:hAnsi="Arial" w:cs="Arial"/>
          <w:color w:val="000000" w:themeColor="text1"/>
          <w:sz w:val="22"/>
          <w:szCs w:val="22"/>
        </w:rPr>
        <w:t>E</w:t>
      </w:r>
      <w:r w:rsidR="00643CE2" w:rsidRPr="0044100E">
        <w:rPr>
          <w:rFonts w:ascii="Arial" w:hAnsi="Arial" w:cs="Arial"/>
          <w:color w:val="000000" w:themeColor="text1"/>
          <w:sz w:val="22"/>
          <w:szCs w:val="22"/>
        </w:rPr>
        <w:t xml:space="preserve">ntidad </w:t>
      </w:r>
      <w:r w:rsidR="00A26644">
        <w:rPr>
          <w:rFonts w:ascii="Arial" w:hAnsi="Arial" w:cs="Arial"/>
          <w:color w:val="000000" w:themeColor="text1"/>
          <w:sz w:val="22"/>
          <w:szCs w:val="22"/>
        </w:rPr>
        <w:t>T</w:t>
      </w:r>
      <w:r w:rsidR="00643CE2" w:rsidRPr="0044100E">
        <w:rPr>
          <w:rFonts w:ascii="Arial" w:hAnsi="Arial" w:cs="Arial"/>
          <w:color w:val="000000" w:themeColor="text1"/>
          <w:sz w:val="22"/>
          <w:szCs w:val="22"/>
        </w:rPr>
        <w:t xml:space="preserve">erritorial en el cierre de tesorería a 31 de diciembre de 2020 </w:t>
      </w:r>
      <w:r w:rsidRPr="0044100E">
        <w:rPr>
          <w:rFonts w:ascii="Arial" w:hAnsi="Arial" w:cs="Arial"/>
          <w:color w:val="000000" w:themeColor="text1"/>
          <w:sz w:val="22"/>
          <w:szCs w:val="22"/>
        </w:rPr>
        <w:t>el cual fue de</w:t>
      </w:r>
      <w:r w:rsidR="009C7544">
        <w:rPr>
          <w:rFonts w:ascii="Arial" w:hAnsi="Arial" w:cs="Arial"/>
          <w:color w:val="000000" w:themeColor="text1"/>
          <w:sz w:val="22"/>
          <w:szCs w:val="22"/>
        </w:rPr>
        <w:t xml:space="preserve"> </w:t>
      </w:r>
      <w:r w:rsidR="00643CE2" w:rsidRPr="0044100E">
        <w:rPr>
          <w:rFonts w:ascii="Arial" w:hAnsi="Arial" w:cs="Arial"/>
          <w:color w:val="000000" w:themeColor="text1"/>
          <w:sz w:val="22"/>
          <w:szCs w:val="22"/>
        </w:rPr>
        <w:t>$31.085 millones</w:t>
      </w:r>
      <w:r w:rsidRPr="0044100E">
        <w:rPr>
          <w:rFonts w:ascii="Arial" w:hAnsi="Arial" w:cs="Arial"/>
          <w:color w:val="000000" w:themeColor="text1"/>
          <w:sz w:val="22"/>
          <w:szCs w:val="22"/>
        </w:rPr>
        <w:t>, situación a verificarse en la etapa de reconocimiento institucional que se realice</w:t>
      </w:r>
      <w:r w:rsidR="00643CE2" w:rsidRPr="0044100E">
        <w:rPr>
          <w:rFonts w:ascii="Arial" w:hAnsi="Arial" w:cs="Arial"/>
          <w:color w:val="000000" w:themeColor="text1"/>
          <w:sz w:val="22"/>
          <w:szCs w:val="22"/>
        </w:rPr>
        <w:t>.</w:t>
      </w:r>
    </w:p>
    <w:p w14:paraId="651E4DB8" w14:textId="77777777" w:rsidR="00643CE2" w:rsidRPr="0044100E" w:rsidRDefault="00643CE2" w:rsidP="00643CE2">
      <w:pPr>
        <w:jc w:val="both"/>
        <w:rPr>
          <w:rFonts w:ascii="Arial" w:hAnsi="Arial" w:cs="Arial"/>
          <w:sz w:val="22"/>
          <w:szCs w:val="22"/>
        </w:rPr>
      </w:pPr>
    </w:p>
    <w:p w14:paraId="5698848D" w14:textId="77777777" w:rsidR="00643CE2" w:rsidRPr="0044100E" w:rsidRDefault="00643CE2" w:rsidP="00643CE2">
      <w:pPr>
        <w:pStyle w:val="Prrafodelista"/>
        <w:numPr>
          <w:ilvl w:val="1"/>
          <w:numId w:val="22"/>
        </w:numPr>
        <w:jc w:val="both"/>
        <w:rPr>
          <w:rFonts w:ascii="Arial" w:hAnsi="Arial" w:cs="Arial"/>
          <w:b/>
          <w:sz w:val="22"/>
          <w:szCs w:val="22"/>
        </w:rPr>
      </w:pPr>
      <w:r w:rsidRPr="0044100E">
        <w:rPr>
          <w:rFonts w:ascii="Arial" w:hAnsi="Arial" w:cs="Arial"/>
          <w:b/>
          <w:sz w:val="22"/>
          <w:szCs w:val="22"/>
        </w:rPr>
        <w:t xml:space="preserve">Análisis contable </w:t>
      </w:r>
    </w:p>
    <w:p w14:paraId="68A6038E" w14:textId="77777777" w:rsidR="00643CE2" w:rsidRPr="0044100E" w:rsidRDefault="00643CE2" w:rsidP="00643CE2">
      <w:pPr>
        <w:jc w:val="both"/>
        <w:rPr>
          <w:rFonts w:ascii="Arial" w:eastAsia="Calibri" w:hAnsi="Arial" w:cs="Arial"/>
          <w:sz w:val="22"/>
          <w:szCs w:val="22"/>
        </w:rPr>
      </w:pPr>
    </w:p>
    <w:p w14:paraId="43E35798" w14:textId="0808465D" w:rsidR="00643CE2" w:rsidRPr="0044100E" w:rsidRDefault="00643CE2" w:rsidP="00643CE2">
      <w:pPr>
        <w:jc w:val="both"/>
        <w:rPr>
          <w:rFonts w:ascii="Arial" w:eastAsia="Calibri" w:hAnsi="Arial" w:cs="Arial"/>
          <w:sz w:val="22"/>
          <w:szCs w:val="22"/>
        </w:rPr>
      </w:pPr>
      <w:r w:rsidRPr="0044100E">
        <w:rPr>
          <w:rFonts w:ascii="Arial" w:eastAsia="Calibri" w:hAnsi="Arial" w:cs="Arial"/>
          <w:sz w:val="22"/>
          <w:szCs w:val="22"/>
        </w:rPr>
        <w:t xml:space="preserve">De acuerdo con el balance general a 31 de diciembre de 2020, el activo ascendió a </w:t>
      </w:r>
      <w:r w:rsidR="006F1BA4">
        <w:rPr>
          <w:rFonts w:ascii="Arial" w:eastAsia="Calibri" w:hAnsi="Arial" w:cs="Arial"/>
          <w:sz w:val="22"/>
          <w:szCs w:val="22"/>
        </w:rPr>
        <w:t>$</w:t>
      </w:r>
      <w:r w:rsidRPr="0044100E">
        <w:rPr>
          <w:rFonts w:ascii="Arial" w:eastAsia="Calibri" w:hAnsi="Arial" w:cs="Arial"/>
          <w:sz w:val="22"/>
          <w:szCs w:val="22"/>
        </w:rPr>
        <w:t xml:space="preserve">56.663 millones, el pasivo a </w:t>
      </w:r>
      <w:r w:rsidR="006F1BA4">
        <w:rPr>
          <w:rFonts w:ascii="Arial" w:eastAsia="Calibri" w:hAnsi="Arial" w:cs="Arial"/>
          <w:sz w:val="22"/>
          <w:szCs w:val="22"/>
        </w:rPr>
        <w:t>$</w:t>
      </w:r>
      <w:r w:rsidRPr="0044100E">
        <w:rPr>
          <w:rFonts w:ascii="Arial" w:eastAsia="Calibri" w:hAnsi="Arial" w:cs="Arial"/>
          <w:sz w:val="22"/>
          <w:szCs w:val="22"/>
        </w:rPr>
        <w:t>5.292</w:t>
      </w:r>
      <w:r w:rsidR="009C7544">
        <w:rPr>
          <w:rFonts w:ascii="Arial" w:eastAsia="Calibri" w:hAnsi="Arial" w:cs="Arial"/>
          <w:sz w:val="22"/>
          <w:szCs w:val="22"/>
        </w:rPr>
        <w:t xml:space="preserve"> </w:t>
      </w:r>
      <w:r w:rsidRPr="0044100E">
        <w:rPr>
          <w:rFonts w:ascii="Arial" w:eastAsia="Calibri" w:hAnsi="Arial" w:cs="Arial"/>
          <w:sz w:val="22"/>
          <w:szCs w:val="22"/>
        </w:rPr>
        <w:t xml:space="preserve">millones y el patrimonio a </w:t>
      </w:r>
      <w:r w:rsidR="006F1BA4">
        <w:rPr>
          <w:rFonts w:ascii="Arial" w:eastAsia="Calibri" w:hAnsi="Arial" w:cs="Arial"/>
          <w:sz w:val="22"/>
          <w:szCs w:val="22"/>
        </w:rPr>
        <w:t>$</w:t>
      </w:r>
      <w:r w:rsidRPr="0044100E">
        <w:rPr>
          <w:rFonts w:ascii="Arial" w:eastAsia="Calibri" w:hAnsi="Arial" w:cs="Arial"/>
          <w:sz w:val="22"/>
          <w:szCs w:val="22"/>
        </w:rPr>
        <w:t xml:space="preserve">45.477 millones. En relación con el Pasivo cabe señalar que, aunque la </w:t>
      </w:r>
      <w:r w:rsidR="00A26644">
        <w:rPr>
          <w:rFonts w:ascii="Arial" w:eastAsia="Calibri" w:hAnsi="Arial" w:cs="Arial"/>
          <w:sz w:val="22"/>
          <w:szCs w:val="22"/>
        </w:rPr>
        <w:t>E</w:t>
      </w:r>
      <w:r w:rsidRPr="0044100E">
        <w:rPr>
          <w:rFonts w:ascii="Arial" w:eastAsia="Calibri" w:hAnsi="Arial" w:cs="Arial"/>
          <w:sz w:val="22"/>
          <w:szCs w:val="22"/>
        </w:rPr>
        <w:t xml:space="preserve">ntidad </w:t>
      </w:r>
      <w:r w:rsidR="00A26644">
        <w:rPr>
          <w:rFonts w:ascii="Arial" w:eastAsia="Calibri" w:hAnsi="Arial" w:cs="Arial"/>
          <w:sz w:val="22"/>
          <w:szCs w:val="22"/>
        </w:rPr>
        <w:t>T</w:t>
      </w:r>
      <w:r w:rsidRPr="0044100E">
        <w:rPr>
          <w:rFonts w:ascii="Arial" w:eastAsia="Calibri" w:hAnsi="Arial" w:cs="Arial"/>
          <w:sz w:val="22"/>
          <w:szCs w:val="22"/>
        </w:rPr>
        <w:t>erritorial report</w:t>
      </w:r>
      <w:r w:rsidR="00984BD2" w:rsidRPr="0044100E">
        <w:rPr>
          <w:rFonts w:ascii="Arial" w:eastAsia="Calibri" w:hAnsi="Arial" w:cs="Arial"/>
          <w:sz w:val="22"/>
          <w:szCs w:val="22"/>
        </w:rPr>
        <w:t>ó</w:t>
      </w:r>
      <w:r w:rsidRPr="0044100E">
        <w:rPr>
          <w:rFonts w:ascii="Arial" w:eastAsia="Calibri" w:hAnsi="Arial" w:cs="Arial"/>
          <w:sz w:val="22"/>
          <w:szCs w:val="22"/>
        </w:rPr>
        <w:t xml:space="preserve"> a la Dirección General de Apoyo Fiscal una deuda por concepto de prestación de servicios que al cierre de la vigencia de 2020 ascendía a </w:t>
      </w:r>
      <w:r w:rsidR="006F1BA4">
        <w:rPr>
          <w:rFonts w:ascii="Arial" w:eastAsia="Calibri" w:hAnsi="Arial" w:cs="Arial"/>
          <w:sz w:val="22"/>
          <w:szCs w:val="22"/>
        </w:rPr>
        <w:t>$</w:t>
      </w:r>
      <w:r w:rsidRPr="0044100E">
        <w:rPr>
          <w:rFonts w:ascii="Arial" w:eastAsia="Calibri" w:hAnsi="Arial" w:cs="Arial"/>
          <w:sz w:val="22"/>
          <w:szCs w:val="22"/>
        </w:rPr>
        <w:t>1.653 millones, lo anterior no se ve reflejado en las cuentas del pasivo del Balance General, situación que será tenida en cuenta en el marco del reconocimiento institucional que se realice.</w:t>
      </w:r>
    </w:p>
    <w:p w14:paraId="03A44979" w14:textId="77777777" w:rsidR="00643CE2" w:rsidRPr="0044100E" w:rsidRDefault="00643CE2" w:rsidP="00643CE2">
      <w:pPr>
        <w:jc w:val="both"/>
        <w:rPr>
          <w:rFonts w:ascii="Arial" w:eastAsia="Calibri" w:hAnsi="Arial" w:cs="Arial"/>
          <w:sz w:val="22"/>
          <w:szCs w:val="22"/>
        </w:rPr>
      </w:pPr>
    </w:p>
    <w:p w14:paraId="50A365F9" w14:textId="797AB219" w:rsidR="00643CE2" w:rsidRPr="0044100E" w:rsidRDefault="00643CE2" w:rsidP="00643CE2">
      <w:pPr>
        <w:jc w:val="both"/>
        <w:rPr>
          <w:rFonts w:ascii="Arial" w:eastAsia="Times New Roman" w:hAnsi="Arial" w:cs="Arial"/>
          <w:b/>
          <w:bCs/>
          <w:sz w:val="22"/>
          <w:szCs w:val="22"/>
          <w:lang w:val="es-CO" w:eastAsia="es-CO"/>
        </w:rPr>
      </w:pPr>
      <w:r w:rsidRPr="0044100E">
        <w:rPr>
          <w:rFonts w:ascii="Arial" w:eastAsia="Calibri" w:hAnsi="Arial" w:cs="Arial"/>
          <w:sz w:val="22"/>
          <w:szCs w:val="22"/>
        </w:rPr>
        <w:t>De otro lado, el estado de resultados mostr</w:t>
      </w:r>
      <w:r w:rsidR="00984BD2" w:rsidRPr="0044100E">
        <w:rPr>
          <w:rFonts w:ascii="Arial" w:eastAsia="Calibri" w:hAnsi="Arial" w:cs="Arial"/>
          <w:sz w:val="22"/>
          <w:szCs w:val="22"/>
        </w:rPr>
        <w:t>ó</w:t>
      </w:r>
      <w:r w:rsidRPr="0044100E">
        <w:rPr>
          <w:rFonts w:ascii="Arial" w:eastAsia="Calibri" w:hAnsi="Arial" w:cs="Arial"/>
          <w:sz w:val="22"/>
          <w:szCs w:val="22"/>
        </w:rPr>
        <w:t xml:space="preserve"> ingresos que ascendieron a </w:t>
      </w:r>
      <w:r w:rsidR="006F1BA4">
        <w:rPr>
          <w:rFonts w:ascii="Arial" w:eastAsia="Calibri" w:hAnsi="Arial" w:cs="Arial"/>
          <w:sz w:val="22"/>
          <w:szCs w:val="22"/>
        </w:rPr>
        <w:t>$</w:t>
      </w:r>
      <w:r w:rsidRPr="0044100E">
        <w:rPr>
          <w:rFonts w:ascii="Arial" w:eastAsia="Calibri" w:hAnsi="Arial" w:cs="Arial"/>
          <w:sz w:val="22"/>
          <w:szCs w:val="22"/>
        </w:rPr>
        <w:t xml:space="preserve">13.752 millones, gastos por </w:t>
      </w:r>
      <w:r w:rsidR="006F1BA4">
        <w:rPr>
          <w:rFonts w:ascii="Arial" w:eastAsia="Calibri" w:hAnsi="Arial" w:cs="Arial"/>
          <w:sz w:val="22"/>
          <w:szCs w:val="22"/>
        </w:rPr>
        <w:t>$</w:t>
      </w:r>
      <w:r w:rsidRPr="0044100E">
        <w:rPr>
          <w:rFonts w:ascii="Arial" w:eastAsia="Calibri" w:hAnsi="Arial" w:cs="Arial"/>
          <w:sz w:val="22"/>
          <w:szCs w:val="22"/>
        </w:rPr>
        <w:t>7.858 millones, evidenciando un excedente del ejercicio de $</w:t>
      </w:r>
      <w:r w:rsidRPr="0044100E">
        <w:rPr>
          <w:rFonts w:ascii="Arial" w:eastAsia="Times New Roman" w:hAnsi="Arial" w:cs="Arial"/>
          <w:sz w:val="22"/>
          <w:szCs w:val="22"/>
          <w:lang w:val="es-CO" w:eastAsia="es-CO"/>
        </w:rPr>
        <w:t>5.893 millones.</w:t>
      </w:r>
    </w:p>
    <w:p w14:paraId="278BD215" w14:textId="77777777" w:rsidR="00643CE2" w:rsidRPr="0044100E" w:rsidRDefault="00643CE2" w:rsidP="00643CE2">
      <w:pPr>
        <w:jc w:val="both"/>
        <w:rPr>
          <w:rFonts w:ascii="Arial" w:eastAsia="Calibri" w:hAnsi="Arial" w:cs="Arial"/>
          <w:sz w:val="22"/>
          <w:szCs w:val="22"/>
        </w:rPr>
      </w:pPr>
    </w:p>
    <w:p w14:paraId="22D0EAEE" w14:textId="3F61B95E" w:rsidR="00284D0B" w:rsidRPr="0044100E" w:rsidRDefault="00284D0B" w:rsidP="00643CE2">
      <w:pPr>
        <w:jc w:val="both"/>
        <w:rPr>
          <w:rFonts w:ascii="Arial" w:eastAsia="Calibri" w:hAnsi="Arial" w:cs="Arial"/>
          <w:color w:val="000000" w:themeColor="text1"/>
          <w:sz w:val="22"/>
          <w:szCs w:val="22"/>
        </w:rPr>
      </w:pPr>
      <w:r w:rsidRPr="0044100E">
        <w:rPr>
          <w:rFonts w:ascii="Arial" w:eastAsia="Calibri" w:hAnsi="Arial" w:cs="Arial"/>
          <w:color w:val="000000" w:themeColor="text1"/>
          <w:sz w:val="22"/>
          <w:szCs w:val="22"/>
        </w:rPr>
        <w:t xml:space="preserve">En todo caso, en el marco del reconocimiento institucional se verificará el manejo contable del FLS como una cuenta especial e independiente dentro del sistema que para los fines tenga previsto la </w:t>
      </w:r>
      <w:r w:rsidR="00A26644">
        <w:rPr>
          <w:rFonts w:ascii="Arial" w:eastAsia="Calibri" w:hAnsi="Arial" w:cs="Arial"/>
          <w:color w:val="000000" w:themeColor="text1"/>
          <w:sz w:val="22"/>
          <w:szCs w:val="22"/>
        </w:rPr>
        <w:t>E</w:t>
      </w:r>
      <w:r w:rsidRPr="0044100E">
        <w:rPr>
          <w:rFonts w:ascii="Arial" w:eastAsia="Calibri" w:hAnsi="Arial" w:cs="Arial"/>
          <w:color w:val="000000" w:themeColor="text1"/>
          <w:sz w:val="22"/>
          <w:szCs w:val="22"/>
        </w:rPr>
        <w:t xml:space="preserve">ntidad </w:t>
      </w:r>
      <w:r w:rsidR="00A26644">
        <w:rPr>
          <w:rFonts w:ascii="Arial" w:eastAsia="Calibri" w:hAnsi="Arial" w:cs="Arial"/>
          <w:color w:val="000000" w:themeColor="text1"/>
          <w:sz w:val="22"/>
          <w:szCs w:val="22"/>
        </w:rPr>
        <w:t>T</w:t>
      </w:r>
      <w:r w:rsidRPr="0044100E">
        <w:rPr>
          <w:rFonts w:ascii="Arial" w:eastAsia="Calibri" w:hAnsi="Arial" w:cs="Arial"/>
          <w:color w:val="000000" w:themeColor="text1"/>
          <w:sz w:val="22"/>
          <w:szCs w:val="22"/>
        </w:rPr>
        <w:t xml:space="preserve">erritorial y la parametrización del sistema contable con la facturación derivada de prestación de servicios. </w:t>
      </w:r>
    </w:p>
    <w:p w14:paraId="708B3DFC" w14:textId="77777777" w:rsidR="00284D0B" w:rsidRPr="0044100E" w:rsidRDefault="00284D0B" w:rsidP="00643CE2">
      <w:pPr>
        <w:jc w:val="both"/>
        <w:rPr>
          <w:rFonts w:ascii="Arial" w:eastAsia="Calibri" w:hAnsi="Arial" w:cs="Arial"/>
          <w:color w:val="000000" w:themeColor="text1"/>
          <w:sz w:val="22"/>
          <w:szCs w:val="22"/>
        </w:rPr>
      </w:pPr>
    </w:p>
    <w:p w14:paraId="19355B26" w14:textId="77777777" w:rsidR="00643CE2" w:rsidRPr="0044100E" w:rsidRDefault="00643CE2" w:rsidP="00643CE2">
      <w:pPr>
        <w:pStyle w:val="Prrafodelista"/>
        <w:numPr>
          <w:ilvl w:val="0"/>
          <w:numId w:val="22"/>
        </w:numPr>
        <w:jc w:val="both"/>
        <w:rPr>
          <w:rFonts w:ascii="Arial" w:hAnsi="Arial" w:cs="Arial"/>
          <w:b/>
          <w:sz w:val="22"/>
          <w:szCs w:val="22"/>
        </w:rPr>
      </w:pPr>
      <w:r w:rsidRPr="0044100E">
        <w:rPr>
          <w:rFonts w:ascii="Arial" w:hAnsi="Arial" w:cs="Arial"/>
          <w:b/>
          <w:sz w:val="22"/>
          <w:szCs w:val="22"/>
        </w:rPr>
        <w:t>Régimen Subsidiado</w:t>
      </w:r>
    </w:p>
    <w:p w14:paraId="2EF6715C" w14:textId="77777777" w:rsidR="00643CE2" w:rsidRPr="0044100E" w:rsidRDefault="00643CE2" w:rsidP="00643CE2">
      <w:pPr>
        <w:jc w:val="both"/>
        <w:rPr>
          <w:rFonts w:ascii="Arial" w:hAnsi="Arial" w:cs="Arial"/>
          <w:b/>
          <w:sz w:val="22"/>
          <w:szCs w:val="22"/>
        </w:rPr>
      </w:pPr>
    </w:p>
    <w:p w14:paraId="3F67A4DF" w14:textId="77777777" w:rsidR="00643CE2" w:rsidRPr="0044100E" w:rsidRDefault="00643CE2" w:rsidP="00643CE2">
      <w:pPr>
        <w:jc w:val="both"/>
        <w:rPr>
          <w:rFonts w:ascii="Arial" w:hAnsi="Arial" w:cs="Arial"/>
          <w:sz w:val="22"/>
          <w:szCs w:val="22"/>
          <w:highlight w:val="yellow"/>
        </w:rPr>
      </w:pPr>
      <w:r w:rsidRPr="0044100E">
        <w:rPr>
          <w:rFonts w:ascii="Arial" w:hAnsi="Arial" w:cs="Arial"/>
          <w:sz w:val="22"/>
          <w:szCs w:val="22"/>
        </w:rPr>
        <w:t>El Departamento es responsable de dirigir, coordinar y vigilar el sector salud y el Sistema General de Seguridad Social en Salud en el territorio de su jurisdicción. Frente al aseguramiento, le corresponde al vigilar y controlar el aseguramiento en el Sistema General de Seguridad Social en Salud y en los regímenes de excepción definidos en la Ley 100 de 1993, así como cofinanciar la prestación de servicios a la población pobre afiliada al régimen subsidiado.</w:t>
      </w:r>
    </w:p>
    <w:p w14:paraId="062CDFAC" w14:textId="77777777" w:rsidR="00643CE2" w:rsidRPr="0044100E" w:rsidRDefault="00643CE2" w:rsidP="00643CE2">
      <w:pPr>
        <w:jc w:val="both"/>
        <w:rPr>
          <w:rFonts w:ascii="Arial" w:hAnsi="Arial" w:cs="Arial"/>
          <w:sz w:val="22"/>
          <w:szCs w:val="22"/>
          <w:highlight w:val="yellow"/>
        </w:rPr>
      </w:pPr>
    </w:p>
    <w:p w14:paraId="028D891A" w14:textId="07A56033" w:rsidR="00643CE2" w:rsidRPr="0044100E" w:rsidRDefault="00643CE2" w:rsidP="00643CE2">
      <w:pPr>
        <w:jc w:val="both"/>
        <w:rPr>
          <w:rFonts w:ascii="Arial" w:hAnsi="Arial" w:cs="Arial"/>
          <w:sz w:val="22"/>
          <w:szCs w:val="22"/>
          <w:shd w:val="clear" w:color="auto" w:fill="FFFFFF"/>
        </w:rPr>
      </w:pPr>
      <w:r w:rsidRPr="0044100E">
        <w:rPr>
          <w:rFonts w:ascii="Arial" w:hAnsi="Arial" w:cs="Arial"/>
          <w:sz w:val="22"/>
          <w:szCs w:val="22"/>
        </w:rPr>
        <w:t>En cumplimiento del artículo</w:t>
      </w:r>
      <w:r w:rsidR="009C7544">
        <w:rPr>
          <w:rFonts w:ascii="Arial" w:hAnsi="Arial" w:cs="Arial"/>
          <w:sz w:val="22"/>
          <w:szCs w:val="22"/>
        </w:rPr>
        <w:t xml:space="preserve"> </w:t>
      </w:r>
      <w:r w:rsidRPr="0044100E">
        <w:rPr>
          <w:rFonts w:ascii="Arial" w:hAnsi="Arial" w:cs="Arial"/>
          <w:sz w:val="22"/>
          <w:szCs w:val="22"/>
        </w:rPr>
        <w:t xml:space="preserve">2.3.2.2.3 del Decreto 780 de 2016, la Entidad territorial debe emitir un acto administrativo en los primeros quince (15) días hábiles del mes de enero de cada año, mediante el cual </w:t>
      </w:r>
      <w:r w:rsidRPr="0044100E">
        <w:rPr>
          <w:rFonts w:ascii="Arial" w:hAnsi="Arial" w:cs="Arial"/>
          <w:sz w:val="22"/>
          <w:szCs w:val="22"/>
          <w:shd w:val="clear" w:color="auto" w:fill="FFFFFF"/>
        </w:rPr>
        <w:t xml:space="preserve">se realizará el compromiso presupuestal del total de los recursos del Régimen Subsidiado en su jurisdicción, para la vigencia fiscal comprendida entre el 1º de enero y el 31 de diciembre del respectivo año, basado en la información de la Base de Datos Única de Afiliados y el monto de recursos incorporado en su presupuesto. No obstante, la </w:t>
      </w:r>
      <w:r w:rsidR="00A26644">
        <w:rPr>
          <w:rFonts w:ascii="Arial" w:hAnsi="Arial" w:cs="Arial"/>
          <w:sz w:val="22"/>
          <w:szCs w:val="22"/>
          <w:shd w:val="clear" w:color="auto" w:fill="FFFFFF"/>
        </w:rPr>
        <w:t>E</w:t>
      </w:r>
      <w:r w:rsidRPr="0044100E">
        <w:rPr>
          <w:rFonts w:ascii="Arial" w:hAnsi="Arial" w:cs="Arial"/>
          <w:sz w:val="22"/>
          <w:szCs w:val="22"/>
          <w:shd w:val="clear" w:color="auto" w:fill="FFFFFF"/>
        </w:rPr>
        <w:t xml:space="preserve">ntidad </w:t>
      </w:r>
      <w:r w:rsidR="00A26644">
        <w:rPr>
          <w:rFonts w:ascii="Arial" w:hAnsi="Arial" w:cs="Arial"/>
          <w:sz w:val="22"/>
          <w:szCs w:val="22"/>
          <w:shd w:val="clear" w:color="auto" w:fill="FFFFFF"/>
        </w:rPr>
        <w:t>T</w:t>
      </w:r>
      <w:r w:rsidRPr="0044100E">
        <w:rPr>
          <w:rFonts w:ascii="Arial" w:hAnsi="Arial" w:cs="Arial"/>
          <w:sz w:val="22"/>
          <w:szCs w:val="22"/>
          <w:shd w:val="clear" w:color="auto" w:fill="FFFFFF"/>
        </w:rPr>
        <w:t>erritorial no aport</w:t>
      </w:r>
      <w:r w:rsidR="00984BD2" w:rsidRPr="0044100E">
        <w:rPr>
          <w:rFonts w:ascii="Arial" w:hAnsi="Arial" w:cs="Arial"/>
          <w:sz w:val="22"/>
          <w:szCs w:val="22"/>
          <w:shd w:val="clear" w:color="auto" w:fill="FFFFFF"/>
        </w:rPr>
        <w:t>ó</w:t>
      </w:r>
      <w:r w:rsidRPr="0044100E">
        <w:rPr>
          <w:rFonts w:ascii="Arial" w:hAnsi="Arial" w:cs="Arial"/>
          <w:sz w:val="22"/>
          <w:szCs w:val="22"/>
          <w:shd w:val="clear" w:color="auto" w:fill="FFFFFF"/>
        </w:rPr>
        <w:t xml:space="preserve"> los actos administrativos correspondientes impidiendo validar el cumplimiento a lo dispuesto en los artículos referidos y el monto de </w:t>
      </w:r>
      <w:r w:rsidRPr="0044100E">
        <w:rPr>
          <w:rFonts w:ascii="Arial" w:hAnsi="Arial" w:cs="Arial"/>
          <w:sz w:val="22"/>
          <w:szCs w:val="22"/>
          <w:shd w:val="clear" w:color="auto" w:fill="FFFFFF"/>
        </w:rPr>
        <w:lastRenderedPageBreak/>
        <w:t>recursos que ha previsto el Ministerio de Salud y Protección Social para la financiación y cofinanciación del aseguramiento en el territorio.</w:t>
      </w:r>
    </w:p>
    <w:p w14:paraId="0AD16618" w14:textId="77777777" w:rsidR="00643CE2" w:rsidRPr="0044100E" w:rsidRDefault="00643CE2" w:rsidP="00643CE2">
      <w:pPr>
        <w:jc w:val="both"/>
        <w:rPr>
          <w:rFonts w:ascii="Arial" w:eastAsia="Calibri" w:hAnsi="Arial" w:cs="Arial"/>
          <w:sz w:val="22"/>
          <w:szCs w:val="22"/>
        </w:rPr>
      </w:pPr>
    </w:p>
    <w:p w14:paraId="1E464A50" w14:textId="6789F87C" w:rsidR="00643CE2" w:rsidRPr="0044100E" w:rsidRDefault="00643CE2" w:rsidP="00643CE2">
      <w:pPr>
        <w:jc w:val="both"/>
        <w:rPr>
          <w:rFonts w:ascii="Arial" w:eastAsia="Calibri" w:hAnsi="Arial" w:cs="Arial"/>
          <w:sz w:val="22"/>
          <w:szCs w:val="22"/>
        </w:rPr>
      </w:pPr>
      <w:r w:rsidRPr="0044100E">
        <w:rPr>
          <w:rFonts w:ascii="Arial" w:eastAsia="Calibri" w:hAnsi="Arial" w:cs="Arial"/>
          <w:sz w:val="22"/>
          <w:szCs w:val="22"/>
        </w:rPr>
        <w:t xml:space="preserve">Ahora bien, de acuerdo con la Matriz de Continuidad del MSPS de la vigencia 2020, el monto ejecutado de cofinanciación con recursos de esfuerzo propio se estimó en </w:t>
      </w:r>
      <w:r w:rsidR="006F1BA4">
        <w:rPr>
          <w:rFonts w:ascii="Arial" w:eastAsia="Calibri" w:hAnsi="Arial" w:cs="Arial"/>
          <w:sz w:val="22"/>
          <w:szCs w:val="22"/>
        </w:rPr>
        <w:t>$</w:t>
      </w:r>
      <w:r w:rsidRPr="0044100E">
        <w:rPr>
          <w:rFonts w:ascii="Arial" w:eastAsia="Calibri" w:hAnsi="Arial" w:cs="Arial"/>
          <w:sz w:val="22"/>
          <w:szCs w:val="22"/>
        </w:rPr>
        <w:t xml:space="preserve">662 millones de los cuales el 100% constituye Recursos SSF y con base en la ejecución presupuestal de gastos a cierre de 2020 de la </w:t>
      </w:r>
      <w:r w:rsidR="00A26644">
        <w:rPr>
          <w:rFonts w:ascii="Arial" w:eastAsia="Calibri" w:hAnsi="Arial" w:cs="Arial"/>
          <w:sz w:val="22"/>
          <w:szCs w:val="22"/>
        </w:rPr>
        <w:t>E</w:t>
      </w:r>
      <w:r w:rsidRPr="0044100E">
        <w:rPr>
          <w:rFonts w:ascii="Arial" w:eastAsia="Calibri" w:hAnsi="Arial" w:cs="Arial"/>
          <w:sz w:val="22"/>
          <w:szCs w:val="22"/>
        </w:rPr>
        <w:t xml:space="preserve">ntidad </w:t>
      </w:r>
      <w:r w:rsidR="00A26644">
        <w:rPr>
          <w:rFonts w:ascii="Arial" w:eastAsia="Calibri" w:hAnsi="Arial" w:cs="Arial"/>
          <w:sz w:val="22"/>
          <w:szCs w:val="22"/>
        </w:rPr>
        <w:t>T</w:t>
      </w:r>
      <w:r w:rsidRPr="0044100E">
        <w:rPr>
          <w:rFonts w:ascii="Arial" w:eastAsia="Calibri" w:hAnsi="Arial" w:cs="Arial"/>
          <w:sz w:val="22"/>
          <w:szCs w:val="22"/>
        </w:rPr>
        <w:t xml:space="preserve">erritorial, se comprometieron por este mismo concepto </w:t>
      </w:r>
      <w:r w:rsidR="006F1BA4">
        <w:rPr>
          <w:rFonts w:ascii="Arial" w:eastAsia="Calibri" w:hAnsi="Arial" w:cs="Arial"/>
          <w:sz w:val="22"/>
          <w:szCs w:val="22"/>
        </w:rPr>
        <w:t>$</w:t>
      </w:r>
      <w:r w:rsidRPr="0044100E">
        <w:rPr>
          <w:rFonts w:ascii="Arial" w:eastAsia="Calibri" w:hAnsi="Arial" w:cs="Arial"/>
          <w:sz w:val="22"/>
          <w:szCs w:val="22"/>
        </w:rPr>
        <w:t>1.207 millones de los cuales se pagó el 100%. Dicha diferencia será objeto de análisis en el marco del reconocimiento institucional. Así mismo</w:t>
      </w:r>
      <w:r w:rsidR="00984BD2" w:rsidRPr="0044100E">
        <w:rPr>
          <w:rFonts w:ascii="Arial" w:eastAsia="Calibri" w:hAnsi="Arial" w:cs="Arial"/>
          <w:sz w:val="22"/>
          <w:szCs w:val="22"/>
        </w:rPr>
        <w:t>,</w:t>
      </w:r>
      <w:r w:rsidRPr="0044100E">
        <w:rPr>
          <w:rFonts w:ascii="Arial" w:eastAsia="Calibri" w:hAnsi="Arial" w:cs="Arial"/>
          <w:sz w:val="22"/>
          <w:szCs w:val="22"/>
        </w:rPr>
        <w:t xml:space="preserve"> con corte a junio de la vigencia 2021 se evidencia que la entidad territorial ha comprometido y pagado </w:t>
      </w:r>
      <w:r w:rsidR="006F1BA4">
        <w:rPr>
          <w:rFonts w:ascii="Arial" w:eastAsia="Calibri" w:hAnsi="Arial" w:cs="Arial"/>
          <w:sz w:val="22"/>
          <w:szCs w:val="22"/>
        </w:rPr>
        <w:t>$</w:t>
      </w:r>
      <w:r w:rsidRPr="0044100E">
        <w:rPr>
          <w:rFonts w:ascii="Arial" w:eastAsia="Calibri" w:hAnsi="Arial" w:cs="Arial"/>
          <w:sz w:val="22"/>
          <w:szCs w:val="22"/>
        </w:rPr>
        <w:t>983 millones por concepto de esfuerzo propio, valor que corresponde al 74% respecto al monto estimado por el Ministerio de Salud y Protección Social.</w:t>
      </w:r>
    </w:p>
    <w:p w14:paraId="099DB440" w14:textId="77777777" w:rsidR="00643CE2" w:rsidRPr="0044100E" w:rsidRDefault="00643CE2" w:rsidP="00643CE2">
      <w:pPr>
        <w:jc w:val="both"/>
        <w:rPr>
          <w:rFonts w:ascii="Arial" w:eastAsia="Calibri" w:hAnsi="Arial" w:cs="Arial"/>
          <w:sz w:val="22"/>
          <w:szCs w:val="22"/>
        </w:rPr>
      </w:pPr>
    </w:p>
    <w:p w14:paraId="0218B3A3" w14:textId="187F3D3E" w:rsidR="00643CE2" w:rsidRPr="0044100E" w:rsidRDefault="00643CE2" w:rsidP="00643CE2">
      <w:pPr>
        <w:jc w:val="both"/>
        <w:rPr>
          <w:rFonts w:ascii="Arial" w:eastAsia="Calibri" w:hAnsi="Arial" w:cs="Arial"/>
          <w:sz w:val="22"/>
          <w:szCs w:val="22"/>
        </w:rPr>
      </w:pPr>
      <w:r w:rsidRPr="0044100E">
        <w:rPr>
          <w:rFonts w:ascii="Arial" w:eastAsia="Calibri" w:hAnsi="Arial" w:cs="Arial"/>
          <w:sz w:val="22"/>
          <w:szCs w:val="22"/>
        </w:rPr>
        <w:t xml:space="preserve">De otro lado, la </w:t>
      </w:r>
      <w:r w:rsidR="00A26644">
        <w:rPr>
          <w:rFonts w:ascii="Arial" w:eastAsia="Calibri" w:hAnsi="Arial" w:cs="Arial"/>
          <w:sz w:val="22"/>
          <w:szCs w:val="22"/>
        </w:rPr>
        <w:t>E</w:t>
      </w:r>
      <w:r w:rsidRPr="0044100E">
        <w:rPr>
          <w:rFonts w:ascii="Arial" w:eastAsia="Calibri" w:hAnsi="Arial" w:cs="Arial"/>
          <w:sz w:val="22"/>
          <w:szCs w:val="22"/>
        </w:rPr>
        <w:t xml:space="preserve">ntidad </w:t>
      </w:r>
      <w:r w:rsidR="00A26644">
        <w:rPr>
          <w:rFonts w:ascii="Arial" w:eastAsia="Calibri" w:hAnsi="Arial" w:cs="Arial"/>
          <w:sz w:val="22"/>
          <w:szCs w:val="22"/>
        </w:rPr>
        <w:t>T</w:t>
      </w:r>
      <w:r w:rsidRPr="0044100E">
        <w:rPr>
          <w:rFonts w:ascii="Arial" w:eastAsia="Calibri" w:hAnsi="Arial" w:cs="Arial"/>
          <w:sz w:val="22"/>
          <w:szCs w:val="22"/>
        </w:rPr>
        <w:t>erritorial aporta 17 actos administrativos para la vigencia 2020, de los cuales 16 corresponden al mes de septiembre y 1 al mes de octubre, donde se evidencia</w:t>
      </w:r>
      <w:r w:rsidR="00984BD2" w:rsidRPr="0044100E">
        <w:rPr>
          <w:rFonts w:ascii="Arial" w:eastAsia="Calibri" w:hAnsi="Arial" w:cs="Arial"/>
          <w:sz w:val="22"/>
          <w:szCs w:val="22"/>
        </w:rPr>
        <w:t>n</w:t>
      </w:r>
      <w:r w:rsidRPr="0044100E">
        <w:rPr>
          <w:rFonts w:ascii="Arial" w:eastAsia="Calibri" w:hAnsi="Arial" w:cs="Arial"/>
          <w:sz w:val="22"/>
          <w:szCs w:val="22"/>
        </w:rPr>
        <w:t xml:space="preserve"> los giros a las EPS y Municipios de su jurisdicción</w:t>
      </w:r>
      <w:r w:rsidR="00984BD2" w:rsidRPr="0044100E">
        <w:rPr>
          <w:rFonts w:ascii="Arial" w:eastAsia="Calibri" w:hAnsi="Arial" w:cs="Arial"/>
          <w:sz w:val="22"/>
          <w:szCs w:val="22"/>
        </w:rPr>
        <w:t>,</w:t>
      </w:r>
      <w:r w:rsidR="001846CC" w:rsidRPr="0044100E">
        <w:rPr>
          <w:rFonts w:ascii="Arial" w:eastAsia="Calibri" w:hAnsi="Arial" w:cs="Arial"/>
          <w:sz w:val="22"/>
          <w:szCs w:val="22"/>
        </w:rPr>
        <w:t xml:space="preserve"> </w:t>
      </w:r>
      <w:r w:rsidR="00984BD2" w:rsidRPr="0044100E">
        <w:rPr>
          <w:rFonts w:ascii="Arial" w:eastAsia="Calibri" w:hAnsi="Arial" w:cs="Arial"/>
          <w:sz w:val="22"/>
          <w:szCs w:val="22"/>
        </w:rPr>
        <w:t>s</w:t>
      </w:r>
      <w:r w:rsidRPr="0044100E">
        <w:rPr>
          <w:rFonts w:ascii="Arial" w:eastAsia="Calibri" w:hAnsi="Arial" w:cs="Arial"/>
          <w:sz w:val="22"/>
          <w:szCs w:val="22"/>
        </w:rPr>
        <w:t xml:space="preserve">ituación que en todo caso contraviene lo previsto en el artículo 2.3.2.2.9 del </w:t>
      </w:r>
      <w:r w:rsidR="00A26644">
        <w:rPr>
          <w:rFonts w:ascii="Arial" w:eastAsia="Calibri" w:hAnsi="Arial" w:cs="Arial"/>
          <w:sz w:val="22"/>
          <w:szCs w:val="22"/>
        </w:rPr>
        <w:t>D</w:t>
      </w:r>
      <w:r w:rsidRPr="0044100E">
        <w:rPr>
          <w:rFonts w:ascii="Arial" w:eastAsia="Calibri" w:hAnsi="Arial" w:cs="Arial"/>
          <w:sz w:val="22"/>
          <w:szCs w:val="22"/>
        </w:rPr>
        <w:t>ecreto 780 de 2016 respecto al plazo establecido para el giro de los recursos de esfuerzo propio a las EPS y a los municipios para la financiación del Régimen Subsidiado.</w:t>
      </w:r>
    </w:p>
    <w:p w14:paraId="08B02EC6" w14:textId="77777777" w:rsidR="00643CE2" w:rsidRPr="0044100E" w:rsidRDefault="00643CE2" w:rsidP="00643CE2">
      <w:pPr>
        <w:jc w:val="both"/>
        <w:rPr>
          <w:rFonts w:ascii="Arial" w:hAnsi="Arial" w:cs="Arial"/>
          <w:sz w:val="22"/>
          <w:szCs w:val="22"/>
        </w:rPr>
      </w:pPr>
    </w:p>
    <w:p w14:paraId="69FF26C0" w14:textId="1650A3E9" w:rsidR="00643CE2" w:rsidRPr="0044100E" w:rsidRDefault="00643CE2" w:rsidP="00643CE2">
      <w:pPr>
        <w:jc w:val="both"/>
        <w:rPr>
          <w:rFonts w:ascii="Arial" w:hAnsi="Arial" w:cs="Arial"/>
          <w:color w:val="000000" w:themeColor="text1"/>
          <w:sz w:val="22"/>
          <w:szCs w:val="22"/>
        </w:rPr>
      </w:pPr>
      <w:r w:rsidRPr="0044100E">
        <w:rPr>
          <w:rFonts w:ascii="Arial" w:hAnsi="Arial" w:cs="Arial"/>
          <w:color w:val="000000" w:themeColor="text1"/>
          <w:sz w:val="22"/>
          <w:szCs w:val="22"/>
        </w:rPr>
        <w:t xml:space="preserve">De otro lado, frente a seguimiento y control al Régimen Subsidiado el </w:t>
      </w:r>
      <w:r w:rsidR="00A26644">
        <w:rPr>
          <w:rFonts w:ascii="Arial" w:hAnsi="Arial" w:cs="Arial"/>
          <w:color w:val="000000" w:themeColor="text1"/>
          <w:sz w:val="22"/>
          <w:szCs w:val="22"/>
        </w:rPr>
        <w:t>D</w:t>
      </w:r>
      <w:r w:rsidRPr="0044100E">
        <w:rPr>
          <w:rFonts w:ascii="Arial" w:hAnsi="Arial" w:cs="Arial"/>
          <w:color w:val="000000" w:themeColor="text1"/>
          <w:sz w:val="22"/>
          <w:szCs w:val="22"/>
        </w:rPr>
        <w:t xml:space="preserve">epartamento remitió dos informes ejecutivos donde detalla las auditorías realizadas a las EPS que operan en el territorio; Nueva EPS </w:t>
      </w:r>
      <w:r w:rsidR="00984BD2" w:rsidRPr="0044100E">
        <w:rPr>
          <w:rFonts w:ascii="Arial" w:hAnsi="Arial" w:cs="Arial"/>
          <w:color w:val="000000" w:themeColor="text1"/>
          <w:sz w:val="22"/>
          <w:szCs w:val="22"/>
        </w:rPr>
        <w:t xml:space="preserve">es </w:t>
      </w:r>
      <w:r w:rsidRPr="0044100E">
        <w:rPr>
          <w:rFonts w:ascii="Arial" w:hAnsi="Arial" w:cs="Arial"/>
          <w:color w:val="000000" w:themeColor="text1"/>
          <w:sz w:val="22"/>
          <w:szCs w:val="22"/>
        </w:rPr>
        <w:t xml:space="preserve">la cual es la única que opera en todo el </w:t>
      </w:r>
      <w:r w:rsidR="00A26644">
        <w:rPr>
          <w:rFonts w:ascii="Arial" w:hAnsi="Arial" w:cs="Arial"/>
          <w:color w:val="000000" w:themeColor="text1"/>
          <w:sz w:val="22"/>
          <w:szCs w:val="22"/>
        </w:rPr>
        <w:t>D</w:t>
      </w:r>
      <w:r w:rsidRPr="0044100E">
        <w:rPr>
          <w:rFonts w:ascii="Arial" w:hAnsi="Arial" w:cs="Arial"/>
          <w:color w:val="000000" w:themeColor="text1"/>
          <w:sz w:val="22"/>
          <w:szCs w:val="22"/>
        </w:rPr>
        <w:t>epartamento de Vaupés,</w:t>
      </w:r>
      <w:r w:rsidR="001846CC" w:rsidRPr="0044100E">
        <w:rPr>
          <w:rFonts w:ascii="Arial" w:hAnsi="Arial" w:cs="Arial"/>
          <w:color w:val="000000" w:themeColor="text1"/>
          <w:sz w:val="22"/>
          <w:szCs w:val="22"/>
        </w:rPr>
        <w:t xml:space="preserve"> </w:t>
      </w:r>
      <w:r w:rsidR="00984BD2" w:rsidRPr="0044100E">
        <w:rPr>
          <w:rFonts w:ascii="Arial" w:hAnsi="Arial" w:cs="Arial"/>
          <w:color w:val="000000" w:themeColor="text1"/>
          <w:sz w:val="22"/>
          <w:szCs w:val="22"/>
        </w:rPr>
        <w:t xml:space="preserve">en tanto </w:t>
      </w:r>
      <w:r w:rsidR="001846CC" w:rsidRPr="0044100E">
        <w:rPr>
          <w:rFonts w:ascii="Arial" w:hAnsi="Arial" w:cs="Arial"/>
          <w:color w:val="000000" w:themeColor="text1"/>
          <w:sz w:val="22"/>
          <w:szCs w:val="22"/>
        </w:rPr>
        <w:t xml:space="preserve">que </w:t>
      </w:r>
      <w:r w:rsidRPr="0044100E">
        <w:rPr>
          <w:rFonts w:ascii="Arial" w:hAnsi="Arial" w:cs="Arial"/>
          <w:color w:val="000000" w:themeColor="text1"/>
          <w:sz w:val="22"/>
          <w:szCs w:val="22"/>
        </w:rPr>
        <w:t xml:space="preserve">Medimás EPS y EPSI MALLAMAS </w:t>
      </w:r>
      <w:r w:rsidR="00984BD2" w:rsidRPr="0044100E">
        <w:rPr>
          <w:rFonts w:ascii="Arial" w:hAnsi="Arial" w:cs="Arial"/>
          <w:color w:val="000000" w:themeColor="text1"/>
          <w:sz w:val="22"/>
          <w:szCs w:val="22"/>
        </w:rPr>
        <w:t xml:space="preserve">concentran su operación </w:t>
      </w:r>
      <w:r w:rsidRPr="0044100E">
        <w:rPr>
          <w:rFonts w:ascii="Arial" w:hAnsi="Arial" w:cs="Arial"/>
          <w:color w:val="000000" w:themeColor="text1"/>
          <w:sz w:val="22"/>
          <w:szCs w:val="22"/>
        </w:rPr>
        <w:t>únicamente en el municipio de Mitú. Los hallazgos encontrados por el Departamento son:</w:t>
      </w:r>
    </w:p>
    <w:p w14:paraId="7C7E9181" w14:textId="77777777" w:rsidR="00643CE2" w:rsidRPr="0044100E" w:rsidRDefault="00643CE2" w:rsidP="00643CE2">
      <w:pPr>
        <w:pStyle w:val="Prrafodelista"/>
        <w:ind w:left="1070"/>
        <w:jc w:val="both"/>
        <w:rPr>
          <w:rFonts w:ascii="Arial" w:hAnsi="Arial" w:cs="Arial"/>
          <w:color w:val="000000" w:themeColor="text1"/>
          <w:sz w:val="22"/>
          <w:szCs w:val="22"/>
        </w:rPr>
      </w:pPr>
    </w:p>
    <w:p w14:paraId="1EA1018B" w14:textId="58280B43" w:rsidR="00643CE2" w:rsidRPr="0044100E" w:rsidRDefault="00643CE2" w:rsidP="00643CE2">
      <w:pPr>
        <w:jc w:val="both"/>
        <w:rPr>
          <w:rFonts w:ascii="Arial" w:hAnsi="Arial" w:cs="Arial"/>
          <w:color w:val="000000" w:themeColor="text1"/>
          <w:sz w:val="22"/>
          <w:szCs w:val="22"/>
        </w:rPr>
      </w:pPr>
      <w:r w:rsidRPr="0044100E">
        <w:rPr>
          <w:rFonts w:ascii="Arial" w:hAnsi="Arial" w:cs="Arial"/>
          <w:color w:val="000000" w:themeColor="text1"/>
          <w:sz w:val="22"/>
          <w:szCs w:val="22"/>
        </w:rPr>
        <w:t>La NUEVA EPS:</w:t>
      </w:r>
    </w:p>
    <w:p w14:paraId="21C4F8C1" w14:textId="77777777" w:rsidR="00643CE2" w:rsidRPr="0044100E" w:rsidRDefault="00643CE2" w:rsidP="00643CE2">
      <w:pPr>
        <w:pStyle w:val="Prrafodelista"/>
        <w:ind w:left="1070"/>
        <w:jc w:val="both"/>
        <w:rPr>
          <w:rFonts w:ascii="Arial" w:hAnsi="Arial" w:cs="Arial"/>
          <w:b/>
          <w:bCs/>
          <w:color w:val="000000" w:themeColor="text1"/>
          <w:sz w:val="22"/>
          <w:szCs w:val="22"/>
        </w:rPr>
      </w:pPr>
    </w:p>
    <w:p w14:paraId="1C87D3FD" w14:textId="3BBD26CA" w:rsidR="00643CE2" w:rsidRPr="0044100E" w:rsidRDefault="00643CE2" w:rsidP="00643CE2">
      <w:pPr>
        <w:pStyle w:val="Prrafodelista"/>
        <w:numPr>
          <w:ilvl w:val="0"/>
          <w:numId w:val="24"/>
        </w:numPr>
        <w:jc w:val="both"/>
        <w:rPr>
          <w:rFonts w:ascii="Arial" w:hAnsi="Arial" w:cs="Arial"/>
          <w:b/>
          <w:bCs/>
          <w:color w:val="000000" w:themeColor="text1"/>
          <w:sz w:val="22"/>
          <w:szCs w:val="22"/>
        </w:rPr>
      </w:pPr>
      <w:r w:rsidRPr="0044100E">
        <w:rPr>
          <w:rFonts w:ascii="Arial" w:hAnsi="Arial" w:cs="Arial"/>
          <w:color w:val="000000" w:themeColor="text1"/>
          <w:sz w:val="22"/>
          <w:szCs w:val="22"/>
        </w:rPr>
        <w:t>No cumple con las coberturas de vacunación de influenza por encima de 95% de su población afiliada en riesgo respiratorio Agudo Grave-IRAG, debido a que no soport</w:t>
      </w:r>
      <w:r w:rsidR="00A26644">
        <w:rPr>
          <w:rFonts w:ascii="Arial" w:hAnsi="Arial" w:cs="Arial"/>
          <w:color w:val="000000" w:themeColor="text1"/>
          <w:sz w:val="22"/>
          <w:szCs w:val="22"/>
        </w:rPr>
        <w:t>ó</w:t>
      </w:r>
      <w:r w:rsidRPr="0044100E">
        <w:rPr>
          <w:rFonts w:ascii="Arial" w:hAnsi="Arial" w:cs="Arial"/>
          <w:color w:val="000000" w:themeColor="text1"/>
          <w:sz w:val="22"/>
          <w:szCs w:val="22"/>
        </w:rPr>
        <w:t xml:space="preserve"> base de datos o listado de prevalencia de su población afiliada a régimen contributivo y régimen subsidiado de IRAG vacunado en segundo semestre de la vigencia 2020.</w:t>
      </w:r>
    </w:p>
    <w:p w14:paraId="21DC5C84" w14:textId="77777777" w:rsidR="00643CE2" w:rsidRPr="0044100E" w:rsidRDefault="00643CE2" w:rsidP="00643CE2">
      <w:pPr>
        <w:pStyle w:val="Prrafodelista"/>
        <w:numPr>
          <w:ilvl w:val="0"/>
          <w:numId w:val="24"/>
        </w:numPr>
        <w:jc w:val="both"/>
        <w:rPr>
          <w:rFonts w:ascii="Arial" w:hAnsi="Arial" w:cs="Arial"/>
          <w:b/>
          <w:bCs/>
          <w:color w:val="000000" w:themeColor="text1"/>
          <w:sz w:val="22"/>
          <w:szCs w:val="22"/>
        </w:rPr>
      </w:pPr>
      <w:r w:rsidRPr="0044100E">
        <w:rPr>
          <w:rFonts w:ascii="Arial" w:hAnsi="Arial" w:cs="Arial"/>
          <w:color w:val="000000" w:themeColor="text1"/>
          <w:sz w:val="22"/>
          <w:szCs w:val="22"/>
        </w:rPr>
        <w:t>La EPS no garantiza la conformación de equipos multidisciplinarios en salud en sus redes de acuerdo con lo establecido por el MSPS, debido a que las actas de negación con la ESE Hospital San Antonio para la contratación de dichos equipos multidisciplinarios no corresponden al primer corte del año 2020.</w:t>
      </w:r>
    </w:p>
    <w:p w14:paraId="1DD5F1FF" w14:textId="77777777" w:rsidR="00643CE2" w:rsidRPr="0044100E" w:rsidRDefault="00643CE2" w:rsidP="00643CE2">
      <w:pPr>
        <w:pStyle w:val="Prrafodelista"/>
        <w:numPr>
          <w:ilvl w:val="0"/>
          <w:numId w:val="24"/>
        </w:numPr>
        <w:jc w:val="both"/>
        <w:rPr>
          <w:rFonts w:ascii="Arial" w:hAnsi="Arial" w:cs="Arial"/>
          <w:b/>
          <w:bCs/>
          <w:color w:val="000000" w:themeColor="text1"/>
          <w:sz w:val="22"/>
          <w:szCs w:val="22"/>
        </w:rPr>
      </w:pPr>
      <w:r w:rsidRPr="0044100E">
        <w:rPr>
          <w:rFonts w:ascii="Arial" w:hAnsi="Arial" w:cs="Arial"/>
          <w:color w:val="000000" w:themeColor="text1"/>
          <w:sz w:val="22"/>
          <w:szCs w:val="22"/>
        </w:rPr>
        <w:t>La EPS, no cumple con garantizar la atención domiciliaria de la población en aislamiento preventivo por efectos del COVID-19, debido que se realizó una muestra aleatoria de verificación telefónica a 106 usuarios de 508 donde se destaca que, no fue posible la comunicación con setenta y dos (72), resultados negativos con seguimiento cuatro (4) y resultados negativos con visita domiciliaria tres (3).</w:t>
      </w:r>
    </w:p>
    <w:p w14:paraId="33B18666" w14:textId="374D763A" w:rsidR="00643CE2" w:rsidRPr="0044100E" w:rsidRDefault="00643CE2" w:rsidP="00643CE2">
      <w:pPr>
        <w:pStyle w:val="Prrafodelista"/>
        <w:numPr>
          <w:ilvl w:val="0"/>
          <w:numId w:val="24"/>
        </w:numPr>
        <w:jc w:val="both"/>
        <w:rPr>
          <w:rFonts w:ascii="Arial" w:hAnsi="Arial" w:cs="Arial"/>
          <w:b/>
          <w:bCs/>
          <w:color w:val="000000" w:themeColor="text1"/>
          <w:sz w:val="22"/>
          <w:szCs w:val="22"/>
        </w:rPr>
      </w:pPr>
      <w:r w:rsidRPr="0044100E">
        <w:rPr>
          <w:rFonts w:ascii="Arial" w:hAnsi="Arial" w:cs="Arial"/>
          <w:color w:val="000000" w:themeColor="text1"/>
          <w:sz w:val="22"/>
          <w:szCs w:val="22"/>
        </w:rPr>
        <w:t xml:space="preserve">La EPS no cumple en garantizar la entrega de los medicamentos prescritos en aislamiento preventivo obligatorio por COVID-19, debido que, de las 55 personas que la EPS remitió en la base de datos, el </w:t>
      </w:r>
      <w:r w:rsidR="00A26644">
        <w:rPr>
          <w:rFonts w:ascii="Arial" w:hAnsi="Arial" w:cs="Arial"/>
          <w:color w:val="000000" w:themeColor="text1"/>
          <w:sz w:val="22"/>
          <w:szCs w:val="22"/>
        </w:rPr>
        <w:t>D</w:t>
      </w:r>
      <w:r w:rsidRPr="0044100E">
        <w:rPr>
          <w:rFonts w:ascii="Arial" w:hAnsi="Arial" w:cs="Arial"/>
          <w:color w:val="000000" w:themeColor="text1"/>
          <w:sz w:val="22"/>
          <w:szCs w:val="22"/>
        </w:rPr>
        <w:t xml:space="preserve">epartamento realizando un </w:t>
      </w:r>
      <w:r w:rsidRPr="0044100E">
        <w:rPr>
          <w:rFonts w:ascii="Arial" w:hAnsi="Arial" w:cs="Arial"/>
          <w:color w:val="000000" w:themeColor="text1"/>
          <w:sz w:val="22"/>
          <w:szCs w:val="22"/>
        </w:rPr>
        <w:lastRenderedPageBreak/>
        <w:t>seguimiento telefónico obtuvo los siguientes resultados; de los 55 usuarios</w:t>
      </w:r>
      <w:r w:rsidR="009C7544">
        <w:rPr>
          <w:rFonts w:ascii="Arial" w:hAnsi="Arial" w:cs="Arial"/>
          <w:color w:val="000000" w:themeColor="text1"/>
          <w:sz w:val="22"/>
          <w:szCs w:val="22"/>
        </w:rPr>
        <w:t xml:space="preserve"> </w:t>
      </w:r>
      <w:r w:rsidRPr="0044100E">
        <w:rPr>
          <w:rFonts w:ascii="Arial" w:hAnsi="Arial" w:cs="Arial"/>
          <w:color w:val="000000" w:themeColor="text1"/>
          <w:sz w:val="22"/>
          <w:szCs w:val="22"/>
        </w:rPr>
        <w:t>no se pudieron comunicar con 28 personas</w:t>
      </w:r>
      <w:r w:rsidR="009C7544">
        <w:rPr>
          <w:rFonts w:ascii="Arial" w:hAnsi="Arial" w:cs="Arial"/>
          <w:color w:val="000000" w:themeColor="text1"/>
          <w:sz w:val="22"/>
          <w:szCs w:val="22"/>
        </w:rPr>
        <w:t xml:space="preserve"> </w:t>
      </w:r>
      <w:r w:rsidRPr="0044100E">
        <w:rPr>
          <w:rFonts w:ascii="Arial" w:hAnsi="Arial" w:cs="Arial"/>
          <w:color w:val="000000" w:themeColor="text1"/>
          <w:sz w:val="22"/>
          <w:szCs w:val="22"/>
        </w:rPr>
        <w:t>casi el 50%,</w:t>
      </w:r>
      <w:r w:rsidR="00A26644">
        <w:rPr>
          <w:rFonts w:ascii="Arial" w:hAnsi="Arial" w:cs="Arial"/>
          <w:color w:val="000000" w:themeColor="text1"/>
          <w:sz w:val="22"/>
          <w:szCs w:val="22"/>
        </w:rPr>
        <w:t xml:space="preserve"> </w:t>
      </w:r>
      <w:r w:rsidRPr="0044100E">
        <w:rPr>
          <w:rFonts w:ascii="Arial" w:hAnsi="Arial" w:cs="Arial"/>
          <w:color w:val="000000" w:themeColor="text1"/>
          <w:sz w:val="22"/>
          <w:szCs w:val="22"/>
        </w:rPr>
        <w:t>Medicamentos a domicilio a 17 usuarios corresponde al 30.35%, 1 fallecido y los medicamentos no los llevaron a 10 personas las cuales corresponden al 17.85%.</w:t>
      </w:r>
    </w:p>
    <w:p w14:paraId="3C7DCAD3" w14:textId="1F3B1019" w:rsidR="00643CE2" w:rsidRPr="0044100E" w:rsidRDefault="00643CE2" w:rsidP="00643CE2">
      <w:pPr>
        <w:pStyle w:val="Prrafodelista"/>
        <w:numPr>
          <w:ilvl w:val="0"/>
          <w:numId w:val="24"/>
        </w:numPr>
        <w:jc w:val="both"/>
        <w:rPr>
          <w:rFonts w:ascii="Arial" w:hAnsi="Arial" w:cs="Arial"/>
          <w:b/>
          <w:bCs/>
          <w:color w:val="000000" w:themeColor="text1"/>
          <w:sz w:val="22"/>
          <w:szCs w:val="22"/>
        </w:rPr>
      </w:pPr>
      <w:r w:rsidRPr="0044100E">
        <w:rPr>
          <w:rFonts w:ascii="Arial" w:hAnsi="Arial" w:cs="Arial"/>
          <w:color w:val="000000" w:themeColor="text1"/>
          <w:sz w:val="22"/>
          <w:szCs w:val="22"/>
        </w:rPr>
        <w:t xml:space="preserve">La EPS no garantiza que su red de prestadores realice la toma de muestras el procesamiento interno para la IRA y las correspondientes medidas de </w:t>
      </w:r>
      <w:r w:rsidR="0012296B" w:rsidRPr="0044100E">
        <w:rPr>
          <w:rFonts w:ascii="Arial" w:hAnsi="Arial" w:cs="Arial"/>
          <w:color w:val="000000" w:themeColor="text1"/>
          <w:sz w:val="22"/>
          <w:szCs w:val="22"/>
        </w:rPr>
        <w:t>aislamiento</w:t>
      </w:r>
      <w:r w:rsidRPr="0044100E">
        <w:rPr>
          <w:rFonts w:ascii="Arial" w:hAnsi="Arial" w:cs="Arial"/>
          <w:color w:val="000000" w:themeColor="text1"/>
          <w:sz w:val="22"/>
          <w:szCs w:val="22"/>
        </w:rPr>
        <w:t xml:space="preserve"> y tratamiento de acuerdo </w:t>
      </w:r>
      <w:r w:rsidR="00A26644">
        <w:rPr>
          <w:rFonts w:ascii="Arial" w:hAnsi="Arial" w:cs="Arial"/>
          <w:color w:val="000000" w:themeColor="text1"/>
          <w:sz w:val="22"/>
          <w:szCs w:val="22"/>
        </w:rPr>
        <w:t>con</w:t>
      </w:r>
      <w:r w:rsidRPr="0044100E">
        <w:rPr>
          <w:rFonts w:ascii="Arial" w:hAnsi="Arial" w:cs="Arial"/>
          <w:color w:val="000000" w:themeColor="text1"/>
          <w:sz w:val="22"/>
          <w:szCs w:val="22"/>
        </w:rPr>
        <w:t xml:space="preserve"> los lineamientos del MSPS, debido a que la EPS envió actas de negociación con el Hospital San Antonio de Fecha de 07 de julio y agosto, pero estas no corresponden a el primer semestre del año 2020.</w:t>
      </w:r>
    </w:p>
    <w:p w14:paraId="40DADD57" w14:textId="77777777" w:rsidR="00643CE2" w:rsidRPr="0044100E" w:rsidRDefault="00643CE2" w:rsidP="00643CE2">
      <w:pPr>
        <w:pStyle w:val="Prrafodelista"/>
        <w:numPr>
          <w:ilvl w:val="0"/>
          <w:numId w:val="24"/>
        </w:numPr>
        <w:jc w:val="both"/>
        <w:rPr>
          <w:rFonts w:ascii="Arial" w:hAnsi="Arial" w:cs="Arial"/>
          <w:b/>
          <w:bCs/>
          <w:color w:val="000000" w:themeColor="text1"/>
          <w:sz w:val="22"/>
          <w:szCs w:val="22"/>
        </w:rPr>
      </w:pPr>
      <w:r w:rsidRPr="0044100E">
        <w:rPr>
          <w:rFonts w:ascii="Arial" w:hAnsi="Arial" w:cs="Arial"/>
          <w:color w:val="000000" w:themeColor="text1"/>
          <w:sz w:val="22"/>
          <w:szCs w:val="22"/>
        </w:rPr>
        <w:t>La EPS no cumple con las coberturas de vacunación de influenza por encima de 95% de su población afiliada en riesgo respiratorio Agudo Grave-IRAG, debido a que remite información que no corresponde a la caracterización de la población afiliada identificada en Alto Riesgo de IRAG a las cuales se les haya realizado la vacunación por influenza.</w:t>
      </w:r>
    </w:p>
    <w:p w14:paraId="276A2088" w14:textId="77777777" w:rsidR="00643CE2" w:rsidRPr="0044100E" w:rsidRDefault="00643CE2" w:rsidP="00643CE2">
      <w:pPr>
        <w:ind w:left="710"/>
        <w:jc w:val="both"/>
        <w:rPr>
          <w:rFonts w:ascii="Arial" w:hAnsi="Arial" w:cs="Arial"/>
          <w:color w:val="000000" w:themeColor="text1"/>
          <w:sz w:val="22"/>
          <w:szCs w:val="22"/>
        </w:rPr>
      </w:pPr>
    </w:p>
    <w:p w14:paraId="2D6ED7A6" w14:textId="53931C8E" w:rsidR="00643CE2" w:rsidRPr="0044100E" w:rsidRDefault="00643CE2" w:rsidP="00643CE2">
      <w:pPr>
        <w:jc w:val="both"/>
        <w:rPr>
          <w:rFonts w:ascii="Arial" w:hAnsi="Arial" w:cs="Arial"/>
          <w:color w:val="000000" w:themeColor="text1"/>
          <w:sz w:val="22"/>
          <w:szCs w:val="22"/>
        </w:rPr>
      </w:pPr>
      <w:r w:rsidRPr="0044100E">
        <w:rPr>
          <w:rFonts w:ascii="Arial" w:hAnsi="Arial" w:cs="Arial"/>
          <w:color w:val="000000" w:themeColor="text1"/>
          <w:sz w:val="22"/>
          <w:szCs w:val="22"/>
        </w:rPr>
        <w:t xml:space="preserve">En </w:t>
      </w:r>
      <w:r w:rsidR="00984BD2" w:rsidRPr="0044100E">
        <w:rPr>
          <w:rFonts w:ascii="Arial" w:hAnsi="Arial" w:cs="Arial"/>
          <w:color w:val="000000" w:themeColor="text1"/>
          <w:sz w:val="22"/>
          <w:szCs w:val="22"/>
        </w:rPr>
        <w:t xml:space="preserve">relación </w:t>
      </w:r>
      <w:r w:rsidR="001708A8">
        <w:rPr>
          <w:rFonts w:ascii="Arial" w:hAnsi="Arial" w:cs="Arial"/>
          <w:color w:val="000000" w:themeColor="text1"/>
          <w:sz w:val="22"/>
          <w:szCs w:val="22"/>
        </w:rPr>
        <w:t>con</w:t>
      </w:r>
      <w:r w:rsidRPr="0044100E">
        <w:rPr>
          <w:rFonts w:ascii="Arial" w:hAnsi="Arial" w:cs="Arial"/>
          <w:color w:val="000000" w:themeColor="text1"/>
          <w:sz w:val="22"/>
          <w:szCs w:val="22"/>
        </w:rPr>
        <w:t xml:space="preserve"> la EPS EPSI MALLAMAS </w:t>
      </w:r>
      <w:r w:rsidR="00984BD2" w:rsidRPr="0044100E">
        <w:rPr>
          <w:rFonts w:ascii="Arial" w:hAnsi="Arial" w:cs="Arial"/>
          <w:color w:val="000000" w:themeColor="text1"/>
          <w:sz w:val="22"/>
          <w:szCs w:val="22"/>
        </w:rPr>
        <w:t>manifiesta:</w:t>
      </w:r>
    </w:p>
    <w:p w14:paraId="1053D7C5" w14:textId="77777777" w:rsidR="00643CE2" w:rsidRPr="0044100E" w:rsidRDefault="00643CE2" w:rsidP="00643CE2">
      <w:pPr>
        <w:ind w:left="710"/>
        <w:jc w:val="both"/>
        <w:rPr>
          <w:rFonts w:ascii="Arial" w:hAnsi="Arial" w:cs="Arial"/>
          <w:b/>
          <w:bCs/>
          <w:color w:val="000000" w:themeColor="text1"/>
          <w:sz w:val="22"/>
          <w:szCs w:val="22"/>
        </w:rPr>
      </w:pPr>
    </w:p>
    <w:p w14:paraId="7B895995" w14:textId="3E0D1477" w:rsidR="00643CE2" w:rsidRPr="0044100E" w:rsidRDefault="00643CE2" w:rsidP="001708A8">
      <w:pPr>
        <w:pStyle w:val="Prrafodelista"/>
        <w:numPr>
          <w:ilvl w:val="0"/>
          <w:numId w:val="36"/>
        </w:numPr>
        <w:jc w:val="both"/>
        <w:rPr>
          <w:rFonts w:ascii="Arial" w:hAnsi="Arial" w:cs="Arial"/>
          <w:b/>
          <w:bCs/>
          <w:color w:val="000000" w:themeColor="text1"/>
          <w:sz w:val="22"/>
          <w:szCs w:val="22"/>
        </w:rPr>
      </w:pPr>
      <w:r w:rsidRPr="0044100E">
        <w:rPr>
          <w:rFonts w:ascii="Arial" w:hAnsi="Arial" w:cs="Arial"/>
          <w:color w:val="000000" w:themeColor="text1"/>
          <w:sz w:val="22"/>
          <w:szCs w:val="22"/>
        </w:rPr>
        <w:t>No acredit</w:t>
      </w:r>
      <w:r w:rsidR="001708A8">
        <w:rPr>
          <w:rFonts w:ascii="Arial" w:hAnsi="Arial" w:cs="Arial"/>
          <w:color w:val="000000" w:themeColor="text1"/>
          <w:sz w:val="22"/>
          <w:szCs w:val="22"/>
        </w:rPr>
        <w:t>ó</w:t>
      </w:r>
      <w:r w:rsidRPr="0044100E">
        <w:rPr>
          <w:rFonts w:ascii="Arial" w:hAnsi="Arial" w:cs="Arial"/>
          <w:color w:val="000000" w:themeColor="text1"/>
          <w:sz w:val="22"/>
          <w:szCs w:val="22"/>
        </w:rPr>
        <w:t xml:space="preserve"> la información requerida mediante el oficio realizado por el </w:t>
      </w:r>
      <w:r w:rsidR="001708A8">
        <w:rPr>
          <w:rFonts w:ascii="Arial" w:hAnsi="Arial" w:cs="Arial"/>
          <w:color w:val="000000" w:themeColor="text1"/>
          <w:sz w:val="22"/>
          <w:szCs w:val="22"/>
        </w:rPr>
        <w:t>D</w:t>
      </w:r>
      <w:r w:rsidRPr="0044100E">
        <w:rPr>
          <w:rFonts w:ascii="Arial" w:hAnsi="Arial" w:cs="Arial"/>
          <w:color w:val="000000" w:themeColor="text1"/>
          <w:sz w:val="22"/>
          <w:szCs w:val="22"/>
        </w:rPr>
        <w:t xml:space="preserve">epartamento con relación a las responsabilidades de la EAPB de garantizar la conformación de equipos multidisciplinarios en Salud en sus redes de prestadores acorde a los lineamientos del MSPS, la verificación del suministro de EPP al talento humano en la red de prestadores para la atención de los pacientes con infección COVID-19 y </w:t>
      </w:r>
      <w:r w:rsidRPr="0044100E">
        <w:rPr>
          <w:rFonts w:ascii="Arial" w:hAnsi="Arial" w:cs="Arial"/>
          <w:color w:val="000000" w:themeColor="text1"/>
          <w:sz w:val="22"/>
          <w:szCs w:val="22"/>
          <w:lang w:val="es-CO"/>
        </w:rPr>
        <w:t>garantizar que su red realice la toma de muestras, el procesamiento interno para el manejo de ira y las correspondientes medidas de alistamiento y tratamiento de acuerdo con los lineamientos del MSPS. Además, la EPS no acredit</w:t>
      </w:r>
      <w:r w:rsidR="001708A8">
        <w:rPr>
          <w:rFonts w:ascii="Arial" w:hAnsi="Arial" w:cs="Arial"/>
          <w:color w:val="000000" w:themeColor="text1"/>
          <w:sz w:val="22"/>
          <w:szCs w:val="22"/>
          <w:lang w:val="es-CO"/>
        </w:rPr>
        <w:t>ó</w:t>
      </w:r>
      <w:r w:rsidRPr="0044100E">
        <w:rPr>
          <w:rFonts w:ascii="Arial" w:hAnsi="Arial" w:cs="Arial"/>
          <w:color w:val="000000" w:themeColor="text1"/>
          <w:sz w:val="22"/>
          <w:szCs w:val="22"/>
          <w:lang w:val="es-CO"/>
        </w:rPr>
        <w:t xml:space="preserve"> el cumplimiento de cobertura de vacunación de influenza por encima del 95% de su población afiliada en IRAG, ya que no soporta base de datos de listado de prevalencia de Patologías Crónicas-HTA y Diabetes de su población afiliada en el régimen contributivo y Régimen Subsidiado en IRAG</w:t>
      </w:r>
    </w:p>
    <w:p w14:paraId="5F3EB219" w14:textId="77777777" w:rsidR="00643CE2" w:rsidRPr="0044100E" w:rsidRDefault="00643CE2" w:rsidP="001708A8">
      <w:pPr>
        <w:pStyle w:val="Prrafodelista"/>
        <w:numPr>
          <w:ilvl w:val="0"/>
          <w:numId w:val="36"/>
        </w:numPr>
        <w:jc w:val="both"/>
        <w:rPr>
          <w:rFonts w:ascii="Arial" w:hAnsi="Arial" w:cs="Arial"/>
          <w:b/>
          <w:bCs/>
          <w:color w:val="000000" w:themeColor="text1"/>
          <w:sz w:val="22"/>
          <w:szCs w:val="22"/>
        </w:rPr>
      </w:pPr>
      <w:r w:rsidRPr="0044100E">
        <w:rPr>
          <w:rFonts w:ascii="Arial" w:hAnsi="Arial" w:cs="Arial"/>
          <w:color w:val="000000" w:themeColor="text1"/>
          <w:sz w:val="22"/>
          <w:szCs w:val="22"/>
          <w:lang w:val="es-CO"/>
        </w:rPr>
        <w:t>No cumple con la remisión de información de las personas con COVID -19 de su población afiliada.</w:t>
      </w:r>
    </w:p>
    <w:p w14:paraId="0343446C" w14:textId="77777777" w:rsidR="00643CE2" w:rsidRPr="0044100E" w:rsidRDefault="00643CE2" w:rsidP="00643CE2">
      <w:pPr>
        <w:pStyle w:val="Prrafodelista"/>
        <w:ind w:left="1070"/>
        <w:jc w:val="both"/>
        <w:rPr>
          <w:rFonts w:ascii="Arial" w:hAnsi="Arial" w:cs="Arial"/>
          <w:b/>
          <w:bCs/>
          <w:color w:val="000000" w:themeColor="text1"/>
          <w:sz w:val="22"/>
          <w:szCs w:val="22"/>
        </w:rPr>
      </w:pPr>
    </w:p>
    <w:p w14:paraId="46A4A6D2" w14:textId="00B04978" w:rsidR="00643CE2" w:rsidRPr="0044100E" w:rsidRDefault="00643CE2" w:rsidP="00643CE2">
      <w:pPr>
        <w:jc w:val="both"/>
        <w:rPr>
          <w:rFonts w:ascii="Arial" w:hAnsi="Arial" w:cs="Arial"/>
          <w:color w:val="000000" w:themeColor="text1"/>
          <w:sz w:val="22"/>
          <w:szCs w:val="22"/>
        </w:rPr>
      </w:pPr>
      <w:r w:rsidRPr="0044100E">
        <w:rPr>
          <w:rFonts w:ascii="Arial" w:hAnsi="Arial" w:cs="Arial"/>
          <w:color w:val="000000" w:themeColor="text1"/>
          <w:sz w:val="22"/>
          <w:szCs w:val="22"/>
        </w:rPr>
        <w:t xml:space="preserve">Por último, </w:t>
      </w:r>
      <w:r w:rsidR="00984BD2" w:rsidRPr="0044100E">
        <w:rPr>
          <w:rFonts w:ascii="Arial" w:hAnsi="Arial" w:cs="Arial"/>
          <w:color w:val="000000" w:themeColor="text1"/>
          <w:sz w:val="22"/>
          <w:szCs w:val="22"/>
        </w:rPr>
        <w:t xml:space="preserve">frente a </w:t>
      </w:r>
      <w:r w:rsidRPr="0044100E">
        <w:rPr>
          <w:rFonts w:ascii="Arial" w:hAnsi="Arial" w:cs="Arial"/>
          <w:color w:val="000000" w:themeColor="text1"/>
          <w:sz w:val="22"/>
          <w:szCs w:val="22"/>
        </w:rPr>
        <w:t xml:space="preserve">la EPS MEDIMAS </w:t>
      </w:r>
      <w:r w:rsidR="001846CC" w:rsidRPr="0044100E">
        <w:rPr>
          <w:rFonts w:ascii="Arial" w:hAnsi="Arial" w:cs="Arial"/>
          <w:color w:val="000000" w:themeColor="text1"/>
          <w:sz w:val="22"/>
          <w:szCs w:val="22"/>
        </w:rPr>
        <w:t>se refirió lo siguiente</w:t>
      </w:r>
      <w:r w:rsidRPr="0044100E">
        <w:rPr>
          <w:rFonts w:ascii="Arial" w:hAnsi="Arial" w:cs="Arial"/>
          <w:color w:val="000000" w:themeColor="text1"/>
          <w:sz w:val="22"/>
          <w:szCs w:val="22"/>
        </w:rPr>
        <w:t>:</w:t>
      </w:r>
    </w:p>
    <w:p w14:paraId="35A099FD" w14:textId="77777777" w:rsidR="00643CE2" w:rsidRPr="0044100E" w:rsidRDefault="00643CE2" w:rsidP="00643CE2">
      <w:pPr>
        <w:pStyle w:val="Prrafodelista"/>
        <w:ind w:left="1070"/>
        <w:jc w:val="both"/>
        <w:rPr>
          <w:rFonts w:ascii="Arial" w:hAnsi="Arial" w:cs="Arial"/>
          <w:color w:val="000000" w:themeColor="text1"/>
          <w:sz w:val="22"/>
          <w:szCs w:val="22"/>
        </w:rPr>
      </w:pPr>
    </w:p>
    <w:p w14:paraId="6D404544" w14:textId="28B286EB" w:rsidR="00643CE2" w:rsidRPr="0044100E" w:rsidRDefault="00643CE2" w:rsidP="001708A8">
      <w:pPr>
        <w:pStyle w:val="Prrafodelista"/>
        <w:numPr>
          <w:ilvl w:val="0"/>
          <w:numId w:val="37"/>
        </w:numPr>
        <w:jc w:val="both"/>
        <w:rPr>
          <w:rFonts w:ascii="Arial" w:hAnsi="Arial" w:cs="Arial"/>
          <w:b/>
          <w:bCs/>
          <w:color w:val="000000" w:themeColor="text1"/>
          <w:sz w:val="22"/>
          <w:szCs w:val="22"/>
        </w:rPr>
      </w:pPr>
      <w:r w:rsidRPr="0044100E">
        <w:rPr>
          <w:rFonts w:ascii="Arial" w:hAnsi="Arial" w:cs="Arial"/>
          <w:color w:val="000000" w:themeColor="text1"/>
          <w:sz w:val="22"/>
          <w:szCs w:val="22"/>
        </w:rPr>
        <w:t xml:space="preserve">La EPS MEDIMAS no cumple con las coberturas de vacunación de influenza por encima de 95% de su población afiliada en riesgo respiratorio Agudo Grave-IRAG, debido a que no soporto base de datos o listado de prevalencia de su población afiliada para el periodo de enero a junio. </w:t>
      </w:r>
      <w:r w:rsidRPr="0044100E">
        <w:rPr>
          <w:rFonts w:ascii="Arial" w:hAnsi="Arial" w:cs="Arial"/>
          <w:color w:val="000000" w:themeColor="text1"/>
          <w:sz w:val="22"/>
          <w:szCs w:val="22"/>
          <w:lang w:val="es-CO"/>
        </w:rPr>
        <w:t>Además, la EPS no acredit</w:t>
      </w:r>
      <w:r w:rsidR="001708A8">
        <w:rPr>
          <w:rFonts w:ascii="Arial" w:hAnsi="Arial" w:cs="Arial"/>
          <w:color w:val="000000" w:themeColor="text1"/>
          <w:sz w:val="22"/>
          <w:szCs w:val="22"/>
          <w:lang w:val="es-CO"/>
        </w:rPr>
        <w:t>ó</w:t>
      </w:r>
      <w:r w:rsidRPr="0044100E">
        <w:rPr>
          <w:rFonts w:ascii="Arial" w:hAnsi="Arial" w:cs="Arial"/>
          <w:color w:val="000000" w:themeColor="text1"/>
          <w:sz w:val="22"/>
          <w:szCs w:val="22"/>
          <w:lang w:val="es-CO"/>
        </w:rPr>
        <w:t xml:space="preserve"> el cumplimiento de cobertura de vacunación de influenza por encima del 95% de su población afiliada en IRAG, ya que no remite información correspondiente al periodo enero a junio de 2020.</w:t>
      </w:r>
    </w:p>
    <w:p w14:paraId="55AE310C" w14:textId="77777777" w:rsidR="00643CE2" w:rsidRPr="0044100E" w:rsidRDefault="00643CE2" w:rsidP="00643CE2">
      <w:pPr>
        <w:pStyle w:val="Prrafodelista"/>
        <w:ind w:left="1070"/>
        <w:jc w:val="both"/>
        <w:rPr>
          <w:rFonts w:ascii="Arial" w:hAnsi="Arial" w:cs="Arial"/>
          <w:b/>
          <w:bCs/>
          <w:color w:val="000000" w:themeColor="text1"/>
          <w:sz w:val="22"/>
          <w:szCs w:val="22"/>
        </w:rPr>
      </w:pPr>
    </w:p>
    <w:p w14:paraId="169C7034" w14:textId="25358297" w:rsidR="00643CE2" w:rsidRPr="0044100E" w:rsidRDefault="00643CE2" w:rsidP="00643CE2">
      <w:pPr>
        <w:jc w:val="both"/>
        <w:rPr>
          <w:rFonts w:ascii="Arial" w:hAnsi="Arial" w:cs="Arial"/>
          <w:color w:val="000000" w:themeColor="text1"/>
          <w:sz w:val="22"/>
          <w:szCs w:val="22"/>
        </w:rPr>
      </w:pPr>
      <w:r w:rsidRPr="0044100E">
        <w:rPr>
          <w:rFonts w:ascii="Arial" w:hAnsi="Arial" w:cs="Arial"/>
          <w:color w:val="000000" w:themeColor="text1"/>
          <w:sz w:val="22"/>
          <w:szCs w:val="22"/>
        </w:rPr>
        <w:t xml:space="preserve">No </w:t>
      </w:r>
      <w:r w:rsidR="00126909" w:rsidRPr="0044100E">
        <w:rPr>
          <w:rFonts w:ascii="Arial" w:hAnsi="Arial" w:cs="Arial"/>
          <w:color w:val="000000" w:themeColor="text1"/>
          <w:sz w:val="22"/>
          <w:szCs w:val="22"/>
        </w:rPr>
        <w:t>obstante,</w:t>
      </w:r>
      <w:r w:rsidR="00984BD2" w:rsidRPr="0044100E">
        <w:rPr>
          <w:rFonts w:ascii="Arial" w:hAnsi="Arial" w:cs="Arial"/>
          <w:color w:val="000000" w:themeColor="text1"/>
          <w:sz w:val="22"/>
          <w:szCs w:val="22"/>
        </w:rPr>
        <w:t xml:space="preserve"> lo expuesto, es preciso conocer las </w:t>
      </w:r>
      <w:r w:rsidRPr="0044100E">
        <w:rPr>
          <w:rFonts w:ascii="Arial" w:hAnsi="Arial" w:cs="Arial"/>
          <w:color w:val="000000" w:themeColor="text1"/>
          <w:sz w:val="22"/>
          <w:szCs w:val="22"/>
        </w:rPr>
        <w:t xml:space="preserve">medidas </w:t>
      </w:r>
      <w:r w:rsidR="00984BD2" w:rsidRPr="0044100E">
        <w:rPr>
          <w:rFonts w:ascii="Arial" w:hAnsi="Arial" w:cs="Arial"/>
          <w:color w:val="000000" w:themeColor="text1"/>
          <w:sz w:val="22"/>
          <w:szCs w:val="22"/>
        </w:rPr>
        <w:t xml:space="preserve">que la </w:t>
      </w:r>
      <w:r w:rsidR="001708A8">
        <w:rPr>
          <w:rFonts w:ascii="Arial" w:hAnsi="Arial" w:cs="Arial"/>
          <w:color w:val="000000" w:themeColor="text1"/>
          <w:sz w:val="22"/>
          <w:szCs w:val="22"/>
        </w:rPr>
        <w:t>E</w:t>
      </w:r>
      <w:r w:rsidR="00984BD2" w:rsidRPr="0044100E">
        <w:rPr>
          <w:rFonts w:ascii="Arial" w:hAnsi="Arial" w:cs="Arial"/>
          <w:color w:val="000000" w:themeColor="text1"/>
          <w:sz w:val="22"/>
          <w:szCs w:val="22"/>
        </w:rPr>
        <w:t xml:space="preserve">ntidad </w:t>
      </w:r>
      <w:r w:rsidR="001708A8">
        <w:rPr>
          <w:rFonts w:ascii="Arial" w:hAnsi="Arial" w:cs="Arial"/>
          <w:color w:val="000000" w:themeColor="text1"/>
          <w:sz w:val="22"/>
          <w:szCs w:val="22"/>
        </w:rPr>
        <w:t>T</w:t>
      </w:r>
      <w:r w:rsidR="00984BD2" w:rsidRPr="0044100E">
        <w:rPr>
          <w:rFonts w:ascii="Arial" w:hAnsi="Arial" w:cs="Arial"/>
          <w:color w:val="000000" w:themeColor="text1"/>
          <w:sz w:val="22"/>
          <w:szCs w:val="22"/>
        </w:rPr>
        <w:t xml:space="preserve">erritorial </w:t>
      </w:r>
      <w:r w:rsidRPr="0044100E">
        <w:rPr>
          <w:rFonts w:ascii="Arial" w:hAnsi="Arial" w:cs="Arial"/>
          <w:color w:val="000000" w:themeColor="text1"/>
          <w:sz w:val="22"/>
          <w:szCs w:val="22"/>
        </w:rPr>
        <w:t xml:space="preserve">está adelantando o implementando para corregir los hallazgos encontrados en los procesos de </w:t>
      </w:r>
      <w:r w:rsidRPr="0044100E">
        <w:rPr>
          <w:rFonts w:ascii="Arial" w:hAnsi="Arial" w:cs="Arial"/>
          <w:color w:val="000000" w:themeColor="text1"/>
          <w:sz w:val="22"/>
          <w:szCs w:val="22"/>
        </w:rPr>
        <w:lastRenderedPageBreak/>
        <w:t>auditoría realizado a las EPS de su territorio</w:t>
      </w:r>
      <w:r w:rsidR="00984BD2" w:rsidRPr="0044100E">
        <w:rPr>
          <w:rFonts w:ascii="Arial" w:hAnsi="Arial" w:cs="Arial"/>
          <w:color w:val="000000" w:themeColor="text1"/>
          <w:sz w:val="22"/>
          <w:szCs w:val="22"/>
        </w:rPr>
        <w:t xml:space="preserve"> en virtud de garantizar cumplimiento en la prestación de servicios y cumplimiento de metas, aspecto que </w:t>
      </w:r>
      <w:r w:rsidRPr="0044100E">
        <w:rPr>
          <w:rFonts w:ascii="Arial" w:hAnsi="Arial" w:cs="Arial"/>
          <w:color w:val="000000" w:themeColor="text1"/>
          <w:sz w:val="22"/>
          <w:szCs w:val="22"/>
        </w:rPr>
        <w:t xml:space="preserve">será tenido en cuenta en el marco del </w:t>
      </w:r>
      <w:r w:rsidR="00984BD2" w:rsidRPr="0044100E">
        <w:rPr>
          <w:rFonts w:ascii="Arial" w:hAnsi="Arial" w:cs="Arial"/>
          <w:color w:val="000000" w:themeColor="text1"/>
          <w:sz w:val="22"/>
          <w:szCs w:val="22"/>
        </w:rPr>
        <w:t>r</w:t>
      </w:r>
      <w:r w:rsidRPr="0044100E">
        <w:rPr>
          <w:rFonts w:ascii="Arial" w:hAnsi="Arial" w:cs="Arial"/>
          <w:color w:val="000000" w:themeColor="text1"/>
          <w:sz w:val="22"/>
          <w:szCs w:val="22"/>
        </w:rPr>
        <w:t>econocimiento que adelantará esta Dirección.</w:t>
      </w:r>
    </w:p>
    <w:p w14:paraId="0A894260" w14:textId="77777777" w:rsidR="00643CE2" w:rsidRPr="0044100E" w:rsidRDefault="00643CE2" w:rsidP="00643CE2">
      <w:pPr>
        <w:jc w:val="both"/>
        <w:rPr>
          <w:rFonts w:ascii="Arial" w:hAnsi="Arial" w:cs="Arial"/>
          <w:sz w:val="22"/>
          <w:szCs w:val="22"/>
        </w:rPr>
      </w:pPr>
    </w:p>
    <w:p w14:paraId="4EC41B4A" w14:textId="77777777" w:rsidR="00643CE2" w:rsidRPr="0044100E" w:rsidRDefault="00643CE2" w:rsidP="00643CE2">
      <w:pPr>
        <w:pStyle w:val="Prrafodelista"/>
        <w:numPr>
          <w:ilvl w:val="0"/>
          <w:numId w:val="22"/>
        </w:numPr>
        <w:jc w:val="both"/>
        <w:rPr>
          <w:rFonts w:ascii="Arial" w:eastAsiaTheme="minorHAnsi" w:hAnsi="Arial" w:cs="Arial"/>
          <w:sz w:val="22"/>
          <w:lang w:val="es-CO" w:eastAsia="en-US"/>
        </w:rPr>
      </w:pPr>
      <w:r w:rsidRPr="0044100E">
        <w:rPr>
          <w:rFonts w:ascii="Arial" w:hAnsi="Arial" w:cs="Arial"/>
          <w:b/>
          <w:sz w:val="22"/>
          <w:szCs w:val="22"/>
        </w:rPr>
        <w:t xml:space="preserve">Prestación </w:t>
      </w:r>
      <w:r w:rsidRPr="0044100E">
        <w:rPr>
          <w:rFonts w:ascii="Arial" w:eastAsiaTheme="minorHAnsi" w:hAnsi="Arial" w:cs="Arial"/>
          <w:b/>
          <w:sz w:val="22"/>
          <w:lang w:val="es-CO" w:eastAsia="en-US"/>
        </w:rPr>
        <w:t>de Servicios</w:t>
      </w:r>
    </w:p>
    <w:p w14:paraId="5457CB7C" w14:textId="77777777" w:rsidR="00643CE2" w:rsidRPr="0044100E" w:rsidRDefault="00643CE2" w:rsidP="00643CE2">
      <w:pPr>
        <w:pStyle w:val="Prrafodelista"/>
        <w:ind w:left="357"/>
        <w:jc w:val="both"/>
        <w:rPr>
          <w:rFonts w:ascii="Arial" w:hAnsi="Arial" w:cs="Arial"/>
          <w:b/>
          <w:sz w:val="22"/>
          <w:szCs w:val="22"/>
        </w:rPr>
      </w:pPr>
    </w:p>
    <w:p w14:paraId="47263993" w14:textId="77777777" w:rsidR="00643CE2" w:rsidRPr="0044100E" w:rsidRDefault="00643CE2" w:rsidP="00643CE2">
      <w:pPr>
        <w:jc w:val="both"/>
        <w:rPr>
          <w:rFonts w:ascii="Arial" w:hAnsi="Arial" w:cs="Arial"/>
          <w:b/>
          <w:sz w:val="22"/>
          <w:szCs w:val="22"/>
        </w:rPr>
      </w:pPr>
      <w:r w:rsidRPr="0044100E">
        <w:rPr>
          <w:rFonts w:ascii="Arial" w:hAnsi="Arial" w:cs="Arial"/>
          <w:b/>
          <w:sz w:val="22"/>
          <w:szCs w:val="22"/>
        </w:rPr>
        <w:t>3.1 Evaluación de la Reorganización de la Red Pública de Prestadores viabilizada por el MSPS</w:t>
      </w:r>
    </w:p>
    <w:p w14:paraId="207B9AF7" w14:textId="77777777" w:rsidR="00643CE2" w:rsidRPr="0044100E" w:rsidRDefault="00643CE2" w:rsidP="00643CE2">
      <w:pPr>
        <w:jc w:val="both"/>
        <w:rPr>
          <w:rFonts w:ascii="Arial" w:eastAsiaTheme="minorHAnsi" w:hAnsi="Arial" w:cs="Arial"/>
          <w:sz w:val="22"/>
          <w:lang w:val="es-CO" w:eastAsia="en-US"/>
        </w:rPr>
      </w:pPr>
    </w:p>
    <w:p w14:paraId="40F4B20C" w14:textId="10825C16" w:rsidR="00643CE2" w:rsidRPr="0044100E" w:rsidRDefault="00643CE2" w:rsidP="00643CE2">
      <w:pPr>
        <w:jc w:val="both"/>
        <w:rPr>
          <w:rFonts w:ascii="Arial" w:eastAsiaTheme="minorHAnsi" w:hAnsi="Arial" w:cs="Arial"/>
          <w:sz w:val="22"/>
          <w:lang w:val="es-CO" w:eastAsia="en-US"/>
        </w:rPr>
      </w:pPr>
      <w:r w:rsidRPr="0044100E">
        <w:rPr>
          <w:rFonts w:ascii="Arial" w:eastAsiaTheme="minorHAnsi" w:hAnsi="Arial" w:cs="Arial"/>
          <w:sz w:val="22"/>
          <w:lang w:val="es-CO" w:eastAsia="en-US"/>
        </w:rPr>
        <w:t xml:space="preserve">Analizado el informe ejecutivo de cumplimiento a la implementación </w:t>
      </w:r>
      <w:r w:rsidR="00984BD2" w:rsidRPr="0044100E">
        <w:rPr>
          <w:rFonts w:ascii="Arial" w:eastAsiaTheme="minorHAnsi" w:hAnsi="Arial" w:cs="Arial"/>
          <w:sz w:val="22"/>
          <w:lang w:val="es-CO" w:eastAsia="en-US"/>
        </w:rPr>
        <w:t xml:space="preserve">de </w:t>
      </w:r>
      <w:r w:rsidRPr="0044100E">
        <w:rPr>
          <w:rFonts w:ascii="Arial" w:eastAsiaTheme="minorHAnsi" w:hAnsi="Arial" w:cs="Arial"/>
          <w:sz w:val="22"/>
          <w:lang w:val="es-CO" w:eastAsia="en-US"/>
        </w:rPr>
        <w:t xml:space="preserve">lo previsto en </w:t>
      </w:r>
      <w:r w:rsidR="00984BD2" w:rsidRPr="0044100E">
        <w:rPr>
          <w:rFonts w:ascii="Arial" w:eastAsia="Calibri" w:hAnsi="Arial" w:cs="Arial"/>
          <w:color w:val="000000"/>
          <w:sz w:val="22"/>
          <w:szCs w:val="22"/>
        </w:rPr>
        <w:t>el documento de Reorganización de la Red Pública de Prestadores viabilizado por el MSPS</w:t>
      </w:r>
      <w:r w:rsidRPr="0044100E">
        <w:rPr>
          <w:rFonts w:ascii="Arial" w:eastAsiaTheme="minorHAnsi" w:hAnsi="Arial" w:cs="Arial"/>
          <w:sz w:val="22"/>
          <w:lang w:val="es-CO" w:eastAsia="en-US"/>
        </w:rPr>
        <w:t xml:space="preserve">, se evidencian dificultades </w:t>
      </w:r>
      <w:r w:rsidR="00984BD2" w:rsidRPr="0044100E">
        <w:rPr>
          <w:rFonts w:ascii="Arial" w:eastAsiaTheme="minorHAnsi" w:hAnsi="Arial" w:cs="Arial"/>
          <w:sz w:val="22"/>
          <w:lang w:val="es-CO" w:eastAsia="en-US"/>
        </w:rPr>
        <w:t xml:space="preserve">asociadas a </w:t>
      </w:r>
      <w:r w:rsidRPr="0044100E">
        <w:rPr>
          <w:rFonts w:ascii="Arial" w:eastAsiaTheme="minorHAnsi" w:hAnsi="Arial" w:cs="Arial"/>
          <w:sz w:val="22"/>
          <w:lang w:val="es-CO" w:eastAsia="en-US"/>
        </w:rPr>
        <w:t xml:space="preserve">particularidades territoriales </w:t>
      </w:r>
      <w:r w:rsidR="00984BD2" w:rsidRPr="0044100E">
        <w:rPr>
          <w:rFonts w:ascii="Arial" w:eastAsiaTheme="minorHAnsi" w:hAnsi="Arial" w:cs="Arial"/>
          <w:sz w:val="22"/>
          <w:lang w:val="es-CO" w:eastAsia="en-US"/>
        </w:rPr>
        <w:t>en</w:t>
      </w:r>
      <w:r w:rsidRPr="0044100E">
        <w:rPr>
          <w:rFonts w:ascii="Arial" w:eastAsiaTheme="minorHAnsi" w:hAnsi="Arial" w:cs="Arial"/>
          <w:sz w:val="22"/>
          <w:lang w:val="es-CO" w:eastAsia="en-US"/>
        </w:rPr>
        <w:t>tre las cu</w:t>
      </w:r>
      <w:r w:rsidR="00984BD2" w:rsidRPr="0044100E">
        <w:rPr>
          <w:rFonts w:ascii="Arial" w:eastAsiaTheme="minorHAnsi" w:hAnsi="Arial" w:cs="Arial"/>
          <w:sz w:val="22"/>
          <w:lang w:val="es-CO" w:eastAsia="en-US"/>
        </w:rPr>
        <w:t>ales cabe destacar:</w:t>
      </w:r>
      <w:r w:rsidR="009C7544">
        <w:rPr>
          <w:rFonts w:ascii="Arial" w:eastAsiaTheme="minorHAnsi" w:hAnsi="Arial" w:cs="Arial"/>
          <w:sz w:val="22"/>
          <w:lang w:val="es-CO" w:eastAsia="en-US"/>
        </w:rPr>
        <w:t xml:space="preserve"> </w:t>
      </w:r>
      <w:r w:rsidRPr="0044100E">
        <w:rPr>
          <w:rFonts w:ascii="Arial" w:eastAsiaTheme="minorHAnsi" w:hAnsi="Arial" w:cs="Arial"/>
          <w:sz w:val="22"/>
          <w:lang w:val="es-CO" w:eastAsia="en-US"/>
        </w:rPr>
        <w:t xml:space="preserve">las precarias vías de acceso terrestres, vías del territorio interconectadas únicamente por </w:t>
      </w:r>
      <w:r w:rsidR="000D6A82" w:rsidRPr="0044100E">
        <w:rPr>
          <w:rFonts w:ascii="Arial" w:eastAsiaTheme="minorHAnsi" w:hAnsi="Arial" w:cs="Arial"/>
          <w:sz w:val="22"/>
          <w:lang w:val="es-CO" w:eastAsia="en-US"/>
        </w:rPr>
        <w:t xml:space="preserve">vía fluvial o aérea, circunstancia que incrementa los costos para la atención integral de los pacientes y que un impacto negativo para que la ESE pueda cubrir los servicios esenciales en las zonas rurales, señalando que el </w:t>
      </w:r>
      <w:r w:rsidRPr="0044100E">
        <w:rPr>
          <w:rFonts w:ascii="Arial" w:eastAsiaTheme="minorHAnsi" w:hAnsi="Arial" w:cs="Arial"/>
          <w:sz w:val="22"/>
          <w:lang w:val="es-CO" w:eastAsia="en-US"/>
        </w:rPr>
        <w:t>costo total de la operación superaría los $8.700 millones</w:t>
      </w:r>
      <w:r w:rsidR="000D6A82" w:rsidRPr="0044100E">
        <w:rPr>
          <w:rFonts w:ascii="Arial" w:eastAsiaTheme="minorHAnsi" w:hAnsi="Arial" w:cs="Arial"/>
          <w:sz w:val="22"/>
          <w:lang w:val="es-CO" w:eastAsia="en-US"/>
        </w:rPr>
        <w:t>, razón por la cual se han elevado solicitudes de concurrencia al Departamento.</w:t>
      </w:r>
      <w:r w:rsidRPr="0044100E">
        <w:rPr>
          <w:rFonts w:ascii="Arial" w:eastAsiaTheme="minorHAnsi" w:hAnsi="Arial" w:cs="Arial"/>
          <w:sz w:val="22"/>
          <w:lang w:val="es-CO" w:eastAsia="en-US"/>
        </w:rPr>
        <w:t>.</w:t>
      </w:r>
    </w:p>
    <w:p w14:paraId="065F58AB" w14:textId="77777777" w:rsidR="00643CE2" w:rsidRPr="0044100E" w:rsidRDefault="00643CE2" w:rsidP="00643CE2">
      <w:pPr>
        <w:jc w:val="both"/>
        <w:rPr>
          <w:rFonts w:ascii="Arial" w:eastAsiaTheme="minorHAnsi" w:hAnsi="Arial" w:cs="Arial"/>
          <w:sz w:val="22"/>
          <w:lang w:val="es-CO" w:eastAsia="en-US"/>
        </w:rPr>
      </w:pPr>
    </w:p>
    <w:p w14:paraId="12D95797" w14:textId="2A5F29B8" w:rsidR="00643CE2" w:rsidRPr="0044100E" w:rsidRDefault="00643CE2" w:rsidP="00643CE2">
      <w:pPr>
        <w:jc w:val="both"/>
        <w:rPr>
          <w:rFonts w:ascii="Arial" w:eastAsiaTheme="minorHAnsi" w:hAnsi="Arial" w:cs="Arial"/>
          <w:sz w:val="22"/>
          <w:lang w:val="es-CO" w:eastAsia="en-US"/>
        </w:rPr>
      </w:pPr>
      <w:r w:rsidRPr="0044100E">
        <w:rPr>
          <w:rFonts w:ascii="Arial" w:eastAsiaTheme="minorHAnsi" w:hAnsi="Arial" w:cs="Arial"/>
          <w:sz w:val="22"/>
          <w:lang w:val="es-CO" w:eastAsia="en-US"/>
        </w:rPr>
        <w:t xml:space="preserve">Frente a la Red autorizada por el Ministerio de Salud y Protección Social la </w:t>
      </w:r>
      <w:r w:rsidR="009A6BFC">
        <w:rPr>
          <w:rFonts w:ascii="Arial" w:eastAsiaTheme="minorHAnsi" w:hAnsi="Arial" w:cs="Arial"/>
          <w:sz w:val="22"/>
          <w:lang w:val="es-CO" w:eastAsia="en-US"/>
        </w:rPr>
        <w:t>E</w:t>
      </w:r>
      <w:r w:rsidRPr="0044100E">
        <w:rPr>
          <w:rFonts w:ascii="Arial" w:eastAsiaTheme="minorHAnsi" w:hAnsi="Arial" w:cs="Arial"/>
          <w:sz w:val="22"/>
          <w:lang w:val="es-CO" w:eastAsia="en-US"/>
        </w:rPr>
        <w:t xml:space="preserve">ntidad menciona que está adelantando la revisión y actualización de la red </w:t>
      </w:r>
      <w:r w:rsidR="000D6A82" w:rsidRPr="0044100E">
        <w:rPr>
          <w:rFonts w:ascii="Arial" w:eastAsiaTheme="minorHAnsi" w:hAnsi="Arial" w:cs="Arial"/>
          <w:sz w:val="22"/>
          <w:lang w:val="es-CO" w:eastAsia="en-US"/>
        </w:rPr>
        <w:t>a partir de</w:t>
      </w:r>
      <w:r w:rsidRPr="0044100E">
        <w:rPr>
          <w:rFonts w:ascii="Arial" w:eastAsiaTheme="minorHAnsi" w:hAnsi="Arial" w:cs="Arial"/>
          <w:sz w:val="22"/>
          <w:lang w:val="es-CO" w:eastAsia="en-US"/>
        </w:rPr>
        <w:t xml:space="preserve"> la metodología de análisis de determinantes en salud, con la utilización de 5 criterios; poblacional, acceso geográfico, Indicadores epidemiológicos básicos,4 puntos estratégicos de vacunación con sistema solar y presencia institucional educativa con número total de alumnos.</w:t>
      </w:r>
    </w:p>
    <w:p w14:paraId="3701E990" w14:textId="77777777" w:rsidR="00643CE2" w:rsidRPr="0044100E" w:rsidRDefault="00643CE2" w:rsidP="00643CE2">
      <w:pPr>
        <w:jc w:val="both"/>
        <w:rPr>
          <w:rFonts w:ascii="Arial" w:eastAsiaTheme="minorHAnsi" w:hAnsi="Arial" w:cs="Arial"/>
          <w:sz w:val="22"/>
          <w:lang w:val="es-CO" w:eastAsia="en-US"/>
        </w:rPr>
      </w:pPr>
    </w:p>
    <w:p w14:paraId="5F6A0B82" w14:textId="15D4B882" w:rsidR="00643CE2" w:rsidRPr="0044100E" w:rsidRDefault="00643CE2" w:rsidP="00643CE2">
      <w:pPr>
        <w:jc w:val="both"/>
        <w:rPr>
          <w:rFonts w:ascii="Arial" w:eastAsiaTheme="minorHAnsi" w:hAnsi="Arial" w:cs="Arial"/>
          <w:sz w:val="22"/>
          <w:lang w:val="es-CO" w:eastAsia="en-US"/>
        </w:rPr>
      </w:pPr>
      <w:r w:rsidRPr="0044100E">
        <w:rPr>
          <w:rFonts w:ascii="Arial" w:eastAsiaTheme="minorHAnsi" w:hAnsi="Arial" w:cs="Arial"/>
          <w:sz w:val="22"/>
          <w:lang w:val="es-CO" w:eastAsia="en-US"/>
        </w:rPr>
        <w:t xml:space="preserve">Además, la </w:t>
      </w:r>
      <w:r w:rsidR="009A6BFC">
        <w:rPr>
          <w:rFonts w:ascii="Arial" w:eastAsiaTheme="minorHAnsi" w:hAnsi="Arial" w:cs="Arial"/>
          <w:sz w:val="22"/>
          <w:lang w:val="es-CO" w:eastAsia="en-US"/>
        </w:rPr>
        <w:t>E</w:t>
      </w:r>
      <w:r w:rsidRPr="0044100E">
        <w:rPr>
          <w:rFonts w:ascii="Arial" w:eastAsiaTheme="minorHAnsi" w:hAnsi="Arial" w:cs="Arial"/>
          <w:sz w:val="22"/>
          <w:lang w:val="es-CO" w:eastAsia="en-US"/>
        </w:rPr>
        <w:t xml:space="preserve">ntidad </w:t>
      </w:r>
      <w:r w:rsidR="000D6A82" w:rsidRPr="0044100E">
        <w:rPr>
          <w:rFonts w:ascii="Arial" w:eastAsiaTheme="minorHAnsi" w:hAnsi="Arial" w:cs="Arial"/>
          <w:sz w:val="22"/>
          <w:lang w:val="es-CO" w:eastAsia="en-US"/>
        </w:rPr>
        <w:t>refiere como principales d</w:t>
      </w:r>
      <w:r w:rsidRPr="0044100E">
        <w:rPr>
          <w:rFonts w:ascii="Arial" w:eastAsiaTheme="minorHAnsi" w:hAnsi="Arial" w:cs="Arial"/>
          <w:sz w:val="22"/>
          <w:lang w:val="es-CO" w:eastAsia="en-US"/>
        </w:rPr>
        <w:t xml:space="preserve">ificultades en la </w:t>
      </w:r>
      <w:r w:rsidR="000D6A82" w:rsidRPr="0044100E">
        <w:rPr>
          <w:rFonts w:ascii="Arial" w:eastAsiaTheme="minorHAnsi" w:hAnsi="Arial" w:cs="Arial"/>
          <w:sz w:val="22"/>
          <w:lang w:val="es-CO" w:eastAsia="en-US"/>
        </w:rPr>
        <w:t>i</w:t>
      </w:r>
      <w:r w:rsidRPr="0044100E">
        <w:rPr>
          <w:rFonts w:ascii="Arial" w:eastAsiaTheme="minorHAnsi" w:hAnsi="Arial" w:cs="Arial"/>
          <w:sz w:val="22"/>
          <w:lang w:val="es-CO" w:eastAsia="en-US"/>
        </w:rPr>
        <w:t xml:space="preserve">mplementación y </w:t>
      </w:r>
      <w:r w:rsidR="000D6A82" w:rsidRPr="0044100E">
        <w:rPr>
          <w:rFonts w:ascii="Arial" w:eastAsiaTheme="minorHAnsi" w:hAnsi="Arial" w:cs="Arial"/>
          <w:sz w:val="22"/>
          <w:lang w:val="es-CO" w:eastAsia="en-US"/>
        </w:rPr>
        <w:t>p</w:t>
      </w:r>
      <w:r w:rsidRPr="0044100E">
        <w:rPr>
          <w:rFonts w:ascii="Arial" w:eastAsiaTheme="minorHAnsi" w:hAnsi="Arial" w:cs="Arial"/>
          <w:sz w:val="22"/>
          <w:lang w:val="es-CO" w:eastAsia="en-US"/>
        </w:rPr>
        <w:t xml:space="preserve">restación de </w:t>
      </w:r>
      <w:r w:rsidR="000D6A82" w:rsidRPr="0044100E">
        <w:rPr>
          <w:rFonts w:ascii="Arial" w:eastAsiaTheme="minorHAnsi" w:hAnsi="Arial" w:cs="Arial"/>
          <w:sz w:val="22"/>
          <w:lang w:val="es-CO" w:eastAsia="en-US"/>
        </w:rPr>
        <w:t>s</w:t>
      </w:r>
      <w:r w:rsidRPr="0044100E">
        <w:rPr>
          <w:rFonts w:ascii="Arial" w:eastAsiaTheme="minorHAnsi" w:hAnsi="Arial" w:cs="Arial"/>
          <w:sz w:val="22"/>
          <w:lang w:val="es-CO" w:eastAsia="en-US"/>
        </w:rPr>
        <w:t xml:space="preserve">ervicios en el área rural, las </w:t>
      </w:r>
      <w:r w:rsidR="0012296B" w:rsidRPr="0044100E">
        <w:rPr>
          <w:rFonts w:ascii="Arial" w:eastAsiaTheme="minorHAnsi" w:hAnsi="Arial" w:cs="Arial"/>
          <w:sz w:val="22"/>
          <w:lang w:val="es-CO" w:eastAsia="en-US"/>
        </w:rPr>
        <w:t>siguientes</w:t>
      </w:r>
      <w:r w:rsidRPr="0044100E">
        <w:rPr>
          <w:rFonts w:ascii="Arial" w:eastAsiaTheme="minorHAnsi" w:hAnsi="Arial" w:cs="Arial"/>
          <w:sz w:val="22"/>
          <w:lang w:val="es-CO" w:eastAsia="en-US"/>
        </w:rPr>
        <w:t>:</w:t>
      </w:r>
    </w:p>
    <w:p w14:paraId="02485E09" w14:textId="77777777" w:rsidR="00643CE2" w:rsidRPr="0044100E" w:rsidRDefault="00643CE2" w:rsidP="00643CE2">
      <w:pPr>
        <w:jc w:val="both"/>
        <w:rPr>
          <w:rFonts w:ascii="Arial" w:eastAsiaTheme="minorHAnsi" w:hAnsi="Arial" w:cs="Arial"/>
          <w:sz w:val="22"/>
          <w:lang w:val="es-CO" w:eastAsia="en-US"/>
        </w:rPr>
      </w:pPr>
    </w:p>
    <w:p w14:paraId="2D4C30A6" w14:textId="774AB206" w:rsidR="00643CE2" w:rsidRPr="0044100E" w:rsidRDefault="009A6BFC" w:rsidP="00643CE2">
      <w:pPr>
        <w:pStyle w:val="Prrafodelista"/>
        <w:numPr>
          <w:ilvl w:val="0"/>
          <w:numId w:val="26"/>
        </w:numPr>
        <w:jc w:val="both"/>
        <w:rPr>
          <w:rFonts w:ascii="Arial" w:hAnsi="Arial" w:cs="Arial"/>
          <w:i/>
          <w:iCs/>
          <w:sz w:val="20"/>
          <w:szCs w:val="20"/>
        </w:rPr>
      </w:pPr>
      <w:r>
        <w:rPr>
          <w:rFonts w:ascii="Arial" w:hAnsi="Arial" w:cs="Arial"/>
          <w:i/>
          <w:iCs/>
          <w:sz w:val="20"/>
          <w:szCs w:val="20"/>
        </w:rPr>
        <w:t>“</w:t>
      </w:r>
      <w:r w:rsidR="00643CE2" w:rsidRPr="0044100E">
        <w:rPr>
          <w:rFonts w:ascii="Arial" w:hAnsi="Arial" w:cs="Arial"/>
          <w:i/>
          <w:iCs/>
          <w:sz w:val="20"/>
          <w:szCs w:val="20"/>
        </w:rPr>
        <w:t>[…]Limitado talento humano en salud disponible en el territorio, o interesado en la oferta laboral en territorios de aita dispersión geográfica.</w:t>
      </w:r>
    </w:p>
    <w:p w14:paraId="5EF31EAE" w14:textId="77777777" w:rsidR="00643CE2" w:rsidRPr="0044100E" w:rsidRDefault="00643CE2" w:rsidP="00643CE2">
      <w:pPr>
        <w:ind w:left="708" w:firstLine="2"/>
        <w:jc w:val="both"/>
        <w:rPr>
          <w:rFonts w:ascii="Arial" w:hAnsi="Arial" w:cs="Arial"/>
          <w:i/>
          <w:iCs/>
          <w:sz w:val="20"/>
          <w:szCs w:val="20"/>
        </w:rPr>
      </w:pPr>
    </w:p>
    <w:p w14:paraId="2FECE9E8" w14:textId="77777777" w:rsidR="00643CE2" w:rsidRPr="0044100E" w:rsidRDefault="00643CE2" w:rsidP="00643CE2">
      <w:pPr>
        <w:pStyle w:val="Prrafodelista"/>
        <w:numPr>
          <w:ilvl w:val="0"/>
          <w:numId w:val="26"/>
        </w:numPr>
        <w:jc w:val="both"/>
        <w:rPr>
          <w:rFonts w:ascii="Arial" w:hAnsi="Arial" w:cs="Arial"/>
          <w:i/>
          <w:iCs/>
          <w:sz w:val="20"/>
          <w:szCs w:val="20"/>
        </w:rPr>
      </w:pPr>
      <w:r w:rsidRPr="0044100E">
        <w:rPr>
          <w:rFonts w:ascii="Arial" w:hAnsi="Arial" w:cs="Arial"/>
          <w:i/>
          <w:iCs/>
          <w:sz w:val="20"/>
          <w:szCs w:val="20"/>
        </w:rPr>
        <w:t>Se requiere mejorar en los procesos de mantenimiento preventivo y correctivo de las neveras que hacen parte del programa ampliado de inmunización</w:t>
      </w:r>
    </w:p>
    <w:p w14:paraId="2ED623F4" w14:textId="77777777" w:rsidR="00643CE2" w:rsidRPr="0044100E" w:rsidRDefault="00643CE2" w:rsidP="00643CE2">
      <w:pPr>
        <w:ind w:left="708" w:firstLine="2"/>
        <w:jc w:val="both"/>
        <w:rPr>
          <w:rFonts w:ascii="Arial" w:hAnsi="Arial" w:cs="Arial"/>
          <w:i/>
          <w:iCs/>
          <w:sz w:val="20"/>
          <w:szCs w:val="20"/>
        </w:rPr>
      </w:pPr>
    </w:p>
    <w:p w14:paraId="682E03BB" w14:textId="77777777" w:rsidR="00643CE2" w:rsidRPr="0044100E" w:rsidRDefault="00643CE2" w:rsidP="00643CE2">
      <w:pPr>
        <w:pStyle w:val="Prrafodelista"/>
        <w:numPr>
          <w:ilvl w:val="0"/>
          <w:numId w:val="26"/>
        </w:numPr>
        <w:jc w:val="both"/>
        <w:rPr>
          <w:rFonts w:ascii="Arial" w:hAnsi="Arial" w:cs="Arial"/>
          <w:i/>
          <w:iCs/>
          <w:sz w:val="20"/>
          <w:szCs w:val="20"/>
        </w:rPr>
      </w:pPr>
      <w:r w:rsidRPr="0044100E">
        <w:rPr>
          <w:rFonts w:ascii="Arial" w:hAnsi="Arial" w:cs="Arial"/>
          <w:i/>
          <w:iCs/>
          <w:sz w:val="20"/>
          <w:szCs w:val="20"/>
        </w:rPr>
        <w:t>Generar acciones que permitan agilizar los procesos administrativos, jurídicos y financieros, para una contratación oportuna, en pro garantizar la atención en la zona rural del departamento.</w:t>
      </w:r>
    </w:p>
    <w:p w14:paraId="485210B3" w14:textId="77777777" w:rsidR="00643CE2" w:rsidRPr="0044100E" w:rsidRDefault="00643CE2" w:rsidP="00643CE2">
      <w:pPr>
        <w:ind w:left="708" w:firstLine="2"/>
        <w:jc w:val="both"/>
        <w:rPr>
          <w:rFonts w:ascii="Arial" w:hAnsi="Arial" w:cs="Arial"/>
          <w:i/>
          <w:iCs/>
          <w:sz w:val="20"/>
          <w:szCs w:val="20"/>
        </w:rPr>
      </w:pPr>
    </w:p>
    <w:p w14:paraId="0F576EDC" w14:textId="77777777" w:rsidR="00643CE2" w:rsidRPr="0044100E" w:rsidRDefault="00643CE2" w:rsidP="00643CE2">
      <w:pPr>
        <w:pStyle w:val="Prrafodelista"/>
        <w:numPr>
          <w:ilvl w:val="0"/>
          <w:numId w:val="26"/>
        </w:numPr>
        <w:jc w:val="both"/>
        <w:rPr>
          <w:rFonts w:ascii="Arial" w:hAnsi="Arial" w:cs="Arial"/>
          <w:i/>
          <w:iCs/>
          <w:sz w:val="20"/>
          <w:szCs w:val="20"/>
        </w:rPr>
      </w:pPr>
      <w:r w:rsidRPr="0044100E">
        <w:rPr>
          <w:rFonts w:ascii="Arial" w:hAnsi="Arial" w:cs="Arial"/>
          <w:i/>
          <w:iCs/>
          <w:sz w:val="20"/>
          <w:szCs w:val="20"/>
        </w:rPr>
        <w:t>contar con un informe y análisis del estado actual de la infraestructura de los diferentes organismos de salud. Con el fin de desarrollar la respectiva gestión para su construcción de obra nueva, mejoramiento, remodelación y mantenimiento preventivo o correctivo, según la necesidad. Actividad que se está adelantando actualmente por parte de la secretaria de salud Departamental, en apoyo de la ESE Hospital San Antonio.</w:t>
      </w:r>
    </w:p>
    <w:p w14:paraId="28449A82" w14:textId="77777777" w:rsidR="00643CE2" w:rsidRPr="0044100E" w:rsidRDefault="00643CE2" w:rsidP="00643CE2">
      <w:pPr>
        <w:ind w:left="708" w:firstLine="2"/>
        <w:jc w:val="both"/>
        <w:rPr>
          <w:rFonts w:ascii="Arial" w:hAnsi="Arial" w:cs="Arial"/>
          <w:i/>
          <w:iCs/>
          <w:sz w:val="20"/>
          <w:szCs w:val="20"/>
        </w:rPr>
      </w:pPr>
    </w:p>
    <w:p w14:paraId="6AE8239F" w14:textId="01946F73" w:rsidR="00643CE2" w:rsidRPr="0044100E" w:rsidRDefault="00643CE2" w:rsidP="00643CE2">
      <w:pPr>
        <w:pStyle w:val="Prrafodelista"/>
        <w:numPr>
          <w:ilvl w:val="0"/>
          <w:numId w:val="26"/>
        </w:numPr>
        <w:jc w:val="both"/>
        <w:rPr>
          <w:rFonts w:ascii="Arial" w:hAnsi="Arial" w:cs="Arial"/>
          <w:i/>
          <w:iCs/>
          <w:sz w:val="20"/>
          <w:szCs w:val="20"/>
        </w:rPr>
      </w:pPr>
      <w:r w:rsidRPr="0044100E">
        <w:rPr>
          <w:rFonts w:ascii="Arial" w:hAnsi="Arial" w:cs="Arial"/>
          <w:i/>
          <w:iCs/>
          <w:sz w:val="20"/>
          <w:szCs w:val="20"/>
        </w:rPr>
        <w:t>Mejorar y atender a las necesidades de dotación que requieren los diferentes organismos de salud, para la prestación de servicios en salud […]</w:t>
      </w:r>
      <w:r w:rsidR="009A6BFC">
        <w:rPr>
          <w:rFonts w:ascii="Arial" w:hAnsi="Arial" w:cs="Arial"/>
          <w:i/>
          <w:iCs/>
          <w:sz w:val="20"/>
          <w:szCs w:val="20"/>
        </w:rPr>
        <w:t xml:space="preserve">” </w:t>
      </w:r>
      <w:r w:rsidRPr="0044100E">
        <w:rPr>
          <w:rFonts w:ascii="Arial" w:hAnsi="Arial" w:cs="Arial"/>
          <w:i/>
          <w:iCs/>
          <w:sz w:val="20"/>
          <w:szCs w:val="20"/>
        </w:rPr>
        <w:t>(pag.9)</w:t>
      </w:r>
    </w:p>
    <w:p w14:paraId="66AB8604" w14:textId="77777777" w:rsidR="00643CE2" w:rsidRPr="0044100E" w:rsidRDefault="00643CE2" w:rsidP="00643CE2">
      <w:pPr>
        <w:jc w:val="both"/>
        <w:rPr>
          <w:rFonts w:ascii="Arial" w:eastAsiaTheme="minorHAnsi" w:hAnsi="Arial" w:cs="Arial"/>
          <w:sz w:val="22"/>
          <w:lang w:val="es-CO" w:eastAsia="en-US"/>
        </w:rPr>
      </w:pPr>
    </w:p>
    <w:p w14:paraId="5D414003" w14:textId="5049073E" w:rsidR="00643CE2" w:rsidRPr="0044100E" w:rsidRDefault="00AE7BA2" w:rsidP="00643CE2">
      <w:pPr>
        <w:jc w:val="both"/>
        <w:rPr>
          <w:rFonts w:ascii="Arial" w:eastAsiaTheme="minorHAnsi" w:hAnsi="Arial" w:cs="Arial"/>
          <w:sz w:val="22"/>
          <w:lang w:val="es-CO" w:eastAsia="en-US"/>
        </w:rPr>
      </w:pPr>
      <w:r w:rsidRPr="0044100E">
        <w:rPr>
          <w:rFonts w:ascii="Arial" w:eastAsiaTheme="minorHAnsi" w:hAnsi="Arial" w:cs="Arial"/>
          <w:sz w:val="22"/>
          <w:lang w:val="es-CO" w:eastAsia="en-US"/>
        </w:rPr>
        <w:lastRenderedPageBreak/>
        <w:t>No obstante lo expuesto,</w:t>
      </w:r>
      <w:r w:rsidR="009C7544">
        <w:rPr>
          <w:rFonts w:ascii="Arial" w:eastAsiaTheme="minorHAnsi" w:hAnsi="Arial" w:cs="Arial"/>
          <w:sz w:val="22"/>
          <w:lang w:val="es-CO" w:eastAsia="en-US"/>
        </w:rPr>
        <w:t xml:space="preserve"> </w:t>
      </w:r>
      <w:r w:rsidR="00643CE2" w:rsidRPr="0044100E">
        <w:rPr>
          <w:rFonts w:ascii="Arial" w:eastAsiaTheme="minorHAnsi" w:hAnsi="Arial" w:cs="Arial"/>
          <w:sz w:val="22"/>
          <w:lang w:val="es-CO" w:eastAsia="en-US"/>
        </w:rPr>
        <w:t xml:space="preserve">el </w:t>
      </w:r>
      <w:r w:rsidR="009A6BFC">
        <w:rPr>
          <w:rFonts w:ascii="Arial" w:eastAsiaTheme="minorHAnsi" w:hAnsi="Arial" w:cs="Arial"/>
          <w:sz w:val="22"/>
          <w:lang w:val="es-CO" w:eastAsia="en-US"/>
        </w:rPr>
        <w:t>D</w:t>
      </w:r>
      <w:r w:rsidR="00643CE2" w:rsidRPr="0044100E">
        <w:rPr>
          <w:rFonts w:ascii="Arial" w:eastAsiaTheme="minorHAnsi" w:hAnsi="Arial" w:cs="Arial"/>
          <w:sz w:val="22"/>
          <w:lang w:val="es-CO" w:eastAsia="en-US"/>
        </w:rPr>
        <w:t xml:space="preserve">epartamento </w:t>
      </w:r>
      <w:r w:rsidR="009A6BFC">
        <w:rPr>
          <w:rFonts w:ascii="Arial" w:eastAsiaTheme="minorHAnsi" w:hAnsi="Arial" w:cs="Arial"/>
          <w:sz w:val="22"/>
          <w:lang w:val="es-CO" w:eastAsia="en-US"/>
        </w:rPr>
        <w:t xml:space="preserve">únicamente </w:t>
      </w:r>
      <w:r w:rsidR="00643CE2" w:rsidRPr="0044100E">
        <w:rPr>
          <w:rFonts w:ascii="Arial" w:eastAsiaTheme="minorHAnsi" w:hAnsi="Arial" w:cs="Arial"/>
          <w:sz w:val="22"/>
          <w:lang w:val="es-CO" w:eastAsia="en-US"/>
        </w:rPr>
        <w:t xml:space="preserve">menciona acciones </w:t>
      </w:r>
      <w:r w:rsidRPr="0044100E">
        <w:rPr>
          <w:rFonts w:ascii="Arial" w:eastAsiaTheme="minorHAnsi" w:hAnsi="Arial" w:cs="Arial"/>
          <w:sz w:val="22"/>
          <w:lang w:val="es-CO" w:eastAsia="en-US"/>
        </w:rPr>
        <w:t xml:space="preserve">desarrolladas en torno al mejoramiento de la dotación de equipos y mobiliario para fortalecer la atención y prestación de los servicios de salud, sustentadas en la suscripción de dos contratos: Contrato No. </w:t>
      </w:r>
      <w:r w:rsidR="00643CE2" w:rsidRPr="0044100E">
        <w:rPr>
          <w:rFonts w:ascii="Arial" w:eastAsiaTheme="minorHAnsi" w:hAnsi="Arial" w:cs="Arial"/>
          <w:sz w:val="22"/>
          <w:lang w:val="es-CO" w:eastAsia="en-US"/>
        </w:rPr>
        <w:t>473 de 2019 que t</w:t>
      </w:r>
      <w:r w:rsidRPr="0044100E">
        <w:rPr>
          <w:rFonts w:ascii="Arial" w:eastAsiaTheme="minorHAnsi" w:hAnsi="Arial" w:cs="Arial"/>
          <w:sz w:val="22"/>
          <w:lang w:val="es-CO" w:eastAsia="en-US"/>
        </w:rPr>
        <w:t>iene</w:t>
      </w:r>
      <w:r w:rsidR="009C7544">
        <w:rPr>
          <w:rFonts w:ascii="Arial" w:eastAsiaTheme="minorHAnsi" w:hAnsi="Arial" w:cs="Arial"/>
          <w:sz w:val="22"/>
          <w:lang w:val="es-CO" w:eastAsia="en-US"/>
        </w:rPr>
        <w:t xml:space="preserve"> </w:t>
      </w:r>
      <w:r w:rsidR="00643CE2" w:rsidRPr="0044100E">
        <w:rPr>
          <w:rFonts w:ascii="Arial" w:eastAsiaTheme="minorHAnsi" w:hAnsi="Arial" w:cs="Arial"/>
          <w:sz w:val="22"/>
          <w:lang w:val="es-CO" w:eastAsia="en-US"/>
        </w:rPr>
        <w:t>por objeto “</w:t>
      </w:r>
      <w:r w:rsidR="00643CE2" w:rsidRPr="0044100E">
        <w:rPr>
          <w:rFonts w:ascii="Arial" w:eastAsiaTheme="minorHAnsi" w:hAnsi="Arial" w:cs="Arial"/>
          <w:i/>
          <w:sz w:val="22"/>
          <w:lang w:val="es-CO" w:eastAsia="en-US"/>
        </w:rPr>
        <w:t>La dotación de equipos médicos, biomédicos e industriales de uso hospitalario para la red hospitalaria del Departamento de Vaupés</w:t>
      </w:r>
      <w:r w:rsidR="00643CE2" w:rsidRPr="0044100E">
        <w:rPr>
          <w:rFonts w:ascii="Arial" w:eastAsiaTheme="minorHAnsi" w:hAnsi="Arial" w:cs="Arial"/>
          <w:sz w:val="22"/>
          <w:lang w:val="es-CO" w:eastAsia="en-US"/>
        </w:rPr>
        <w:t>” y el</w:t>
      </w:r>
      <w:r w:rsidR="009C7544">
        <w:rPr>
          <w:rFonts w:ascii="Arial" w:eastAsiaTheme="minorHAnsi" w:hAnsi="Arial" w:cs="Arial"/>
          <w:sz w:val="22"/>
          <w:lang w:val="es-CO" w:eastAsia="en-US"/>
        </w:rPr>
        <w:t xml:space="preserve"> </w:t>
      </w:r>
      <w:r w:rsidR="00643CE2" w:rsidRPr="0044100E">
        <w:rPr>
          <w:rFonts w:ascii="Arial" w:eastAsiaTheme="minorHAnsi" w:hAnsi="Arial" w:cs="Arial"/>
          <w:sz w:val="22"/>
          <w:lang w:val="es-CO" w:eastAsia="en-US"/>
        </w:rPr>
        <w:t xml:space="preserve">contrato </w:t>
      </w:r>
      <w:r w:rsidRPr="0044100E">
        <w:rPr>
          <w:rFonts w:ascii="Arial" w:eastAsiaTheme="minorHAnsi" w:hAnsi="Arial" w:cs="Arial"/>
          <w:sz w:val="22"/>
          <w:lang w:val="es-CO" w:eastAsia="en-US"/>
        </w:rPr>
        <w:t xml:space="preserve">Nro. </w:t>
      </w:r>
      <w:r w:rsidR="00643CE2" w:rsidRPr="0044100E">
        <w:rPr>
          <w:rFonts w:ascii="Arial" w:eastAsiaTheme="minorHAnsi" w:hAnsi="Arial" w:cs="Arial"/>
          <w:sz w:val="22"/>
          <w:lang w:val="es-CO" w:eastAsia="en-US"/>
        </w:rPr>
        <w:t xml:space="preserve">538 de 2020 </w:t>
      </w:r>
      <w:r w:rsidRPr="0044100E">
        <w:rPr>
          <w:rFonts w:ascii="Arial" w:eastAsiaTheme="minorHAnsi" w:hAnsi="Arial" w:cs="Arial"/>
          <w:sz w:val="22"/>
          <w:lang w:val="es-CO" w:eastAsia="en-US"/>
        </w:rPr>
        <w:t>cuyo objeto es</w:t>
      </w:r>
      <w:r w:rsidR="00643CE2" w:rsidRPr="0044100E">
        <w:rPr>
          <w:rFonts w:ascii="Arial" w:eastAsiaTheme="minorHAnsi" w:hAnsi="Arial" w:cs="Arial"/>
          <w:sz w:val="22"/>
          <w:lang w:val="es-CO" w:eastAsia="en-US"/>
        </w:rPr>
        <w:t xml:space="preserve"> </w:t>
      </w:r>
      <w:r w:rsidR="00643CE2" w:rsidRPr="0044100E">
        <w:rPr>
          <w:rFonts w:ascii="Arial" w:eastAsiaTheme="minorHAnsi" w:hAnsi="Arial" w:cs="Arial"/>
          <w:i/>
          <w:sz w:val="22"/>
          <w:lang w:val="es-CO" w:eastAsia="en-US"/>
        </w:rPr>
        <w:t>“Adquisición de elementos y/o equipos médicos y/o biomédicos y mobiliario para fortalecer la atención y prestación de servicios de salud en el marco del proyecto de la atención y servicios de salud para el covid-19 en el departamento de Vaupés</w:t>
      </w:r>
      <w:r w:rsidR="00643CE2" w:rsidRPr="0044100E">
        <w:rPr>
          <w:rFonts w:ascii="Arial" w:eastAsiaTheme="minorHAnsi" w:hAnsi="Arial" w:cs="Arial"/>
          <w:sz w:val="22"/>
          <w:lang w:val="es-CO" w:eastAsia="en-US"/>
        </w:rPr>
        <w:t xml:space="preserve">”. Por lo anterior, en el marco del reconocimiento institucional se verificarán las acciones </w:t>
      </w:r>
      <w:r w:rsidRPr="0044100E">
        <w:rPr>
          <w:rFonts w:ascii="Arial" w:eastAsiaTheme="minorHAnsi" w:hAnsi="Arial" w:cs="Arial"/>
          <w:sz w:val="22"/>
          <w:lang w:val="es-CO" w:eastAsia="en-US"/>
        </w:rPr>
        <w:t xml:space="preserve">adicionales </w:t>
      </w:r>
      <w:r w:rsidR="00643CE2" w:rsidRPr="0044100E">
        <w:rPr>
          <w:rFonts w:ascii="Arial" w:eastAsiaTheme="minorHAnsi" w:hAnsi="Arial" w:cs="Arial"/>
          <w:sz w:val="22"/>
          <w:lang w:val="es-CO" w:eastAsia="en-US"/>
        </w:rPr>
        <w:t xml:space="preserve">que el </w:t>
      </w:r>
      <w:r w:rsidR="009F6C11">
        <w:rPr>
          <w:rFonts w:ascii="Arial" w:eastAsiaTheme="minorHAnsi" w:hAnsi="Arial" w:cs="Arial"/>
          <w:sz w:val="22"/>
          <w:lang w:val="es-CO" w:eastAsia="en-US"/>
        </w:rPr>
        <w:t>D</w:t>
      </w:r>
      <w:r w:rsidR="00643CE2" w:rsidRPr="0044100E">
        <w:rPr>
          <w:rFonts w:ascii="Arial" w:eastAsiaTheme="minorHAnsi" w:hAnsi="Arial" w:cs="Arial"/>
          <w:sz w:val="22"/>
          <w:lang w:val="es-CO" w:eastAsia="en-US"/>
        </w:rPr>
        <w:t>epartamento ha adelantado para solucionar las dificultades evidenciadas en el informe técnico, además de verificar si los contratos mencionados solucionaron las necesidades de dotación requeridas por los organismos de salud del territorio.</w:t>
      </w:r>
    </w:p>
    <w:p w14:paraId="27359052" w14:textId="77777777" w:rsidR="001846CC" w:rsidRPr="009F6C11" w:rsidRDefault="001846CC" w:rsidP="00643CE2">
      <w:pPr>
        <w:jc w:val="both"/>
        <w:rPr>
          <w:rFonts w:ascii="Arial" w:hAnsi="Arial" w:cs="Arial"/>
          <w:sz w:val="22"/>
          <w:lang w:val="es-CO" w:eastAsia="en-US"/>
        </w:rPr>
      </w:pPr>
    </w:p>
    <w:p w14:paraId="0E46A6F0" w14:textId="77777777" w:rsidR="00643CE2" w:rsidRPr="0044100E" w:rsidRDefault="00643CE2" w:rsidP="00643CE2">
      <w:pPr>
        <w:jc w:val="both"/>
        <w:rPr>
          <w:rFonts w:ascii="Arial" w:hAnsi="Arial" w:cs="Arial"/>
          <w:b/>
          <w:sz w:val="22"/>
          <w:szCs w:val="22"/>
          <w:lang w:val="es-CO" w:eastAsia="en-US"/>
        </w:rPr>
      </w:pPr>
      <w:r w:rsidRPr="0044100E">
        <w:rPr>
          <w:rFonts w:ascii="Arial" w:hAnsi="Arial" w:cs="Arial"/>
          <w:b/>
          <w:sz w:val="22"/>
          <w:szCs w:val="22"/>
          <w:lang w:val="es-CO" w:eastAsia="en-US"/>
        </w:rPr>
        <w:t>3.2 Ejecución de recursos del Subsidio a la oferta</w:t>
      </w:r>
    </w:p>
    <w:p w14:paraId="477EED33" w14:textId="77777777" w:rsidR="00643CE2" w:rsidRPr="0044100E" w:rsidRDefault="00643CE2" w:rsidP="00643CE2">
      <w:pPr>
        <w:rPr>
          <w:rFonts w:ascii="Arial" w:hAnsi="Arial" w:cs="Arial"/>
          <w:sz w:val="22"/>
          <w:szCs w:val="22"/>
          <w:lang w:val="es-CO" w:eastAsia="en-US"/>
        </w:rPr>
      </w:pPr>
    </w:p>
    <w:p w14:paraId="26DC0315" w14:textId="71098201" w:rsidR="00643CE2" w:rsidRPr="0044100E" w:rsidRDefault="00643CE2" w:rsidP="00643CE2">
      <w:pPr>
        <w:pStyle w:val="Default"/>
        <w:jc w:val="both"/>
        <w:rPr>
          <w:color w:val="auto"/>
          <w:sz w:val="22"/>
          <w:szCs w:val="22"/>
        </w:rPr>
      </w:pPr>
      <w:r w:rsidRPr="0044100E">
        <w:rPr>
          <w:color w:val="auto"/>
          <w:sz w:val="22"/>
          <w:szCs w:val="22"/>
        </w:rPr>
        <w:t xml:space="preserve">De acuerdo con la información remitida por el </w:t>
      </w:r>
      <w:r w:rsidR="009F6C11">
        <w:rPr>
          <w:color w:val="auto"/>
          <w:sz w:val="22"/>
          <w:szCs w:val="22"/>
        </w:rPr>
        <w:t>D</w:t>
      </w:r>
      <w:r w:rsidRPr="0044100E">
        <w:rPr>
          <w:color w:val="auto"/>
          <w:sz w:val="22"/>
          <w:szCs w:val="22"/>
        </w:rPr>
        <w:t>epartamento y con base en el listado de las ESES o Administradores de infraestructura pública publicado en la Web del MSPS se evidencia que</w:t>
      </w:r>
      <w:r w:rsidR="00AE7BA2" w:rsidRPr="0044100E">
        <w:rPr>
          <w:color w:val="auto"/>
          <w:sz w:val="22"/>
          <w:szCs w:val="22"/>
        </w:rPr>
        <w:t xml:space="preserve"> la ESE Hospital San </w:t>
      </w:r>
      <w:r w:rsidR="005B7E8F" w:rsidRPr="0044100E">
        <w:rPr>
          <w:color w:val="auto"/>
          <w:sz w:val="22"/>
          <w:szCs w:val="22"/>
        </w:rPr>
        <w:t>Antonio</w:t>
      </w:r>
      <w:r w:rsidR="00AE7BA2" w:rsidRPr="0044100E">
        <w:rPr>
          <w:color w:val="auto"/>
          <w:sz w:val="22"/>
          <w:szCs w:val="22"/>
        </w:rPr>
        <w:t xml:space="preserve"> de carácter Departamental con sede en Mitú, Carurú y Taraira es la institución objeto de la asignación de recursos del componente de Subsidio a la Oferta del SGP y es con quien la </w:t>
      </w:r>
      <w:r w:rsidR="009F6C11">
        <w:rPr>
          <w:color w:val="auto"/>
          <w:sz w:val="22"/>
          <w:szCs w:val="22"/>
        </w:rPr>
        <w:t>E</w:t>
      </w:r>
      <w:r w:rsidR="00AE7BA2" w:rsidRPr="0044100E">
        <w:rPr>
          <w:color w:val="auto"/>
          <w:sz w:val="22"/>
          <w:szCs w:val="22"/>
        </w:rPr>
        <w:t xml:space="preserve">ntidad </w:t>
      </w:r>
      <w:r w:rsidR="009F6C11">
        <w:rPr>
          <w:color w:val="auto"/>
          <w:sz w:val="22"/>
          <w:szCs w:val="22"/>
        </w:rPr>
        <w:t>T</w:t>
      </w:r>
      <w:r w:rsidR="00AE7BA2" w:rsidRPr="0044100E">
        <w:rPr>
          <w:color w:val="auto"/>
          <w:sz w:val="22"/>
          <w:szCs w:val="22"/>
        </w:rPr>
        <w:t xml:space="preserve">erritorial </w:t>
      </w:r>
      <w:r w:rsidR="009F6C11">
        <w:rPr>
          <w:color w:val="auto"/>
          <w:sz w:val="22"/>
          <w:szCs w:val="22"/>
        </w:rPr>
        <w:t>debe</w:t>
      </w:r>
      <w:r w:rsidR="00AE7BA2" w:rsidRPr="0044100E">
        <w:rPr>
          <w:color w:val="auto"/>
          <w:sz w:val="22"/>
          <w:szCs w:val="22"/>
        </w:rPr>
        <w:t xml:space="preserve"> suscribir el respectivo convenio para su ejecución.</w:t>
      </w:r>
      <w:r w:rsidR="009C7544">
        <w:rPr>
          <w:color w:val="auto"/>
          <w:sz w:val="22"/>
          <w:szCs w:val="22"/>
        </w:rPr>
        <w:t xml:space="preserve"> </w:t>
      </w:r>
    </w:p>
    <w:p w14:paraId="5F750915" w14:textId="77777777" w:rsidR="001846CC" w:rsidRPr="0044100E" w:rsidRDefault="001846CC" w:rsidP="00643CE2">
      <w:pPr>
        <w:pStyle w:val="Default"/>
        <w:jc w:val="both"/>
        <w:rPr>
          <w:color w:val="auto"/>
          <w:sz w:val="22"/>
          <w:szCs w:val="22"/>
        </w:rPr>
      </w:pPr>
    </w:p>
    <w:p w14:paraId="616EF7E5" w14:textId="08CE4C28" w:rsidR="00643CE2" w:rsidRPr="0044100E" w:rsidRDefault="0012296B" w:rsidP="00643CE2">
      <w:pPr>
        <w:pStyle w:val="Default"/>
        <w:jc w:val="both"/>
        <w:rPr>
          <w:color w:val="auto"/>
          <w:sz w:val="22"/>
          <w:szCs w:val="22"/>
        </w:rPr>
      </w:pPr>
      <w:r w:rsidRPr="0044100E">
        <w:rPr>
          <w:color w:val="auto"/>
          <w:sz w:val="22"/>
          <w:szCs w:val="22"/>
        </w:rPr>
        <w:t xml:space="preserve">No </w:t>
      </w:r>
      <w:r w:rsidR="00126909" w:rsidRPr="0044100E">
        <w:rPr>
          <w:color w:val="auto"/>
          <w:sz w:val="22"/>
          <w:szCs w:val="22"/>
        </w:rPr>
        <w:t>obstante,</w:t>
      </w:r>
      <w:r w:rsidRPr="0044100E">
        <w:rPr>
          <w:color w:val="auto"/>
          <w:sz w:val="22"/>
          <w:szCs w:val="22"/>
        </w:rPr>
        <w:t xml:space="preserve"> lo expuesto,</w:t>
      </w:r>
      <w:r w:rsidR="00643CE2" w:rsidRPr="0044100E">
        <w:rPr>
          <w:color w:val="auto"/>
          <w:sz w:val="22"/>
          <w:szCs w:val="22"/>
        </w:rPr>
        <w:t xml:space="preserve"> la Entidad Territorial no remite evidencia del convenio suscrito con la ESE en mención en la vigencia 2020.</w:t>
      </w:r>
      <w:r w:rsidR="00284D0B" w:rsidRPr="0044100E">
        <w:rPr>
          <w:color w:val="auto"/>
          <w:sz w:val="22"/>
          <w:szCs w:val="22"/>
        </w:rPr>
        <w:t xml:space="preserve"> Sin embargo</w:t>
      </w:r>
      <w:r w:rsidR="00643CE2" w:rsidRPr="0044100E">
        <w:rPr>
          <w:color w:val="auto"/>
          <w:sz w:val="22"/>
          <w:szCs w:val="22"/>
        </w:rPr>
        <w:t xml:space="preserve">, verificada la ejecución presupuestal se identifica que la </w:t>
      </w:r>
      <w:r w:rsidR="009F6C11">
        <w:rPr>
          <w:color w:val="auto"/>
          <w:sz w:val="22"/>
          <w:szCs w:val="22"/>
        </w:rPr>
        <w:t>E</w:t>
      </w:r>
      <w:r w:rsidR="00643CE2" w:rsidRPr="0044100E">
        <w:rPr>
          <w:color w:val="auto"/>
          <w:sz w:val="22"/>
          <w:szCs w:val="22"/>
        </w:rPr>
        <w:t>ntidad apropi</w:t>
      </w:r>
      <w:r w:rsidR="00AE7BA2" w:rsidRPr="0044100E">
        <w:rPr>
          <w:color w:val="auto"/>
          <w:sz w:val="22"/>
          <w:szCs w:val="22"/>
        </w:rPr>
        <w:t>ó</w:t>
      </w:r>
      <w:r w:rsidR="00643CE2" w:rsidRPr="0044100E">
        <w:rPr>
          <w:color w:val="auto"/>
          <w:sz w:val="22"/>
          <w:szCs w:val="22"/>
        </w:rPr>
        <w:t xml:space="preserve"> $8.681 millones y realiz</w:t>
      </w:r>
      <w:r w:rsidR="00AE7BA2" w:rsidRPr="0044100E">
        <w:rPr>
          <w:color w:val="auto"/>
          <w:sz w:val="22"/>
          <w:szCs w:val="22"/>
        </w:rPr>
        <w:t>ó</w:t>
      </w:r>
      <w:r w:rsidR="00643CE2" w:rsidRPr="0044100E">
        <w:rPr>
          <w:color w:val="auto"/>
          <w:sz w:val="22"/>
          <w:szCs w:val="22"/>
        </w:rPr>
        <w:t xml:space="preserve"> compromisos por </w:t>
      </w:r>
      <w:r w:rsidR="006F1BA4">
        <w:rPr>
          <w:color w:val="auto"/>
          <w:sz w:val="22"/>
          <w:szCs w:val="22"/>
        </w:rPr>
        <w:t>$</w:t>
      </w:r>
      <w:r w:rsidR="00643CE2" w:rsidRPr="0044100E">
        <w:rPr>
          <w:color w:val="auto"/>
          <w:sz w:val="22"/>
          <w:szCs w:val="22"/>
        </w:rPr>
        <w:t>2.667 millones con fuente de financiación SGP</w:t>
      </w:r>
      <w:r w:rsidR="00AE7BA2" w:rsidRPr="0044100E">
        <w:rPr>
          <w:color w:val="auto"/>
          <w:sz w:val="22"/>
          <w:szCs w:val="22"/>
        </w:rPr>
        <w:t>- Prestación de Servicios</w:t>
      </w:r>
      <w:r w:rsidR="00284D0B" w:rsidRPr="0044100E">
        <w:rPr>
          <w:color w:val="auto"/>
          <w:sz w:val="22"/>
          <w:szCs w:val="22"/>
        </w:rPr>
        <w:t xml:space="preserve"> Vigencia actual</w:t>
      </w:r>
      <w:r w:rsidR="009F6C11">
        <w:rPr>
          <w:color w:val="auto"/>
          <w:sz w:val="22"/>
          <w:szCs w:val="22"/>
        </w:rPr>
        <w:t>.</w:t>
      </w:r>
    </w:p>
    <w:p w14:paraId="79290007" w14:textId="77777777" w:rsidR="00643CE2" w:rsidRPr="0044100E" w:rsidRDefault="00643CE2" w:rsidP="00643CE2">
      <w:pPr>
        <w:pStyle w:val="Default"/>
        <w:jc w:val="both"/>
        <w:rPr>
          <w:color w:val="auto"/>
          <w:sz w:val="22"/>
          <w:szCs w:val="22"/>
        </w:rPr>
      </w:pPr>
    </w:p>
    <w:p w14:paraId="24E1A788" w14:textId="3311BFFF" w:rsidR="00E93334" w:rsidRPr="0044100E" w:rsidRDefault="00643CE2" w:rsidP="00643CE2">
      <w:pPr>
        <w:pStyle w:val="Default"/>
        <w:jc w:val="both"/>
        <w:rPr>
          <w:color w:val="auto"/>
          <w:sz w:val="22"/>
          <w:szCs w:val="22"/>
        </w:rPr>
      </w:pPr>
      <w:r w:rsidRPr="0044100E">
        <w:rPr>
          <w:color w:val="auto"/>
          <w:sz w:val="22"/>
          <w:szCs w:val="22"/>
        </w:rPr>
        <w:t xml:space="preserve">Para la vigencia 2021 se presenta un convenio interadministrativo suscrito con la ESE Hospital San </w:t>
      </w:r>
      <w:r w:rsidR="005B7E8F" w:rsidRPr="0044100E">
        <w:rPr>
          <w:color w:val="auto"/>
          <w:sz w:val="22"/>
          <w:szCs w:val="22"/>
        </w:rPr>
        <w:t xml:space="preserve">Antonio </w:t>
      </w:r>
      <w:r w:rsidRPr="0044100E">
        <w:rPr>
          <w:color w:val="auto"/>
          <w:sz w:val="22"/>
          <w:szCs w:val="22"/>
        </w:rPr>
        <w:t>por un valor de $5</w:t>
      </w:r>
      <w:r w:rsidR="005B7E8F" w:rsidRPr="0044100E">
        <w:rPr>
          <w:color w:val="auto"/>
          <w:sz w:val="22"/>
          <w:szCs w:val="22"/>
        </w:rPr>
        <w:t>.</w:t>
      </w:r>
      <w:r w:rsidRPr="0044100E">
        <w:rPr>
          <w:color w:val="auto"/>
          <w:sz w:val="22"/>
          <w:szCs w:val="22"/>
        </w:rPr>
        <w:t xml:space="preserve">669 millones respaldado con dos (2) CDP, el primero por un valor de </w:t>
      </w:r>
      <w:r w:rsidR="006F1BA4">
        <w:rPr>
          <w:color w:val="auto"/>
          <w:sz w:val="22"/>
          <w:szCs w:val="22"/>
        </w:rPr>
        <w:t>$</w:t>
      </w:r>
      <w:r w:rsidRPr="0044100E">
        <w:rPr>
          <w:color w:val="auto"/>
          <w:sz w:val="22"/>
          <w:szCs w:val="22"/>
        </w:rPr>
        <w:t>2.700 millones con la fuente de Financiación de Subsidio a la Oferta-Recursos del Balance y el segundo, por un valor de $3.123 millones</w:t>
      </w:r>
      <w:r w:rsidR="009C7544">
        <w:rPr>
          <w:color w:val="auto"/>
          <w:sz w:val="22"/>
          <w:szCs w:val="22"/>
        </w:rPr>
        <w:t xml:space="preserve"> </w:t>
      </w:r>
      <w:r w:rsidRPr="0044100E">
        <w:rPr>
          <w:color w:val="auto"/>
          <w:sz w:val="22"/>
          <w:szCs w:val="22"/>
        </w:rPr>
        <w:t>con fuente de financiación SGP Prestación de Servicios PPNA/NO POS (Cuenta 31-3)</w:t>
      </w:r>
      <w:r w:rsidR="005B7E8F" w:rsidRPr="0044100E">
        <w:rPr>
          <w:color w:val="auto"/>
          <w:sz w:val="22"/>
          <w:szCs w:val="22"/>
        </w:rPr>
        <w:t>,v</w:t>
      </w:r>
      <w:r w:rsidRPr="0044100E">
        <w:rPr>
          <w:color w:val="auto"/>
          <w:sz w:val="22"/>
          <w:szCs w:val="22"/>
        </w:rPr>
        <w:t xml:space="preserve">alor coherente con los compromisos reportados por la </w:t>
      </w:r>
      <w:r w:rsidR="00112AA2">
        <w:rPr>
          <w:color w:val="auto"/>
          <w:sz w:val="22"/>
          <w:szCs w:val="22"/>
        </w:rPr>
        <w:t>E</w:t>
      </w:r>
      <w:r w:rsidRPr="0044100E">
        <w:rPr>
          <w:color w:val="auto"/>
          <w:sz w:val="22"/>
          <w:szCs w:val="22"/>
        </w:rPr>
        <w:t xml:space="preserve">ntidad </w:t>
      </w:r>
      <w:r w:rsidR="00112AA2">
        <w:rPr>
          <w:color w:val="auto"/>
          <w:sz w:val="22"/>
          <w:szCs w:val="22"/>
        </w:rPr>
        <w:t>T</w:t>
      </w:r>
      <w:r w:rsidRPr="0044100E">
        <w:rPr>
          <w:color w:val="auto"/>
          <w:sz w:val="22"/>
          <w:szCs w:val="22"/>
        </w:rPr>
        <w:t>erritorial en la ejecución presupuestal</w:t>
      </w:r>
      <w:r w:rsidR="005B7E8F" w:rsidRPr="0044100E">
        <w:rPr>
          <w:color w:val="auto"/>
          <w:sz w:val="22"/>
          <w:szCs w:val="22"/>
        </w:rPr>
        <w:t xml:space="preserve">. </w:t>
      </w:r>
    </w:p>
    <w:p w14:paraId="34477717" w14:textId="77777777" w:rsidR="00E93334" w:rsidRPr="0044100E" w:rsidRDefault="00E93334" w:rsidP="00643CE2">
      <w:pPr>
        <w:pStyle w:val="Default"/>
        <w:jc w:val="both"/>
        <w:rPr>
          <w:color w:val="auto"/>
          <w:sz w:val="22"/>
          <w:szCs w:val="22"/>
        </w:rPr>
      </w:pPr>
    </w:p>
    <w:p w14:paraId="34F305B4" w14:textId="002D047A" w:rsidR="00643CE2" w:rsidRPr="0044100E" w:rsidRDefault="00E93334" w:rsidP="00643CE2">
      <w:pPr>
        <w:pStyle w:val="Default"/>
        <w:jc w:val="both"/>
        <w:rPr>
          <w:color w:val="auto"/>
          <w:sz w:val="22"/>
          <w:szCs w:val="22"/>
        </w:rPr>
      </w:pPr>
      <w:r w:rsidRPr="0044100E">
        <w:rPr>
          <w:color w:val="auto"/>
          <w:sz w:val="22"/>
          <w:szCs w:val="22"/>
        </w:rPr>
        <w:t xml:space="preserve">Al respecto cabe destacar que </w:t>
      </w:r>
      <w:r w:rsidR="00284D0B" w:rsidRPr="0044100E">
        <w:rPr>
          <w:color w:val="auto"/>
          <w:sz w:val="22"/>
          <w:szCs w:val="22"/>
        </w:rPr>
        <w:t xml:space="preserve">la ejecución </w:t>
      </w:r>
      <w:r w:rsidRPr="0044100E">
        <w:rPr>
          <w:color w:val="auto"/>
          <w:sz w:val="22"/>
          <w:szCs w:val="22"/>
        </w:rPr>
        <w:t xml:space="preserve">presupuestal </w:t>
      </w:r>
      <w:r w:rsidR="005B7E8F" w:rsidRPr="0044100E">
        <w:rPr>
          <w:color w:val="auto"/>
          <w:sz w:val="22"/>
          <w:szCs w:val="22"/>
        </w:rPr>
        <w:t xml:space="preserve">en el componente de prestación de servicios </w:t>
      </w:r>
      <w:r w:rsidRPr="0044100E">
        <w:rPr>
          <w:color w:val="auto"/>
          <w:sz w:val="22"/>
          <w:szCs w:val="22"/>
        </w:rPr>
        <w:t xml:space="preserve">prevé compromisos para la ley de punto final cuya fuente de financiación es el SGP- Salud Pública Vigencia anterior, situación que deberá ser validada con la </w:t>
      </w:r>
      <w:r w:rsidR="00112AA2">
        <w:rPr>
          <w:color w:val="auto"/>
          <w:sz w:val="22"/>
          <w:szCs w:val="22"/>
        </w:rPr>
        <w:t>E</w:t>
      </w:r>
      <w:r w:rsidRPr="0044100E">
        <w:rPr>
          <w:color w:val="auto"/>
          <w:sz w:val="22"/>
          <w:szCs w:val="22"/>
        </w:rPr>
        <w:t xml:space="preserve">ntidad </w:t>
      </w:r>
      <w:r w:rsidR="00112AA2">
        <w:rPr>
          <w:color w:val="auto"/>
          <w:sz w:val="22"/>
          <w:szCs w:val="22"/>
        </w:rPr>
        <w:t>T</w:t>
      </w:r>
      <w:r w:rsidRPr="0044100E">
        <w:rPr>
          <w:color w:val="auto"/>
          <w:sz w:val="22"/>
          <w:szCs w:val="22"/>
        </w:rPr>
        <w:t>erritorial atendiendo las disposiciones que frente al asunto ha emitido la Ley 1955 de 2019.</w:t>
      </w:r>
      <w:r w:rsidR="009C7544">
        <w:rPr>
          <w:color w:val="auto"/>
          <w:sz w:val="22"/>
          <w:szCs w:val="22"/>
        </w:rPr>
        <w:t xml:space="preserve"> </w:t>
      </w:r>
    </w:p>
    <w:p w14:paraId="6A2E994A" w14:textId="77777777" w:rsidR="00643CE2" w:rsidRPr="0044100E" w:rsidRDefault="00643CE2" w:rsidP="00643CE2">
      <w:pPr>
        <w:pStyle w:val="Default"/>
        <w:jc w:val="both"/>
        <w:rPr>
          <w:color w:val="auto"/>
          <w:sz w:val="22"/>
          <w:szCs w:val="22"/>
        </w:rPr>
      </w:pPr>
    </w:p>
    <w:p w14:paraId="18BB8FFD" w14:textId="3B7A0F9C" w:rsidR="00643CE2" w:rsidRPr="0044100E" w:rsidRDefault="00643CE2" w:rsidP="00643CE2">
      <w:pPr>
        <w:pStyle w:val="Default"/>
        <w:jc w:val="both"/>
        <w:rPr>
          <w:color w:val="auto"/>
          <w:sz w:val="22"/>
          <w:szCs w:val="22"/>
        </w:rPr>
      </w:pPr>
      <w:r w:rsidRPr="0044100E">
        <w:rPr>
          <w:color w:val="auto"/>
          <w:sz w:val="22"/>
          <w:szCs w:val="22"/>
        </w:rPr>
        <w:t>Verificado el contenido de</w:t>
      </w:r>
      <w:r w:rsidR="005B7E8F" w:rsidRPr="0044100E">
        <w:rPr>
          <w:color w:val="auto"/>
          <w:sz w:val="22"/>
          <w:szCs w:val="22"/>
        </w:rPr>
        <w:t>l convenio suscrito en la vigencia 2021</w:t>
      </w:r>
      <w:r w:rsidRPr="0044100E">
        <w:rPr>
          <w:color w:val="auto"/>
          <w:sz w:val="22"/>
          <w:szCs w:val="22"/>
        </w:rPr>
        <w:t xml:space="preserve"> se identifica que, hacen parte integral del </w:t>
      </w:r>
      <w:r w:rsidR="005B7E8F" w:rsidRPr="0044100E">
        <w:rPr>
          <w:color w:val="auto"/>
          <w:sz w:val="22"/>
          <w:szCs w:val="22"/>
        </w:rPr>
        <w:t>mismo los</w:t>
      </w:r>
      <w:r w:rsidRPr="0044100E">
        <w:rPr>
          <w:color w:val="auto"/>
          <w:sz w:val="22"/>
          <w:szCs w:val="22"/>
        </w:rPr>
        <w:t xml:space="preserve"> Estudios Previos, Certificado de Disponibilidad Presupuestal-CDP, Anexo técnico 1, certificado de Registro Presupuestal y la oferta de la ESE</w:t>
      </w:r>
      <w:r w:rsidR="005B7E8F" w:rsidRPr="0044100E">
        <w:rPr>
          <w:color w:val="auto"/>
          <w:sz w:val="22"/>
          <w:szCs w:val="22"/>
        </w:rPr>
        <w:t>, dando c</w:t>
      </w:r>
      <w:r w:rsidR="0012296B" w:rsidRPr="0044100E">
        <w:rPr>
          <w:color w:val="auto"/>
          <w:sz w:val="22"/>
          <w:szCs w:val="22"/>
        </w:rPr>
        <w:t>umplimiento a las disposiciones</w:t>
      </w:r>
      <w:r w:rsidRPr="0044100E">
        <w:rPr>
          <w:color w:val="auto"/>
          <w:sz w:val="22"/>
          <w:szCs w:val="22"/>
        </w:rPr>
        <w:t xml:space="preserve"> establecid</w:t>
      </w:r>
      <w:r w:rsidR="005B7E8F" w:rsidRPr="0044100E">
        <w:rPr>
          <w:color w:val="auto"/>
          <w:sz w:val="22"/>
          <w:szCs w:val="22"/>
        </w:rPr>
        <w:t>a</w:t>
      </w:r>
      <w:r w:rsidRPr="0044100E">
        <w:rPr>
          <w:color w:val="auto"/>
          <w:sz w:val="22"/>
          <w:szCs w:val="22"/>
        </w:rPr>
        <w:t xml:space="preserve">s por la </w:t>
      </w:r>
      <w:r w:rsidR="005B7E8F" w:rsidRPr="0044100E">
        <w:rPr>
          <w:color w:val="auto"/>
          <w:sz w:val="22"/>
          <w:szCs w:val="22"/>
        </w:rPr>
        <w:t>R</w:t>
      </w:r>
      <w:r w:rsidRPr="0044100E">
        <w:rPr>
          <w:color w:val="auto"/>
          <w:sz w:val="22"/>
          <w:szCs w:val="22"/>
        </w:rPr>
        <w:t>esolución 857 de 2020</w:t>
      </w:r>
      <w:r w:rsidR="005B7E8F" w:rsidRPr="0044100E">
        <w:rPr>
          <w:color w:val="auto"/>
          <w:sz w:val="22"/>
          <w:szCs w:val="22"/>
        </w:rPr>
        <w:t xml:space="preserve"> frente al asunto</w:t>
      </w:r>
      <w:r w:rsidRPr="0044100E">
        <w:rPr>
          <w:color w:val="auto"/>
          <w:sz w:val="22"/>
          <w:szCs w:val="22"/>
        </w:rPr>
        <w:t xml:space="preserve">. </w:t>
      </w:r>
      <w:r w:rsidR="005B7E8F" w:rsidRPr="0044100E">
        <w:rPr>
          <w:color w:val="auto"/>
          <w:sz w:val="22"/>
          <w:szCs w:val="22"/>
        </w:rPr>
        <w:t xml:space="preserve">Sin </w:t>
      </w:r>
      <w:r w:rsidR="009A5FD7" w:rsidRPr="0044100E">
        <w:rPr>
          <w:color w:val="auto"/>
          <w:sz w:val="22"/>
          <w:szCs w:val="22"/>
        </w:rPr>
        <w:t>embargo,</w:t>
      </w:r>
      <w:r w:rsidR="005B7E8F" w:rsidRPr="0044100E">
        <w:rPr>
          <w:color w:val="auto"/>
          <w:sz w:val="22"/>
          <w:szCs w:val="22"/>
        </w:rPr>
        <w:t xml:space="preserve"> es preciso señalar la falta de oportunidad </w:t>
      </w:r>
      <w:r w:rsidR="009A5FD7" w:rsidRPr="0044100E">
        <w:rPr>
          <w:color w:val="auto"/>
          <w:sz w:val="22"/>
          <w:szCs w:val="22"/>
        </w:rPr>
        <w:t xml:space="preserve">para la iniciación de su </w:t>
      </w:r>
      <w:r w:rsidR="009A5FD7" w:rsidRPr="0044100E">
        <w:rPr>
          <w:color w:val="auto"/>
          <w:sz w:val="22"/>
          <w:szCs w:val="22"/>
        </w:rPr>
        <w:lastRenderedPageBreak/>
        <w:t>ejecución toda vez que el acta de</w:t>
      </w:r>
      <w:r w:rsidRPr="0044100E">
        <w:rPr>
          <w:color w:val="auto"/>
          <w:sz w:val="22"/>
          <w:szCs w:val="22"/>
        </w:rPr>
        <w:t xml:space="preserve"> inicio </w:t>
      </w:r>
      <w:r w:rsidR="009A5FD7" w:rsidRPr="0044100E">
        <w:rPr>
          <w:color w:val="auto"/>
          <w:sz w:val="22"/>
          <w:szCs w:val="22"/>
        </w:rPr>
        <w:t xml:space="preserve">respectiva indica </w:t>
      </w:r>
      <w:r w:rsidRPr="0044100E">
        <w:rPr>
          <w:color w:val="auto"/>
          <w:sz w:val="22"/>
          <w:szCs w:val="22"/>
        </w:rPr>
        <w:t>5</w:t>
      </w:r>
      <w:r w:rsidR="00112AA2">
        <w:rPr>
          <w:color w:val="auto"/>
          <w:sz w:val="22"/>
          <w:szCs w:val="22"/>
        </w:rPr>
        <w:t xml:space="preserve"> de abril de </w:t>
      </w:r>
      <w:r w:rsidRPr="0044100E">
        <w:rPr>
          <w:color w:val="auto"/>
          <w:sz w:val="22"/>
          <w:szCs w:val="22"/>
        </w:rPr>
        <w:t>2021</w:t>
      </w:r>
      <w:r w:rsidR="009A5FD7" w:rsidRPr="0044100E">
        <w:rPr>
          <w:color w:val="auto"/>
          <w:sz w:val="22"/>
          <w:szCs w:val="22"/>
        </w:rPr>
        <w:t>,</w:t>
      </w:r>
      <w:r w:rsidR="0012296B" w:rsidRPr="0044100E">
        <w:rPr>
          <w:color w:val="auto"/>
          <w:sz w:val="22"/>
          <w:szCs w:val="22"/>
        </w:rPr>
        <w:t xml:space="preserve"> </w:t>
      </w:r>
      <w:r w:rsidR="009A5FD7" w:rsidRPr="0044100E">
        <w:rPr>
          <w:color w:val="auto"/>
          <w:sz w:val="22"/>
          <w:szCs w:val="22"/>
        </w:rPr>
        <w:t xml:space="preserve">actuación que contraviene lo </w:t>
      </w:r>
      <w:r w:rsidRPr="0044100E">
        <w:rPr>
          <w:color w:val="auto"/>
          <w:sz w:val="22"/>
          <w:szCs w:val="22"/>
        </w:rPr>
        <w:t xml:space="preserve">señalado en el artículo 5 de la </w:t>
      </w:r>
      <w:r w:rsidR="009A5FD7" w:rsidRPr="0044100E">
        <w:rPr>
          <w:color w:val="auto"/>
          <w:sz w:val="22"/>
          <w:szCs w:val="22"/>
        </w:rPr>
        <w:t xml:space="preserve">citada </w:t>
      </w:r>
      <w:r w:rsidR="00112AA2">
        <w:rPr>
          <w:color w:val="auto"/>
          <w:sz w:val="22"/>
          <w:szCs w:val="22"/>
        </w:rPr>
        <w:t>R</w:t>
      </w:r>
      <w:r w:rsidRPr="0044100E">
        <w:rPr>
          <w:color w:val="auto"/>
          <w:sz w:val="22"/>
          <w:szCs w:val="22"/>
        </w:rPr>
        <w:t xml:space="preserve">esolución, </w:t>
      </w:r>
      <w:r w:rsidR="009A5FD7" w:rsidRPr="0044100E">
        <w:rPr>
          <w:color w:val="auto"/>
          <w:sz w:val="22"/>
          <w:szCs w:val="22"/>
        </w:rPr>
        <w:t xml:space="preserve">el cual indica que </w:t>
      </w:r>
      <w:r w:rsidRPr="0044100E">
        <w:rPr>
          <w:color w:val="auto"/>
          <w:sz w:val="22"/>
          <w:szCs w:val="22"/>
        </w:rPr>
        <w:t>una vez la nación gire los recursos del SGP la entidad suscribirá los convenios o contratos correspondientes.</w:t>
      </w:r>
    </w:p>
    <w:p w14:paraId="6E8FAA29" w14:textId="77777777" w:rsidR="00643CE2" w:rsidRPr="0044100E" w:rsidRDefault="00643CE2" w:rsidP="00643CE2">
      <w:pPr>
        <w:pStyle w:val="Default"/>
        <w:jc w:val="both"/>
        <w:rPr>
          <w:color w:val="auto"/>
          <w:sz w:val="22"/>
          <w:szCs w:val="22"/>
        </w:rPr>
      </w:pPr>
    </w:p>
    <w:p w14:paraId="05B320EB" w14:textId="392CE721" w:rsidR="009A5FD7" w:rsidRPr="0044100E" w:rsidRDefault="00643CE2" w:rsidP="00643CE2">
      <w:pPr>
        <w:pStyle w:val="Default"/>
        <w:jc w:val="both"/>
        <w:rPr>
          <w:color w:val="auto"/>
          <w:sz w:val="22"/>
          <w:szCs w:val="22"/>
        </w:rPr>
      </w:pPr>
      <w:r w:rsidRPr="0044100E">
        <w:rPr>
          <w:color w:val="auto"/>
          <w:sz w:val="22"/>
          <w:szCs w:val="22"/>
        </w:rPr>
        <w:t xml:space="preserve">Ahora bien, </w:t>
      </w:r>
      <w:r w:rsidR="009A5FD7" w:rsidRPr="0044100E">
        <w:rPr>
          <w:color w:val="auto"/>
          <w:sz w:val="22"/>
          <w:szCs w:val="22"/>
        </w:rPr>
        <w:t xml:space="preserve">teniendo en cuenta </w:t>
      </w:r>
      <w:r w:rsidRPr="0044100E">
        <w:rPr>
          <w:color w:val="auto"/>
          <w:sz w:val="22"/>
          <w:szCs w:val="22"/>
        </w:rPr>
        <w:t xml:space="preserve">los informes de supervisión </w:t>
      </w:r>
      <w:r w:rsidR="009A5FD7" w:rsidRPr="0044100E">
        <w:rPr>
          <w:color w:val="auto"/>
          <w:sz w:val="22"/>
          <w:szCs w:val="22"/>
        </w:rPr>
        <w:t xml:space="preserve">a la ejecución del </w:t>
      </w:r>
      <w:r w:rsidRPr="0044100E">
        <w:rPr>
          <w:color w:val="auto"/>
          <w:sz w:val="22"/>
          <w:szCs w:val="22"/>
        </w:rPr>
        <w:t xml:space="preserve">convenio </w:t>
      </w:r>
      <w:r w:rsidR="009A5FD7" w:rsidRPr="0044100E">
        <w:rPr>
          <w:color w:val="auto"/>
          <w:sz w:val="22"/>
          <w:szCs w:val="22"/>
        </w:rPr>
        <w:t xml:space="preserve">y el acta suscrita </w:t>
      </w:r>
      <w:r w:rsidRPr="0044100E">
        <w:rPr>
          <w:color w:val="auto"/>
          <w:sz w:val="22"/>
          <w:szCs w:val="22"/>
        </w:rPr>
        <w:t>el 30 julio de 2021,</w:t>
      </w:r>
      <w:r w:rsidR="0012296B" w:rsidRPr="0044100E">
        <w:rPr>
          <w:color w:val="auto"/>
          <w:sz w:val="22"/>
          <w:szCs w:val="22"/>
        </w:rPr>
        <w:t xml:space="preserve"> </w:t>
      </w:r>
      <w:r w:rsidR="009A5FD7" w:rsidRPr="0044100E">
        <w:rPr>
          <w:color w:val="auto"/>
          <w:sz w:val="22"/>
          <w:szCs w:val="22"/>
        </w:rPr>
        <w:t xml:space="preserve">se evidencia lo siguiente: </w:t>
      </w:r>
    </w:p>
    <w:p w14:paraId="6D3442DE" w14:textId="77777777" w:rsidR="009A5FD7" w:rsidRPr="0044100E" w:rsidRDefault="009A5FD7" w:rsidP="00643CE2">
      <w:pPr>
        <w:pStyle w:val="Default"/>
        <w:jc w:val="both"/>
        <w:rPr>
          <w:color w:val="auto"/>
          <w:sz w:val="22"/>
          <w:szCs w:val="22"/>
        </w:rPr>
      </w:pPr>
    </w:p>
    <w:p w14:paraId="3B895AEE" w14:textId="06BBCF1F" w:rsidR="009A5FD7" w:rsidRPr="0044100E" w:rsidRDefault="009A5FD7" w:rsidP="001846CC">
      <w:pPr>
        <w:pStyle w:val="Default"/>
        <w:numPr>
          <w:ilvl w:val="0"/>
          <w:numId w:val="26"/>
        </w:numPr>
        <w:jc w:val="both"/>
        <w:rPr>
          <w:color w:val="auto"/>
          <w:sz w:val="22"/>
          <w:szCs w:val="22"/>
        </w:rPr>
      </w:pPr>
      <w:r w:rsidRPr="0044100E">
        <w:rPr>
          <w:color w:val="auto"/>
          <w:sz w:val="22"/>
          <w:szCs w:val="22"/>
        </w:rPr>
        <w:t>F</w:t>
      </w:r>
      <w:r w:rsidR="00643CE2" w:rsidRPr="0044100E">
        <w:rPr>
          <w:color w:val="auto"/>
          <w:sz w:val="22"/>
          <w:szCs w:val="22"/>
        </w:rPr>
        <w:t>rente a los indicadores de talento humano</w:t>
      </w:r>
      <w:r w:rsidRPr="0044100E">
        <w:rPr>
          <w:color w:val="auto"/>
          <w:sz w:val="22"/>
          <w:szCs w:val="22"/>
        </w:rPr>
        <w:t>:</w:t>
      </w:r>
      <w:r w:rsidR="009C7544">
        <w:rPr>
          <w:color w:val="auto"/>
          <w:sz w:val="22"/>
          <w:szCs w:val="22"/>
        </w:rPr>
        <w:t xml:space="preserve"> </w:t>
      </w:r>
      <w:r w:rsidR="00643CE2" w:rsidRPr="0044100E">
        <w:rPr>
          <w:color w:val="auto"/>
          <w:sz w:val="22"/>
          <w:szCs w:val="22"/>
        </w:rPr>
        <w:t>la ESE presenta dificultades en la contratación de enfermeros</w:t>
      </w:r>
      <w:r w:rsidRPr="0044100E">
        <w:rPr>
          <w:color w:val="auto"/>
          <w:sz w:val="22"/>
          <w:szCs w:val="22"/>
        </w:rPr>
        <w:t>, ha efectuado contratación de 13 se los 15 previstos</w:t>
      </w:r>
      <w:r w:rsidR="00643CE2" w:rsidRPr="0044100E">
        <w:rPr>
          <w:color w:val="auto"/>
          <w:sz w:val="22"/>
          <w:szCs w:val="22"/>
        </w:rPr>
        <w:t xml:space="preserve">; </w:t>
      </w:r>
    </w:p>
    <w:p w14:paraId="4A5EED0D" w14:textId="48B29A46" w:rsidR="009A5FD7" w:rsidRPr="0044100E" w:rsidRDefault="009A5FD7" w:rsidP="001846CC">
      <w:pPr>
        <w:pStyle w:val="Default"/>
        <w:numPr>
          <w:ilvl w:val="0"/>
          <w:numId w:val="26"/>
        </w:numPr>
        <w:jc w:val="both"/>
        <w:rPr>
          <w:color w:val="auto"/>
          <w:sz w:val="22"/>
          <w:szCs w:val="22"/>
        </w:rPr>
      </w:pPr>
      <w:r w:rsidRPr="0044100E">
        <w:rPr>
          <w:color w:val="auto"/>
          <w:sz w:val="22"/>
          <w:szCs w:val="22"/>
        </w:rPr>
        <w:t>F</w:t>
      </w:r>
      <w:r w:rsidR="00643CE2" w:rsidRPr="0044100E">
        <w:rPr>
          <w:color w:val="auto"/>
          <w:sz w:val="22"/>
          <w:szCs w:val="22"/>
        </w:rPr>
        <w:t>rente al recorrido por las zonas</w:t>
      </w:r>
      <w:r w:rsidRPr="0044100E">
        <w:rPr>
          <w:color w:val="auto"/>
          <w:sz w:val="22"/>
          <w:szCs w:val="22"/>
        </w:rPr>
        <w:t>:</w:t>
      </w:r>
      <w:r w:rsidR="00643CE2" w:rsidRPr="0044100E">
        <w:rPr>
          <w:color w:val="auto"/>
          <w:sz w:val="22"/>
          <w:szCs w:val="22"/>
        </w:rPr>
        <w:t xml:space="preserve"> se encuentra pendiente la salida del talento humano profesional en enfermería en las zonas de yapú y tique; </w:t>
      </w:r>
    </w:p>
    <w:p w14:paraId="187FCB27" w14:textId="661C3FD7" w:rsidR="00643CE2" w:rsidRPr="0044100E" w:rsidRDefault="009A5FD7" w:rsidP="001846CC">
      <w:pPr>
        <w:pStyle w:val="Default"/>
        <w:numPr>
          <w:ilvl w:val="0"/>
          <w:numId w:val="26"/>
        </w:numPr>
        <w:jc w:val="both"/>
        <w:rPr>
          <w:color w:val="auto"/>
          <w:sz w:val="22"/>
          <w:szCs w:val="22"/>
        </w:rPr>
      </w:pPr>
      <w:r w:rsidRPr="0044100E">
        <w:rPr>
          <w:color w:val="auto"/>
          <w:sz w:val="22"/>
          <w:szCs w:val="22"/>
        </w:rPr>
        <w:t xml:space="preserve">Frente a la </w:t>
      </w:r>
      <w:r w:rsidR="00643CE2" w:rsidRPr="0044100E">
        <w:rPr>
          <w:color w:val="auto"/>
          <w:sz w:val="22"/>
          <w:szCs w:val="22"/>
        </w:rPr>
        <w:t xml:space="preserve">atención en salud y </w:t>
      </w:r>
      <w:r w:rsidRPr="0044100E">
        <w:rPr>
          <w:color w:val="auto"/>
          <w:sz w:val="22"/>
          <w:szCs w:val="22"/>
        </w:rPr>
        <w:t>el s</w:t>
      </w:r>
      <w:r w:rsidR="00643CE2" w:rsidRPr="0044100E">
        <w:rPr>
          <w:color w:val="auto"/>
          <w:sz w:val="22"/>
          <w:szCs w:val="22"/>
        </w:rPr>
        <w:t>istema de información en Salud</w:t>
      </w:r>
      <w:r w:rsidRPr="0044100E">
        <w:rPr>
          <w:color w:val="auto"/>
          <w:sz w:val="22"/>
          <w:szCs w:val="22"/>
        </w:rPr>
        <w:t>:</w:t>
      </w:r>
      <w:r w:rsidR="00643CE2" w:rsidRPr="0044100E">
        <w:rPr>
          <w:color w:val="auto"/>
          <w:sz w:val="22"/>
          <w:szCs w:val="22"/>
        </w:rPr>
        <w:t xml:space="preserve"> se recalca que la ESE se encuentra en depuración y análisis de la información reportada por el talento humano y queda pendiente la realización del primer informe</w:t>
      </w:r>
      <w:r w:rsidR="009C7544">
        <w:rPr>
          <w:color w:val="auto"/>
          <w:sz w:val="22"/>
          <w:szCs w:val="22"/>
        </w:rPr>
        <w:t xml:space="preserve"> </w:t>
      </w:r>
      <w:r w:rsidR="00643CE2" w:rsidRPr="0044100E">
        <w:rPr>
          <w:color w:val="auto"/>
          <w:sz w:val="22"/>
          <w:szCs w:val="22"/>
        </w:rPr>
        <w:t xml:space="preserve">parcial de ejecución de actividades en atención y notificación SIVIGILA. </w:t>
      </w:r>
    </w:p>
    <w:p w14:paraId="79A14C24" w14:textId="77777777" w:rsidR="00643CE2" w:rsidRPr="0044100E" w:rsidRDefault="00643CE2" w:rsidP="00643CE2">
      <w:pPr>
        <w:pStyle w:val="Default"/>
        <w:jc w:val="both"/>
        <w:rPr>
          <w:color w:val="auto"/>
          <w:sz w:val="22"/>
          <w:szCs w:val="22"/>
        </w:rPr>
      </w:pPr>
    </w:p>
    <w:p w14:paraId="3BF2EB07" w14:textId="3EC2888F" w:rsidR="00643CE2" w:rsidRPr="0044100E" w:rsidRDefault="00643CE2" w:rsidP="00643CE2">
      <w:pPr>
        <w:pStyle w:val="Default"/>
        <w:jc w:val="both"/>
        <w:rPr>
          <w:color w:val="auto"/>
          <w:sz w:val="22"/>
          <w:szCs w:val="22"/>
        </w:rPr>
      </w:pPr>
      <w:r w:rsidRPr="0044100E">
        <w:rPr>
          <w:color w:val="auto"/>
          <w:sz w:val="22"/>
          <w:szCs w:val="22"/>
        </w:rPr>
        <w:t xml:space="preserve">Teniendo en cuenta lo expuesto se evidencia el cumplimiento del seguimiento al convenio suscrito, no obstante, los aspectos que la </w:t>
      </w:r>
      <w:r w:rsidR="00112AA2">
        <w:rPr>
          <w:color w:val="auto"/>
          <w:sz w:val="22"/>
          <w:szCs w:val="22"/>
        </w:rPr>
        <w:t>E</w:t>
      </w:r>
      <w:r w:rsidRPr="0044100E">
        <w:rPr>
          <w:color w:val="auto"/>
          <w:sz w:val="22"/>
          <w:szCs w:val="22"/>
        </w:rPr>
        <w:t>ntidad evidenci</w:t>
      </w:r>
      <w:r w:rsidR="00112AA2">
        <w:rPr>
          <w:color w:val="auto"/>
          <w:sz w:val="22"/>
          <w:szCs w:val="22"/>
        </w:rPr>
        <w:t>ó</w:t>
      </w:r>
      <w:r w:rsidRPr="0044100E">
        <w:rPr>
          <w:color w:val="auto"/>
          <w:sz w:val="22"/>
          <w:szCs w:val="22"/>
        </w:rPr>
        <w:t xml:space="preserve"> en las actas de supervisión serán objeto de verificación en el marco del reconocimiento institucional adelantado por esta </w:t>
      </w:r>
      <w:r w:rsidR="00112AA2">
        <w:rPr>
          <w:color w:val="auto"/>
          <w:sz w:val="22"/>
          <w:szCs w:val="22"/>
        </w:rPr>
        <w:t>D</w:t>
      </w:r>
      <w:r w:rsidRPr="0044100E">
        <w:rPr>
          <w:color w:val="auto"/>
          <w:sz w:val="22"/>
          <w:szCs w:val="22"/>
        </w:rPr>
        <w:t xml:space="preserve">irección, con el objetivo de corroborar el correcto cumplimiento del contrato o en caso de </w:t>
      </w:r>
      <w:r w:rsidR="009A5FD7" w:rsidRPr="0044100E">
        <w:rPr>
          <w:color w:val="auto"/>
          <w:sz w:val="22"/>
          <w:szCs w:val="22"/>
        </w:rPr>
        <w:t xml:space="preserve">advertir </w:t>
      </w:r>
      <w:r w:rsidRPr="0044100E">
        <w:rPr>
          <w:color w:val="auto"/>
          <w:sz w:val="22"/>
          <w:szCs w:val="22"/>
        </w:rPr>
        <w:t>incumplimiento</w:t>
      </w:r>
      <w:r w:rsidR="009A5FD7" w:rsidRPr="0044100E">
        <w:rPr>
          <w:color w:val="auto"/>
          <w:sz w:val="22"/>
          <w:szCs w:val="22"/>
        </w:rPr>
        <w:t xml:space="preserve">s frente a la metas previstas, identificar las acciones que la </w:t>
      </w:r>
      <w:r w:rsidR="00112AA2">
        <w:rPr>
          <w:color w:val="auto"/>
          <w:sz w:val="22"/>
          <w:szCs w:val="22"/>
        </w:rPr>
        <w:t>E</w:t>
      </w:r>
      <w:r w:rsidR="009A5FD7" w:rsidRPr="0044100E">
        <w:rPr>
          <w:color w:val="auto"/>
          <w:sz w:val="22"/>
          <w:szCs w:val="22"/>
        </w:rPr>
        <w:t xml:space="preserve">ntidad </w:t>
      </w:r>
      <w:r w:rsidR="00112AA2">
        <w:rPr>
          <w:color w:val="auto"/>
          <w:sz w:val="22"/>
          <w:szCs w:val="22"/>
        </w:rPr>
        <w:t>T</w:t>
      </w:r>
      <w:r w:rsidR="009A5FD7" w:rsidRPr="0044100E">
        <w:rPr>
          <w:color w:val="auto"/>
          <w:sz w:val="22"/>
          <w:szCs w:val="22"/>
        </w:rPr>
        <w:t xml:space="preserve">erritorial ha efectuado para prevenirlos. </w:t>
      </w:r>
      <w:r w:rsidRPr="0044100E">
        <w:rPr>
          <w:color w:val="auto"/>
          <w:sz w:val="22"/>
          <w:szCs w:val="22"/>
        </w:rPr>
        <w:t>.</w:t>
      </w:r>
    </w:p>
    <w:p w14:paraId="712F3F63" w14:textId="77777777" w:rsidR="00643CE2" w:rsidRPr="0044100E" w:rsidRDefault="00643CE2" w:rsidP="00643CE2">
      <w:pPr>
        <w:pStyle w:val="Default"/>
        <w:jc w:val="both"/>
        <w:rPr>
          <w:color w:val="auto"/>
          <w:sz w:val="22"/>
          <w:szCs w:val="22"/>
        </w:rPr>
      </w:pPr>
    </w:p>
    <w:p w14:paraId="524849B7" w14:textId="77777777" w:rsidR="00643CE2" w:rsidRPr="0044100E" w:rsidRDefault="00643CE2" w:rsidP="00643CE2">
      <w:pPr>
        <w:pStyle w:val="Prrafodelista"/>
        <w:numPr>
          <w:ilvl w:val="0"/>
          <w:numId w:val="22"/>
        </w:numPr>
        <w:jc w:val="both"/>
        <w:rPr>
          <w:rFonts w:ascii="Arial" w:eastAsia="Times New Roman" w:hAnsi="Arial" w:cs="Arial"/>
          <w:b/>
          <w:sz w:val="22"/>
          <w:szCs w:val="22"/>
        </w:rPr>
      </w:pPr>
      <w:r w:rsidRPr="0044100E">
        <w:rPr>
          <w:rFonts w:ascii="Arial" w:eastAsia="Times New Roman" w:hAnsi="Arial" w:cs="Arial"/>
          <w:b/>
          <w:sz w:val="22"/>
          <w:szCs w:val="22"/>
        </w:rPr>
        <w:t>Salud Pública</w:t>
      </w:r>
    </w:p>
    <w:p w14:paraId="3A40D609" w14:textId="77777777" w:rsidR="00643CE2" w:rsidRPr="0044100E" w:rsidRDefault="00643CE2" w:rsidP="00643CE2">
      <w:pPr>
        <w:jc w:val="both"/>
        <w:rPr>
          <w:rFonts w:ascii="Arial" w:eastAsia="Times New Roman" w:hAnsi="Arial" w:cs="Arial"/>
          <w:b/>
          <w:sz w:val="22"/>
          <w:szCs w:val="22"/>
        </w:rPr>
      </w:pPr>
    </w:p>
    <w:p w14:paraId="645FE7F7" w14:textId="77777777" w:rsidR="00643CE2" w:rsidRPr="0044100E" w:rsidRDefault="00643CE2" w:rsidP="00643CE2">
      <w:pPr>
        <w:jc w:val="both"/>
        <w:rPr>
          <w:rFonts w:ascii="Arial" w:hAnsi="Arial" w:cs="Arial"/>
          <w:b/>
          <w:bCs/>
          <w:sz w:val="22"/>
          <w:szCs w:val="22"/>
        </w:rPr>
      </w:pPr>
      <w:r w:rsidRPr="0044100E">
        <w:rPr>
          <w:rFonts w:ascii="Arial" w:hAnsi="Arial" w:cs="Arial"/>
          <w:b/>
          <w:bCs/>
          <w:sz w:val="22"/>
          <w:szCs w:val="22"/>
        </w:rPr>
        <w:t>4.1 Planeación Integral de Los Recursos</w:t>
      </w:r>
    </w:p>
    <w:p w14:paraId="4E52E09F" w14:textId="77777777" w:rsidR="00643CE2" w:rsidRPr="0044100E" w:rsidRDefault="00643CE2" w:rsidP="00643CE2">
      <w:pPr>
        <w:jc w:val="both"/>
        <w:rPr>
          <w:rFonts w:ascii="Arial" w:hAnsi="Arial" w:cs="Arial"/>
          <w:b/>
          <w:bCs/>
          <w:sz w:val="22"/>
          <w:szCs w:val="22"/>
        </w:rPr>
      </w:pPr>
    </w:p>
    <w:p w14:paraId="5C801132" w14:textId="0396A398" w:rsidR="00643CE2" w:rsidRPr="0044100E" w:rsidRDefault="00643CE2" w:rsidP="00643CE2">
      <w:pPr>
        <w:jc w:val="both"/>
        <w:rPr>
          <w:rFonts w:ascii="Arial" w:hAnsi="Arial" w:cs="Arial"/>
          <w:sz w:val="22"/>
          <w:szCs w:val="22"/>
        </w:rPr>
      </w:pPr>
      <w:r w:rsidRPr="0044100E">
        <w:rPr>
          <w:rFonts w:ascii="Arial" w:hAnsi="Arial" w:cs="Arial"/>
          <w:sz w:val="22"/>
          <w:szCs w:val="22"/>
        </w:rPr>
        <w:t>Se evidenci</w:t>
      </w:r>
      <w:r w:rsidR="009B0AC1">
        <w:rPr>
          <w:rFonts w:ascii="Arial" w:hAnsi="Arial" w:cs="Arial"/>
          <w:sz w:val="22"/>
          <w:szCs w:val="22"/>
        </w:rPr>
        <w:t>ó</w:t>
      </w:r>
      <w:r w:rsidRPr="0044100E">
        <w:rPr>
          <w:rFonts w:ascii="Arial" w:hAnsi="Arial" w:cs="Arial"/>
          <w:sz w:val="22"/>
          <w:szCs w:val="22"/>
        </w:rPr>
        <w:t xml:space="preserve"> que </w:t>
      </w:r>
      <w:r w:rsidR="006D7421" w:rsidRPr="0044100E">
        <w:rPr>
          <w:rFonts w:ascii="Arial" w:hAnsi="Arial" w:cs="Arial"/>
          <w:sz w:val="22"/>
          <w:szCs w:val="22"/>
        </w:rPr>
        <w:t>l</w:t>
      </w:r>
      <w:r w:rsidRPr="0044100E">
        <w:rPr>
          <w:rFonts w:ascii="Arial" w:hAnsi="Arial" w:cs="Arial"/>
          <w:sz w:val="22"/>
          <w:szCs w:val="22"/>
        </w:rPr>
        <w:t xml:space="preserve">a </w:t>
      </w:r>
      <w:r w:rsidR="009B0AC1">
        <w:rPr>
          <w:rFonts w:ascii="Arial" w:hAnsi="Arial" w:cs="Arial"/>
          <w:sz w:val="22"/>
          <w:szCs w:val="22"/>
        </w:rPr>
        <w:t>E</w:t>
      </w:r>
      <w:r w:rsidRPr="0044100E">
        <w:rPr>
          <w:rFonts w:ascii="Arial" w:hAnsi="Arial" w:cs="Arial"/>
          <w:sz w:val="22"/>
          <w:szCs w:val="22"/>
        </w:rPr>
        <w:t xml:space="preserve">ntidad </w:t>
      </w:r>
      <w:r w:rsidR="009B0AC1">
        <w:rPr>
          <w:rFonts w:ascii="Arial" w:hAnsi="Arial" w:cs="Arial"/>
          <w:sz w:val="22"/>
          <w:szCs w:val="22"/>
        </w:rPr>
        <w:t>T</w:t>
      </w:r>
      <w:r w:rsidRPr="0044100E">
        <w:rPr>
          <w:rFonts w:ascii="Arial" w:hAnsi="Arial" w:cs="Arial"/>
          <w:sz w:val="22"/>
          <w:szCs w:val="22"/>
        </w:rPr>
        <w:t>erritorial cuenta con l</w:t>
      </w:r>
      <w:r w:rsidR="006D7421" w:rsidRPr="0044100E">
        <w:rPr>
          <w:rFonts w:ascii="Arial" w:hAnsi="Arial" w:cs="Arial"/>
          <w:sz w:val="22"/>
          <w:szCs w:val="22"/>
        </w:rPr>
        <w:t>os insumos operativos previstos en el marco de la planeación integral de salud como son;</w:t>
      </w:r>
      <w:r w:rsidR="009C7544">
        <w:rPr>
          <w:rFonts w:ascii="Arial" w:hAnsi="Arial" w:cs="Arial"/>
          <w:sz w:val="22"/>
          <w:szCs w:val="22"/>
        </w:rPr>
        <w:t xml:space="preserve"> </w:t>
      </w:r>
      <w:r w:rsidRPr="0044100E">
        <w:rPr>
          <w:rFonts w:ascii="Arial" w:hAnsi="Arial" w:cs="Arial"/>
          <w:sz w:val="22"/>
          <w:szCs w:val="22"/>
        </w:rPr>
        <w:t>Plan de Acción en Salud- PAS y Componente Operativo y de Inversiones en Salud- COAI. En cuanto al plan territorial en Salud se verific</w:t>
      </w:r>
      <w:r w:rsidR="006D7421" w:rsidRPr="0044100E">
        <w:rPr>
          <w:rFonts w:ascii="Arial" w:hAnsi="Arial" w:cs="Arial"/>
          <w:sz w:val="22"/>
          <w:szCs w:val="22"/>
        </w:rPr>
        <w:t>ó</w:t>
      </w:r>
      <w:r w:rsidRPr="0044100E">
        <w:rPr>
          <w:rFonts w:ascii="Arial" w:hAnsi="Arial" w:cs="Arial"/>
          <w:sz w:val="22"/>
          <w:szCs w:val="22"/>
        </w:rPr>
        <w:t xml:space="preserve"> la publicación en la página web de la </w:t>
      </w:r>
      <w:r w:rsidR="009B0AC1">
        <w:rPr>
          <w:rFonts w:ascii="Arial" w:hAnsi="Arial" w:cs="Arial"/>
          <w:sz w:val="22"/>
          <w:szCs w:val="22"/>
        </w:rPr>
        <w:t>E</w:t>
      </w:r>
      <w:r w:rsidRPr="0044100E">
        <w:rPr>
          <w:rFonts w:ascii="Arial" w:hAnsi="Arial" w:cs="Arial"/>
          <w:sz w:val="22"/>
          <w:szCs w:val="22"/>
        </w:rPr>
        <w:t xml:space="preserve">ntidad y </w:t>
      </w:r>
      <w:r w:rsidR="006D7421" w:rsidRPr="0044100E">
        <w:rPr>
          <w:rFonts w:ascii="Arial" w:hAnsi="Arial" w:cs="Arial"/>
          <w:sz w:val="22"/>
          <w:szCs w:val="22"/>
        </w:rPr>
        <w:t xml:space="preserve">se identifica que en efecto </w:t>
      </w:r>
      <w:r w:rsidRPr="0044100E">
        <w:rPr>
          <w:rFonts w:ascii="Arial" w:hAnsi="Arial" w:cs="Arial"/>
          <w:sz w:val="22"/>
          <w:szCs w:val="22"/>
        </w:rPr>
        <w:t xml:space="preserve">hace parte integral del Plan de Desarrollo de la Entidad Territorial. </w:t>
      </w:r>
    </w:p>
    <w:p w14:paraId="38209869" w14:textId="77777777" w:rsidR="00643CE2" w:rsidRPr="0044100E" w:rsidRDefault="00643CE2" w:rsidP="00643CE2">
      <w:pPr>
        <w:jc w:val="both"/>
        <w:rPr>
          <w:rFonts w:ascii="Arial" w:hAnsi="Arial" w:cs="Arial"/>
          <w:sz w:val="22"/>
          <w:szCs w:val="22"/>
        </w:rPr>
      </w:pPr>
    </w:p>
    <w:p w14:paraId="5583C78A" w14:textId="5D2BC935"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De la información remitida se destaca que, el </w:t>
      </w:r>
      <w:r w:rsidR="009B0AC1">
        <w:rPr>
          <w:rFonts w:ascii="Arial" w:hAnsi="Arial" w:cs="Arial"/>
          <w:sz w:val="22"/>
          <w:szCs w:val="22"/>
        </w:rPr>
        <w:t>D</w:t>
      </w:r>
      <w:r w:rsidRPr="0044100E">
        <w:rPr>
          <w:rFonts w:ascii="Arial" w:hAnsi="Arial" w:cs="Arial"/>
          <w:sz w:val="22"/>
          <w:szCs w:val="22"/>
        </w:rPr>
        <w:t xml:space="preserve">epartamento para la vigencia 2020 </w:t>
      </w:r>
      <w:r w:rsidR="00A653E4" w:rsidRPr="0044100E">
        <w:rPr>
          <w:rFonts w:ascii="Arial" w:hAnsi="Arial" w:cs="Arial"/>
          <w:sz w:val="22"/>
          <w:szCs w:val="22"/>
        </w:rPr>
        <w:t>mostró un</w:t>
      </w:r>
      <w:r w:rsidR="009C7544">
        <w:rPr>
          <w:rFonts w:ascii="Arial" w:hAnsi="Arial" w:cs="Arial"/>
          <w:sz w:val="22"/>
          <w:szCs w:val="22"/>
        </w:rPr>
        <w:t xml:space="preserve"> </w:t>
      </w:r>
      <w:r w:rsidRPr="0044100E">
        <w:rPr>
          <w:rFonts w:ascii="Arial" w:hAnsi="Arial" w:cs="Arial"/>
          <w:sz w:val="22"/>
          <w:szCs w:val="22"/>
        </w:rPr>
        <w:t>índice de eficacia financiera</w:t>
      </w:r>
      <w:r w:rsidRPr="0044100E">
        <w:rPr>
          <w:rStyle w:val="Refdenotaalpie"/>
          <w:rFonts w:ascii="Arial" w:hAnsi="Arial" w:cs="Arial"/>
          <w:sz w:val="22"/>
          <w:szCs w:val="22"/>
        </w:rPr>
        <w:footnoteReference w:id="2"/>
      </w:r>
      <w:r w:rsidRPr="0044100E">
        <w:rPr>
          <w:rFonts w:ascii="Arial" w:hAnsi="Arial" w:cs="Arial"/>
          <w:sz w:val="22"/>
          <w:szCs w:val="22"/>
        </w:rPr>
        <w:t xml:space="preserve"> de 41,87% </w:t>
      </w:r>
      <w:r w:rsidR="00A653E4" w:rsidRPr="0044100E">
        <w:rPr>
          <w:rFonts w:ascii="Arial" w:hAnsi="Arial" w:cs="Arial"/>
          <w:sz w:val="22"/>
          <w:szCs w:val="22"/>
        </w:rPr>
        <w:t xml:space="preserve">evidenciando </w:t>
      </w:r>
      <w:r w:rsidRPr="0044100E">
        <w:rPr>
          <w:rFonts w:ascii="Arial" w:hAnsi="Arial" w:cs="Arial"/>
          <w:sz w:val="22"/>
          <w:szCs w:val="22"/>
        </w:rPr>
        <w:t>la baja ejecución en las siguientes dimensiones</w:t>
      </w:r>
      <w:r w:rsidR="00A653E4" w:rsidRPr="0044100E">
        <w:rPr>
          <w:rFonts w:ascii="Arial" w:hAnsi="Arial" w:cs="Arial"/>
          <w:sz w:val="22"/>
          <w:szCs w:val="22"/>
        </w:rPr>
        <w:t>:</w:t>
      </w:r>
      <w:r w:rsidRPr="0044100E">
        <w:rPr>
          <w:rFonts w:ascii="Arial" w:hAnsi="Arial" w:cs="Arial"/>
          <w:sz w:val="22"/>
          <w:szCs w:val="22"/>
        </w:rPr>
        <w:t xml:space="preserve"> Fortalecimiento de la Autoridad Sanitaria 23.45%, Seguridad Alimentaria y Nutricional 33.31%, Vida saludable y enfermedades transmisibles 47.19% y Vida saludable y condiciones no transmisibles con un 52.96%.</w:t>
      </w:r>
    </w:p>
    <w:p w14:paraId="3B8AD957" w14:textId="77777777" w:rsidR="00643CE2" w:rsidRPr="0044100E" w:rsidRDefault="00643CE2" w:rsidP="00643CE2">
      <w:pPr>
        <w:jc w:val="both"/>
        <w:rPr>
          <w:rFonts w:ascii="Arial" w:hAnsi="Arial" w:cs="Arial"/>
          <w:sz w:val="22"/>
          <w:szCs w:val="22"/>
        </w:rPr>
      </w:pPr>
    </w:p>
    <w:p w14:paraId="58C0C123" w14:textId="7E23653C"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Ahora bien, </w:t>
      </w:r>
      <w:r w:rsidR="00A653E4" w:rsidRPr="0044100E">
        <w:rPr>
          <w:rFonts w:ascii="Arial" w:hAnsi="Arial" w:cs="Arial"/>
          <w:sz w:val="22"/>
          <w:szCs w:val="22"/>
        </w:rPr>
        <w:t xml:space="preserve">de manera detallada, con fundamento en la </w:t>
      </w:r>
      <w:r w:rsidRPr="0044100E">
        <w:rPr>
          <w:rFonts w:ascii="Arial" w:hAnsi="Arial" w:cs="Arial"/>
          <w:sz w:val="22"/>
          <w:szCs w:val="22"/>
        </w:rPr>
        <w:t xml:space="preserve">eficacia financiera de Gestión de la Salud Publica y PIC, se evidencia que el </w:t>
      </w:r>
      <w:r w:rsidR="009B0AC1">
        <w:rPr>
          <w:rFonts w:ascii="Arial" w:hAnsi="Arial" w:cs="Arial"/>
          <w:sz w:val="22"/>
          <w:szCs w:val="22"/>
        </w:rPr>
        <w:t>D</w:t>
      </w:r>
      <w:r w:rsidRPr="0044100E">
        <w:rPr>
          <w:rFonts w:ascii="Arial" w:hAnsi="Arial" w:cs="Arial"/>
          <w:sz w:val="22"/>
          <w:szCs w:val="22"/>
        </w:rPr>
        <w:t>epartamento para la línea operativa de GSP program</w:t>
      </w:r>
      <w:r w:rsidR="00A653E4" w:rsidRPr="0044100E">
        <w:rPr>
          <w:rFonts w:ascii="Arial" w:hAnsi="Arial" w:cs="Arial"/>
          <w:sz w:val="22"/>
          <w:szCs w:val="22"/>
        </w:rPr>
        <w:t>ó</w:t>
      </w:r>
      <w:r w:rsidRPr="0044100E">
        <w:rPr>
          <w:rFonts w:ascii="Arial" w:hAnsi="Arial" w:cs="Arial"/>
          <w:sz w:val="22"/>
          <w:szCs w:val="22"/>
        </w:rPr>
        <w:t xml:space="preserve"> en el COAI </w:t>
      </w:r>
      <w:r w:rsidR="006F1BA4">
        <w:rPr>
          <w:rFonts w:ascii="Arial" w:hAnsi="Arial" w:cs="Arial"/>
          <w:sz w:val="22"/>
          <w:szCs w:val="22"/>
        </w:rPr>
        <w:t>$</w:t>
      </w:r>
      <w:r w:rsidRPr="0044100E">
        <w:rPr>
          <w:rFonts w:ascii="Arial" w:hAnsi="Arial" w:cs="Arial"/>
          <w:sz w:val="22"/>
          <w:szCs w:val="22"/>
        </w:rPr>
        <w:t>20.887 millones mostrando una ejecución de $5.493 millones y en la línea operativa PIC program</w:t>
      </w:r>
      <w:r w:rsidR="00A653E4" w:rsidRPr="0044100E">
        <w:rPr>
          <w:rFonts w:ascii="Arial" w:hAnsi="Arial" w:cs="Arial"/>
          <w:sz w:val="22"/>
          <w:szCs w:val="22"/>
        </w:rPr>
        <w:t>ó</w:t>
      </w:r>
      <w:r w:rsidRPr="0044100E">
        <w:rPr>
          <w:rFonts w:ascii="Arial" w:hAnsi="Arial" w:cs="Arial"/>
          <w:sz w:val="22"/>
          <w:szCs w:val="22"/>
        </w:rPr>
        <w:t xml:space="preserve"> un valor de $1.530 millones</w:t>
      </w:r>
      <w:r w:rsidR="00A653E4" w:rsidRPr="0044100E">
        <w:rPr>
          <w:rFonts w:ascii="Arial" w:hAnsi="Arial" w:cs="Arial"/>
          <w:sz w:val="22"/>
          <w:szCs w:val="22"/>
        </w:rPr>
        <w:t>,</w:t>
      </w:r>
      <w:r w:rsidRPr="0044100E">
        <w:rPr>
          <w:rFonts w:ascii="Arial" w:hAnsi="Arial" w:cs="Arial"/>
          <w:sz w:val="22"/>
          <w:szCs w:val="22"/>
        </w:rPr>
        <w:t xml:space="preserve"> ejecutando $771 millones.</w:t>
      </w:r>
    </w:p>
    <w:p w14:paraId="75BE3015" w14:textId="77777777" w:rsidR="00643CE2" w:rsidRPr="0044100E" w:rsidRDefault="00643CE2" w:rsidP="00643CE2">
      <w:pPr>
        <w:jc w:val="both"/>
        <w:rPr>
          <w:rFonts w:ascii="Arial" w:hAnsi="Arial" w:cs="Arial"/>
          <w:sz w:val="22"/>
          <w:szCs w:val="22"/>
        </w:rPr>
      </w:pPr>
    </w:p>
    <w:p w14:paraId="1C4783B3" w14:textId="3B2DAF5A"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De acuerdo con el COAI de la vigencia 2020, el </w:t>
      </w:r>
      <w:r w:rsidR="009B0AC1">
        <w:rPr>
          <w:rFonts w:ascii="Arial" w:hAnsi="Arial" w:cs="Arial"/>
          <w:sz w:val="22"/>
          <w:szCs w:val="22"/>
        </w:rPr>
        <w:t>D</w:t>
      </w:r>
      <w:r w:rsidRPr="0044100E">
        <w:rPr>
          <w:rFonts w:ascii="Arial" w:hAnsi="Arial" w:cs="Arial"/>
          <w:sz w:val="22"/>
          <w:szCs w:val="22"/>
        </w:rPr>
        <w:t xml:space="preserve">epartamento planea ejecutar sus acciones </w:t>
      </w:r>
      <w:r w:rsidR="00A653E4" w:rsidRPr="0044100E">
        <w:rPr>
          <w:rFonts w:ascii="Arial" w:hAnsi="Arial" w:cs="Arial"/>
          <w:sz w:val="22"/>
          <w:szCs w:val="22"/>
        </w:rPr>
        <w:t>mediante</w:t>
      </w:r>
      <w:r w:rsidRPr="0044100E">
        <w:rPr>
          <w:rFonts w:ascii="Arial" w:hAnsi="Arial" w:cs="Arial"/>
          <w:sz w:val="22"/>
          <w:szCs w:val="22"/>
        </w:rPr>
        <w:t xml:space="preserve"> 3 proyectos de inversión </w:t>
      </w:r>
      <w:r w:rsidR="00A653E4" w:rsidRPr="0044100E">
        <w:rPr>
          <w:rFonts w:ascii="Arial" w:hAnsi="Arial" w:cs="Arial"/>
          <w:sz w:val="22"/>
          <w:szCs w:val="22"/>
        </w:rPr>
        <w:t>apropiando recursos por</w:t>
      </w:r>
      <w:r w:rsidR="009C7544">
        <w:rPr>
          <w:rFonts w:ascii="Arial" w:hAnsi="Arial" w:cs="Arial"/>
          <w:sz w:val="22"/>
          <w:szCs w:val="22"/>
        </w:rPr>
        <w:t xml:space="preserve"> </w:t>
      </w:r>
      <w:r w:rsidRPr="0044100E">
        <w:rPr>
          <w:rFonts w:ascii="Arial" w:hAnsi="Arial" w:cs="Arial"/>
          <w:sz w:val="22"/>
          <w:szCs w:val="22"/>
        </w:rPr>
        <w:t>$22,452 millones</w:t>
      </w:r>
      <w:r w:rsidR="00A653E4" w:rsidRPr="0044100E">
        <w:rPr>
          <w:rFonts w:ascii="Arial" w:hAnsi="Arial" w:cs="Arial"/>
          <w:sz w:val="22"/>
          <w:szCs w:val="22"/>
        </w:rPr>
        <w:t xml:space="preserve"> y reportando</w:t>
      </w:r>
      <w:r w:rsidR="009C7544">
        <w:rPr>
          <w:rFonts w:ascii="Arial" w:hAnsi="Arial" w:cs="Arial"/>
          <w:sz w:val="22"/>
          <w:szCs w:val="22"/>
        </w:rPr>
        <w:t xml:space="preserve"> </w:t>
      </w:r>
      <w:r w:rsidRPr="0044100E">
        <w:rPr>
          <w:rFonts w:ascii="Arial" w:hAnsi="Arial" w:cs="Arial"/>
          <w:sz w:val="22"/>
          <w:szCs w:val="22"/>
        </w:rPr>
        <w:t xml:space="preserve">fuentes de financiación para respaldarlos por $22.893 millones, identificando una diferencia de $441 millones. </w:t>
      </w:r>
      <w:r w:rsidR="00A653E4" w:rsidRPr="0044100E">
        <w:rPr>
          <w:rFonts w:ascii="Arial" w:hAnsi="Arial" w:cs="Arial"/>
          <w:sz w:val="22"/>
          <w:szCs w:val="22"/>
        </w:rPr>
        <w:t>De manera particular llama la atención que f</w:t>
      </w:r>
      <w:r w:rsidRPr="0044100E">
        <w:rPr>
          <w:rFonts w:ascii="Arial" w:hAnsi="Arial" w:cs="Arial"/>
          <w:sz w:val="22"/>
          <w:szCs w:val="22"/>
        </w:rPr>
        <w:t xml:space="preserve">rente a uno de los proyectos </w:t>
      </w:r>
      <w:r w:rsidR="00A653E4" w:rsidRPr="0044100E">
        <w:rPr>
          <w:rFonts w:ascii="Arial" w:hAnsi="Arial" w:cs="Arial"/>
          <w:sz w:val="22"/>
          <w:szCs w:val="22"/>
        </w:rPr>
        <w:t>“</w:t>
      </w:r>
      <w:r w:rsidRPr="0044100E">
        <w:rPr>
          <w:rFonts w:ascii="Arial" w:hAnsi="Arial" w:cs="Arial"/>
          <w:sz w:val="22"/>
          <w:szCs w:val="22"/>
        </w:rPr>
        <w:t>Fortalecimiento de la Autoridad Sanitaria</w:t>
      </w:r>
      <w:r w:rsidR="00A653E4" w:rsidRPr="0044100E">
        <w:rPr>
          <w:rFonts w:ascii="Arial" w:hAnsi="Arial" w:cs="Arial"/>
          <w:sz w:val="22"/>
          <w:szCs w:val="22"/>
        </w:rPr>
        <w:t>”</w:t>
      </w:r>
      <w:r w:rsidRPr="0044100E">
        <w:rPr>
          <w:rFonts w:ascii="Arial" w:hAnsi="Arial" w:cs="Arial"/>
          <w:sz w:val="22"/>
          <w:szCs w:val="22"/>
        </w:rPr>
        <w:t xml:space="preserve"> se planeó el objetivo </w:t>
      </w:r>
      <w:r w:rsidR="00A653E4" w:rsidRPr="0044100E">
        <w:rPr>
          <w:rFonts w:ascii="Arial" w:hAnsi="Arial" w:cs="Arial"/>
          <w:sz w:val="22"/>
          <w:szCs w:val="22"/>
        </w:rPr>
        <w:t xml:space="preserve">encaminado a </w:t>
      </w:r>
      <w:r w:rsidRPr="0044100E">
        <w:rPr>
          <w:rFonts w:ascii="Arial" w:hAnsi="Arial" w:cs="Arial"/>
          <w:sz w:val="22"/>
          <w:szCs w:val="22"/>
        </w:rPr>
        <w:t xml:space="preserve">“Vigilar el funcionamiento de la red de prestación de servicios”, </w:t>
      </w:r>
      <w:r w:rsidR="00A653E4" w:rsidRPr="0044100E">
        <w:rPr>
          <w:rFonts w:ascii="Arial" w:hAnsi="Arial" w:cs="Arial"/>
          <w:sz w:val="22"/>
          <w:szCs w:val="22"/>
        </w:rPr>
        <w:t>que sería financiado con</w:t>
      </w:r>
      <w:r w:rsidR="009C7544">
        <w:rPr>
          <w:rFonts w:ascii="Arial" w:hAnsi="Arial" w:cs="Arial"/>
          <w:sz w:val="22"/>
          <w:szCs w:val="22"/>
        </w:rPr>
        <w:t xml:space="preserve"> </w:t>
      </w:r>
      <w:r w:rsidRPr="0044100E">
        <w:rPr>
          <w:rFonts w:ascii="Arial" w:hAnsi="Arial" w:cs="Arial"/>
          <w:sz w:val="22"/>
          <w:szCs w:val="22"/>
        </w:rPr>
        <w:t>recursos del SGP</w:t>
      </w:r>
      <w:r w:rsidR="00A653E4" w:rsidRPr="0044100E">
        <w:rPr>
          <w:rFonts w:ascii="Arial" w:hAnsi="Arial" w:cs="Arial"/>
          <w:sz w:val="22"/>
          <w:szCs w:val="22"/>
        </w:rPr>
        <w:t>- Salud Pública</w:t>
      </w:r>
      <w:r w:rsidRPr="0044100E">
        <w:rPr>
          <w:rFonts w:ascii="Arial" w:hAnsi="Arial" w:cs="Arial"/>
          <w:sz w:val="22"/>
          <w:szCs w:val="22"/>
        </w:rPr>
        <w:t xml:space="preserve">, </w:t>
      </w:r>
      <w:r w:rsidR="00A653E4" w:rsidRPr="0044100E">
        <w:rPr>
          <w:rFonts w:ascii="Arial" w:hAnsi="Arial" w:cs="Arial"/>
          <w:sz w:val="22"/>
          <w:szCs w:val="22"/>
        </w:rPr>
        <w:t>conducta que sería contraria a lo previsto por la Resolución 518 de 2015 en relación a los procesos de gestión de la salud pública que pueden ser</w:t>
      </w:r>
      <w:r w:rsidR="009C7544">
        <w:rPr>
          <w:rFonts w:ascii="Arial" w:hAnsi="Arial" w:cs="Arial"/>
          <w:sz w:val="22"/>
          <w:szCs w:val="22"/>
        </w:rPr>
        <w:t xml:space="preserve"> </w:t>
      </w:r>
      <w:r w:rsidR="00A653E4" w:rsidRPr="0044100E">
        <w:rPr>
          <w:rFonts w:ascii="Arial" w:hAnsi="Arial" w:cs="Arial"/>
          <w:sz w:val="22"/>
          <w:szCs w:val="22"/>
        </w:rPr>
        <w:t xml:space="preserve">financiables con dicha fuente, </w:t>
      </w:r>
      <w:r w:rsidRPr="0044100E">
        <w:rPr>
          <w:rFonts w:ascii="Arial" w:hAnsi="Arial" w:cs="Arial"/>
          <w:sz w:val="22"/>
          <w:szCs w:val="22"/>
        </w:rPr>
        <w:t xml:space="preserve">acción que </w:t>
      </w:r>
      <w:r w:rsidR="00A653E4" w:rsidRPr="0044100E">
        <w:rPr>
          <w:rFonts w:ascii="Arial" w:hAnsi="Arial" w:cs="Arial"/>
          <w:sz w:val="22"/>
          <w:szCs w:val="22"/>
        </w:rPr>
        <w:t>será objeto de verificación</w:t>
      </w:r>
      <w:r w:rsidR="009C7544">
        <w:rPr>
          <w:rFonts w:ascii="Arial" w:hAnsi="Arial" w:cs="Arial"/>
          <w:sz w:val="22"/>
          <w:szCs w:val="22"/>
        </w:rPr>
        <w:t xml:space="preserve"> </w:t>
      </w:r>
      <w:r w:rsidRPr="0044100E">
        <w:rPr>
          <w:rFonts w:ascii="Arial" w:hAnsi="Arial" w:cs="Arial"/>
          <w:sz w:val="22"/>
          <w:szCs w:val="22"/>
        </w:rPr>
        <w:t>en el reconocimiento institucional.</w:t>
      </w:r>
    </w:p>
    <w:p w14:paraId="7E943D6B" w14:textId="77777777" w:rsidR="00643CE2" w:rsidRPr="0044100E" w:rsidRDefault="00643CE2" w:rsidP="00643CE2">
      <w:pPr>
        <w:jc w:val="both"/>
        <w:rPr>
          <w:rFonts w:ascii="Arial" w:hAnsi="Arial" w:cs="Arial"/>
          <w:sz w:val="22"/>
          <w:szCs w:val="22"/>
        </w:rPr>
      </w:pPr>
    </w:p>
    <w:p w14:paraId="18053872" w14:textId="77777777" w:rsidR="00643CE2" w:rsidRPr="0044100E" w:rsidRDefault="00643CE2" w:rsidP="00643CE2">
      <w:pPr>
        <w:jc w:val="both"/>
        <w:rPr>
          <w:rFonts w:ascii="Arial" w:hAnsi="Arial" w:cs="Arial"/>
          <w:sz w:val="18"/>
          <w:szCs w:val="18"/>
        </w:rPr>
      </w:pPr>
      <w:r w:rsidRPr="0044100E">
        <w:rPr>
          <w:rFonts w:ascii="Arial" w:hAnsi="Arial" w:cs="Arial"/>
          <w:noProof/>
          <w:sz w:val="18"/>
          <w:szCs w:val="18"/>
          <w:lang w:val="es-CO" w:eastAsia="es-CO"/>
        </w:rPr>
        <w:drawing>
          <wp:anchor distT="0" distB="0" distL="114300" distR="114300" simplePos="0" relativeHeight="251657216" behindDoc="0" locked="0" layoutInCell="1" allowOverlap="1" wp14:anchorId="755498D5" wp14:editId="49782BE6">
            <wp:simplePos x="0" y="0"/>
            <wp:positionH relativeFrom="margin">
              <wp:align>left</wp:align>
            </wp:positionH>
            <wp:positionV relativeFrom="paragraph">
              <wp:posOffset>179705</wp:posOffset>
            </wp:positionV>
            <wp:extent cx="5612130" cy="1826895"/>
            <wp:effectExtent l="0" t="0" r="7620" b="190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1826895"/>
                    </a:xfrm>
                    <a:prstGeom prst="rect">
                      <a:avLst/>
                    </a:prstGeom>
                    <a:noFill/>
                  </pic:spPr>
                </pic:pic>
              </a:graphicData>
            </a:graphic>
          </wp:anchor>
        </w:drawing>
      </w:r>
      <w:r w:rsidRPr="0044100E">
        <w:rPr>
          <w:rFonts w:ascii="Arial" w:hAnsi="Arial" w:cs="Arial"/>
          <w:sz w:val="18"/>
          <w:szCs w:val="18"/>
        </w:rPr>
        <w:t>Cifras: Millones de pesos</w:t>
      </w:r>
    </w:p>
    <w:p w14:paraId="1B532996" w14:textId="77777777" w:rsidR="00643CE2" w:rsidRPr="0044100E" w:rsidRDefault="00643CE2" w:rsidP="00643CE2">
      <w:pPr>
        <w:jc w:val="both"/>
        <w:rPr>
          <w:rFonts w:ascii="Arial" w:hAnsi="Arial" w:cs="Arial"/>
          <w:sz w:val="18"/>
          <w:szCs w:val="18"/>
        </w:rPr>
      </w:pPr>
      <w:r w:rsidRPr="0044100E">
        <w:rPr>
          <w:rFonts w:ascii="Arial" w:hAnsi="Arial" w:cs="Arial"/>
          <w:sz w:val="18"/>
          <w:szCs w:val="18"/>
        </w:rPr>
        <w:t>Elaborado a partir de información remitida por la Entidad Territorial.</w:t>
      </w:r>
    </w:p>
    <w:p w14:paraId="606F0D7F" w14:textId="77777777" w:rsidR="00643CE2" w:rsidRPr="0044100E" w:rsidRDefault="00643CE2" w:rsidP="00643CE2">
      <w:pPr>
        <w:jc w:val="both"/>
        <w:rPr>
          <w:rFonts w:ascii="Arial" w:hAnsi="Arial" w:cs="Arial"/>
          <w:sz w:val="22"/>
          <w:szCs w:val="22"/>
        </w:rPr>
      </w:pPr>
    </w:p>
    <w:p w14:paraId="1F65AF35" w14:textId="1E685FDE"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Ahora bien, en el PAS para la vigencia 2020 la </w:t>
      </w:r>
      <w:r w:rsidR="009B0AC1">
        <w:rPr>
          <w:rFonts w:ascii="Arial" w:hAnsi="Arial" w:cs="Arial"/>
          <w:sz w:val="22"/>
          <w:szCs w:val="22"/>
        </w:rPr>
        <w:t>E</w:t>
      </w:r>
      <w:r w:rsidRPr="0044100E">
        <w:rPr>
          <w:rFonts w:ascii="Arial" w:hAnsi="Arial" w:cs="Arial"/>
          <w:sz w:val="22"/>
          <w:szCs w:val="22"/>
        </w:rPr>
        <w:t>ntidad Territorial identific</w:t>
      </w:r>
      <w:r w:rsidR="00F511D4" w:rsidRPr="0044100E">
        <w:rPr>
          <w:rFonts w:ascii="Arial" w:hAnsi="Arial" w:cs="Arial"/>
          <w:sz w:val="22"/>
          <w:szCs w:val="22"/>
        </w:rPr>
        <w:t>ó</w:t>
      </w:r>
      <w:r w:rsidRPr="0044100E">
        <w:rPr>
          <w:rFonts w:ascii="Arial" w:hAnsi="Arial" w:cs="Arial"/>
          <w:sz w:val="22"/>
          <w:szCs w:val="22"/>
        </w:rPr>
        <w:t xml:space="preserve"> las líneas operativas conforme a la norma y apropi</w:t>
      </w:r>
      <w:r w:rsidR="00F511D4" w:rsidRPr="0044100E">
        <w:rPr>
          <w:rFonts w:ascii="Arial" w:hAnsi="Arial" w:cs="Arial"/>
          <w:sz w:val="22"/>
          <w:szCs w:val="22"/>
        </w:rPr>
        <w:t>ó</w:t>
      </w:r>
      <w:r w:rsidRPr="0044100E">
        <w:rPr>
          <w:rFonts w:ascii="Arial" w:hAnsi="Arial" w:cs="Arial"/>
          <w:sz w:val="22"/>
          <w:szCs w:val="22"/>
        </w:rPr>
        <w:t xml:space="preserve"> un total de </w:t>
      </w:r>
      <w:r w:rsidR="006F1BA4">
        <w:rPr>
          <w:rFonts w:ascii="Arial" w:hAnsi="Arial" w:cs="Arial"/>
          <w:sz w:val="22"/>
          <w:szCs w:val="22"/>
        </w:rPr>
        <w:t>$</w:t>
      </w:r>
      <w:r w:rsidRPr="0044100E">
        <w:rPr>
          <w:rFonts w:ascii="Arial" w:hAnsi="Arial" w:cs="Arial"/>
          <w:sz w:val="22"/>
          <w:szCs w:val="22"/>
        </w:rPr>
        <w:t>21.029 millones distribuidos</w:t>
      </w:r>
      <w:r w:rsidR="00F511D4" w:rsidRPr="0044100E">
        <w:rPr>
          <w:rFonts w:ascii="Arial" w:hAnsi="Arial" w:cs="Arial"/>
          <w:sz w:val="22"/>
          <w:szCs w:val="22"/>
        </w:rPr>
        <w:t xml:space="preserve"> así:</w:t>
      </w:r>
      <w:r w:rsidRPr="0044100E">
        <w:rPr>
          <w:rFonts w:ascii="Arial" w:hAnsi="Arial" w:cs="Arial"/>
          <w:sz w:val="22"/>
          <w:szCs w:val="22"/>
        </w:rPr>
        <w:t xml:space="preserve"> 97% (</w:t>
      </w:r>
      <w:r w:rsidR="006F1BA4">
        <w:rPr>
          <w:rFonts w:ascii="Arial" w:hAnsi="Arial" w:cs="Arial"/>
          <w:sz w:val="22"/>
          <w:szCs w:val="22"/>
        </w:rPr>
        <w:t>$</w:t>
      </w:r>
      <w:r w:rsidRPr="0044100E">
        <w:rPr>
          <w:rFonts w:ascii="Arial" w:hAnsi="Arial" w:cs="Arial"/>
          <w:sz w:val="22"/>
          <w:szCs w:val="22"/>
        </w:rPr>
        <w:t>20.399 millones) para Gestión de la Salud P</w:t>
      </w:r>
      <w:r w:rsidR="00F511D4" w:rsidRPr="0044100E">
        <w:rPr>
          <w:rFonts w:ascii="Arial" w:hAnsi="Arial" w:cs="Arial"/>
          <w:sz w:val="22"/>
          <w:szCs w:val="22"/>
        </w:rPr>
        <w:t>ú</w:t>
      </w:r>
      <w:r w:rsidRPr="0044100E">
        <w:rPr>
          <w:rFonts w:ascii="Arial" w:hAnsi="Arial" w:cs="Arial"/>
          <w:sz w:val="22"/>
          <w:szCs w:val="22"/>
        </w:rPr>
        <w:t>blica, 1% (</w:t>
      </w:r>
      <w:r w:rsidR="006F1BA4">
        <w:rPr>
          <w:rFonts w:ascii="Arial" w:hAnsi="Arial" w:cs="Arial"/>
          <w:sz w:val="22"/>
          <w:szCs w:val="22"/>
        </w:rPr>
        <w:t>$</w:t>
      </w:r>
      <w:r w:rsidRPr="0044100E">
        <w:rPr>
          <w:rFonts w:ascii="Arial" w:hAnsi="Arial" w:cs="Arial"/>
          <w:sz w:val="22"/>
          <w:szCs w:val="22"/>
        </w:rPr>
        <w:t>283 millones) para Gestión de Riesgo en Salud y 2% ($346 millones) para promoción de la Salud P</w:t>
      </w:r>
      <w:r w:rsidR="00F511D4" w:rsidRPr="0044100E">
        <w:rPr>
          <w:rFonts w:ascii="Arial" w:hAnsi="Arial" w:cs="Arial"/>
          <w:sz w:val="22"/>
          <w:szCs w:val="22"/>
        </w:rPr>
        <w:t>ú</w:t>
      </w:r>
      <w:r w:rsidRPr="0044100E">
        <w:rPr>
          <w:rFonts w:ascii="Arial" w:hAnsi="Arial" w:cs="Arial"/>
          <w:sz w:val="22"/>
          <w:szCs w:val="22"/>
        </w:rPr>
        <w:t xml:space="preserve">blica. No obstante, se identifica un total de recursos programados que ascendió a </w:t>
      </w:r>
      <w:r w:rsidR="006F1BA4">
        <w:rPr>
          <w:rFonts w:ascii="Arial" w:hAnsi="Arial" w:cs="Arial"/>
          <w:sz w:val="22"/>
          <w:szCs w:val="22"/>
        </w:rPr>
        <w:t>$</w:t>
      </w:r>
      <w:r w:rsidRPr="0044100E">
        <w:rPr>
          <w:rFonts w:ascii="Arial" w:hAnsi="Arial" w:cs="Arial"/>
          <w:sz w:val="22"/>
          <w:szCs w:val="22"/>
        </w:rPr>
        <w:t>2.027 millones lo que representa el 10% del valor apropiado para esta vigencia</w:t>
      </w:r>
      <w:r w:rsidR="00F511D4" w:rsidRPr="0044100E">
        <w:rPr>
          <w:rFonts w:ascii="Arial" w:hAnsi="Arial" w:cs="Arial"/>
          <w:sz w:val="22"/>
          <w:szCs w:val="22"/>
        </w:rPr>
        <w:t>, además de diferir</w:t>
      </w:r>
      <w:r w:rsidRPr="0044100E">
        <w:rPr>
          <w:rFonts w:ascii="Arial" w:hAnsi="Arial" w:cs="Arial"/>
          <w:sz w:val="22"/>
          <w:szCs w:val="22"/>
        </w:rPr>
        <w:t xml:space="preserve"> del valor programado en el COAI, situación que será objeto de verificación con la entidad territorial.</w:t>
      </w:r>
    </w:p>
    <w:p w14:paraId="1AFF5794" w14:textId="77777777" w:rsidR="00643CE2" w:rsidRPr="0044100E" w:rsidRDefault="00643CE2" w:rsidP="00643CE2">
      <w:pPr>
        <w:jc w:val="both"/>
        <w:rPr>
          <w:rFonts w:ascii="Arial" w:hAnsi="Arial" w:cs="Arial"/>
          <w:sz w:val="22"/>
          <w:szCs w:val="22"/>
        </w:rPr>
      </w:pPr>
    </w:p>
    <w:p w14:paraId="50CF7BA4" w14:textId="77777777" w:rsidR="00643CE2" w:rsidRPr="0044100E" w:rsidRDefault="00643CE2" w:rsidP="00643CE2">
      <w:pPr>
        <w:ind w:firstLine="708"/>
        <w:rPr>
          <w:rFonts w:ascii="Arial" w:hAnsi="Arial" w:cs="Arial"/>
          <w:sz w:val="18"/>
          <w:szCs w:val="18"/>
        </w:rPr>
      </w:pPr>
      <w:r w:rsidRPr="0044100E">
        <w:rPr>
          <w:rFonts w:ascii="Arial" w:hAnsi="Arial" w:cs="Arial"/>
          <w:noProof/>
          <w:lang w:val="es-CO" w:eastAsia="es-CO"/>
        </w:rPr>
        <w:drawing>
          <wp:anchor distT="0" distB="0" distL="114300" distR="114300" simplePos="0" relativeHeight="251658240" behindDoc="0" locked="0" layoutInCell="1" allowOverlap="1" wp14:anchorId="2238EE99" wp14:editId="7D262777">
            <wp:simplePos x="0" y="0"/>
            <wp:positionH relativeFrom="margin">
              <wp:align>center</wp:align>
            </wp:positionH>
            <wp:positionV relativeFrom="paragraph">
              <wp:posOffset>168275</wp:posOffset>
            </wp:positionV>
            <wp:extent cx="5005705" cy="1162685"/>
            <wp:effectExtent l="0" t="0" r="444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705" cy="1162685"/>
                    </a:xfrm>
                    <a:prstGeom prst="rect">
                      <a:avLst/>
                    </a:prstGeom>
                    <a:noFill/>
                  </pic:spPr>
                </pic:pic>
              </a:graphicData>
            </a:graphic>
          </wp:anchor>
        </w:drawing>
      </w:r>
      <w:r w:rsidRPr="0044100E">
        <w:rPr>
          <w:rFonts w:ascii="Arial" w:hAnsi="Arial" w:cs="Arial"/>
          <w:sz w:val="18"/>
          <w:szCs w:val="18"/>
        </w:rPr>
        <w:t>Cifras: Millones de pesos</w:t>
      </w:r>
    </w:p>
    <w:p w14:paraId="42C7293B" w14:textId="77777777" w:rsidR="00643CE2" w:rsidRPr="0044100E" w:rsidRDefault="00643CE2" w:rsidP="00643CE2">
      <w:pPr>
        <w:jc w:val="both"/>
        <w:rPr>
          <w:rFonts w:ascii="Arial" w:hAnsi="Arial" w:cs="Arial"/>
          <w:sz w:val="22"/>
          <w:szCs w:val="22"/>
        </w:rPr>
      </w:pPr>
    </w:p>
    <w:p w14:paraId="6D85906D" w14:textId="77777777" w:rsidR="00643CE2" w:rsidRPr="0044100E" w:rsidRDefault="00643CE2" w:rsidP="00643CE2">
      <w:pPr>
        <w:ind w:firstLine="708"/>
        <w:jc w:val="both"/>
        <w:rPr>
          <w:rFonts w:ascii="Arial" w:hAnsi="Arial" w:cs="Arial"/>
          <w:sz w:val="18"/>
          <w:szCs w:val="18"/>
        </w:rPr>
      </w:pPr>
      <w:r w:rsidRPr="0044100E">
        <w:rPr>
          <w:rFonts w:ascii="Arial" w:hAnsi="Arial" w:cs="Arial"/>
          <w:sz w:val="18"/>
          <w:szCs w:val="18"/>
        </w:rPr>
        <w:t>Fuente: Elaborado a partir de información remitida por la Entidad Territorial</w:t>
      </w:r>
    </w:p>
    <w:p w14:paraId="38029731" w14:textId="77777777" w:rsidR="00643CE2" w:rsidRPr="0044100E" w:rsidRDefault="00643CE2" w:rsidP="00643CE2">
      <w:pPr>
        <w:jc w:val="both"/>
        <w:rPr>
          <w:rFonts w:ascii="Arial" w:hAnsi="Arial" w:cs="Arial"/>
          <w:sz w:val="22"/>
          <w:szCs w:val="22"/>
        </w:rPr>
      </w:pPr>
    </w:p>
    <w:p w14:paraId="40988911" w14:textId="75056DA9" w:rsidR="00643CE2" w:rsidRPr="0044100E" w:rsidRDefault="00652DAC" w:rsidP="00643CE2">
      <w:pPr>
        <w:jc w:val="both"/>
        <w:rPr>
          <w:rFonts w:ascii="Arial" w:hAnsi="Arial" w:cs="Arial"/>
          <w:sz w:val="22"/>
          <w:szCs w:val="22"/>
        </w:rPr>
      </w:pPr>
      <w:r w:rsidRPr="0044100E">
        <w:rPr>
          <w:rFonts w:ascii="Arial" w:hAnsi="Arial" w:cs="Arial"/>
          <w:sz w:val="22"/>
          <w:szCs w:val="22"/>
        </w:rPr>
        <w:t xml:space="preserve">Adicionalmente, se identificó que </w:t>
      </w:r>
      <w:r w:rsidR="00643CE2" w:rsidRPr="0044100E">
        <w:rPr>
          <w:rFonts w:ascii="Arial" w:hAnsi="Arial" w:cs="Arial"/>
          <w:sz w:val="22"/>
          <w:szCs w:val="22"/>
        </w:rPr>
        <w:t>program</w:t>
      </w:r>
      <w:r w:rsidR="006D038E" w:rsidRPr="0044100E">
        <w:rPr>
          <w:rFonts w:ascii="Arial" w:hAnsi="Arial" w:cs="Arial"/>
          <w:sz w:val="22"/>
          <w:szCs w:val="22"/>
        </w:rPr>
        <w:t>ó</w:t>
      </w:r>
      <w:r w:rsidR="00643CE2" w:rsidRPr="0044100E">
        <w:rPr>
          <w:rFonts w:ascii="Arial" w:hAnsi="Arial" w:cs="Arial"/>
          <w:sz w:val="22"/>
          <w:szCs w:val="22"/>
        </w:rPr>
        <w:t xml:space="preserve"> </w:t>
      </w:r>
      <w:r w:rsidR="006F1BA4">
        <w:rPr>
          <w:rFonts w:ascii="Arial" w:hAnsi="Arial" w:cs="Arial"/>
          <w:sz w:val="22"/>
          <w:szCs w:val="22"/>
        </w:rPr>
        <w:t>$</w:t>
      </w:r>
      <w:r w:rsidR="00643CE2" w:rsidRPr="0044100E">
        <w:rPr>
          <w:rFonts w:ascii="Arial" w:hAnsi="Arial" w:cs="Arial"/>
          <w:sz w:val="22"/>
          <w:szCs w:val="22"/>
        </w:rPr>
        <w:t>205 millones provenientes del SGP-Salud P</w:t>
      </w:r>
      <w:r w:rsidRPr="0044100E">
        <w:rPr>
          <w:rFonts w:ascii="Arial" w:hAnsi="Arial" w:cs="Arial"/>
          <w:sz w:val="22"/>
          <w:szCs w:val="22"/>
        </w:rPr>
        <w:t>ú</w:t>
      </w:r>
      <w:r w:rsidR="00643CE2" w:rsidRPr="0044100E">
        <w:rPr>
          <w:rFonts w:ascii="Arial" w:hAnsi="Arial" w:cs="Arial"/>
          <w:sz w:val="22"/>
          <w:szCs w:val="22"/>
        </w:rPr>
        <w:t xml:space="preserve">blica para el desarrollo del proceso de coordinación intersectorial, marco en el cual se </w:t>
      </w:r>
      <w:r w:rsidR="00643CE2" w:rsidRPr="0044100E">
        <w:rPr>
          <w:rFonts w:ascii="Arial" w:hAnsi="Arial" w:cs="Arial"/>
          <w:sz w:val="22"/>
          <w:szCs w:val="22"/>
        </w:rPr>
        <w:lastRenderedPageBreak/>
        <w:t xml:space="preserve">identifican acciones no acordes con los productos esperados por parte del </w:t>
      </w:r>
      <w:r w:rsidR="008327AD">
        <w:rPr>
          <w:rFonts w:ascii="Arial" w:hAnsi="Arial" w:cs="Arial"/>
          <w:sz w:val="22"/>
          <w:szCs w:val="22"/>
        </w:rPr>
        <w:t>D</w:t>
      </w:r>
      <w:r w:rsidR="00643CE2" w:rsidRPr="0044100E">
        <w:rPr>
          <w:rFonts w:ascii="Arial" w:hAnsi="Arial" w:cs="Arial"/>
          <w:sz w:val="22"/>
          <w:szCs w:val="22"/>
        </w:rPr>
        <w:t xml:space="preserve">epartamento de acuerdo al documento técnico elaborado por el MSPS </w:t>
      </w:r>
      <w:r w:rsidR="00643CE2" w:rsidRPr="0044100E">
        <w:rPr>
          <w:rFonts w:ascii="Arial" w:hAnsi="Arial" w:cs="Arial"/>
          <w:i/>
          <w:sz w:val="22"/>
          <w:szCs w:val="22"/>
        </w:rPr>
        <w:t>“Directrices para la caracterización y ejecución de los procesos para la Gestión de la Salud Pública en el contexto de la Política de Atención Integral en Salud”.</w:t>
      </w:r>
      <w:r w:rsidR="00643CE2" w:rsidRPr="0044100E">
        <w:rPr>
          <w:rFonts w:ascii="Arial" w:hAnsi="Arial" w:cs="Arial"/>
          <w:sz w:val="22"/>
          <w:szCs w:val="22"/>
        </w:rPr>
        <w:t xml:space="preserve"> Los productos </w:t>
      </w:r>
      <w:r w:rsidRPr="0044100E">
        <w:rPr>
          <w:rFonts w:ascii="Arial" w:hAnsi="Arial" w:cs="Arial"/>
          <w:sz w:val="22"/>
          <w:szCs w:val="22"/>
        </w:rPr>
        <w:t xml:space="preserve">de las </w:t>
      </w:r>
      <w:r w:rsidR="00643CE2" w:rsidRPr="0044100E">
        <w:rPr>
          <w:rFonts w:ascii="Arial" w:hAnsi="Arial" w:cs="Arial"/>
          <w:sz w:val="22"/>
          <w:szCs w:val="22"/>
        </w:rPr>
        <w:t>acciones identificadas corresponden a:</w:t>
      </w:r>
    </w:p>
    <w:p w14:paraId="36CF192F" w14:textId="77777777" w:rsidR="00643CE2" w:rsidRPr="0044100E" w:rsidRDefault="00643CE2" w:rsidP="00643CE2">
      <w:pPr>
        <w:jc w:val="both"/>
        <w:rPr>
          <w:rFonts w:ascii="Arial" w:hAnsi="Arial" w:cs="Arial"/>
          <w:sz w:val="22"/>
          <w:szCs w:val="22"/>
        </w:rPr>
      </w:pPr>
    </w:p>
    <w:p w14:paraId="4205E8E8" w14:textId="1BD84A83" w:rsidR="00643CE2" w:rsidRPr="0044100E" w:rsidRDefault="008327AD" w:rsidP="00643CE2">
      <w:pPr>
        <w:ind w:left="708"/>
        <w:jc w:val="both"/>
        <w:rPr>
          <w:rFonts w:ascii="Arial" w:hAnsi="Arial" w:cs="Arial"/>
          <w:i/>
          <w:iCs/>
          <w:sz w:val="20"/>
          <w:szCs w:val="20"/>
        </w:rPr>
      </w:pPr>
      <w:r>
        <w:rPr>
          <w:rFonts w:ascii="Arial" w:hAnsi="Arial" w:cs="Arial"/>
          <w:i/>
          <w:iCs/>
          <w:sz w:val="20"/>
          <w:szCs w:val="20"/>
        </w:rPr>
        <w:t>“</w:t>
      </w:r>
      <w:r w:rsidR="00643CE2" w:rsidRPr="0044100E">
        <w:rPr>
          <w:rFonts w:ascii="Arial" w:hAnsi="Arial" w:cs="Arial"/>
          <w:i/>
          <w:iCs/>
          <w:sz w:val="20"/>
          <w:szCs w:val="20"/>
        </w:rPr>
        <w:t>[…]</w:t>
      </w:r>
      <w:r>
        <w:rPr>
          <w:rFonts w:ascii="Arial" w:hAnsi="Arial" w:cs="Arial"/>
          <w:i/>
          <w:iCs/>
          <w:sz w:val="20"/>
          <w:szCs w:val="20"/>
        </w:rPr>
        <w:t xml:space="preserve"> </w:t>
      </w:r>
      <w:r w:rsidR="00643CE2" w:rsidRPr="0044100E">
        <w:rPr>
          <w:rFonts w:ascii="Arial" w:hAnsi="Arial" w:cs="Arial"/>
          <w:i/>
          <w:iCs/>
          <w:sz w:val="20"/>
          <w:szCs w:val="20"/>
        </w:rPr>
        <w:t>Desarrollar en cada anualidad asistencia técnica en las 3 entidades territoriales y al consejo seccional</w:t>
      </w:r>
      <w:r w:rsidR="009C7544">
        <w:rPr>
          <w:rFonts w:ascii="Arial" w:hAnsi="Arial" w:cs="Arial"/>
          <w:i/>
          <w:iCs/>
          <w:sz w:val="20"/>
          <w:szCs w:val="20"/>
        </w:rPr>
        <w:t xml:space="preserve"> </w:t>
      </w:r>
      <w:r w:rsidR="00643CE2" w:rsidRPr="0044100E">
        <w:rPr>
          <w:rFonts w:ascii="Arial" w:hAnsi="Arial" w:cs="Arial"/>
          <w:i/>
          <w:iCs/>
          <w:sz w:val="20"/>
          <w:szCs w:val="20"/>
        </w:rPr>
        <w:t>de estupefacientes,</w:t>
      </w:r>
      <w:r w:rsidR="009C7544">
        <w:rPr>
          <w:rFonts w:ascii="Arial" w:hAnsi="Arial" w:cs="Arial"/>
          <w:i/>
          <w:iCs/>
          <w:sz w:val="20"/>
          <w:szCs w:val="20"/>
        </w:rPr>
        <w:t xml:space="preserve"> </w:t>
      </w:r>
      <w:r w:rsidR="00643CE2" w:rsidRPr="0044100E">
        <w:rPr>
          <w:rFonts w:ascii="Arial" w:hAnsi="Arial" w:cs="Arial"/>
          <w:i/>
          <w:iCs/>
          <w:sz w:val="20"/>
          <w:szCs w:val="20"/>
        </w:rPr>
        <w:t>para la implementación de</w:t>
      </w:r>
      <w:r w:rsidR="009C7544">
        <w:rPr>
          <w:rFonts w:ascii="Arial" w:hAnsi="Arial" w:cs="Arial"/>
          <w:i/>
          <w:iCs/>
          <w:sz w:val="20"/>
          <w:szCs w:val="20"/>
        </w:rPr>
        <w:t xml:space="preserve"> </w:t>
      </w:r>
      <w:r w:rsidR="00643CE2" w:rsidRPr="0044100E">
        <w:rPr>
          <w:rFonts w:ascii="Arial" w:hAnsi="Arial" w:cs="Arial"/>
          <w:i/>
          <w:iCs/>
          <w:sz w:val="20"/>
          <w:szCs w:val="20"/>
        </w:rPr>
        <w:t>la Política de Prevención y Atención del Consumo de Sustancias Psicoactivas Departamental, Aumentar el</w:t>
      </w:r>
      <w:r w:rsidR="009C7544">
        <w:rPr>
          <w:rFonts w:ascii="Arial" w:hAnsi="Arial" w:cs="Arial"/>
          <w:i/>
          <w:iCs/>
          <w:sz w:val="20"/>
          <w:szCs w:val="20"/>
        </w:rPr>
        <w:t xml:space="preserve"> </w:t>
      </w:r>
      <w:r w:rsidR="00643CE2" w:rsidRPr="0044100E">
        <w:rPr>
          <w:rFonts w:ascii="Arial" w:hAnsi="Arial" w:cs="Arial"/>
          <w:i/>
          <w:iCs/>
          <w:sz w:val="20"/>
          <w:szCs w:val="20"/>
        </w:rPr>
        <w:t>número de afiliados al Sistema General de Riesgos Laborales en un 6% durante el cuatrienio, Realizar asistencia técnica en 7 actores del SGSSS cada año para la implementación y Incrementar en seis (6) el número de entidades territoriales que certifican y actualizan el registro de localización y caracterización de personas con discapacidad durante el cuatrienio</w:t>
      </w:r>
      <w:r>
        <w:rPr>
          <w:rFonts w:ascii="Arial" w:hAnsi="Arial" w:cs="Arial"/>
          <w:i/>
          <w:iCs/>
          <w:sz w:val="20"/>
          <w:szCs w:val="20"/>
        </w:rPr>
        <w:t xml:space="preserve"> </w:t>
      </w:r>
      <w:r w:rsidR="00643CE2" w:rsidRPr="0044100E">
        <w:rPr>
          <w:rFonts w:ascii="Arial" w:hAnsi="Arial" w:cs="Arial"/>
          <w:i/>
          <w:iCs/>
          <w:sz w:val="20"/>
          <w:szCs w:val="20"/>
        </w:rPr>
        <w:t>[…</w:t>
      </w:r>
      <w:r>
        <w:rPr>
          <w:rFonts w:ascii="Arial" w:hAnsi="Arial" w:cs="Arial"/>
          <w:i/>
          <w:iCs/>
          <w:sz w:val="20"/>
          <w:szCs w:val="20"/>
        </w:rPr>
        <w:t>”.</w:t>
      </w:r>
    </w:p>
    <w:p w14:paraId="77C4D509" w14:textId="77777777" w:rsidR="00643CE2" w:rsidRPr="0044100E" w:rsidRDefault="00643CE2" w:rsidP="00643CE2">
      <w:pPr>
        <w:jc w:val="both"/>
        <w:rPr>
          <w:rFonts w:ascii="Arial" w:hAnsi="Arial" w:cs="Arial"/>
          <w:sz w:val="22"/>
          <w:szCs w:val="22"/>
        </w:rPr>
      </w:pPr>
    </w:p>
    <w:p w14:paraId="552DA26B" w14:textId="63A8788B"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Las herramientas de planeación para la vigencia 2020 presentan diferencias entre sí y no son coherentes con la ejecución presupuestal del Fondo Local de Salud remitida por la Entidad Territorial toda vez que, el PAS contiene un valor de apropiación de $21.029 millones, el COAI un valor de apropiación de $22.452 millones y la apropiación definitiva contenida en la ejecución presupuestal de salud pública es de $10.057 </w:t>
      </w:r>
      <w:r w:rsidR="0012296B" w:rsidRPr="0044100E">
        <w:rPr>
          <w:rFonts w:ascii="Arial" w:hAnsi="Arial" w:cs="Arial"/>
          <w:sz w:val="22"/>
          <w:szCs w:val="22"/>
        </w:rPr>
        <w:t>millones; similares</w:t>
      </w:r>
      <w:r w:rsidRPr="0044100E">
        <w:rPr>
          <w:rFonts w:ascii="Arial" w:hAnsi="Arial" w:cs="Arial"/>
          <w:sz w:val="22"/>
          <w:szCs w:val="22"/>
        </w:rPr>
        <w:t xml:space="preserve"> situaci</w:t>
      </w:r>
      <w:r w:rsidR="00913266" w:rsidRPr="0044100E">
        <w:rPr>
          <w:rFonts w:ascii="Arial" w:hAnsi="Arial" w:cs="Arial"/>
          <w:sz w:val="22"/>
          <w:szCs w:val="22"/>
        </w:rPr>
        <w:t>ones</w:t>
      </w:r>
      <w:r w:rsidRPr="0044100E">
        <w:rPr>
          <w:rFonts w:ascii="Arial" w:hAnsi="Arial" w:cs="Arial"/>
          <w:sz w:val="22"/>
          <w:szCs w:val="22"/>
        </w:rPr>
        <w:t xml:space="preserve"> se presenta</w:t>
      </w:r>
      <w:r w:rsidR="0012296B" w:rsidRPr="0044100E">
        <w:rPr>
          <w:rFonts w:ascii="Arial" w:hAnsi="Arial" w:cs="Arial"/>
          <w:sz w:val="22"/>
          <w:szCs w:val="22"/>
        </w:rPr>
        <w:t>n</w:t>
      </w:r>
      <w:r w:rsidRPr="0044100E">
        <w:rPr>
          <w:rFonts w:ascii="Arial" w:hAnsi="Arial" w:cs="Arial"/>
          <w:sz w:val="22"/>
          <w:szCs w:val="22"/>
        </w:rPr>
        <w:t xml:space="preserve"> para la vigencia 2021.</w:t>
      </w:r>
    </w:p>
    <w:p w14:paraId="52BCCF4B" w14:textId="77777777" w:rsidR="00643CE2" w:rsidRPr="0044100E" w:rsidRDefault="00643CE2" w:rsidP="00643CE2">
      <w:pPr>
        <w:jc w:val="both"/>
        <w:rPr>
          <w:rFonts w:ascii="Arial" w:hAnsi="Arial" w:cs="Arial"/>
          <w:i/>
          <w:iCs/>
          <w:sz w:val="20"/>
          <w:szCs w:val="20"/>
        </w:rPr>
      </w:pPr>
    </w:p>
    <w:p w14:paraId="306943B8" w14:textId="6070AFC5"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Teniendo en cuenta lo expuesto y evidenciado que las situaciones presentadas para la vigencia 2020 se reiteran para el proceso de planeación en la vigencia 2021, se infiere un posible riesgo tanto en el cumplimiento de metas formuladas para el sector como en la programación y ejecución de los recursos del SGP de Salud Pública, conductas que serán objeto de verificación en el marco del reconocimiento institucional adelantado </w:t>
      </w:r>
      <w:r w:rsidR="00780C6D">
        <w:rPr>
          <w:rFonts w:ascii="Arial" w:hAnsi="Arial" w:cs="Arial"/>
          <w:sz w:val="22"/>
          <w:szCs w:val="22"/>
        </w:rPr>
        <w:t>en</w:t>
      </w:r>
      <w:r w:rsidRPr="0044100E">
        <w:rPr>
          <w:rFonts w:ascii="Arial" w:hAnsi="Arial" w:cs="Arial"/>
          <w:sz w:val="22"/>
          <w:szCs w:val="22"/>
        </w:rPr>
        <w:t xml:space="preserve"> la Entidad Territorial.</w:t>
      </w:r>
    </w:p>
    <w:p w14:paraId="113B38C5" w14:textId="77777777" w:rsidR="00652DAC" w:rsidRPr="0044100E" w:rsidRDefault="00652DAC" w:rsidP="00643CE2">
      <w:pPr>
        <w:jc w:val="both"/>
        <w:rPr>
          <w:rFonts w:ascii="Arial" w:hAnsi="Arial" w:cs="Arial"/>
          <w:sz w:val="22"/>
          <w:szCs w:val="22"/>
        </w:rPr>
      </w:pPr>
    </w:p>
    <w:p w14:paraId="2B3ACD71" w14:textId="77777777" w:rsidR="00643CE2" w:rsidRPr="0044100E" w:rsidRDefault="00643CE2" w:rsidP="00643CE2">
      <w:pPr>
        <w:jc w:val="both"/>
        <w:rPr>
          <w:rFonts w:ascii="Arial" w:hAnsi="Arial" w:cs="Arial"/>
          <w:b/>
          <w:bCs/>
          <w:sz w:val="22"/>
          <w:szCs w:val="22"/>
        </w:rPr>
      </w:pPr>
      <w:r w:rsidRPr="0044100E">
        <w:rPr>
          <w:rFonts w:ascii="Arial" w:hAnsi="Arial" w:cs="Arial"/>
          <w:b/>
          <w:bCs/>
          <w:sz w:val="22"/>
          <w:szCs w:val="22"/>
        </w:rPr>
        <w:t>4.2 Análisis de PIC</w:t>
      </w:r>
    </w:p>
    <w:p w14:paraId="09E83CCC" w14:textId="77777777" w:rsidR="00643CE2" w:rsidRPr="0044100E" w:rsidRDefault="00643CE2" w:rsidP="00643CE2">
      <w:pPr>
        <w:jc w:val="both"/>
        <w:rPr>
          <w:rFonts w:ascii="Arial" w:hAnsi="Arial" w:cs="Arial"/>
          <w:sz w:val="22"/>
          <w:szCs w:val="22"/>
        </w:rPr>
      </w:pPr>
    </w:p>
    <w:p w14:paraId="0753A470" w14:textId="64043768" w:rsidR="001846CC" w:rsidRPr="0044100E" w:rsidRDefault="00643CE2" w:rsidP="00643CE2">
      <w:pPr>
        <w:jc w:val="both"/>
        <w:rPr>
          <w:rFonts w:ascii="Arial" w:hAnsi="Arial" w:cs="Arial"/>
          <w:sz w:val="22"/>
          <w:szCs w:val="22"/>
        </w:rPr>
      </w:pPr>
      <w:r w:rsidRPr="0044100E">
        <w:rPr>
          <w:rFonts w:ascii="Arial" w:hAnsi="Arial" w:cs="Arial"/>
          <w:sz w:val="22"/>
          <w:szCs w:val="22"/>
        </w:rPr>
        <w:t xml:space="preserve">Para la vigencia 2020 la </w:t>
      </w:r>
      <w:r w:rsidR="00780C6D">
        <w:rPr>
          <w:rFonts w:ascii="Arial" w:hAnsi="Arial" w:cs="Arial"/>
          <w:sz w:val="22"/>
          <w:szCs w:val="22"/>
        </w:rPr>
        <w:t>E</w:t>
      </w:r>
      <w:r w:rsidRPr="0044100E">
        <w:rPr>
          <w:rFonts w:ascii="Arial" w:hAnsi="Arial" w:cs="Arial"/>
          <w:sz w:val="22"/>
          <w:szCs w:val="22"/>
        </w:rPr>
        <w:t xml:space="preserve">ntidad suscribió </w:t>
      </w:r>
      <w:r w:rsidR="00001D89">
        <w:rPr>
          <w:rFonts w:ascii="Arial" w:hAnsi="Arial" w:cs="Arial"/>
          <w:sz w:val="22"/>
          <w:szCs w:val="22"/>
        </w:rPr>
        <w:t xml:space="preserve">el </w:t>
      </w:r>
      <w:r w:rsidRPr="0044100E">
        <w:rPr>
          <w:rFonts w:ascii="Arial" w:hAnsi="Arial" w:cs="Arial"/>
          <w:sz w:val="22"/>
          <w:szCs w:val="22"/>
        </w:rPr>
        <w:t>contrato No</w:t>
      </w:r>
      <w:r w:rsidR="00001D89">
        <w:rPr>
          <w:rFonts w:ascii="Arial" w:hAnsi="Arial" w:cs="Arial"/>
          <w:sz w:val="22"/>
          <w:szCs w:val="22"/>
        </w:rPr>
        <w:t>.</w:t>
      </w:r>
      <w:r w:rsidRPr="0044100E">
        <w:rPr>
          <w:rFonts w:ascii="Arial" w:hAnsi="Arial" w:cs="Arial"/>
          <w:sz w:val="22"/>
          <w:szCs w:val="22"/>
        </w:rPr>
        <w:t xml:space="preserve"> 387 con la ESE Hospital San Antonio de Mitú, el cual tiene por objeto </w:t>
      </w:r>
      <w:r w:rsidRPr="0044100E">
        <w:rPr>
          <w:rFonts w:ascii="Arial" w:hAnsi="Arial" w:cs="Arial"/>
          <w:i/>
          <w:sz w:val="22"/>
          <w:szCs w:val="22"/>
        </w:rPr>
        <w:t>“Contratar los servicios para el desarrollo de las acciones del Plan de Intervenciones Colectivas de la secretaria de Salud Departamental, en la vigencia 2020”,</w:t>
      </w:r>
      <w:r w:rsidR="0012296B" w:rsidRPr="0044100E">
        <w:rPr>
          <w:rFonts w:ascii="Arial" w:hAnsi="Arial" w:cs="Arial"/>
          <w:i/>
          <w:sz w:val="22"/>
          <w:szCs w:val="22"/>
        </w:rPr>
        <w:t xml:space="preserve"> </w:t>
      </w:r>
      <w:r w:rsidRPr="0044100E">
        <w:rPr>
          <w:rFonts w:ascii="Arial" w:hAnsi="Arial" w:cs="Arial"/>
          <w:sz w:val="22"/>
          <w:szCs w:val="22"/>
        </w:rPr>
        <w:t xml:space="preserve">financiado con recursos del SGP Salud Publica, iniciando su ejecución el 16 de junio de </w:t>
      </w:r>
      <w:r w:rsidR="0012296B" w:rsidRPr="0044100E">
        <w:rPr>
          <w:rFonts w:ascii="Arial" w:hAnsi="Arial" w:cs="Arial"/>
          <w:sz w:val="22"/>
          <w:szCs w:val="22"/>
        </w:rPr>
        <w:t>2020, comprometiendo</w:t>
      </w:r>
      <w:r w:rsidR="006C76C8" w:rsidRPr="0044100E">
        <w:rPr>
          <w:rFonts w:ascii="Arial" w:hAnsi="Arial" w:cs="Arial"/>
          <w:sz w:val="22"/>
          <w:szCs w:val="22"/>
        </w:rPr>
        <w:t xml:space="preserve"> un total de</w:t>
      </w:r>
      <w:r w:rsidR="009C7544">
        <w:rPr>
          <w:rFonts w:ascii="Arial" w:hAnsi="Arial" w:cs="Arial"/>
          <w:sz w:val="22"/>
          <w:szCs w:val="22"/>
        </w:rPr>
        <w:t xml:space="preserve"> </w:t>
      </w:r>
      <w:r w:rsidRPr="0044100E">
        <w:rPr>
          <w:rFonts w:ascii="Arial" w:hAnsi="Arial" w:cs="Arial"/>
          <w:sz w:val="22"/>
          <w:szCs w:val="22"/>
        </w:rPr>
        <w:t>a $678 millones</w:t>
      </w:r>
      <w:r w:rsidR="006C76C8" w:rsidRPr="0044100E">
        <w:rPr>
          <w:rFonts w:ascii="Arial" w:hAnsi="Arial" w:cs="Arial"/>
          <w:sz w:val="22"/>
          <w:szCs w:val="22"/>
        </w:rPr>
        <w:t>.</w:t>
      </w:r>
      <w:r w:rsidR="009C7544">
        <w:rPr>
          <w:rFonts w:ascii="Arial" w:hAnsi="Arial" w:cs="Arial"/>
          <w:sz w:val="22"/>
          <w:szCs w:val="22"/>
        </w:rPr>
        <w:t xml:space="preserve"> </w:t>
      </w:r>
      <w:r w:rsidR="006C76C8" w:rsidRPr="0044100E">
        <w:rPr>
          <w:rFonts w:ascii="Arial" w:hAnsi="Arial" w:cs="Arial"/>
          <w:sz w:val="22"/>
          <w:szCs w:val="22"/>
        </w:rPr>
        <w:t xml:space="preserve">Frente a lo expuesto cabe resaltar el incumplimiento al principio de oportunidad para la suscripción del convenio de acuerdo </w:t>
      </w:r>
      <w:r w:rsidR="00001D89">
        <w:rPr>
          <w:rFonts w:ascii="Arial" w:hAnsi="Arial" w:cs="Arial"/>
          <w:sz w:val="22"/>
          <w:szCs w:val="22"/>
        </w:rPr>
        <w:t>con</w:t>
      </w:r>
      <w:r w:rsidR="006C76C8" w:rsidRPr="0044100E">
        <w:rPr>
          <w:rFonts w:ascii="Arial" w:hAnsi="Arial" w:cs="Arial"/>
          <w:sz w:val="22"/>
          <w:szCs w:val="22"/>
        </w:rPr>
        <w:t xml:space="preserve"> lo previsto en el artículo 16 de la Resolución 518 de 2015, y la diferencia que se presenta entre el valor del compromiso de recursos previsto en el convenio y el valor registrado en</w:t>
      </w:r>
      <w:r w:rsidRPr="0044100E">
        <w:rPr>
          <w:rFonts w:ascii="Arial" w:hAnsi="Arial" w:cs="Arial"/>
          <w:sz w:val="22"/>
          <w:szCs w:val="22"/>
        </w:rPr>
        <w:t xml:space="preserve"> la ejecución presupuestal de la Entidad Territorial </w:t>
      </w:r>
      <w:r w:rsidR="006C76C8" w:rsidRPr="0044100E">
        <w:rPr>
          <w:rFonts w:ascii="Arial" w:hAnsi="Arial" w:cs="Arial"/>
          <w:sz w:val="22"/>
          <w:szCs w:val="22"/>
        </w:rPr>
        <w:t>para el desarrollo de l</w:t>
      </w:r>
      <w:r w:rsidRPr="0044100E">
        <w:rPr>
          <w:rFonts w:ascii="Arial" w:hAnsi="Arial" w:cs="Arial"/>
          <w:sz w:val="22"/>
          <w:szCs w:val="22"/>
        </w:rPr>
        <w:t>as acciones de gestión del Riesgo y Promoción de la salud</w:t>
      </w:r>
      <w:r w:rsidR="006C76C8" w:rsidRPr="0044100E">
        <w:rPr>
          <w:rFonts w:ascii="Arial" w:hAnsi="Arial" w:cs="Arial"/>
          <w:sz w:val="22"/>
          <w:szCs w:val="22"/>
        </w:rPr>
        <w:t xml:space="preserve">, la cual mostró un total </w:t>
      </w:r>
      <w:r w:rsidRPr="0044100E">
        <w:rPr>
          <w:rFonts w:ascii="Arial" w:hAnsi="Arial" w:cs="Arial"/>
          <w:sz w:val="22"/>
          <w:szCs w:val="22"/>
        </w:rPr>
        <w:t xml:space="preserve">de $1.022 millones. Adicionalmente es preciso señalar que de acuerdo con la ejecución presupuestal de la </w:t>
      </w:r>
      <w:r w:rsidR="00001D89">
        <w:rPr>
          <w:rFonts w:ascii="Arial" w:hAnsi="Arial" w:cs="Arial"/>
          <w:sz w:val="22"/>
          <w:szCs w:val="22"/>
        </w:rPr>
        <w:t>E</w:t>
      </w:r>
      <w:r w:rsidRPr="0044100E">
        <w:rPr>
          <w:rFonts w:ascii="Arial" w:hAnsi="Arial" w:cs="Arial"/>
          <w:sz w:val="22"/>
          <w:szCs w:val="22"/>
        </w:rPr>
        <w:t xml:space="preserve">ntidad </w:t>
      </w:r>
      <w:r w:rsidR="00001D89">
        <w:rPr>
          <w:rFonts w:ascii="Arial" w:hAnsi="Arial" w:cs="Arial"/>
          <w:sz w:val="22"/>
          <w:szCs w:val="22"/>
        </w:rPr>
        <w:t>T</w:t>
      </w:r>
      <w:r w:rsidRPr="0044100E">
        <w:rPr>
          <w:rFonts w:ascii="Arial" w:hAnsi="Arial" w:cs="Arial"/>
          <w:sz w:val="22"/>
          <w:szCs w:val="22"/>
        </w:rPr>
        <w:t>erritorial dichas acciones fueron igualmente financiadas con recursos denominados rentas cedidas régimen subsidiado, aspecto</w:t>
      </w:r>
      <w:r w:rsidR="006C76C8" w:rsidRPr="0044100E">
        <w:rPr>
          <w:rFonts w:ascii="Arial" w:hAnsi="Arial" w:cs="Arial"/>
          <w:sz w:val="22"/>
          <w:szCs w:val="22"/>
        </w:rPr>
        <w:t>s</w:t>
      </w:r>
      <w:r w:rsidRPr="0044100E">
        <w:rPr>
          <w:rFonts w:ascii="Arial" w:hAnsi="Arial" w:cs="Arial"/>
          <w:sz w:val="22"/>
          <w:szCs w:val="22"/>
        </w:rPr>
        <w:t xml:space="preserve"> que será</w:t>
      </w:r>
      <w:r w:rsidR="006C76C8" w:rsidRPr="0044100E">
        <w:rPr>
          <w:rFonts w:ascii="Arial" w:hAnsi="Arial" w:cs="Arial"/>
          <w:sz w:val="22"/>
          <w:szCs w:val="22"/>
        </w:rPr>
        <w:t>n</w:t>
      </w:r>
      <w:r w:rsidRPr="0044100E">
        <w:rPr>
          <w:rFonts w:ascii="Arial" w:hAnsi="Arial" w:cs="Arial"/>
          <w:sz w:val="22"/>
          <w:szCs w:val="22"/>
        </w:rPr>
        <w:t xml:space="preserve"> validado</w:t>
      </w:r>
      <w:r w:rsidR="006C76C8" w:rsidRPr="0044100E">
        <w:rPr>
          <w:rFonts w:ascii="Arial" w:hAnsi="Arial" w:cs="Arial"/>
          <w:sz w:val="22"/>
          <w:szCs w:val="22"/>
        </w:rPr>
        <w:t>s</w:t>
      </w:r>
      <w:r w:rsidRPr="0044100E">
        <w:rPr>
          <w:rFonts w:ascii="Arial" w:hAnsi="Arial" w:cs="Arial"/>
          <w:sz w:val="22"/>
          <w:szCs w:val="22"/>
        </w:rPr>
        <w:t xml:space="preserve"> </w:t>
      </w:r>
      <w:r w:rsidR="006C76C8" w:rsidRPr="0044100E">
        <w:rPr>
          <w:rFonts w:ascii="Arial" w:hAnsi="Arial" w:cs="Arial"/>
          <w:sz w:val="22"/>
          <w:szCs w:val="22"/>
        </w:rPr>
        <w:t>en el marco del reconocimiento institucional.</w:t>
      </w:r>
    </w:p>
    <w:p w14:paraId="2CC37A1B" w14:textId="77777777" w:rsidR="001846CC" w:rsidRPr="0044100E" w:rsidRDefault="001846CC" w:rsidP="00643CE2">
      <w:pPr>
        <w:jc w:val="both"/>
        <w:rPr>
          <w:rFonts w:ascii="Arial" w:hAnsi="Arial" w:cs="Arial"/>
          <w:sz w:val="22"/>
          <w:szCs w:val="22"/>
        </w:rPr>
      </w:pPr>
    </w:p>
    <w:p w14:paraId="24776438" w14:textId="0146B0A3" w:rsidR="001846CC" w:rsidRPr="0044100E" w:rsidRDefault="006C76C8" w:rsidP="00643CE2">
      <w:pPr>
        <w:jc w:val="both"/>
        <w:rPr>
          <w:rFonts w:ascii="Arial" w:hAnsi="Arial" w:cs="Arial"/>
          <w:sz w:val="22"/>
          <w:szCs w:val="22"/>
        </w:rPr>
      </w:pPr>
      <w:r w:rsidRPr="0044100E">
        <w:rPr>
          <w:rFonts w:ascii="Arial" w:hAnsi="Arial" w:cs="Arial"/>
          <w:sz w:val="22"/>
          <w:szCs w:val="22"/>
        </w:rPr>
        <w:t xml:space="preserve">De otro lado, verificado el contenido de la minuta contractual y el anexo técnico respectivo se evidencia cumplimiento a lo estipulado en </w:t>
      </w:r>
      <w:r w:rsidR="00E93334" w:rsidRPr="0044100E">
        <w:rPr>
          <w:rFonts w:ascii="Arial" w:hAnsi="Arial" w:cs="Arial"/>
          <w:sz w:val="22"/>
          <w:szCs w:val="22"/>
        </w:rPr>
        <w:t>la Resolución 3280 de 2018.</w:t>
      </w:r>
    </w:p>
    <w:p w14:paraId="6ED6F89B" w14:textId="77777777" w:rsidR="001846CC" w:rsidRPr="0044100E" w:rsidRDefault="001846CC" w:rsidP="00643CE2">
      <w:pPr>
        <w:jc w:val="both"/>
        <w:rPr>
          <w:rFonts w:ascii="Arial" w:hAnsi="Arial" w:cs="Arial"/>
          <w:sz w:val="22"/>
          <w:szCs w:val="22"/>
        </w:rPr>
      </w:pPr>
    </w:p>
    <w:p w14:paraId="3305913C" w14:textId="79D462BB" w:rsidR="0061094A" w:rsidRPr="0044100E" w:rsidRDefault="00643CE2" w:rsidP="00643CE2">
      <w:pPr>
        <w:jc w:val="both"/>
        <w:rPr>
          <w:rFonts w:ascii="Arial" w:hAnsi="Arial" w:cs="Arial"/>
          <w:sz w:val="22"/>
          <w:szCs w:val="22"/>
        </w:rPr>
      </w:pPr>
      <w:r w:rsidRPr="0044100E">
        <w:rPr>
          <w:rFonts w:ascii="Arial" w:hAnsi="Arial" w:cs="Arial"/>
          <w:sz w:val="22"/>
          <w:szCs w:val="22"/>
        </w:rPr>
        <w:t xml:space="preserve">En la </w:t>
      </w:r>
      <w:r w:rsidR="00001D89">
        <w:rPr>
          <w:rFonts w:ascii="Arial" w:hAnsi="Arial" w:cs="Arial"/>
          <w:sz w:val="22"/>
          <w:szCs w:val="22"/>
        </w:rPr>
        <w:t>v</w:t>
      </w:r>
      <w:r w:rsidRPr="0044100E">
        <w:rPr>
          <w:rFonts w:ascii="Arial" w:hAnsi="Arial" w:cs="Arial"/>
          <w:sz w:val="22"/>
          <w:szCs w:val="22"/>
        </w:rPr>
        <w:t xml:space="preserve">igencia 2021 la Entidad </w:t>
      </w:r>
      <w:r w:rsidR="006C76C8" w:rsidRPr="0044100E">
        <w:rPr>
          <w:rFonts w:ascii="Arial" w:hAnsi="Arial" w:cs="Arial"/>
          <w:sz w:val="22"/>
          <w:szCs w:val="22"/>
        </w:rPr>
        <w:t xml:space="preserve">suscribió nuevamente </w:t>
      </w:r>
      <w:r w:rsidR="00126909">
        <w:rPr>
          <w:rFonts w:ascii="Arial" w:hAnsi="Arial" w:cs="Arial"/>
          <w:sz w:val="22"/>
          <w:szCs w:val="22"/>
        </w:rPr>
        <w:t>el</w:t>
      </w:r>
      <w:r w:rsidR="006C76C8" w:rsidRPr="0044100E">
        <w:rPr>
          <w:rFonts w:ascii="Arial" w:hAnsi="Arial" w:cs="Arial"/>
          <w:sz w:val="22"/>
          <w:szCs w:val="22"/>
        </w:rPr>
        <w:t xml:space="preserve"> convenio </w:t>
      </w:r>
      <w:r w:rsidR="00126909">
        <w:rPr>
          <w:rFonts w:ascii="Arial" w:hAnsi="Arial" w:cs="Arial"/>
          <w:sz w:val="22"/>
          <w:szCs w:val="22"/>
        </w:rPr>
        <w:t xml:space="preserve">No. 305 </w:t>
      </w:r>
      <w:r w:rsidRPr="0044100E">
        <w:rPr>
          <w:rFonts w:ascii="Arial" w:hAnsi="Arial" w:cs="Arial"/>
          <w:sz w:val="22"/>
          <w:szCs w:val="22"/>
        </w:rPr>
        <w:t xml:space="preserve">con la ESE Hospital San Antonio de Mitú, </w:t>
      </w:r>
      <w:r w:rsidR="0061094A" w:rsidRPr="0044100E">
        <w:rPr>
          <w:rFonts w:ascii="Arial" w:hAnsi="Arial" w:cs="Arial"/>
          <w:sz w:val="22"/>
          <w:szCs w:val="22"/>
        </w:rPr>
        <w:t xml:space="preserve">para el desarrollo del mismo objeto contractual previsto para la vigencia 2020, el cual se dio inicio el </w:t>
      </w:r>
      <w:r w:rsidRPr="0044100E">
        <w:rPr>
          <w:rFonts w:ascii="Arial" w:hAnsi="Arial" w:cs="Arial"/>
          <w:sz w:val="22"/>
          <w:szCs w:val="22"/>
        </w:rPr>
        <w:t>23</w:t>
      </w:r>
      <w:r w:rsidR="001E0398">
        <w:rPr>
          <w:rFonts w:ascii="Arial" w:hAnsi="Arial" w:cs="Arial"/>
          <w:sz w:val="22"/>
          <w:szCs w:val="22"/>
        </w:rPr>
        <w:t xml:space="preserve"> de marzo de </w:t>
      </w:r>
      <w:r w:rsidRPr="0044100E">
        <w:rPr>
          <w:rFonts w:ascii="Arial" w:hAnsi="Arial" w:cs="Arial"/>
          <w:sz w:val="22"/>
          <w:szCs w:val="22"/>
        </w:rPr>
        <w:t xml:space="preserve">2021, </w:t>
      </w:r>
      <w:r w:rsidR="0061094A" w:rsidRPr="0044100E">
        <w:rPr>
          <w:rFonts w:ascii="Arial" w:hAnsi="Arial" w:cs="Arial"/>
          <w:sz w:val="22"/>
          <w:szCs w:val="22"/>
        </w:rPr>
        <w:t xml:space="preserve">por un valor final de $2.408 millones. Al respecto se destaca que la oportunidad en la contratación fue mitigada, pero persiste la evidencia relacionada con la diferencia entre el valor del contrato y lo efectivamente registrado en la ejecución presupuestal para el desarrollo de las acciones del PIC ($2.703 millones), además de la financiación de </w:t>
      </w:r>
      <w:r w:rsidR="001E0398" w:rsidRPr="0044100E">
        <w:rPr>
          <w:rFonts w:ascii="Arial" w:hAnsi="Arial" w:cs="Arial"/>
          <w:sz w:val="22"/>
          <w:szCs w:val="22"/>
        </w:rPr>
        <w:t>estas</w:t>
      </w:r>
      <w:r w:rsidR="0061094A" w:rsidRPr="0044100E">
        <w:rPr>
          <w:rFonts w:ascii="Arial" w:hAnsi="Arial" w:cs="Arial"/>
          <w:sz w:val="22"/>
          <w:szCs w:val="22"/>
        </w:rPr>
        <w:t xml:space="preserve"> con recursos denominados “rentas cedidas régimen Subsidiado”. </w:t>
      </w:r>
    </w:p>
    <w:p w14:paraId="753BA0BE" w14:textId="77777777" w:rsidR="00643CE2" w:rsidRPr="0044100E" w:rsidRDefault="00643CE2" w:rsidP="00643CE2">
      <w:pPr>
        <w:jc w:val="both"/>
        <w:rPr>
          <w:rFonts w:ascii="Arial" w:hAnsi="Arial" w:cs="Arial"/>
          <w:sz w:val="22"/>
          <w:szCs w:val="22"/>
        </w:rPr>
      </w:pPr>
    </w:p>
    <w:p w14:paraId="0B929F73" w14:textId="77777777" w:rsidR="00643CE2" w:rsidRPr="0044100E" w:rsidRDefault="00643CE2" w:rsidP="00643CE2">
      <w:pPr>
        <w:jc w:val="both"/>
        <w:rPr>
          <w:rFonts w:ascii="Arial" w:hAnsi="Arial" w:cs="Arial"/>
          <w:sz w:val="18"/>
          <w:szCs w:val="18"/>
        </w:rPr>
      </w:pPr>
      <w:r w:rsidRPr="0044100E">
        <w:rPr>
          <w:rFonts w:ascii="Arial" w:hAnsi="Arial" w:cs="Arial"/>
          <w:sz w:val="18"/>
          <w:szCs w:val="18"/>
        </w:rPr>
        <w:t>Cifras: Millones de pesos</w:t>
      </w:r>
    </w:p>
    <w:p w14:paraId="12FBAD29" w14:textId="77777777" w:rsidR="00643CE2" w:rsidRPr="0044100E" w:rsidRDefault="00643CE2" w:rsidP="00643CE2">
      <w:pPr>
        <w:jc w:val="both"/>
        <w:rPr>
          <w:rFonts w:ascii="Arial" w:hAnsi="Arial" w:cs="Arial"/>
          <w:sz w:val="22"/>
          <w:szCs w:val="22"/>
        </w:rPr>
      </w:pPr>
      <w:r w:rsidRPr="0044100E">
        <w:rPr>
          <w:rFonts w:ascii="Arial" w:hAnsi="Arial" w:cs="Arial"/>
          <w:noProof/>
          <w:lang w:val="es-CO" w:eastAsia="es-CO"/>
        </w:rPr>
        <w:drawing>
          <wp:inline distT="0" distB="0" distL="0" distR="0" wp14:anchorId="3BC4EFCD" wp14:editId="0D3050C9">
            <wp:extent cx="5619750" cy="1390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0" cy="1390650"/>
                    </a:xfrm>
                    <a:prstGeom prst="rect">
                      <a:avLst/>
                    </a:prstGeom>
                    <a:noFill/>
                    <a:ln>
                      <a:noFill/>
                    </a:ln>
                  </pic:spPr>
                </pic:pic>
              </a:graphicData>
            </a:graphic>
          </wp:inline>
        </w:drawing>
      </w:r>
    </w:p>
    <w:p w14:paraId="5C2EC214" w14:textId="77777777" w:rsidR="00643CE2" w:rsidRPr="0044100E" w:rsidRDefault="00643CE2" w:rsidP="00643CE2">
      <w:pPr>
        <w:jc w:val="both"/>
        <w:rPr>
          <w:rFonts w:ascii="Arial" w:hAnsi="Arial" w:cs="Arial"/>
          <w:sz w:val="18"/>
          <w:szCs w:val="18"/>
        </w:rPr>
      </w:pPr>
      <w:r w:rsidRPr="0044100E">
        <w:rPr>
          <w:rFonts w:ascii="Arial" w:hAnsi="Arial" w:cs="Arial"/>
          <w:sz w:val="18"/>
          <w:szCs w:val="18"/>
        </w:rPr>
        <w:t>Fuente: Elaborado a partir de información remitida por la Entidad Territorial</w:t>
      </w:r>
    </w:p>
    <w:p w14:paraId="08D85E59" w14:textId="77777777" w:rsidR="00643CE2" w:rsidRPr="0044100E" w:rsidRDefault="00643CE2" w:rsidP="00643CE2">
      <w:pPr>
        <w:jc w:val="both"/>
        <w:rPr>
          <w:rFonts w:ascii="Arial" w:hAnsi="Arial" w:cs="Arial"/>
          <w:sz w:val="22"/>
          <w:szCs w:val="22"/>
        </w:rPr>
      </w:pPr>
    </w:p>
    <w:p w14:paraId="6FA83114" w14:textId="5478BF9B" w:rsidR="00643CE2" w:rsidRPr="0044100E" w:rsidRDefault="0061094A" w:rsidP="00643CE2">
      <w:pPr>
        <w:jc w:val="both"/>
        <w:rPr>
          <w:rFonts w:ascii="Arial" w:hAnsi="Arial" w:cs="Arial"/>
          <w:sz w:val="22"/>
          <w:szCs w:val="22"/>
        </w:rPr>
      </w:pPr>
      <w:r w:rsidRPr="0044100E">
        <w:rPr>
          <w:rFonts w:ascii="Arial" w:hAnsi="Arial" w:cs="Arial"/>
          <w:sz w:val="22"/>
          <w:szCs w:val="22"/>
        </w:rPr>
        <w:t xml:space="preserve">Igualmente, verificado el contenido de la minuta contractual y el anexo técnico respectivo del convenio suscrito de la vigencia 2021 se evidenció la ausencia de parámetros de acuerdo a lo dispuesto en la </w:t>
      </w:r>
      <w:r w:rsidR="00E93334" w:rsidRPr="0044100E">
        <w:rPr>
          <w:rFonts w:ascii="Arial" w:hAnsi="Arial" w:cs="Arial"/>
          <w:sz w:val="22"/>
          <w:szCs w:val="22"/>
        </w:rPr>
        <w:t xml:space="preserve">Resolución </w:t>
      </w:r>
      <w:r w:rsidRPr="0044100E">
        <w:rPr>
          <w:rFonts w:ascii="Arial" w:hAnsi="Arial" w:cs="Arial"/>
          <w:sz w:val="22"/>
          <w:szCs w:val="22"/>
        </w:rPr>
        <w:t>3280 de 2018, los cuales se refieren a:</w:t>
      </w:r>
      <w:r w:rsidR="009C7544">
        <w:rPr>
          <w:rFonts w:ascii="Arial" w:hAnsi="Arial" w:cs="Arial"/>
          <w:sz w:val="22"/>
          <w:szCs w:val="22"/>
        </w:rPr>
        <w:t xml:space="preserve"> </w:t>
      </w:r>
      <w:r w:rsidRPr="0044100E">
        <w:rPr>
          <w:rFonts w:ascii="Arial" w:hAnsi="Arial" w:cs="Arial"/>
          <w:sz w:val="22"/>
          <w:szCs w:val="22"/>
        </w:rPr>
        <w:t xml:space="preserve">i) </w:t>
      </w:r>
      <w:r w:rsidR="00643CE2" w:rsidRPr="0044100E">
        <w:rPr>
          <w:rFonts w:ascii="Arial" w:hAnsi="Arial" w:cs="Arial"/>
          <w:sz w:val="22"/>
          <w:szCs w:val="22"/>
        </w:rPr>
        <w:t xml:space="preserve">entornos en los cuales se desarrollan las intervenciones colectivas, </w:t>
      </w:r>
      <w:r w:rsidRPr="0044100E">
        <w:rPr>
          <w:rFonts w:ascii="Arial" w:hAnsi="Arial" w:cs="Arial"/>
          <w:sz w:val="22"/>
          <w:szCs w:val="22"/>
        </w:rPr>
        <w:t xml:space="preserve">ii) </w:t>
      </w:r>
      <w:r w:rsidR="00643CE2" w:rsidRPr="0044100E">
        <w:rPr>
          <w:rFonts w:ascii="Arial" w:hAnsi="Arial" w:cs="Arial"/>
          <w:sz w:val="22"/>
          <w:szCs w:val="22"/>
        </w:rPr>
        <w:t xml:space="preserve">la cobertura de la población sujeto de las intervenciones, </w:t>
      </w:r>
      <w:r w:rsidRPr="0044100E">
        <w:rPr>
          <w:rFonts w:ascii="Arial" w:hAnsi="Arial" w:cs="Arial"/>
          <w:sz w:val="22"/>
          <w:szCs w:val="22"/>
        </w:rPr>
        <w:t xml:space="preserve">iii) </w:t>
      </w:r>
      <w:r w:rsidR="00643CE2" w:rsidRPr="0044100E">
        <w:rPr>
          <w:rFonts w:ascii="Arial" w:hAnsi="Arial" w:cs="Arial"/>
          <w:sz w:val="22"/>
          <w:szCs w:val="22"/>
        </w:rPr>
        <w:t xml:space="preserve">los productos esperados y el tiempo de ejecución, </w:t>
      </w:r>
      <w:r w:rsidRPr="0044100E">
        <w:rPr>
          <w:rFonts w:ascii="Arial" w:hAnsi="Arial" w:cs="Arial"/>
          <w:sz w:val="22"/>
          <w:szCs w:val="22"/>
        </w:rPr>
        <w:t xml:space="preserve">iv) </w:t>
      </w:r>
      <w:r w:rsidR="00643CE2" w:rsidRPr="0044100E">
        <w:rPr>
          <w:rFonts w:ascii="Arial" w:hAnsi="Arial" w:cs="Arial"/>
          <w:sz w:val="22"/>
          <w:szCs w:val="22"/>
        </w:rPr>
        <w:t xml:space="preserve">los estándares, criterios y metodología o mecanismo para el Monitoreo, evaluación y auditoria del contrato a suscribir, </w:t>
      </w:r>
      <w:r w:rsidRPr="0044100E">
        <w:rPr>
          <w:rFonts w:ascii="Arial" w:hAnsi="Arial" w:cs="Arial"/>
          <w:sz w:val="22"/>
          <w:szCs w:val="22"/>
        </w:rPr>
        <w:t xml:space="preserve">circunstancia </w:t>
      </w:r>
      <w:r w:rsidR="00643CE2" w:rsidRPr="0044100E">
        <w:rPr>
          <w:rFonts w:ascii="Arial" w:hAnsi="Arial" w:cs="Arial"/>
          <w:sz w:val="22"/>
          <w:szCs w:val="22"/>
        </w:rPr>
        <w:t xml:space="preserve">que será tenido en cuenta </w:t>
      </w:r>
      <w:r w:rsidRPr="0044100E">
        <w:rPr>
          <w:rFonts w:ascii="Arial" w:hAnsi="Arial" w:cs="Arial"/>
          <w:sz w:val="22"/>
          <w:szCs w:val="22"/>
        </w:rPr>
        <w:t xml:space="preserve">en </w:t>
      </w:r>
      <w:r w:rsidR="00643CE2" w:rsidRPr="0044100E">
        <w:rPr>
          <w:rFonts w:ascii="Arial" w:hAnsi="Arial" w:cs="Arial"/>
          <w:sz w:val="22"/>
          <w:szCs w:val="22"/>
        </w:rPr>
        <w:t xml:space="preserve">el reconocimiento institucional </w:t>
      </w:r>
      <w:r w:rsidRPr="0044100E">
        <w:rPr>
          <w:rFonts w:ascii="Arial" w:hAnsi="Arial" w:cs="Arial"/>
          <w:sz w:val="22"/>
          <w:szCs w:val="22"/>
        </w:rPr>
        <w:t xml:space="preserve">que </w:t>
      </w:r>
      <w:r w:rsidR="00643CE2" w:rsidRPr="0044100E">
        <w:rPr>
          <w:rFonts w:ascii="Arial" w:hAnsi="Arial" w:cs="Arial"/>
          <w:sz w:val="22"/>
          <w:szCs w:val="22"/>
        </w:rPr>
        <w:t>adelanta</w:t>
      </w:r>
      <w:r w:rsidRPr="0044100E">
        <w:rPr>
          <w:rFonts w:ascii="Arial" w:hAnsi="Arial" w:cs="Arial"/>
          <w:sz w:val="22"/>
          <w:szCs w:val="22"/>
        </w:rPr>
        <w:t>rá</w:t>
      </w:r>
      <w:r w:rsidR="00643CE2" w:rsidRPr="0044100E">
        <w:rPr>
          <w:rFonts w:ascii="Arial" w:hAnsi="Arial" w:cs="Arial"/>
          <w:sz w:val="22"/>
          <w:szCs w:val="22"/>
        </w:rPr>
        <w:t xml:space="preserve"> esta </w:t>
      </w:r>
      <w:r w:rsidR="00652DAC" w:rsidRPr="0044100E">
        <w:rPr>
          <w:rFonts w:ascii="Arial" w:hAnsi="Arial" w:cs="Arial"/>
          <w:sz w:val="22"/>
          <w:szCs w:val="22"/>
        </w:rPr>
        <w:t>Dirección</w:t>
      </w:r>
      <w:r w:rsidR="00643CE2" w:rsidRPr="0044100E">
        <w:rPr>
          <w:rFonts w:ascii="Arial" w:hAnsi="Arial" w:cs="Arial"/>
          <w:sz w:val="22"/>
          <w:szCs w:val="22"/>
        </w:rPr>
        <w:t>.</w:t>
      </w:r>
    </w:p>
    <w:p w14:paraId="2690348E" w14:textId="77777777" w:rsidR="001846CC" w:rsidRPr="0044100E" w:rsidRDefault="001846CC" w:rsidP="00643CE2">
      <w:pPr>
        <w:jc w:val="both"/>
        <w:rPr>
          <w:rFonts w:ascii="Arial" w:hAnsi="Arial" w:cs="Arial"/>
          <w:sz w:val="22"/>
          <w:szCs w:val="22"/>
        </w:rPr>
      </w:pPr>
    </w:p>
    <w:p w14:paraId="354BF19E" w14:textId="77777777" w:rsidR="00643CE2" w:rsidRPr="0044100E" w:rsidRDefault="00643CE2" w:rsidP="00643CE2">
      <w:pPr>
        <w:jc w:val="both"/>
        <w:rPr>
          <w:rFonts w:ascii="Arial" w:hAnsi="Arial" w:cs="Arial"/>
          <w:b/>
          <w:bCs/>
          <w:sz w:val="22"/>
          <w:szCs w:val="22"/>
        </w:rPr>
      </w:pPr>
      <w:r w:rsidRPr="0044100E">
        <w:rPr>
          <w:rFonts w:ascii="Arial" w:hAnsi="Arial" w:cs="Arial"/>
          <w:b/>
          <w:bCs/>
          <w:sz w:val="22"/>
          <w:szCs w:val="22"/>
        </w:rPr>
        <w:t>4.3 Gestión en Salud Publica</w:t>
      </w:r>
    </w:p>
    <w:p w14:paraId="3D8115F6" w14:textId="77777777" w:rsidR="00643CE2" w:rsidRPr="0044100E" w:rsidRDefault="00643CE2" w:rsidP="00643CE2">
      <w:pPr>
        <w:jc w:val="both"/>
        <w:rPr>
          <w:rFonts w:ascii="Arial" w:hAnsi="Arial" w:cs="Arial"/>
          <w:b/>
          <w:bCs/>
          <w:sz w:val="22"/>
          <w:szCs w:val="22"/>
        </w:rPr>
      </w:pPr>
    </w:p>
    <w:p w14:paraId="1C3456DC" w14:textId="77777777" w:rsidR="00643CE2" w:rsidRPr="0044100E" w:rsidRDefault="00643CE2" w:rsidP="00643CE2">
      <w:pPr>
        <w:jc w:val="both"/>
        <w:rPr>
          <w:rFonts w:ascii="Arial" w:hAnsi="Arial" w:cs="Arial"/>
          <w:b/>
          <w:bCs/>
          <w:sz w:val="22"/>
          <w:szCs w:val="22"/>
        </w:rPr>
      </w:pPr>
      <w:r w:rsidRPr="0044100E">
        <w:rPr>
          <w:rFonts w:ascii="Arial" w:hAnsi="Arial" w:cs="Arial"/>
          <w:b/>
          <w:bCs/>
          <w:sz w:val="22"/>
          <w:szCs w:val="22"/>
        </w:rPr>
        <w:t>4.3.1 Análisis de los Procesos de Gestión de la Salud Publica Financiados con el SGP:</w:t>
      </w:r>
    </w:p>
    <w:p w14:paraId="1EF4FD42" w14:textId="77777777" w:rsidR="00643CE2" w:rsidRPr="0044100E" w:rsidRDefault="00643CE2" w:rsidP="00643CE2">
      <w:pPr>
        <w:jc w:val="both"/>
        <w:rPr>
          <w:rFonts w:ascii="Arial" w:hAnsi="Arial" w:cs="Arial"/>
          <w:b/>
          <w:bCs/>
          <w:sz w:val="22"/>
          <w:szCs w:val="22"/>
        </w:rPr>
      </w:pPr>
    </w:p>
    <w:p w14:paraId="37A47D75" w14:textId="17A13F53" w:rsidR="00643CE2" w:rsidRDefault="00643CE2" w:rsidP="00643CE2">
      <w:pPr>
        <w:jc w:val="both"/>
        <w:rPr>
          <w:rFonts w:ascii="Arial" w:hAnsi="Arial" w:cs="Arial"/>
          <w:sz w:val="22"/>
          <w:szCs w:val="22"/>
        </w:rPr>
      </w:pPr>
      <w:r w:rsidRPr="0044100E">
        <w:rPr>
          <w:rFonts w:ascii="Arial" w:hAnsi="Arial" w:cs="Arial"/>
          <w:sz w:val="22"/>
          <w:szCs w:val="22"/>
        </w:rPr>
        <w:t xml:space="preserve">La Entidad </w:t>
      </w:r>
      <w:r w:rsidR="00121B0F">
        <w:rPr>
          <w:rFonts w:ascii="Arial" w:hAnsi="Arial" w:cs="Arial"/>
          <w:sz w:val="22"/>
          <w:szCs w:val="22"/>
        </w:rPr>
        <w:t>T</w:t>
      </w:r>
      <w:r w:rsidRPr="0044100E">
        <w:rPr>
          <w:rFonts w:ascii="Arial" w:hAnsi="Arial" w:cs="Arial"/>
          <w:sz w:val="22"/>
          <w:szCs w:val="22"/>
        </w:rPr>
        <w:t xml:space="preserve">erritorial remitió a esta </w:t>
      </w:r>
      <w:r w:rsidR="0061094A" w:rsidRPr="0044100E">
        <w:rPr>
          <w:rFonts w:ascii="Arial" w:hAnsi="Arial" w:cs="Arial"/>
          <w:sz w:val="22"/>
          <w:szCs w:val="22"/>
        </w:rPr>
        <w:t>Dirección</w:t>
      </w:r>
      <w:r w:rsidRPr="0044100E">
        <w:rPr>
          <w:rFonts w:ascii="Arial" w:hAnsi="Arial" w:cs="Arial"/>
          <w:sz w:val="22"/>
          <w:szCs w:val="22"/>
        </w:rPr>
        <w:t xml:space="preserve"> un informe ejecutivo donde se evidencia</w:t>
      </w:r>
      <w:r w:rsidR="0061094A" w:rsidRPr="0044100E">
        <w:rPr>
          <w:rFonts w:ascii="Arial" w:hAnsi="Arial" w:cs="Arial"/>
          <w:sz w:val="22"/>
          <w:szCs w:val="22"/>
        </w:rPr>
        <w:t>n los</w:t>
      </w:r>
      <w:r w:rsidRPr="0044100E">
        <w:rPr>
          <w:rFonts w:ascii="Arial" w:hAnsi="Arial" w:cs="Arial"/>
          <w:sz w:val="22"/>
          <w:szCs w:val="22"/>
        </w:rPr>
        <w:t xml:space="preserve"> avances y </w:t>
      </w:r>
      <w:r w:rsidR="0061094A" w:rsidRPr="0044100E">
        <w:rPr>
          <w:rFonts w:ascii="Arial" w:hAnsi="Arial" w:cs="Arial"/>
          <w:sz w:val="22"/>
          <w:szCs w:val="22"/>
        </w:rPr>
        <w:t xml:space="preserve">las </w:t>
      </w:r>
      <w:r w:rsidRPr="0044100E">
        <w:rPr>
          <w:rFonts w:ascii="Arial" w:hAnsi="Arial" w:cs="Arial"/>
          <w:sz w:val="22"/>
          <w:szCs w:val="22"/>
        </w:rPr>
        <w:t xml:space="preserve">acciones por componente de gestión de la salud pública. </w:t>
      </w:r>
      <w:r w:rsidR="0061094A" w:rsidRPr="0044100E">
        <w:rPr>
          <w:rFonts w:ascii="Arial" w:hAnsi="Arial" w:cs="Arial"/>
          <w:sz w:val="22"/>
          <w:szCs w:val="22"/>
        </w:rPr>
        <w:t>Frente al particular se</w:t>
      </w:r>
      <w:r w:rsidR="001846CC" w:rsidRPr="0044100E">
        <w:rPr>
          <w:rFonts w:ascii="Arial" w:hAnsi="Arial" w:cs="Arial"/>
          <w:sz w:val="22"/>
          <w:szCs w:val="22"/>
        </w:rPr>
        <w:t xml:space="preserve"> </w:t>
      </w:r>
      <w:r w:rsidRPr="0044100E">
        <w:rPr>
          <w:rFonts w:ascii="Arial" w:hAnsi="Arial" w:cs="Arial"/>
          <w:sz w:val="22"/>
          <w:szCs w:val="22"/>
        </w:rPr>
        <w:t>destaca que no re</w:t>
      </w:r>
      <w:r w:rsidR="0061094A" w:rsidRPr="0044100E">
        <w:rPr>
          <w:rFonts w:ascii="Arial" w:hAnsi="Arial" w:cs="Arial"/>
          <w:sz w:val="22"/>
          <w:szCs w:val="22"/>
        </w:rPr>
        <w:t>portó</w:t>
      </w:r>
      <w:r w:rsidRPr="0044100E">
        <w:rPr>
          <w:rFonts w:ascii="Arial" w:hAnsi="Arial" w:cs="Arial"/>
          <w:sz w:val="22"/>
          <w:szCs w:val="22"/>
        </w:rPr>
        <w:t xml:space="preserve"> información frente a los procesos </w:t>
      </w:r>
      <w:r w:rsidR="0061094A" w:rsidRPr="0044100E">
        <w:rPr>
          <w:rFonts w:ascii="Arial" w:hAnsi="Arial" w:cs="Arial"/>
          <w:sz w:val="22"/>
          <w:szCs w:val="22"/>
        </w:rPr>
        <w:t>de</w:t>
      </w:r>
      <w:r w:rsidR="00EA006F">
        <w:rPr>
          <w:rFonts w:ascii="Arial" w:hAnsi="Arial" w:cs="Arial"/>
          <w:sz w:val="22"/>
          <w:szCs w:val="22"/>
        </w:rPr>
        <w:t xml:space="preserve"> </w:t>
      </w:r>
      <w:r w:rsidR="0061094A" w:rsidRPr="0044100E">
        <w:rPr>
          <w:rFonts w:ascii="Arial" w:hAnsi="Arial" w:cs="Arial"/>
          <w:sz w:val="22"/>
          <w:szCs w:val="22"/>
        </w:rPr>
        <w:t xml:space="preserve">la Gestión de la Salud Pública que deben ser </w:t>
      </w:r>
      <w:r w:rsidRPr="0044100E">
        <w:rPr>
          <w:rFonts w:ascii="Arial" w:hAnsi="Arial" w:cs="Arial"/>
          <w:sz w:val="22"/>
          <w:szCs w:val="22"/>
        </w:rPr>
        <w:t>financiados con recursos del SGP</w:t>
      </w:r>
      <w:r w:rsidR="0061094A" w:rsidRPr="0044100E">
        <w:rPr>
          <w:rFonts w:ascii="Arial" w:hAnsi="Arial" w:cs="Arial"/>
          <w:sz w:val="22"/>
          <w:szCs w:val="22"/>
        </w:rPr>
        <w:t xml:space="preserve">- Salud Pública, como son: </w:t>
      </w:r>
      <w:r w:rsidRPr="0044100E">
        <w:rPr>
          <w:rFonts w:ascii="Arial" w:hAnsi="Arial" w:cs="Arial"/>
          <w:sz w:val="22"/>
          <w:szCs w:val="22"/>
        </w:rPr>
        <w:t>Coordinación intersectorial, participación social, Inspección Vigilancia y Control Sanitario y gestión de las Intervenciones Colectivas. Ahora bien, frente a los procesos de gestión que relaciona</w:t>
      </w:r>
      <w:r w:rsidR="0061094A" w:rsidRPr="0044100E">
        <w:rPr>
          <w:rFonts w:ascii="Arial" w:hAnsi="Arial" w:cs="Arial"/>
          <w:sz w:val="22"/>
          <w:szCs w:val="22"/>
        </w:rPr>
        <w:t xml:space="preserve"> en la </w:t>
      </w:r>
      <w:r w:rsidRPr="0044100E">
        <w:rPr>
          <w:rFonts w:ascii="Arial" w:hAnsi="Arial" w:cs="Arial"/>
          <w:sz w:val="22"/>
          <w:szCs w:val="22"/>
        </w:rPr>
        <w:t xml:space="preserve">información </w:t>
      </w:r>
      <w:r w:rsidR="001B1A71" w:rsidRPr="0044100E">
        <w:rPr>
          <w:rFonts w:ascii="Arial" w:hAnsi="Arial" w:cs="Arial"/>
          <w:sz w:val="22"/>
          <w:szCs w:val="22"/>
        </w:rPr>
        <w:t xml:space="preserve">y teniendo en cuenta lo esperado por el Departamento de acuerdo </w:t>
      </w:r>
      <w:r w:rsidR="00EA006F">
        <w:rPr>
          <w:rFonts w:ascii="Arial" w:hAnsi="Arial" w:cs="Arial"/>
          <w:sz w:val="22"/>
          <w:szCs w:val="22"/>
        </w:rPr>
        <w:t>con</w:t>
      </w:r>
      <w:r w:rsidR="001B1A71" w:rsidRPr="0044100E">
        <w:rPr>
          <w:rFonts w:ascii="Arial" w:hAnsi="Arial" w:cs="Arial"/>
          <w:sz w:val="22"/>
          <w:szCs w:val="22"/>
        </w:rPr>
        <w:t xml:space="preserve"> lo previsto por el Ministerio de Salud y Protección Social frente a cada uno de ellos, se destaca lo siguiente: </w:t>
      </w:r>
    </w:p>
    <w:p w14:paraId="20071278" w14:textId="7A1DC0DF" w:rsidR="00A11BF2" w:rsidRDefault="00A11BF2" w:rsidP="00643CE2">
      <w:pPr>
        <w:jc w:val="both"/>
        <w:rPr>
          <w:rFonts w:ascii="Arial" w:hAnsi="Arial" w:cs="Arial"/>
          <w:sz w:val="22"/>
          <w:szCs w:val="22"/>
        </w:rPr>
      </w:pPr>
    </w:p>
    <w:p w14:paraId="627D2EA9" w14:textId="77777777" w:rsidR="00A11BF2" w:rsidRPr="0044100E" w:rsidRDefault="00A11BF2" w:rsidP="00643CE2">
      <w:pPr>
        <w:jc w:val="both"/>
        <w:rPr>
          <w:rFonts w:ascii="Arial" w:hAnsi="Arial" w:cs="Arial"/>
          <w:sz w:val="22"/>
          <w:szCs w:val="22"/>
        </w:rPr>
      </w:pPr>
    </w:p>
    <w:p w14:paraId="3C6DB8FC" w14:textId="77777777" w:rsidR="00643CE2" w:rsidRPr="0044100E" w:rsidRDefault="00643CE2" w:rsidP="00643CE2">
      <w:pPr>
        <w:jc w:val="both"/>
        <w:rPr>
          <w:rFonts w:ascii="Arial" w:hAnsi="Arial" w:cs="Arial"/>
          <w:sz w:val="22"/>
          <w:szCs w:val="22"/>
        </w:rPr>
      </w:pPr>
    </w:p>
    <w:p w14:paraId="585E8053" w14:textId="77777777" w:rsidR="00643CE2" w:rsidRPr="0044100E" w:rsidRDefault="00643CE2" w:rsidP="00643CE2">
      <w:pPr>
        <w:pStyle w:val="Prrafodelista"/>
        <w:numPr>
          <w:ilvl w:val="0"/>
          <w:numId w:val="28"/>
        </w:numPr>
        <w:spacing w:after="160" w:line="256" w:lineRule="auto"/>
        <w:jc w:val="both"/>
        <w:rPr>
          <w:rFonts w:ascii="Arial" w:hAnsi="Arial" w:cs="Arial"/>
          <w:sz w:val="22"/>
          <w:szCs w:val="22"/>
        </w:rPr>
      </w:pPr>
      <w:r w:rsidRPr="0044100E">
        <w:rPr>
          <w:rFonts w:ascii="Arial" w:hAnsi="Arial" w:cs="Arial"/>
          <w:b/>
          <w:bCs/>
          <w:sz w:val="22"/>
          <w:szCs w:val="22"/>
        </w:rPr>
        <w:lastRenderedPageBreak/>
        <w:t xml:space="preserve">Gestión del Conocimiento: </w:t>
      </w:r>
    </w:p>
    <w:p w14:paraId="3C6DD5C1" w14:textId="77777777" w:rsidR="00643CE2" w:rsidRPr="0044100E" w:rsidRDefault="00643CE2" w:rsidP="00643CE2">
      <w:pPr>
        <w:pStyle w:val="Prrafodelista"/>
        <w:spacing w:after="160" w:line="256" w:lineRule="auto"/>
        <w:jc w:val="both"/>
        <w:rPr>
          <w:rFonts w:ascii="Arial" w:hAnsi="Arial" w:cs="Arial"/>
          <w:sz w:val="22"/>
          <w:szCs w:val="22"/>
        </w:rPr>
      </w:pPr>
    </w:p>
    <w:p w14:paraId="5CAE32A4" w14:textId="3ED3D642" w:rsidR="00643CE2" w:rsidRPr="0044100E" w:rsidRDefault="00643CE2" w:rsidP="00643CE2">
      <w:pPr>
        <w:pStyle w:val="Prrafodelista"/>
        <w:spacing w:after="160" w:line="256" w:lineRule="auto"/>
        <w:ind w:left="284"/>
        <w:jc w:val="both"/>
        <w:rPr>
          <w:rFonts w:ascii="Arial" w:hAnsi="Arial" w:cs="Arial"/>
          <w:sz w:val="22"/>
          <w:szCs w:val="22"/>
        </w:rPr>
      </w:pPr>
      <w:r w:rsidRPr="0044100E">
        <w:rPr>
          <w:rFonts w:ascii="Arial" w:hAnsi="Arial" w:cs="Arial"/>
          <w:sz w:val="22"/>
          <w:szCs w:val="22"/>
        </w:rPr>
        <w:t xml:space="preserve">El </w:t>
      </w:r>
      <w:r w:rsidR="00EA006F">
        <w:rPr>
          <w:rFonts w:ascii="Arial" w:hAnsi="Arial" w:cs="Arial"/>
          <w:sz w:val="22"/>
          <w:szCs w:val="22"/>
        </w:rPr>
        <w:t>D</w:t>
      </w:r>
      <w:r w:rsidRPr="0044100E">
        <w:rPr>
          <w:rFonts w:ascii="Arial" w:hAnsi="Arial" w:cs="Arial"/>
          <w:sz w:val="22"/>
          <w:szCs w:val="22"/>
        </w:rPr>
        <w:t>epartamento para la vigencia 2020 menciona un apoyo en la toma de muestras sanguíneas en el casco urbano de Mitú brindado a la Universidad de Córdoba para el estudio de seroprevalencia</w:t>
      </w:r>
      <w:r w:rsidR="001B1A71" w:rsidRPr="0044100E">
        <w:rPr>
          <w:rFonts w:ascii="Arial" w:hAnsi="Arial" w:cs="Arial"/>
          <w:sz w:val="22"/>
          <w:szCs w:val="22"/>
        </w:rPr>
        <w:t>,</w:t>
      </w:r>
      <w:r w:rsidRPr="0044100E">
        <w:rPr>
          <w:rFonts w:ascii="Arial" w:hAnsi="Arial" w:cs="Arial"/>
          <w:sz w:val="22"/>
          <w:szCs w:val="22"/>
        </w:rPr>
        <w:t xml:space="preserve"> investigación que desarrollan de manera conjunta. Para la vigencia 2021 relaciona que ha enviado muestras de agua al Instituto Nacional de Salud-INS para el Estudio </w:t>
      </w:r>
      <w:r w:rsidRPr="0044100E">
        <w:rPr>
          <w:rFonts w:ascii="Arial" w:hAnsi="Arial" w:cs="Arial"/>
          <w:i/>
          <w:sz w:val="22"/>
          <w:szCs w:val="22"/>
        </w:rPr>
        <w:t>“Análisis Fisicoquímico En El Agua Para Consumo Humano En 10 Departamentos Priorizados De Colombia, 2021”.</w:t>
      </w:r>
      <w:r w:rsidRPr="0044100E">
        <w:rPr>
          <w:rFonts w:ascii="Arial" w:hAnsi="Arial" w:cs="Arial"/>
          <w:sz w:val="22"/>
          <w:szCs w:val="22"/>
        </w:rPr>
        <w:t xml:space="preserve"> Sin embargo, no se evidencia el cargue de los Registros Observatorios, Sistemas de Seguimiento y Salas Situacionales- ROSS, </w:t>
      </w:r>
      <w:r w:rsidR="001B1A71" w:rsidRPr="0044100E">
        <w:rPr>
          <w:rFonts w:ascii="Arial" w:hAnsi="Arial" w:cs="Arial"/>
          <w:sz w:val="22"/>
          <w:szCs w:val="22"/>
        </w:rPr>
        <w:t>la</w:t>
      </w:r>
      <w:r w:rsidRPr="0044100E">
        <w:rPr>
          <w:rFonts w:ascii="Arial" w:hAnsi="Arial" w:cs="Arial"/>
          <w:sz w:val="22"/>
          <w:szCs w:val="22"/>
        </w:rPr>
        <w:t xml:space="preserve"> asistencia técnica </w:t>
      </w:r>
      <w:r w:rsidR="001B1A71" w:rsidRPr="0044100E">
        <w:rPr>
          <w:rFonts w:ascii="Arial" w:hAnsi="Arial" w:cs="Arial"/>
          <w:sz w:val="22"/>
          <w:szCs w:val="22"/>
        </w:rPr>
        <w:t xml:space="preserve">que debe prestar el Departamento </w:t>
      </w:r>
      <w:r w:rsidRPr="0044100E">
        <w:rPr>
          <w:rFonts w:ascii="Arial" w:hAnsi="Arial" w:cs="Arial"/>
          <w:sz w:val="22"/>
          <w:szCs w:val="22"/>
        </w:rPr>
        <w:t xml:space="preserve">a los actores del sistema en materia de gestión del Conocimiento, que la investigación desarrollada este teniendo incidencia en la toma de decisiones de la Planeación Territorial y </w:t>
      </w:r>
      <w:r w:rsidR="001B1A71" w:rsidRPr="0044100E">
        <w:rPr>
          <w:rFonts w:ascii="Arial" w:hAnsi="Arial" w:cs="Arial"/>
          <w:sz w:val="22"/>
          <w:szCs w:val="22"/>
        </w:rPr>
        <w:t xml:space="preserve">que </w:t>
      </w:r>
      <w:r w:rsidRPr="0044100E">
        <w:rPr>
          <w:rFonts w:ascii="Arial" w:hAnsi="Arial" w:cs="Arial"/>
          <w:sz w:val="22"/>
          <w:szCs w:val="22"/>
        </w:rPr>
        <w:t xml:space="preserve">la evaluación de los resultados e impacto del Plan Territorial de Salud </w:t>
      </w:r>
      <w:r w:rsidR="001B1A71" w:rsidRPr="0044100E">
        <w:rPr>
          <w:rFonts w:ascii="Arial" w:hAnsi="Arial" w:cs="Arial"/>
          <w:sz w:val="22"/>
          <w:szCs w:val="22"/>
        </w:rPr>
        <w:t xml:space="preserve">esté siendo </w:t>
      </w:r>
      <w:r w:rsidRPr="0044100E">
        <w:rPr>
          <w:rFonts w:ascii="Arial" w:hAnsi="Arial" w:cs="Arial"/>
          <w:sz w:val="22"/>
          <w:szCs w:val="22"/>
        </w:rPr>
        <w:t xml:space="preserve">desarrollada y difundida. </w:t>
      </w:r>
    </w:p>
    <w:p w14:paraId="21D99C24" w14:textId="77777777" w:rsidR="00643CE2" w:rsidRPr="0044100E" w:rsidRDefault="00643CE2" w:rsidP="00643CE2">
      <w:pPr>
        <w:pStyle w:val="Prrafodelista"/>
        <w:spacing w:after="160" w:line="256" w:lineRule="auto"/>
        <w:jc w:val="both"/>
        <w:rPr>
          <w:rFonts w:ascii="Arial" w:hAnsi="Arial" w:cs="Arial"/>
          <w:sz w:val="22"/>
          <w:szCs w:val="22"/>
        </w:rPr>
      </w:pPr>
    </w:p>
    <w:p w14:paraId="3447CD65" w14:textId="77777777" w:rsidR="00643CE2" w:rsidRPr="0044100E" w:rsidRDefault="00643CE2" w:rsidP="00643CE2">
      <w:pPr>
        <w:pStyle w:val="Prrafodelista"/>
        <w:numPr>
          <w:ilvl w:val="0"/>
          <w:numId w:val="28"/>
        </w:numPr>
        <w:spacing w:after="160" w:line="256" w:lineRule="auto"/>
        <w:jc w:val="both"/>
        <w:rPr>
          <w:rFonts w:ascii="Arial" w:hAnsi="Arial" w:cs="Arial"/>
          <w:sz w:val="22"/>
          <w:szCs w:val="22"/>
        </w:rPr>
      </w:pPr>
      <w:r w:rsidRPr="0044100E">
        <w:rPr>
          <w:rFonts w:ascii="Arial" w:hAnsi="Arial" w:cs="Arial"/>
          <w:b/>
          <w:bCs/>
          <w:sz w:val="22"/>
          <w:szCs w:val="22"/>
        </w:rPr>
        <w:t>Vigilancia en Salud Publica:</w:t>
      </w:r>
    </w:p>
    <w:p w14:paraId="419F7DFF" w14:textId="08D25A7B" w:rsidR="00643CE2" w:rsidRPr="0044100E" w:rsidRDefault="00643CE2" w:rsidP="00643CE2">
      <w:pPr>
        <w:spacing w:after="160" w:line="256" w:lineRule="auto"/>
        <w:ind w:left="284"/>
        <w:jc w:val="both"/>
        <w:rPr>
          <w:rFonts w:ascii="Arial" w:hAnsi="Arial" w:cs="Arial"/>
          <w:sz w:val="22"/>
          <w:szCs w:val="22"/>
        </w:rPr>
      </w:pPr>
      <w:r w:rsidRPr="0044100E">
        <w:rPr>
          <w:rFonts w:ascii="Arial" w:hAnsi="Arial" w:cs="Arial"/>
          <w:sz w:val="22"/>
          <w:szCs w:val="22"/>
        </w:rPr>
        <w:t xml:space="preserve">Las acciones que menciona el </w:t>
      </w:r>
      <w:r w:rsidR="00EA006F">
        <w:rPr>
          <w:rFonts w:ascii="Arial" w:hAnsi="Arial" w:cs="Arial"/>
          <w:sz w:val="22"/>
          <w:szCs w:val="22"/>
        </w:rPr>
        <w:t>D</w:t>
      </w:r>
      <w:r w:rsidRPr="0044100E">
        <w:rPr>
          <w:rFonts w:ascii="Arial" w:hAnsi="Arial" w:cs="Arial"/>
          <w:sz w:val="22"/>
          <w:szCs w:val="22"/>
        </w:rPr>
        <w:t>epartamento para la vigencia 2020 y 2021 son</w:t>
      </w:r>
      <w:r w:rsidR="001B1A71" w:rsidRPr="0044100E">
        <w:rPr>
          <w:rFonts w:ascii="Arial" w:hAnsi="Arial" w:cs="Arial"/>
          <w:sz w:val="22"/>
          <w:szCs w:val="22"/>
        </w:rPr>
        <w:t>.</w:t>
      </w:r>
    </w:p>
    <w:p w14:paraId="1EB18577" w14:textId="77777777" w:rsidR="00643CE2" w:rsidRPr="0044100E" w:rsidRDefault="00643CE2" w:rsidP="00643CE2">
      <w:pPr>
        <w:pStyle w:val="Prrafodelista"/>
        <w:numPr>
          <w:ilvl w:val="0"/>
          <w:numId w:val="30"/>
        </w:numPr>
        <w:spacing w:after="160" w:line="256" w:lineRule="auto"/>
        <w:jc w:val="both"/>
        <w:rPr>
          <w:rFonts w:ascii="Arial" w:hAnsi="Arial" w:cs="Arial"/>
          <w:sz w:val="22"/>
          <w:szCs w:val="22"/>
        </w:rPr>
      </w:pPr>
      <w:r w:rsidRPr="0044100E">
        <w:rPr>
          <w:rFonts w:ascii="Arial" w:hAnsi="Arial" w:cs="Arial"/>
          <w:sz w:val="22"/>
          <w:szCs w:val="22"/>
        </w:rPr>
        <w:t>Acciones de Vigilancia en la Calidad de Agua Para Consumo Humano mediante análisis físico - químicos y Microbiológicos en los Municipios de Mitú, Caruru y Taraira</w:t>
      </w:r>
    </w:p>
    <w:p w14:paraId="1B59FA4D" w14:textId="77777777" w:rsidR="00643CE2" w:rsidRPr="0044100E" w:rsidRDefault="00643CE2" w:rsidP="00643CE2">
      <w:pPr>
        <w:pStyle w:val="Prrafodelista"/>
        <w:numPr>
          <w:ilvl w:val="0"/>
          <w:numId w:val="30"/>
        </w:numPr>
        <w:spacing w:after="160" w:line="256" w:lineRule="auto"/>
        <w:jc w:val="both"/>
        <w:rPr>
          <w:rFonts w:ascii="Arial" w:hAnsi="Arial" w:cs="Arial"/>
          <w:sz w:val="22"/>
          <w:szCs w:val="22"/>
        </w:rPr>
      </w:pPr>
      <w:r w:rsidRPr="0044100E">
        <w:rPr>
          <w:rFonts w:ascii="Arial" w:hAnsi="Arial" w:cs="Arial"/>
          <w:sz w:val="22"/>
          <w:szCs w:val="22"/>
        </w:rPr>
        <w:t xml:space="preserve">Intervenciones de los funcionarios del Laboratorio de Salud Publica en el área rural del departamento, en procesamiento de pruebas de Ag en las Zonas de Tiquie, Alto y Bajo Pira, Alto Apaporis, Taraira, y Carurú, </w:t>
      </w:r>
    </w:p>
    <w:p w14:paraId="65E42E2B" w14:textId="11064C09" w:rsidR="00643CE2" w:rsidRPr="0044100E" w:rsidRDefault="0012296B" w:rsidP="00643CE2">
      <w:pPr>
        <w:spacing w:after="160" w:line="256" w:lineRule="auto"/>
        <w:ind w:left="284"/>
        <w:jc w:val="both"/>
        <w:rPr>
          <w:rFonts w:ascii="Arial" w:hAnsi="Arial" w:cs="Arial"/>
          <w:sz w:val="22"/>
          <w:szCs w:val="22"/>
        </w:rPr>
      </w:pPr>
      <w:r w:rsidRPr="0044100E">
        <w:rPr>
          <w:rFonts w:ascii="Arial" w:hAnsi="Arial" w:cs="Arial"/>
          <w:sz w:val="22"/>
          <w:szCs w:val="22"/>
        </w:rPr>
        <w:t>En relación</w:t>
      </w:r>
      <w:r w:rsidR="00643CE2" w:rsidRPr="0044100E">
        <w:rPr>
          <w:rFonts w:ascii="Arial" w:hAnsi="Arial" w:cs="Arial"/>
          <w:sz w:val="22"/>
          <w:szCs w:val="22"/>
        </w:rPr>
        <w:t xml:space="preserve"> </w:t>
      </w:r>
      <w:r w:rsidR="00EA006F">
        <w:rPr>
          <w:rFonts w:ascii="Arial" w:hAnsi="Arial" w:cs="Arial"/>
          <w:sz w:val="22"/>
          <w:szCs w:val="22"/>
        </w:rPr>
        <w:t>con</w:t>
      </w:r>
      <w:r w:rsidR="00643CE2" w:rsidRPr="0044100E">
        <w:rPr>
          <w:rFonts w:ascii="Arial" w:hAnsi="Arial" w:cs="Arial"/>
          <w:sz w:val="22"/>
          <w:szCs w:val="22"/>
        </w:rPr>
        <w:t xml:space="preserve"> las acciones en el marco del Covid-19 la entidad remitió las siguientes acciones;</w:t>
      </w:r>
    </w:p>
    <w:p w14:paraId="7DCC0B6C" w14:textId="5D471745" w:rsidR="00643CE2" w:rsidRPr="0044100E" w:rsidRDefault="00EA006F" w:rsidP="00643CE2">
      <w:pPr>
        <w:spacing w:after="160" w:line="256" w:lineRule="auto"/>
        <w:ind w:left="708"/>
        <w:jc w:val="both"/>
        <w:rPr>
          <w:rFonts w:ascii="Arial" w:hAnsi="Arial" w:cs="Arial"/>
          <w:i/>
          <w:iCs/>
          <w:sz w:val="22"/>
          <w:szCs w:val="22"/>
        </w:rPr>
      </w:pPr>
      <w:r>
        <w:rPr>
          <w:rFonts w:ascii="Arial" w:hAnsi="Arial" w:cs="Arial"/>
          <w:i/>
          <w:iCs/>
          <w:sz w:val="22"/>
          <w:szCs w:val="22"/>
        </w:rPr>
        <w:t>“</w:t>
      </w:r>
      <w:r w:rsidR="00643CE2" w:rsidRPr="0044100E">
        <w:rPr>
          <w:rFonts w:ascii="Arial" w:hAnsi="Arial" w:cs="Arial"/>
          <w:i/>
          <w:iCs/>
          <w:sz w:val="22"/>
          <w:szCs w:val="22"/>
        </w:rPr>
        <w:t>[…]</w:t>
      </w:r>
      <w:r>
        <w:rPr>
          <w:rFonts w:ascii="Arial" w:hAnsi="Arial" w:cs="Arial"/>
          <w:i/>
          <w:iCs/>
          <w:sz w:val="22"/>
          <w:szCs w:val="22"/>
        </w:rPr>
        <w:t xml:space="preserve"> </w:t>
      </w:r>
      <w:r w:rsidR="00643CE2" w:rsidRPr="0044100E">
        <w:rPr>
          <w:rFonts w:ascii="Arial" w:hAnsi="Arial" w:cs="Arial"/>
          <w:i/>
          <w:iCs/>
          <w:sz w:val="22"/>
          <w:szCs w:val="22"/>
        </w:rPr>
        <w:t>Remisión de muestras al Laboratorio Nacional de Referencia, “Instituto Nacional de Salud” para la realización de RT PCR para SARS CoV2 (COVID19) en muestra respiratoria Muestras, Cargue en el aplicativo “SIS MUESTRAS PRUEBAS SEROLOGICAS Registro Nacional de Pacientes y resultados COVID19 – COLOMBIA” de Pruebas de Ag y Ac realizadas en estas instalaciones, Cargué en el aplicativo “SIS MUESTRAS Registro Nacional de Pacientes y resultados COVID19 – COLOMBIA”. Sumado a esto en la vigencia 2021, envió de muestras Respiratorias para diagnostico por PCR Covid 19. 1168 (Positivos 280 Negativos 848) Corte Agosto y Uso de las Plataformas SISMUESTRAS PCR y SISMUESTRAS Pruebas Serológicas y SIVILAB, para el monitoreo y reporte y retroalimentación de casos de Covid19 […]</w:t>
      </w:r>
      <w:r>
        <w:rPr>
          <w:rFonts w:ascii="Arial" w:hAnsi="Arial" w:cs="Arial"/>
          <w:i/>
          <w:iCs/>
          <w:sz w:val="22"/>
          <w:szCs w:val="22"/>
        </w:rPr>
        <w:t>”.</w:t>
      </w:r>
    </w:p>
    <w:p w14:paraId="17DF2C57" w14:textId="77777777" w:rsidR="00643CE2" w:rsidRPr="0044100E" w:rsidRDefault="00643CE2" w:rsidP="00643CE2">
      <w:pPr>
        <w:spacing w:after="160" w:line="256" w:lineRule="auto"/>
        <w:ind w:left="284"/>
        <w:jc w:val="both"/>
        <w:rPr>
          <w:rFonts w:ascii="Arial" w:hAnsi="Arial" w:cs="Arial"/>
          <w:sz w:val="22"/>
          <w:szCs w:val="22"/>
        </w:rPr>
      </w:pPr>
      <w:r w:rsidRPr="0044100E">
        <w:rPr>
          <w:rFonts w:ascii="Arial" w:hAnsi="Arial" w:cs="Arial"/>
          <w:sz w:val="22"/>
          <w:szCs w:val="22"/>
        </w:rPr>
        <w:t>Ahora bien, para el caso de envíos de información relaciona lo siguiente:</w:t>
      </w:r>
    </w:p>
    <w:p w14:paraId="67B4D40E" w14:textId="684B75EA" w:rsidR="00643CE2" w:rsidRPr="0044100E" w:rsidRDefault="005B5FB7" w:rsidP="00643CE2">
      <w:pPr>
        <w:spacing w:after="160" w:line="256" w:lineRule="auto"/>
        <w:ind w:left="708"/>
        <w:jc w:val="both"/>
        <w:rPr>
          <w:rFonts w:ascii="Arial" w:hAnsi="Arial" w:cs="Arial"/>
          <w:i/>
          <w:iCs/>
          <w:sz w:val="22"/>
          <w:szCs w:val="22"/>
        </w:rPr>
      </w:pPr>
      <w:r>
        <w:rPr>
          <w:rFonts w:ascii="Arial" w:hAnsi="Arial" w:cs="Arial"/>
          <w:i/>
          <w:iCs/>
          <w:sz w:val="22"/>
          <w:szCs w:val="22"/>
        </w:rPr>
        <w:t>“</w:t>
      </w:r>
      <w:r w:rsidR="00643CE2" w:rsidRPr="0044100E">
        <w:rPr>
          <w:rFonts w:ascii="Arial" w:hAnsi="Arial" w:cs="Arial"/>
          <w:i/>
          <w:iCs/>
          <w:sz w:val="22"/>
          <w:szCs w:val="22"/>
        </w:rPr>
        <w:t>[…]</w:t>
      </w:r>
      <w:r>
        <w:rPr>
          <w:rFonts w:ascii="Arial" w:hAnsi="Arial" w:cs="Arial"/>
          <w:i/>
          <w:iCs/>
          <w:sz w:val="22"/>
          <w:szCs w:val="22"/>
        </w:rPr>
        <w:t xml:space="preserve"> </w:t>
      </w:r>
      <w:r w:rsidR="00643CE2" w:rsidRPr="0044100E">
        <w:rPr>
          <w:rFonts w:ascii="Arial" w:hAnsi="Arial" w:cs="Arial"/>
          <w:i/>
          <w:iCs/>
          <w:sz w:val="22"/>
          <w:szCs w:val="22"/>
        </w:rPr>
        <w:t xml:space="preserve">Envió de Muestras Hisopados nasofaríngeos al INS </w:t>
      </w:r>
      <w:r w:rsidR="001846CC" w:rsidRPr="0044100E">
        <w:rPr>
          <w:rFonts w:ascii="Arial" w:hAnsi="Arial" w:cs="Arial"/>
          <w:i/>
          <w:iCs/>
          <w:sz w:val="22"/>
          <w:szCs w:val="22"/>
        </w:rPr>
        <w:t>Dirección</w:t>
      </w:r>
      <w:r w:rsidR="00643CE2" w:rsidRPr="0044100E">
        <w:rPr>
          <w:rFonts w:ascii="Arial" w:hAnsi="Arial" w:cs="Arial"/>
          <w:i/>
          <w:iCs/>
          <w:sz w:val="22"/>
          <w:szCs w:val="22"/>
        </w:rPr>
        <w:t xml:space="preserve"> de investigación en Salud Publica, para Vigilancia genómica "secuenciación y genómica" por sospecha de Reinfección en personal de salud y de posibles fallos en vacunas y </w:t>
      </w:r>
      <w:r w:rsidR="00643CE2" w:rsidRPr="0044100E">
        <w:rPr>
          <w:rFonts w:ascii="Arial" w:hAnsi="Arial" w:cs="Arial"/>
          <w:i/>
          <w:iCs/>
          <w:sz w:val="22"/>
          <w:szCs w:val="22"/>
        </w:rPr>
        <w:lastRenderedPageBreak/>
        <w:t>envió de muestras de tejidos y sanguíneas a las áreas de patología, virología y Microbiología del INS, por sospecha de los eventos: ESAVI, FIEBRE AMARILLA, IRA POR VIRUS NUEVO, LEPTOSPIROSIS y DENGUE en miembro de las Fuerzas Armadas</w:t>
      </w:r>
      <w:r>
        <w:rPr>
          <w:rFonts w:ascii="Arial" w:hAnsi="Arial" w:cs="Arial"/>
          <w:i/>
          <w:iCs/>
          <w:sz w:val="22"/>
          <w:szCs w:val="22"/>
        </w:rPr>
        <w:t xml:space="preserve"> </w:t>
      </w:r>
      <w:r w:rsidR="00643CE2" w:rsidRPr="0044100E">
        <w:rPr>
          <w:rFonts w:ascii="Arial" w:hAnsi="Arial" w:cs="Arial"/>
          <w:i/>
          <w:iCs/>
          <w:sz w:val="22"/>
          <w:szCs w:val="22"/>
        </w:rPr>
        <w:t>[…]</w:t>
      </w:r>
      <w:r>
        <w:rPr>
          <w:rFonts w:ascii="Arial" w:hAnsi="Arial" w:cs="Arial"/>
          <w:i/>
          <w:iCs/>
          <w:sz w:val="22"/>
          <w:szCs w:val="22"/>
        </w:rPr>
        <w:t>”.</w:t>
      </w:r>
    </w:p>
    <w:p w14:paraId="1F37FDBF" w14:textId="4C91CBFC" w:rsidR="00643CE2" w:rsidRPr="0044100E" w:rsidRDefault="00643CE2" w:rsidP="00643CE2">
      <w:pPr>
        <w:spacing w:after="160" w:line="256" w:lineRule="auto"/>
        <w:ind w:left="284"/>
        <w:jc w:val="both"/>
        <w:rPr>
          <w:rFonts w:ascii="Arial" w:hAnsi="Arial" w:cs="Arial"/>
          <w:sz w:val="22"/>
          <w:szCs w:val="22"/>
        </w:rPr>
      </w:pPr>
      <w:r w:rsidRPr="0044100E">
        <w:rPr>
          <w:rFonts w:ascii="Arial" w:hAnsi="Arial" w:cs="Arial"/>
          <w:sz w:val="22"/>
          <w:szCs w:val="22"/>
        </w:rPr>
        <w:t xml:space="preserve">No obstante, no se evidencia que cuente con un sistema de vigilancia en salud pública, </w:t>
      </w:r>
      <w:r w:rsidR="00E93334" w:rsidRPr="0044100E">
        <w:rPr>
          <w:rFonts w:ascii="Arial" w:hAnsi="Arial" w:cs="Arial"/>
          <w:sz w:val="22"/>
          <w:szCs w:val="22"/>
        </w:rPr>
        <w:t>un</w:t>
      </w:r>
      <w:r w:rsidRPr="0044100E">
        <w:rPr>
          <w:rFonts w:ascii="Arial" w:hAnsi="Arial" w:cs="Arial"/>
          <w:sz w:val="22"/>
          <w:szCs w:val="22"/>
        </w:rPr>
        <w:t xml:space="preserve"> plan de desarrollo de capacidades </w:t>
      </w:r>
      <w:r w:rsidR="00E93334" w:rsidRPr="0044100E">
        <w:rPr>
          <w:rFonts w:ascii="Arial" w:hAnsi="Arial" w:cs="Arial"/>
          <w:sz w:val="22"/>
          <w:szCs w:val="22"/>
        </w:rPr>
        <w:t>y</w:t>
      </w:r>
      <w:r w:rsidR="009C7544">
        <w:rPr>
          <w:rFonts w:ascii="Arial" w:hAnsi="Arial" w:cs="Arial"/>
          <w:sz w:val="22"/>
          <w:szCs w:val="22"/>
        </w:rPr>
        <w:t xml:space="preserve"> </w:t>
      </w:r>
      <w:r w:rsidRPr="0044100E">
        <w:rPr>
          <w:rFonts w:ascii="Arial" w:hAnsi="Arial" w:cs="Arial"/>
          <w:sz w:val="22"/>
          <w:szCs w:val="22"/>
        </w:rPr>
        <w:t>que las muestras frente a la calidad del agua o las intervenciones de los funcionarios estén teniendo incidencia en la planeación y focalización de acciones.</w:t>
      </w:r>
    </w:p>
    <w:p w14:paraId="420E4800" w14:textId="77777777" w:rsidR="00643CE2" w:rsidRPr="0044100E" w:rsidRDefault="00643CE2" w:rsidP="00643CE2">
      <w:pPr>
        <w:pStyle w:val="Prrafodelista"/>
        <w:numPr>
          <w:ilvl w:val="0"/>
          <w:numId w:val="28"/>
        </w:numPr>
        <w:spacing w:after="160" w:line="256" w:lineRule="auto"/>
        <w:jc w:val="both"/>
        <w:rPr>
          <w:rFonts w:ascii="Arial" w:hAnsi="Arial" w:cs="Arial"/>
          <w:sz w:val="22"/>
          <w:szCs w:val="22"/>
        </w:rPr>
      </w:pPr>
      <w:r w:rsidRPr="0044100E">
        <w:rPr>
          <w:rFonts w:ascii="Arial" w:hAnsi="Arial" w:cs="Arial"/>
          <w:b/>
          <w:bCs/>
          <w:sz w:val="22"/>
          <w:szCs w:val="22"/>
        </w:rPr>
        <w:t>Gestión de Insumos de Interés en Salud Publica:</w:t>
      </w:r>
    </w:p>
    <w:p w14:paraId="38ED0A02" w14:textId="7E021DB4" w:rsidR="00643CE2" w:rsidRPr="0044100E" w:rsidRDefault="001B1A71" w:rsidP="00643CE2">
      <w:pPr>
        <w:spacing w:after="160" w:line="256" w:lineRule="auto"/>
        <w:ind w:left="284"/>
        <w:jc w:val="both"/>
        <w:rPr>
          <w:rFonts w:ascii="Arial" w:hAnsi="Arial" w:cs="Arial"/>
          <w:sz w:val="22"/>
          <w:szCs w:val="22"/>
        </w:rPr>
      </w:pPr>
      <w:r w:rsidRPr="0044100E">
        <w:rPr>
          <w:rFonts w:ascii="Arial" w:hAnsi="Arial" w:cs="Arial"/>
          <w:sz w:val="22"/>
          <w:szCs w:val="22"/>
        </w:rPr>
        <w:t xml:space="preserve">Frente a </w:t>
      </w:r>
      <w:r w:rsidR="00643CE2" w:rsidRPr="0044100E">
        <w:rPr>
          <w:rFonts w:ascii="Arial" w:hAnsi="Arial" w:cs="Arial"/>
          <w:sz w:val="22"/>
          <w:szCs w:val="22"/>
        </w:rPr>
        <w:t xml:space="preserve">este componente la </w:t>
      </w:r>
      <w:r w:rsidR="005B5FB7">
        <w:rPr>
          <w:rFonts w:ascii="Arial" w:hAnsi="Arial" w:cs="Arial"/>
          <w:sz w:val="22"/>
          <w:szCs w:val="22"/>
        </w:rPr>
        <w:t>E</w:t>
      </w:r>
      <w:r w:rsidR="00643CE2" w:rsidRPr="0044100E">
        <w:rPr>
          <w:rFonts w:ascii="Arial" w:hAnsi="Arial" w:cs="Arial"/>
          <w:sz w:val="22"/>
          <w:szCs w:val="22"/>
        </w:rPr>
        <w:t xml:space="preserve">ntidad </w:t>
      </w:r>
      <w:r w:rsidRPr="0044100E">
        <w:rPr>
          <w:rFonts w:ascii="Arial" w:hAnsi="Arial" w:cs="Arial"/>
          <w:sz w:val="22"/>
          <w:szCs w:val="22"/>
        </w:rPr>
        <w:t>menciona que</w:t>
      </w:r>
      <w:r w:rsidR="00643CE2" w:rsidRPr="0044100E">
        <w:rPr>
          <w:rFonts w:ascii="Arial" w:hAnsi="Arial" w:cs="Arial"/>
          <w:sz w:val="22"/>
          <w:szCs w:val="22"/>
        </w:rPr>
        <w:t xml:space="preserve"> gener</w:t>
      </w:r>
      <w:r w:rsidRPr="0044100E">
        <w:rPr>
          <w:rFonts w:ascii="Arial" w:hAnsi="Arial" w:cs="Arial"/>
          <w:sz w:val="22"/>
          <w:szCs w:val="22"/>
        </w:rPr>
        <w:t>ó</w:t>
      </w:r>
      <w:r w:rsidR="00643CE2" w:rsidRPr="0044100E">
        <w:rPr>
          <w:rFonts w:ascii="Arial" w:hAnsi="Arial" w:cs="Arial"/>
          <w:sz w:val="22"/>
          <w:szCs w:val="22"/>
        </w:rPr>
        <w:t xml:space="preserve"> la necesidad de compra de insumos reactivos y equipos de Laboratorio </w:t>
      </w:r>
      <w:r w:rsidRPr="0044100E">
        <w:rPr>
          <w:rFonts w:ascii="Arial" w:hAnsi="Arial" w:cs="Arial"/>
          <w:sz w:val="22"/>
          <w:szCs w:val="22"/>
        </w:rPr>
        <w:t xml:space="preserve">con el </w:t>
      </w:r>
      <w:r w:rsidR="00643CE2" w:rsidRPr="0044100E">
        <w:rPr>
          <w:rFonts w:ascii="Arial" w:hAnsi="Arial" w:cs="Arial"/>
          <w:sz w:val="22"/>
          <w:szCs w:val="22"/>
        </w:rPr>
        <w:t>fin de realizar los procesos precontractuales y contractuales por parte de la secretaria de Salud Departamental</w:t>
      </w:r>
      <w:r w:rsidR="00E93334" w:rsidRPr="0044100E">
        <w:rPr>
          <w:rFonts w:ascii="Arial" w:hAnsi="Arial" w:cs="Arial"/>
          <w:sz w:val="22"/>
          <w:szCs w:val="22"/>
        </w:rPr>
        <w:t>; y recibió los</w:t>
      </w:r>
      <w:r w:rsidR="00643CE2" w:rsidRPr="0044100E">
        <w:rPr>
          <w:rFonts w:ascii="Arial" w:hAnsi="Arial" w:cs="Arial"/>
          <w:sz w:val="22"/>
          <w:szCs w:val="22"/>
        </w:rPr>
        <w:t xml:space="preserve"> Hisopos para toma de Hisopado Nasofaríngeo por parte del Instituto Nacional de Salud.</w:t>
      </w:r>
    </w:p>
    <w:p w14:paraId="78A5B8AD" w14:textId="5AE170A1" w:rsidR="00643CE2" w:rsidRPr="0044100E" w:rsidRDefault="001B1A71" w:rsidP="00643CE2">
      <w:pPr>
        <w:spacing w:after="160" w:line="256" w:lineRule="auto"/>
        <w:ind w:left="284"/>
        <w:jc w:val="both"/>
        <w:rPr>
          <w:rFonts w:ascii="Arial" w:hAnsi="Arial" w:cs="Arial"/>
          <w:sz w:val="22"/>
          <w:szCs w:val="22"/>
        </w:rPr>
      </w:pPr>
      <w:r w:rsidRPr="0044100E">
        <w:rPr>
          <w:rFonts w:ascii="Arial" w:hAnsi="Arial" w:cs="Arial"/>
          <w:sz w:val="22"/>
          <w:szCs w:val="22"/>
        </w:rPr>
        <w:t xml:space="preserve">Como </w:t>
      </w:r>
      <w:r w:rsidR="00643CE2" w:rsidRPr="0044100E">
        <w:rPr>
          <w:rFonts w:ascii="Arial" w:hAnsi="Arial" w:cs="Arial"/>
          <w:sz w:val="22"/>
          <w:szCs w:val="22"/>
        </w:rPr>
        <w:t xml:space="preserve">acciones </w:t>
      </w:r>
      <w:r w:rsidRPr="0044100E">
        <w:rPr>
          <w:rFonts w:ascii="Arial" w:hAnsi="Arial" w:cs="Arial"/>
          <w:sz w:val="22"/>
          <w:szCs w:val="22"/>
        </w:rPr>
        <w:t xml:space="preserve">desarrolladas </w:t>
      </w:r>
      <w:r w:rsidR="00643CE2" w:rsidRPr="0044100E">
        <w:rPr>
          <w:rFonts w:ascii="Arial" w:hAnsi="Arial" w:cs="Arial"/>
          <w:sz w:val="22"/>
          <w:szCs w:val="22"/>
        </w:rPr>
        <w:t xml:space="preserve">en el marco de este proceso de gestión y la pandemia de Covid-19 </w:t>
      </w:r>
      <w:r w:rsidRPr="0044100E">
        <w:rPr>
          <w:rFonts w:ascii="Arial" w:hAnsi="Arial" w:cs="Arial"/>
          <w:sz w:val="22"/>
          <w:szCs w:val="22"/>
        </w:rPr>
        <w:t>se identificaron las siguientes</w:t>
      </w:r>
      <w:r w:rsidR="00643CE2" w:rsidRPr="0044100E">
        <w:rPr>
          <w:rFonts w:ascii="Arial" w:hAnsi="Arial" w:cs="Arial"/>
          <w:sz w:val="22"/>
          <w:szCs w:val="22"/>
        </w:rPr>
        <w:t>:</w:t>
      </w:r>
    </w:p>
    <w:p w14:paraId="08AACFC5" w14:textId="74EBFE4B" w:rsidR="00643CE2" w:rsidRPr="0044100E" w:rsidRDefault="005B5FB7" w:rsidP="00643CE2">
      <w:pPr>
        <w:spacing w:after="160" w:line="256" w:lineRule="auto"/>
        <w:ind w:left="708"/>
        <w:jc w:val="both"/>
        <w:rPr>
          <w:rFonts w:ascii="Arial" w:hAnsi="Arial" w:cs="Arial"/>
          <w:i/>
          <w:iCs/>
          <w:sz w:val="20"/>
          <w:szCs w:val="20"/>
        </w:rPr>
      </w:pPr>
      <w:r>
        <w:rPr>
          <w:rFonts w:ascii="Arial" w:hAnsi="Arial" w:cs="Arial"/>
          <w:i/>
          <w:iCs/>
          <w:sz w:val="20"/>
          <w:szCs w:val="20"/>
        </w:rPr>
        <w:t>“</w:t>
      </w:r>
      <w:r w:rsidR="00643CE2" w:rsidRPr="0044100E">
        <w:rPr>
          <w:rFonts w:ascii="Arial" w:hAnsi="Arial" w:cs="Arial"/>
          <w:i/>
          <w:iCs/>
          <w:sz w:val="20"/>
          <w:szCs w:val="20"/>
        </w:rPr>
        <w:t>[…]</w:t>
      </w:r>
      <w:r>
        <w:rPr>
          <w:rFonts w:ascii="Arial" w:hAnsi="Arial" w:cs="Arial"/>
          <w:i/>
          <w:iCs/>
          <w:sz w:val="20"/>
          <w:szCs w:val="20"/>
        </w:rPr>
        <w:t xml:space="preserve"> </w:t>
      </w:r>
      <w:r w:rsidR="00643CE2" w:rsidRPr="0044100E">
        <w:rPr>
          <w:rFonts w:ascii="Arial" w:hAnsi="Arial" w:cs="Arial"/>
          <w:i/>
          <w:iCs/>
          <w:sz w:val="20"/>
          <w:szCs w:val="20"/>
        </w:rPr>
        <w:t>Contrato de Prestación de Servicios Numero 308 de 2020 OBJETO: “COMPRAVENTA DE INSUMOS, ELEMENTOS Y DE EQUIPOS PARA GARANTIZAR EL FUNCIONAMIENTO OPTIMO DEL LABORATORIO DE SALUD PÚBLICA EN LA CONTINGENCIA Y LA MITIGACIÓN DEL CORONAVIRUS COVID-19 PARA LA VIGENCIA 2020”.</w:t>
      </w:r>
    </w:p>
    <w:p w14:paraId="1BF1630E" w14:textId="38B15A5D" w:rsidR="00643CE2" w:rsidRPr="0044100E" w:rsidRDefault="00643CE2" w:rsidP="00643CE2">
      <w:pPr>
        <w:spacing w:after="160" w:line="256" w:lineRule="auto"/>
        <w:ind w:left="708"/>
        <w:jc w:val="both"/>
        <w:rPr>
          <w:rFonts w:ascii="Arial" w:hAnsi="Arial" w:cs="Arial"/>
          <w:i/>
          <w:iCs/>
          <w:sz w:val="20"/>
          <w:szCs w:val="20"/>
        </w:rPr>
      </w:pPr>
      <w:r w:rsidRPr="0044100E">
        <w:rPr>
          <w:rFonts w:ascii="Arial" w:hAnsi="Arial" w:cs="Arial"/>
          <w:i/>
          <w:iCs/>
          <w:sz w:val="20"/>
          <w:szCs w:val="20"/>
        </w:rPr>
        <w:t>Entrega por parte de la gerencia Covid de 47 cajas presentación de 25 Pbas rápidas de Ag para Covid19.entrega por parte de la Gerencia COVID de Pruebas Donadas por el Fondo Nacional del Riesgo de Desastres, Mediante Remisión 54.379 de la Empresa QUINBERLAB S.A en el cual se entregaron 244 Kits PANBIO TM COVID -19 PRUEBA ANTIGENO en presentación de 25 casettes</w:t>
      </w:r>
      <w:r w:rsidR="005B5FB7">
        <w:rPr>
          <w:rFonts w:ascii="Arial" w:hAnsi="Arial" w:cs="Arial"/>
          <w:i/>
          <w:iCs/>
          <w:sz w:val="20"/>
          <w:szCs w:val="20"/>
        </w:rPr>
        <w:t xml:space="preserve"> </w:t>
      </w:r>
      <w:r w:rsidRPr="0044100E">
        <w:rPr>
          <w:rFonts w:ascii="Arial" w:hAnsi="Arial" w:cs="Arial"/>
          <w:i/>
          <w:iCs/>
          <w:sz w:val="20"/>
          <w:szCs w:val="20"/>
        </w:rPr>
        <w:t>[…]</w:t>
      </w:r>
      <w:r w:rsidR="005B5FB7">
        <w:rPr>
          <w:rFonts w:ascii="Arial" w:hAnsi="Arial" w:cs="Arial"/>
          <w:i/>
          <w:iCs/>
          <w:sz w:val="20"/>
          <w:szCs w:val="20"/>
        </w:rPr>
        <w:t>”.</w:t>
      </w:r>
    </w:p>
    <w:p w14:paraId="1671C331" w14:textId="5ECB0441" w:rsidR="00643CE2" w:rsidRPr="0044100E" w:rsidRDefault="00643CE2" w:rsidP="00643CE2">
      <w:pPr>
        <w:tabs>
          <w:tab w:val="left" w:pos="284"/>
        </w:tabs>
        <w:spacing w:after="160" w:line="256" w:lineRule="auto"/>
        <w:ind w:left="284"/>
        <w:jc w:val="both"/>
        <w:rPr>
          <w:rFonts w:ascii="Arial" w:hAnsi="Arial" w:cs="Arial"/>
          <w:sz w:val="22"/>
          <w:szCs w:val="22"/>
        </w:rPr>
      </w:pPr>
      <w:r w:rsidRPr="0044100E">
        <w:rPr>
          <w:rFonts w:ascii="Arial" w:hAnsi="Arial" w:cs="Arial"/>
          <w:sz w:val="22"/>
          <w:szCs w:val="22"/>
        </w:rPr>
        <w:t xml:space="preserve">Si bien se </w:t>
      </w:r>
      <w:r w:rsidR="001B1A71" w:rsidRPr="0044100E">
        <w:rPr>
          <w:rFonts w:ascii="Arial" w:hAnsi="Arial" w:cs="Arial"/>
          <w:sz w:val="22"/>
          <w:szCs w:val="22"/>
        </w:rPr>
        <w:t xml:space="preserve">menciona </w:t>
      </w:r>
      <w:r w:rsidRPr="0044100E">
        <w:rPr>
          <w:rFonts w:ascii="Arial" w:hAnsi="Arial" w:cs="Arial"/>
          <w:sz w:val="22"/>
          <w:szCs w:val="22"/>
        </w:rPr>
        <w:t xml:space="preserve">la contratación de insumos </w:t>
      </w:r>
      <w:r w:rsidR="001B1A71" w:rsidRPr="0044100E">
        <w:rPr>
          <w:rFonts w:ascii="Arial" w:hAnsi="Arial" w:cs="Arial"/>
          <w:sz w:val="22"/>
          <w:szCs w:val="22"/>
        </w:rPr>
        <w:t xml:space="preserve">como lo establece el MSPS, </w:t>
      </w:r>
      <w:r w:rsidRPr="0044100E">
        <w:rPr>
          <w:rFonts w:ascii="Arial" w:hAnsi="Arial" w:cs="Arial"/>
          <w:sz w:val="22"/>
          <w:szCs w:val="22"/>
        </w:rPr>
        <w:t xml:space="preserve">no se evidencia </w:t>
      </w:r>
      <w:r w:rsidR="001B1A71" w:rsidRPr="0044100E">
        <w:rPr>
          <w:rFonts w:ascii="Arial" w:hAnsi="Arial" w:cs="Arial"/>
          <w:sz w:val="22"/>
          <w:szCs w:val="22"/>
        </w:rPr>
        <w:t xml:space="preserve">el procedimiento que lleva a </w:t>
      </w:r>
      <w:r w:rsidR="001846CC" w:rsidRPr="0044100E">
        <w:rPr>
          <w:rFonts w:ascii="Arial" w:hAnsi="Arial" w:cs="Arial"/>
          <w:sz w:val="22"/>
          <w:szCs w:val="22"/>
        </w:rPr>
        <w:t>cabo</w:t>
      </w:r>
      <w:r w:rsidR="001B1A71" w:rsidRPr="0044100E">
        <w:rPr>
          <w:rFonts w:ascii="Arial" w:hAnsi="Arial" w:cs="Arial"/>
          <w:sz w:val="22"/>
          <w:szCs w:val="22"/>
        </w:rPr>
        <w:t xml:space="preserve"> para el</w:t>
      </w:r>
      <w:r w:rsidR="001846CC" w:rsidRPr="0044100E">
        <w:rPr>
          <w:rFonts w:ascii="Arial" w:hAnsi="Arial" w:cs="Arial"/>
          <w:sz w:val="22"/>
          <w:szCs w:val="22"/>
        </w:rPr>
        <w:t xml:space="preserve"> </w:t>
      </w:r>
      <w:r w:rsidR="001B1A71" w:rsidRPr="0044100E">
        <w:rPr>
          <w:rFonts w:ascii="Arial" w:hAnsi="Arial" w:cs="Arial"/>
          <w:sz w:val="22"/>
          <w:szCs w:val="22"/>
        </w:rPr>
        <w:t>manejo de</w:t>
      </w:r>
      <w:r w:rsidRPr="0044100E">
        <w:rPr>
          <w:rFonts w:ascii="Arial" w:hAnsi="Arial" w:cs="Arial"/>
          <w:sz w:val="22"/>
          <w:szCs w:val="22"/>
        </w:rPr>
        <w:t xml:space="preserve"> los residuos de medicamentos y </w:t>
      </w:r>
      <w:r w:rsidR="001B1A71" w:rsidRPr="0044100E">
        <w:rPr>
          <w:rFonts w:ascii="Arial" w:hAnsi="Arial" w:cs="Arial"/>
          <w:sz w:val="22"/>
          <w:szCs w:val="22"/>
        </w:rPr>
        <w:t>si cuenta con</w:t>
      </w:r>
      <w:r w:rsidRPr="0044100E">
        <w:rPr>
          <w:rFonts w:ascii="Arial" w:hAnsi="Arial" w:cs="Arial"/>
          <w:sz w:val="22"/>
          <w:szCs w:val="22"/>
        </w:rPr>
        <w:t xml:space="preserve"> un sistema de información que permita tener un control de las necesidades del territorio.</w:t>
      </w:r>
    </w:p>
    <w:p w14:paraId="2559DDA2" w14:textId="77777777" w:rsidR="00643CE2" w:rsidRPr="0044100E" w:rsidRDefault="00643CE2" w:rsidP="00643CE2">
      <w:pPr>
        <w:pStyle w:val="Prrafodelista"/>
        <w:numPr>
          <w:ilvl w:val="0"/>
          <w:numId w:val="28"/>
        </w:numPr>
        <w:spacing w:after="160" w:line="256" w:lineRule="auto"/>
        <w:jc w:val="both"/>
        <w:rPr>
          <w:rFonts w:ascii="Arial" w:hAnsi="Arial" w:cs="Arial"/>
          <w:sz w:val="22"/>
          <w:szCs w:val="22"/>
        </w:rPr>
      </w:pPr>
      <w:r w:rsidRPr="0044100E">
        <w:rPr>
          <w:rFonts w:ascii="Arial" w:hAnsi="Arial" w:cs="Arial"/>
          <w:b/>
          <w:bCs/>
          <w:sz w:val="22"/>
          <w:szCs w:val="22"/>
        </w:rPr>
        <w:t>Desarrollo de capacidades:</w:t>
      </w:r>
    </w:p>
    <w:p w14:paraId="0398577D" w14:textId="75B295CA" w:rsidR="00643CE2" w:rsidRPr="0044100E" w:rsidRDefault="00643CE2" w:rsidP="00643CE2">
      <w:pPr>
        <w:spacing w:after="160" w:line="256" w:lineRule="auto"/>
        <w:ind w:left="284"/>
        <w:jc w:val="both"/>
        <w:rPr>
          <w:rFonts w:ascii="Arial" w:hAnsi="Arial" w:cs="Arial"/>
          <w:sz w:val="22"/>
          <w:szCs w:val="22"/>
        </w:rPr>
      </w:pPr>
      <w:r w:rsidRPr="0044100E">
        <w:rPr>
          <w:rFonts w:ascii="Arial" w:hAnsi="Arial" w:cs="Arial"/>
          <w:sz w:val="22"/>
          <w:szCs w:val="22"/>
        </w:rPr>
        <w:t xml:space="preserve">Frente a este componente la </w:t>
      </w:r>
      <w:r w:rsidR="00B43AFA">
        <w:rPr>
          <w:rFonts w:ascii="Arial" w:hAnsi="Arial" w:cs="Arial"/>
          <w:sz w:val="22"/>
          <w:szCs w:val="22"/>
        </w:rPr>
        <w:t>E</w:t>
      </w:r>
      <w:r w:rsidRPr="0044100E">
        <w:rPr>
          <w:rFonts w:ascii="Arial" w:hAnsi="Arial" w:cs="Arial"/>
          <w:sz w:val="22"/>
          <w:szCs w:val="22"/>
        </w:rPr>
        <w:t xml:space="preserve">ntidad </w:t>
      </w:r>
      <w:r w:rsidR="001B1A71" w:rsidRPr="0044100E">
        <w:rPr>
          <w:rFonts w:ascii="Arial" w:hAnsi="Arial" w:cs="Arial"/>
          <w:sz w:val="22"/>
          <w:szCs w:val="22"/>
        </w:rPr>
        <w:t xml:space="preserve">informó la realización de </w:t>
      </w:r>
      <w:r w:rsidRPr="0044100E">
        <w:rPr>
          <w:rFonts w:ascii="Arial" w:hAnsi="Arial" w:cs="Arial"/>
          <w:sz w:val="22"/>
          <w:szCs w:val="22"/>
        </w:rPr>
        <w:t xml:space="preserve">las siguientes acciones </w:t>
      </w:r>
      <w:r w:rsidR="0012296B" w:rsidRPr="0044100E">
        <w:rPr>
          <w:rFonts w:ascii="Arial" w:hAnsi="Arial" w:cs="Arial"/>
          <w:sz w:val="22"/>
          <w:szCs w:val="22"/>
        </w:rPr>
        <w:t>durante la</w:t>
      </w:r>
      <w:r w:rsidRPr="0044100E">
        <w:rPr>
          <w:rFonts w:ascii="Arial" w:hAnsi="Arial" w:cs="Arial"/>
          <w:sz w:val="22"/>
          <w:szCs w:val="22"/>
        </w:rPr>
        <w:t xml:space="preserve"> vigencia 2020:</w:t>
      </w:r>
    </w:p>
    <w:p w14:paraId="0660FC67" w14:textId="34F74587" w:rsidR="00643CE2" w:rsidRPr="0044100E" w:rsidRDefault="00643CE2" w:rsidP="00643CE2">
      <w:pPr>
        <w:pStyle w:val="Prrafodelista"/>
        <w:numPr>
          <w:ilvl w:val="0"/>
          <w:numId w:val="32"/>
        </w:numPr>
        <w:spacing w:after="160" w:line="256" w:lineRule="auto"/>
        <w:jc w:val="both"/>
        <w:rPr>
          <w:rFonts w:ascii="Arial" w:hAnsi="Arial" w:cs="Arial"/>
          <w:sz w:val="22"/>
          <w:szCs w:val="22"/>
        </w:rPr>
      </w:pPr>
      <w:r w:rsidRPr="0044100E">
        <w:rPr>
          <w:rFonts w:ascii="Arial" w:hAnsi="Arial" w:cs="Arial"/>
          <w:sz w:val="22"/>
          <w:szCs w:val="22"/>
        </w:rPr>
        <w:t xml:space="preserve">Acciones de Capacitación, seguimiento, entrega de evaluación de capacidades y asistencia técnica al Laboratorio Clínico del de la E.S.E. Hospital San Antonio de Mitú. </w:t>
      </w:r>
      <w:r w:rsidR="006226E4" w:rsidRPr="0044100E">
        <w:rPr>
          <w:rFonts w:ascii="Arial" w:hAnsi="Arial" w:cs="Arial"/>
          <w:sz w:val="22"/>
          <w:szCs w:val="22"/>
        </w:rPr>
        <w:t>Las acciones se enfocaron en</w:t>
      </w:r>
      <w:r w:rsidRPr="0044100E">
        <w:rPr>
          <w:rFonts w:ascii="Arial" w:hAnsi="Arial" w:cs="Arial"/>
          <w:sz w:val="22"/>
          <w:szCs w:val="22"/>
        </w:rPr>
        <w:t xml:space="preserve"> </w:t>
      </w:r>
      <w:r w:rsidR="006226E4" w:rsidRPr="0044100E">
        <w:rPr>
          <w:rFonts w:ascii="Arial" w:hAnsi="Arial" w:cs="Arial"/>
          <w:sz w:val="22"/>
          <w:szCs w:val="22"/>
        </w:rPr>
        <w:t>s</w:t>
      </w:r>
      <w:r w:rsidRPr="0044100E">
        <w:rPr>
          <w:rFonts w:ascii="Arial" w:hAnsi="Arial" w:cs="Arial"/>
          <w:sz w:val="22"/>
          <w:szCs w:val="22"/>
        </w:rPr>
        <w:t>ocializar los Lineamientos Nacionales por laboratorio para el evento Covid19</w:t>
      </w:r>
      <w:r w:rsidR="006226E4" w:rsidRPr="0044100E">
        <w:rPr>
          <w:rFonts w:ascii="Arial" w:hAnsi="Arial" w:cs="Arial"/>
          <w:sz w:val="22"/>
          <w:szCs w:val="22"/>
        </w:rPr>
        <w:t>;realizar</w:t>
      </w:r>
      <w:r w:rsidRPr="0044100E">
        <w:rPr>
          <w:rFonts w:ascii="Arial" w:hAnsi="Arial" w:cs="Arial"/>
          <w:sz w:val="22"/>
          <w:szCs w:val="22"/>
        </w:rPr>
        <w:t xml:space="preserve"> </w:t>
      </w:r>
      <w:r w:rsidR="006226E4" w:rsidRPr="0044100E">
        <w:rPr>
          <w:rFonts w:ascii="Arial" w:hAnsi="Arial" w:cs="Arial"/>
          <w:sz w:val="22"/>
          <w:szCs w:val="22"/>
        </w:rPr>
        <w:t>el s</w:t>
      </w:r>
      <w:r w:rsidRPr="0044100E">
        <w:rPr>
          <w:rFonts w:ascii="Arial" w:hAnsi="Arial" w:cs="Arial"/>
          <w:sz w:val="22"/>
          <w:szCs w:val="22"/>
        </w:rPr>
        <w:t xml:space="preserve">eguimiento a las actividades de vigilancia por laboratorio de virus respiratorios </w:t>
      </w:r>
      <w:r w:rsidR="006226E4" w:rsidRPr="0044100E">
        <w:rPr>
          <w:rFonts w:ascii="Arial" w:hAnsi="Arial" w:cs="Arial"/>
          <w:sz w:val="22"/>
          <w:szCs w:val="22"/>
        </w:rPr>
        <w:t xml:space="preserve">con </w:t>
      </w:r>
      <w:r w:rsidRPr="0044100E">
        <w:rPr>
          <w:rFonts w:ascii="Arial" w:hAnsi="Arial" w:cs="Arial"/>
          <w:sz w:val="22"/>
          <w:szCs w:val="22"/>
        </w:rPr>
        <w:t xml:space="preserve">énfasis en Covid19 de acuerdo con lineamientos nacionales impartidos por la red nacional de </w:t>
      </w:r>
      <w:r w:rsidRPr="0044100E">
        <w:rPr>
          <w:rFonts w:ascii="Arial" w:hAnsi="Arial" w:cs="Arial"/>
          <w:sz w:val="22"/>
          <w:szCs w:val="22"/>
        </w:rPr>
        <w:lastRenderedPageBreak/>
        <w:t>Laboratorio</w:t>
      </w:r>
      <w:r w:rsidR="006226E4" w:rsidRPr="0044100E">
        <w:rPr>
          <w:rFonts w:ascii="Arial" w:hAnsi="Arial" w:cs="Arial"/>
          <w:sz w:val="22"/>
          <w:szCs w:val="22"/>
        </w:rPr>
        <w:t>s;</w:t>
      </w:r>
      <w:r w:rsidR="001846CC" w:rsidRPr="0044100E">
        <w:rPr>
          <w:rFonts w:ascii="Arial" w:hAnsi="Arial" w:cs="Arial"/>
          <w:sz w:val="22"/>
          <w:szCs w:val="22"/>
        </w:rPr>
        <w:t xml:space="preserve"> </w:t>
      </w:r>
      <w:r w:rsidR="006226E4" w:rsidRPr="0044100E">
        <w:rPr>
          <w:rFonts w:ascii="Arial" w:hAnsi="Arial" w:cs="Arial"/>
          <w:sz w:val="22"/>
          <w:szCs w:val="22"/>
        </w:rPr>
        <w:t>efectuar</w:t>
      </w:r>
      <w:r w:rsidR="009C7544">
        <w:rPr>
          <w:rFonts w:ascii="Arial" w:hAnsi="Arial" w:cs="Arial"/>
          <w:sz w:val="22"/>
          <w:szCs w:val="22"/>
        </w:rPr>
        <w:t xml:space="preserve"> </w:t>
      </w:r>
      <w:r w:rsidRPr="0044100E">
        <w:rPr>
          <w:rFonts w:ascii="Arial" w:hAnsi="Arial" w:cs="Arial"/>
          <w:sz w:val="22"/>
          <w:szCs w:val="22"/>
        </w:rPr>
        <w:t>asistencia técnica con el objetivo de conocer el avance de la implementación de estándares de calidad en el marco de la Resolución 1619 de 2015, y la Resolución 0922 de 2018</w:t>
      </w:r>
      <w:r w:rsidR="006226E4" w:rsidRPr="0044100E">
        <w:rPr>
          <w:rFonts w:ascii="Arial" w:hAnsi="Arial" w:cs="Arial"/>
          <w:sz w:val="22"/>
          <w:szCs w:val="22"/>
        </w:rPr>
        <w:t>; y</w:t>
      </w:r>
      <w:r w:rsidR="001846CC" w:rsidRPr="0044100E">
        <w:rPr>
          <w:rFonts w:ascii="Arial" w:hAnsi="Arial" w:cs="Arial"/>
          <w:sz w:val="22"/>
          <w:szCs w:val="22"/>
        </w:rPr>
        <w:t xml:space="preserve"> </w:t>
      </w:r>
      <w:r w:rsidR="006226E4" w:rsidRPr="0044100E">
        <w:rPr>
          <w:rFonts w:ascii="Arial" w:hAnsi="Arial" w:cs="Arial"/>
          <w:sz w:val="22"/>
          <w:szCs w:val="22"/>
        </w:rPr>
        <w:t>hacer</w:t>
      </w:r>
      <w:r w:rsidR="009C7544">
        <w:rPr>
          <w:rFonts w:ascii="Arial" w:hAnsi="Arial" w:cs="Arial"/>
          <w:sz w:val="22"/>
          <w:szCs w:val="22"/>
        </w:rPr>
        <w:t xml:space="preserve"> </w:t>
      </w:r>
      <w:r w:rsidRPr="0044100E">
        <w:rPr>
          <w:rFonts w:ascii="Arial" w:hAnsi="Arial" w:cs="Arial"/>
          <w:sz w:val="22"/>
          <w:szCs w:val="22"/>
        </w:rPr>
        <w:t xml:space="preserve">entrega de la </w:t>
      </w:r>
      <w:r w:rsidR="006226E4" w:rsidRPr="0044100E">
        <w:rPr>
          <w:rFonts w:ascii="Arial" w:hAnsi="Arial" w:cs="Arial"/>
          <w:sz w:val="22"/>
          <w:szCs w:val="22"/>
        </w:rPr>
        <w:t>e</w:t>
      </w:r>
      <w:r w:rsidRPr="0044100E">
        <w:rPr>
          <w:rFonts w:ascii="Arial" w:hAnsi="Arial" w:cs="Arial"/>
          <w:sz w:val="22"/>
          <w:szCs w:val="22"/>
        </w:rPr>
        <w:t xml:space="preserve">valuación de capacidades para definir su capacidad instalada </w:t>
      </w:r>
      <w:r w:rsidR="006226E4" w:rsidRPr="0044100E">
        <w:rPr>
          <w:rFonts w:ascii="Arial" w:hAnsi="Arial" w:cs="Arial"/>
          <w:sz w:val="22"/>
          <w:szCs w:val="22"/>
        </w:rPr>
        <w:t>frente al</w:t>
      </w:r>
      <w:r w:rsidR="009C7544">
        <w:rPr>
          <w:rFonts w:ascii="Arial" w:hAnsi="Arial" w:cs="Arial"/>
          <w:sz w:val="22"/>
          <w:szCs w:val="22"/>
        </w:rPr>
        <w:t xml:space="preserve"> </w:t>
      </w:r>
      <w:r w:rsidRPr="0044100E">
        <w:rPr>
          <w:rFonts w:ascii="Arial" w:hAnsi="Arial" w:cs="Arial"/>
          <w:sz w:val="22"/>
          <w:szCs w:val="22"/>
        </w:rPr>
        <w:t>diagnóstico de Covid19.</w:t>
      </w:r>
    </w:p>
    <w:p w14:paraId="51BFB26A" w14:textId="77777777" w:rsidR="00643CE2" w:rsidRPr="0044100E" w:rsidRDefault="00643CE2" w:rsidP="00643CE2">
      <w:pPr>
        <w:pStyle w:val="Prrafodelista"/>
        <w:numPr>
          <w:ilvl w:val="0"/>
          <w:numId w:val="32"/>
        </w:numPr>
        <w:spacing w:after="160" w:line="256" w:lineRule="auto"/>
        <w:jc w:val="both"/>
        <w:rPr>
          <w:rFonts w:ascii="Arial" w:hAnsi="Arial" w:cs="Arial"/>
          <w:sz w:val="22"/>
          <w:szCs w:val="22"/>
        </w:rPr>
      </w:pPr>
      <w:r w:rsidRPr="0044100E">
        <w:rPr>
          <w:rFonts w:ascii="Arial" w:hAnsi="Arial" w:cs="Arial"/>
          <w:sz w:val="22"/>
          <w:szCs w:val="22"/>
        </w:rPr>
        <w:t xml:space="preserve"> Brindar una asistencia técnica al Laboratorio clínico IPS Vaupesano, con el objetivo de conocer el estado de avance de la implementación de estándares de calidad en el marco de la Resolución 1619 de 2015, y la Resolución 0922 de 2018.</w:t>
      </w:r>
    </w:p>
    <w:p w14:paraId="422C72C9" w14:textId="7DDCC426" w:rsidR="00643CE2" w:rsidRPr="0044100E" w:rsidRDefault="00643CE2" w:rsidP="00643CE2">
      <w:pPr>
        <w:pStyle w:val="Prrafodelista"/>
        <w:numPr>
          <w:ilvl w:val="0"/>
          <w:numId w:val="32"/>
        </w:numPr>
        <w:spacing w:after="160" w:line="256" w:lineRule="auto"/>
        <w:jc w:val="both"/>
        <w:rPr>
          <w:rFonts w:ascii="Arial" w:hAnsi="Arial" w:cs="Arial"/>
          <w:sz w:val="22"/>
          <w:szCs w:val="22"/>
        </w:rPr>
      </w:pPr>
      <w:r w:rsidRPr="0044100E">
        <w:rPr>
          <w:rFonts w:ascii="Arial" w:hAnsi="Arial" w:cs="Arial"/>
          <w:sz w:val="22"/>
          <w:szCs w:val="22"/>
        </w:rPr>
        <w:t>Socializa</w:t>
      </w:r>
      <w:r w:rsidR="006226E4" w:rsidRPr="0044100E">
        <w:rPr>
          <w:rFonts w:ascii="Arial" w:hAnsi="Arial" w:cs="Arial"/>
          <w:sz w:val="22"/>
          <w:szCs w:val="22"/>
        </w:rPr>
        <w:t>r</w:t>
      </w:r>
      <w:r w:rsidRPr="0044100E">
        <w:rPr>
          <w:rFonts w:ascii="Arial" w:hAnsi="Arial" w:cs="Arial"/>
          <w:sz w:val="22"/>
          <w:szCs w:val="22"/>
        </w:rPr>
        <w:t xml:space="preserve"> y capacita</w:t>
      </w:r>
      <w:r w:rsidR="006226E4" w:rsidRPr="0044100E">
        <w:rPr>
          <w:rFonts w:ascii="Arial" w:hAnsi="Arial" w:cs="Arial"/>
          <w:sz w:val="22"/>
          <w:szCs w:val="22"/>
        </w:rPr>
        <w:t>r</w:t>
      </w:r>
      <w:r w:rsidR="001846CC" w:rsidRPr="0044100E">
        <w:rPr>
          <w:rFonts w:ascii="Arial" w:hAnsi="Arial" w:cs="Arial"/>
          <w:sz w:val="22"/>
          <w:szCs w:val="22"/>
        </w:rPr>
        <w:t xml:space="preserve"> </w:t>
      </w:r>
      <w:r w:rsidR="006226E4" w:rsidRPr="0044100E">
        <w:rPr>
          <w:rFonts w:ascii="Arial" w:hAnsi="Arial" w:cs="Arial"/>
          <w:sz w:val="22"/>
          <w:szCs w:val="22"/>
        </w:rPr>
        <w:t>frente a</w:t>
      </w:r>
      <w:r w:rsidRPr="0044100E">
        <w:rPr>
          <w:rFonts w:ascii="Arial" w:hAnsi="Arial" w:cs="Arial"/>
          <w:sz w:val="22"/>
          <w:szCs w:val="22"/>
        </w:rPr>
        <w:t xml:space="preserve"> los lineamientos para el uso de Pruebas Moleculares RT -P</w:t>
      </w:r>
      <w:r w:rsidRPr="0044100E">
        <w:rPr>
          <w:rFonts w:ascii="Arial" w:hAnsi="Arial" w:cs="Arial"/>
          <w:sz w:val="22"/>
          <w:szCs w:val="22"/>
        </w:rPr>
        <w:tab/>
        <w:t>CR, pruebas de Ag y toma de muestras de Hisopado Nasofaríngeo</w:t>
      </w:r>
      <w:r w:rsidR="006226E4" w:rsidRPr="0044100E">
        <w:rPr>
          <w:rFonts w:ascii="Arial" w:hAnsi="Arial" w:cs="Arial"/>
          <w:sz w:val="22"/>
          <w:szCs w:val="22"/>
        </w:rPr>
        <w:t>,</w:t>
      </w:r>
      <w:r w:rsidRPr="0044100E">
        <w:rPr>
          <w:rFonts w:ascii="Arial" w:hAnsi="Arial" w:cs="Arial"/>
          <w:sz w:val="22"/>
          <w:szCs w:val="22"/>
        </w:rPr>
        <w:t xml:space="preserve"> montaje e interpretación de prueba</w:t>
      </w:r>
      <w:r w:rsidR="006226E4" w:rsidRPr="0044100E">
        <w:rPr>
          <w:rFonts w:ascii="Arial" w:hAnsi="Arial" w:cs="Arial"/>
          <w:sz w:val="22"/>
          <w:szCs w:val="22"/>
        </w:rPr>
        <w:t>s</w:t>
      </w:r>
      <w:r w:rsidRPr="0044100E">
        <w:rPr>
          <w:rFonts w:ascii="Arial" w:hAnsi="Arial" w:cs="Arial"/>
          <w:sz w:val="22"/>
          <w:szCs w:val="22"/>
        </w:rPr>
        <w:t xml:space="preserve"> rápidas de Ag.</w:t>
      </w:r>
    </w:p>
    <w:p w14:paraId="3E3C6089" w14:textId="15CF3A31" w:rsidR="00643CE2" w:rsidRPr="0044100E" w:rsidRDefault="00643CE2" w:rsidP="00643CE2">
      <w:pPr>
        <w:pStyle w:val="Prrafodelista"/>
        <w:numPr>
          <w:ilvl w:val="0"/>
          <w:numId w:val="32"/>
        </w:numPr>
        <w:spacing w:after="160" w:line="256" w:lineRule="auto"/>
        <w:jc w:val="both"/>
        <w:rPr>
          <w:rFonts w:ascii="Arial" w:hAnsi="Arial" w:cs="Arial"/>
          <w:sz w:val="22"/>
          <w:szCs w:val="22"/>
        </w:rPr>
      </w:pPr>
      <w:r w:rsidRPr="0044100E">
        <w:rPr>
          <w:rFonts w:ascii="Arial" w:hAnsi="Arial" w:cs="Arial"/>
          <w:sz w:val="22"/>
          <w:szCs w:val="22"/>
        </w:rPr>
        <w:t>Cargue de la información al aplicativo del Ministerio de Salud y Protección Social respecto a las Capacidades del Laboratorio Salud Publica “Gestión Financiera, Gestión Técnica y Evaluación de la Gestión".</w:t>
      </w:r>
    </w:p>
    <w:p w14:paraId="2D50479B" w14:textId="3F29AE0B" w:rsidR="00643CE2" w:rsidRPr="0044100E" w:rsidRDefault="00643CE2" w:rsidP="00643CE2">
      <w:pPr>
        <w:tabs>
          <w:tab w:val="left" w:pos="284"/>
        </w:tabs>
        <w:spacing w:after="160" w:line="256" w:lineRule="auto"/>
        <w:ind w:left="284"/>
        <w:jc w:val="both"/>
        <w:rPr>
          <w:rFonts w:ascii="Arial" w:hAnsi="Arial" w:cs="Arial"/>
          <w:sz w:val="22"/>
          <w:szCs w:val="22"/>
        </w:rPr>
      </w:pPr>
      <w:r w:rsidRPr="0044100E">
        <w:rPr>
          <w:rFonts w:ascii="Arial" w:hAnsi="Arial" w:cs="Arial"/>
          <w:sz w:val="22"/>
          <w:szCs w:val="22"/>
        </w:rPr>
        <w:t xml:space="preserve">La Entidad territorial relaciona dos (2) </w:t>
      </w:r>
      <w:r w:rsidR="006226E4" w:rsidRPr="0044100E">
        <w:rPr>
          <w:rFonts w:ascii="Arial" w:hAnsi="Arial" w:cs="Arial"/>
          <w:sz w:val="22"/>
          <w:szCs w:val="22"/>
        </w:rPr>
        <w:t>acciones efectuadas durante</w:t>
      </w:r>
      <w:r w:rsidRPr="0044100E">
        <w:rPr>
          <w:rFonts w:ascii="Arial" w:hAnsi="Arial" w:cs="Arial"/>
          <w:sz w:val="22"/>
          <w:szCs w:val="22"/>
        </w:rPr>
        <w:t xml:space="preserve"> la vigencia 2021</w:t>
      </w:r>
      <w:r w:rsidR="006226E4" w:rsidRPr="0044100E">
        <w:rPr>
          <w:rFonts w:ascii="Arial" w:hAnsi="Arial" w:cs="Arial"/>
          <w:sz w:val="22"/>
          <w:szCs w:val="22"/>
        </w:rPr>
        <w:t>,</w:t>
      </w:r>
      <w:r w:rsidRPr="0044100E">
        <w:rPr>
          <w:rFonts w:ascii="Arial" w:hAnsi="Arial" w:cs="Arial"/>
          <w:sz w:val="22"/>
          <w:szCs w:val="22"/>
        </w:rPr>
        <w:t xml:space="preserve"> las cuales son:</w:t>
      </w:r>
    </w:p>
    <w:p w14:paraId="7BD7C4FF" w14:textId="2D27E129" w:rsidR="00643CE2" w:rsidRPr="0044100E" w:rsidRDefault="00B43AFA" w:rsidP="00643CE2">
      <w:pPr>
        <w:pStyle w:val="Prrafodelista"/>
        <w:numPr>
          <w:ilvl w:val="0"/>
          <w:numId w:val="34"/>
        </w:numPr>
        <w:spacing w:after="160" w:line="256" w:lineRule="auto"/>
        <w:jc w:val="both"/>
        <w:rPr>
          <w:rFonts w:ascii="Arial" w:hAnsi="Arial" w:cs="Arial"/>
          <w:i/>
          <w:iCs/>
          <w:sz w:val="20"/>
          <w:szCs w:val="20"/>
        </w:rPr>
      </w:pPr>
      <w:r>
        <w:rPr>
          <w:rFonts w:ascii="Arial" w:hAnsi="Arial" w:cs="Arial"/>
          <w:i/>
          <w:iCs/>
          <w:sz w:val="20"/>
          <w:szCs w:val="20"/>
        </w:rPr>
        <w:t>“</w:t>
      </w:r>
      <w:r w:rsidR="00643CE2" w:rsidRPr="0044100E">
        <w:rPr>
          <w:rFonts w:ascii="Arial" w:hAnsi="Arial" w:cs="Arial"/>
          <w:i/>
          <w:iCs/>
          <w:sz w:val="20"/>
          <w:szCs w:val="20"/>
        </w:rPr>
        <w:t>[…]</w:t>
      </w:r>
      <w:r>
        <w:rPr>
          <w:rFonts w:ascii="Arial" w:hAnsi="Arial" w:cs="Arial"/>
          <w:i/>
          <w:iCs/>
          <w:sz w:val="20"/>
          <w:szCs w:val="20"/>
        </w:rPr>
        <w:t xml:space="preserve"> </w:t>
      </w:r>
      <w:r w:rsidR="00643CE2" w:rsidRPr="0044100E">
        <w:rPr>
          <w:rFonts w:ascii="Arial" w:hAnsi="Arial" w:cs="Arial"/>
          <w:i/>
          <w:iCs/>
          <w:sz w:val="20"/>
          <w:szCs w:val="20"/>
        </w:rPr>
        <w:t>Divulgación de los lineamientos para la vigilancia por laboratorio de virus respiratorios y entrenamiento para toma y envío de muestras. Directrices SUPERSALUD dirigido a ERI Mpal Dptal, y Prestadores Público y Privado Primera Fase (Gerentes Covid Dptal, Mpal, IPS Pública - Privada.</w:t>
      </w:r>
    </w:p>
    <w:p w14:paraId="1FAD539D" w14:textId="2E06D9A7" w:rsidR="00643CE2" w:rsidRPr="0044100E" w:rsidRDefault="00643CE2" w:rsidP="00643CE2">
      <w:pPr>
        <w:pStyle w:val="Prrafodelista"/>
        <w:numPr>
          <w:ilvl w:val="0"/>
          <w:numId w:val="34"/>
        </w:numPr>
        <w:spacing w:after="160" w:line="256" w:lineRule="auto"/>
        <w:jc w:val="both"/>
        <w:rPr>
          <w:rFonts w:ascii="Arial" w:hAnsi="Arial" w:cs="Arial"/>
          <w:i/>
          <w:iCs/>
          <w:sz w:val="20"/>
          <w:szCs w:val="20"/>
        </w:rPr>
      </w:pPr>
      <w:r w:rsidRPr="0044100E">
        <w:rPr>
          <w:rFonts w:ascii="Arial" w:hAnsi="Arial" w:cs="Arial"/>
          <w:i/>
          <w:iCs/>
          <w:sz w:val="20"/>
          <w:szCs w:val="20"/>
        </w:rPr>
        <w:t>Entrenamiento para toma y envío de muestras. Directrices SUPERSALUD Segunda Fase (Personal Asistencial - IPS Publica) […]</w:t>
      </w:r>
      <w:r w:rsidR="00B43AFA">
        <w:rPr>
          <w:rFonts w:ascii="Arial" w:hAnsi="Arial" w:cs="Arial"/>
          <w:i/>
          <w:iCs/>
          <w:sz w:val="20"/>
          <w:szCs w:val="20"/>
        </w:rPr>
        <w:t>”</w:t>
      </w:r>
    </w:p>
    <w:p w14:paraId="576D73F1" w14:textId="77777777" w:rsidR="00643CE2" w:rsidRPr="0044100E" w:rsidRDefault="00643CE2" w:rsidP="00B43AFA">
      <w:pPr>
        <w:pStyle w:val="Prrafodelista"/>
        <w:jc w:val="both"/>
        <w:rPr>
          <w:rFonts w:ascii="Arial" w:hAnsi="Arial" w:cs="Arial"/>
          <w:b/>
          <w:bCs/>
          <w:sz w:val="22"/>
          <w:szCs w:val="22"/>
        </w:rPr>
      </w:pPr>
    </w:p>
    <w:p w14:paraId="1D05D073" w14:textId="62229173" w:rsidR="00643CE2" w:rsidRPr="0044100E" w:rsidRDefault="00643CE2" w:rsidP="00B43AFA">
      <w:pPr>
        <w:jc w:val="both"/>
        <w:rPr>
          <w:rFonts w:ascii="Arial" w:hAnsi="Arial" w:cs="Arial"/>
          <w:sz w:val="22"/>
          <w:szCs w:val="22"/>
        </w:rPr>
      </w:pPr>
      <w:r w:rsidRPr="0044100E">
        <w:rPr>
          <w:rFonts w:ascii="Arial" w:hAnsi="Arial" w:cs="Arial"/>
          <w:sz w:val="22"/>
          <w:szCs w:val="22"/>
        </w:rPr>
        <w:t xml:space="preserve">No obstante, el </w:t>
      </w:r>
      <w:r w:rsidR="00B43AFA">
        <w:rPr>
          <w:rFonts w:ascii="Arial" w:hAnsi="Arial" w:cs="Arial"/>
          <w:sz w:val="22"/>
          <w:szCs w:val="22"/>
        </w:rPr>
        <w:t>D</w:t>
      </w:r>
      <w:r w:rsidRPr="0044100E">
        <w:rPr>
          <w:rFonts w:ascii="Arial" w:hAnsi="Arial" w:cs="Arial"/>
          <w:sz w:val="22"/>
          <w:szCs w:val="22"/>
        </w:rPr>
        <w:t>epartamento no remite los resultados de las capacitación, seguimiento y entrega de evaluación de capacidades, ni tampoco los planes de mejora ligado</w:t>
      </w:r>
      <w:r w:rsidR="006226E4" w:rsidRPr="0044100E">
        <w:rPr>
          <w:rFonts w:ascii="Arial" w:hAnsi="Arial" w:cs="Arial"/>
          <w:sz w:val="22"/>
          <w:szCs w:val="22"/>
        </w:rPr>
        <w:t>s</w:t>
      </w:r>
      <w:r w:rsidRPr="0044100E">
        <w:rPr>
          <w:rFonts w:ascii="Arial" w:hAnsi="Arial" w:cs="Arial"/>
          <w:sz w:val="22"/>
          <w:szCs w:val="22"/>
        </w:rPr>
        <w:t xml:space="preserve"> a los mismos</w:t>
      </w:r>
      <w:r w:rsidR="006226E4" w:rsidRPr="0044100E">
        <w:rPr>
          <w:rFonts w:ascii="Arial" w:hAnsi="Arial" w:cs="Arial"/>
          <w:sz w:val="22"/>
          <w:szCs w:val="22"/>
        </w:rPr>
        <w:t>;</w:t>
      </w:r>
      <w:r w:rsidRPr="0044100E">
        <w:rPr>
          <w:rFonts w:ascii="Arial" w:hAnsi="Arial" w:cs="Arial"/>
          <w:sz w:val="22"/>
          <w:szCs w:val="22"/>
        </w:rPr>
        <w:t xml:space="preserve"> y las mejoras organizacionales adelantas como parte de este proceso.</w:t>
      </w:r>
    </w:p>
    <w:p w14:paraId="1F5A5A04" w14:textId="77777777" w:rsidR="00B43AFA" w:rsidRDefault="00B43AFA" w:rsidP="00B43AFA">
      <w:pPr>
        <w:jc w:val="both"/>
        <w:rPr>
          <w:rFonts w:ascii="Arial" w:hAnsi="Arial" w:cs="Arial"/>
          <w:sz w:val="22"/>
          <w:szCs w:val="22"/>
        </w:rPr>
      </w:pPr>
    </w:p>
    <w:p w14:paraId="031A94D6" w14:textId="6332C7A2" w:rsidR="00643CE2" w:rsidRPr="0044100E" w:rsidRDefault="00643CE2" w:rsidP="00B43AFA">
      <w:pPr>
        <w:jc w:val="both"/>
        <w:rPr>
          <w:rFonts w:ascii="Arial" w:hAnsi="Arial" w:cs="Arial"/>
          <w:sz w:val="22"/>
          <w:szCs w:val="22"/>
        </w:rPr>
      </w:pPr>
      <w:r w:rsidRPr="0044100E">
        <w:rPr>
          <w:rFonts w:ascii="Arial" w:hAnsi="Arial" w:cs="Arial"/>
          <w:sz w:val="22"/>
          <w:szCs w:val="22"/>
        </w:rPr>
        <w:t xml:space="preserve">Por lo anterior, en el marco del reconocimiento institucional se verificará el cumplimiento de las acciones </w:t>
      </w:r>
      <w:r w:rsidR="006226E4" w:rsidRPr="0044100E">
        <w:rPr>
          <w:rFonts w:ascii="Arial" w:hAnsi="Arial" w:cs="Arial"/>
          <w:sz w:val="22"/>
          <w:szCs w:val="22"/>
        </w:rPr>
        <w:t>faltantes para validar el cumplimiento a lo dispuesto tanto en la R</w:t>
      </w:r>
      <w:r w:rsidRPr="0044100E">
        <w:rPr>
          <w:rFonts w:ascii="Arial" w:hAnsi="Arial" w:cs="Arial"/>
          <w:sz w:val="22"/>
          <w:szCs w:val="22"/>
        </w:rPr>
        <w:t xml:space="preserve">esolución 518 de 2015 </w:t>
      </w:r>
      <w:r w:rsidR="006226E4" w:rsidRPr="0044100E">
        <w:rPr>
          <w:rFonts w:ascii="Arial" w:hAnsi="Arial" w:cs="Arial"/>
          <w:sz w:val="22"/>
          <w:szCs w:val="22"/>
        </w:rPr>
        <w:t xml:space="preserve">como en el Documento </w:t>
      </w:r>
      <w:r w:rsidR="0012296B" w:rsidRPr="0044100E">
        <w:rPr>
          <w:rFonts w:ascii="Arial" w:hAnsi="Arial" w:cs="Arial"/>
          <w:sz w:val="22"/>
          <w:szCs w:val="22"/>
        </w:rPr>
        <w:t>“Lineamientos</w:t>
      </w:r>
      <w:r w:rsidR="006226E4" w:rsidRPr="0044100E">
        <w:rPr>
          <w:rFonts w:ascii="Arial" w:hAnsi="Arial" w:cs="Arial"/>
          <w:sz w:val="22"/>
          <w:szCs w:val="22"/>
        </w:rPr>
        <w:t xml:space="preserve"> de Gestión de la Salud Pública”</w:t>
      </w:r>
      <w:r w:rsidR="001846CC" w:rsidRPr="0044100E">
        <w:rPr>
          <w:rFonts w:ascii="Arial" w:hAnsi="Arial" w:cs="Arial"/>
          <w:sz w:val="22"/>
          <w:szCs w:val="22"/>
        </w:rPr>
        <w:t>.</w:t>
      </w:r>
    </w:p>
    <w:p w14:paraId="631C9A00" w14:textId="77777777" w:rsidR="001846CC" w:rsidRPr="0044100E" w:rsidRDefault="001846CC" w:rsidP="00B43AFA">
      <w:pPr>
        <w:jc w:val="both"/>
        <w:rPr>
          <w:rFonts w:ascii="Arial" w:hAnsi="Arial" w:cs="Arial"/>
          <w:sz w:val="22"/>
          <w:szCs w:val="22"/>
        </w:rPr>
      </w:pPr>
    </w:p>
    <w:p w14:paraId="2DCC8D0A" w14:textId="58ADB79A" w:rsidR="00643CE2" w:rsidRPr="0044100E" w:rsidRDefault="00643CE2" w:rsidP="00B43AFA">
      <w:pPr>
        <w:jc w:val="both"/>
        <w:rPr>
          <w:rFonts w:ascii="Arial" w:hAnsi="Arial" w:cs="Arial"/>
          <w:b/>
          <w:bCs/>
          <w:sz w:val="22"/>
          <w:szCs w:val="22"/>
        </w:rPr>
      </w:pPr>
      <w:r w:rsidRPr="0044100E">
        <w:rPr>
          <w:rFonts w:ascii="Arial" w:hAnsi="Arial" w:cs="Arial"/>
          <w:b/>
          <w:bCs/>
          <w:sz w:val="22"/>
          <w:szCs w:val="22"/>
        </w:rPr>
        <w:t xml:space="preserve">4.3.2 Contratación </w:t>
      </w:r>
      <w:r w:rsidR="00B43AFA">
        <w:rPr>
          <w:rFonts w:ascii="Arial" w:hAnsi="Arial" w:cs="Arial"/>
          <w:b/>
          <w:bCs/>
          <w:sz w:val="22"/>
          <w:szCs w:val="22"/>
        </w:rPr>
        <w:t>d</w:t>
      </w:r>
      <w:r w:rsidRPr="0044100E">
        <w:rPr>
          <w:rFonts w:ascii="Arial" w:hAnsi="Arial" w:cs="Arial"/>
          <w:b/>
          <w:bCs/>
          <w:sz w:val="22"/>
          <w:szCs w:val="22"/>
        </w:rPr>
        <w:t>e la Salud Pública</w:t>
      </w:r>
    </w:p>
    <w:p w14:paraId="325928B6" w14:textId="77777777" w:rsidR="00B43AFA" w:rsidRDefault="00B43AFA" w:rsidP="00B43AFA">
      <w:pPr>
        <w:jc w:val="both"/>
        <w:rPr>
          <w:rFonts w:ascii="Arial" w:hAnsi="Arial" w:cs="Arial"/>
          <w:b/>
          <w:bCs/>
          <w:sz w:val="22"/>
          <w:szCs w:val="22"/>
        </w:rPr>
      </w:pPr>
    </w:p>
    <w:p w14:paraId="1B4B946D" w14:textId="5DA587D7" w:rsidR="00643CE2" w:rsidRPr="0044100E" w:rsidRDefault="00643CE2" w:rsidP="00B43AFA">
      <w:pPr>
        <w:jc w:val="both"/>
        <w:rPr>
          <w:rFonts w:ascii="Arial" w:hAnsi="Arial" w:cs="Arial"/>
          <w:b/>
          <w:bCs/>
          <w:sz w:val="22"/>
          <w:szCs w:val="22"/>
        </w:rPr>
      </w:pPr>
      <w:r w:rsidRPr="0044100E">
        <w:rPr>
          <w:rFonts w:ascii="Arial" w:hAnsi="Arial" w:cs="Arial"/>
          <w:b/>
          <w:bCs/>
          <w:sz w:val="22"/>
          <w:szCs w:val="22"/>
        </w:rPr>
        <w:t>VIGENCIA 2020</w:t>
      </w:r>
    </w:p>
    <w:p w14:paraId="3D89D145" w14:textId="77777777" w:rsidR="00643CE2" w:rsidRPr="0044100E" w:rsidRDefault="00643CE2" w:rsidP="00B43AFA">
      <w:pPr>
        <w:jc w:val="both"/>
        <w:rPr>
          <w:rFonts w:ascii="Arial" w:hAnsi="Arial" w:cs="Arial"/>
          <w:b/>
          <w:bCs/>
          <w:sz w:val="22"/>
          <w:szCs w:val="22"/>
        </w:rPr>
      </w:pPr>
    </w:p>
    <w:p w14:paraId="6B2E1C54" w14:textId="506A9E3F" w:rsidR="00643CE2" w:rsidRPr="0044100E" w:rsidRDefault="00643CE2" w:rsidP="00643CE2">
      <w:pPr>
        <w:jc w:val="both"/>
        <w:rPr>
          <w:rFonts w:ascii="Arial" w:hAnsi="Arial" w:cs="Arial"/>
          <w:bCs/>
          <w:sz w:val="22"/>
          <w:szCs w:val="22"/>
        </w:rPr>
      </w:pPr>
      <w:r w:rsidRPr="0044100E">
        <w:rPr>
          <w:rFonts w:ascii="Arial" w:hAnsi="Arial" w:cs="Arial"/>
          <w:bCs/>
          <w:sz w:val="22"/>
          <w:szCs w:val="22"/>
        </w:rPr>
        <w:t xml:space="preserve">Para la ejecución de acciones relacionadas con la gestión de la salud pública la </w:t>
      </w:r>
      <w:r w:rsidR="00B43AFA">
        <w:rPr>
          <w:rFonts w:ascii="Arial" w:hAnsi="Arial" w:cs="Arial"/>
          <w:bCs/>
          <w:sz w:val="22"/>
          <w:szCs w:val="22"/>
        </w:rPr>
        <w:t>E</w:t>
      </w:r>
      <w:r w:rsidRPr="0044100E">
        <w:rPr>
          <w:rFonts w:ascii="Arial" w:hAnsi="Arial" w:cs="Arial"/>
          <w:bCs/>
          <w:sz w:val="22"/>
          <w:szCs w:val="22"/>
        </w:rPr>
        <w:t xml:space="preserve">ntidad reporta un total de 152 contratos, comprometiendo un total de $3.321 millones provenientes del SGP- Salud Pública, de los cuales el 3% corresponden a recursos de vigencias anteriores. De acuerdo </w:t>
      </w:r>
      <w:r w:rsidR="00B43AFA">
        <w:rPr>
          <w:rFonts w:ascii="Arial" w:hAnsi="Arial" w:cs="Arial"/>
          <w:bCs/>
          <w:sz w:val="22"/>
          <w:szCs w:val="22"/>
        </w:rPr>
        <w:t>con</w:t>
      </w:r>
      <w:r w:rsidRPr="0044100E">
        <w:rPr>
          <w:rFonts w:ascii="Arial" w:hAnsi="Arial" w:cs="Arial"/>
          <w:bCs/>
          <w:sz w:val="22"/>
          <w:szCs w:val="22"/>
        </w:rPr>
        <w:t xml:space="preserve"> la modalidad de selección y tipo de contrato realizado se evidenció lo siguiente:</w:t>
      </w:r>
    </w:p>
    <w:p w14:paraId="6301C1AB" w14:textId="77777777" w:rsidR="00643CE2" w:rsidRPr="0044100E" w:rsidRDefault="00643CE2" w:rsidP="00643CE2">
      <w:pPr>
        <w:jc w:val="both"/>
        <w:rPr>
          <w:rFonts w:ascii="Arial" w:hAnsi="Arial" w:cs="Arial"/>
          <w:bCs/>
          <w:sz w:val="22"/>
          <w:szCs w:val="22"/>
        </w:rPr>
      </w:pPr>
    </w:p>
    <w:tbl>
      <w:tblPr>
        <w:tblW w:w="8924" w:type="dxa"/>
        <w:tblCellMar>
          <w:left w:w="70" w:type="dxa"/>
          <w:right w:w="70" w:type="dxa"/>
        </w:tblCellMar>
        <w:tblLook w:val="04A0" w:firstRow="1" w:lastRow="0" w:firstColumn="1" w:lastColumn="0" w:noHBand="0" w:noVBand="1"/>
      </w:tblPr>
      <w:tblGrid>
        <w:gridCol w:w="1231"/>
        <w:gridCol w:w="2597"/>
        <w:gridCol w:w="2511"/>
        <w:gridCol w:w="2585"/>
      </w:tblGrid>
      <w:tr w:rsidR="00643CE2" w:rsidRPr="0044100E" w14:paraId="73158807" w14:textId="77777777" w:rsidTr="00CB5DC3">
        <w:trPr>
          <w:trHeight w:val="242"/>
          <w:tblHeader/>
        </w:trPr>
        <w:tc>
          <w:tcPr>
            <w:tcW w:w="1231" w:type="dxa"/>
            <w:noWrap/>
            <w:vAlign w:val="center"/>
            <w:hideMark/>
          </w:tcPr>
          <w:p w14:paraId="556FA066" w14:textId="77777777" w:rsidR="00643CE2" w:rsidRPr="0044100E" w:rsidRDefault="00643CE2">
            <w:pPr>
              <w:rPr>
                <w:rFonts w:ascii="Arial" w:hAnsi="Arial" w:cs="Arial"/>
                <w:bCs/>
                <w:sz w:val="22"/>
                <w:szCs w:val="22"/>
              </w:rPr>
            </w:pPr>
          </w:p>
        </w:tc>
        <w:tc>
          <w:tcPr>
            <w:tcW w:w="2597" w:type="dxa"/>
            <w:noWrap/>
            <w:vAlign w:val="center"/>
            <w:hideMark/>
          </w:tcPr>
          <w:p w14:paraId="36695CBF" w14:textId="77777777" w:rsidR="00643CE2" w:rsidRPr="0044100E" w:rsidRDefault="00643CE2">
            <w:pPr>
              <w:rPr>
                <w:rFonts w:ascii="Arial" w:eastAsiaTheme="minorHAnsi" w:hAnsi="Arial" w:cs="Arial"/>
                <w:sz w:val="20"/>
                <w:szCs w:val="20"/>
                <w:lang w:val="es-CO" w:eastAsia="es-CO"/>
              </w:rPr>
            </w:pPr>
          </w:p>
        </w:tc>
        <w:tc>
          <w:tcPr>
            <w:tcW w:w="2511" w:type="dxa"/>
            <w:noWrap/>
            <w:vAlign w:val="center"/>
            <w:hideMark/>
          </w:tcPr>
          <w:p w14:paraId="0317D040" w14:textId="77777777" w:rsidR="00643CE2" w:rsidRPr="0044100E" w:rsidRDefault="00643CE2">
            <w:pPr>
              <w:rPr>
                <w:rFonts w:ascii="Arial" w:eastAsiaTheme="minorHAnsi" w:hAnsi="Arial" w:cs="Arial"/>
                <w:sz w:val="20"/>
                <w:szCs w:val="20"/>
                <w:lang w:val="es-CO" w:eastAsia="es-CO"/>
              </w:rPr>
            </w:pPr>
          </w:p>
        </w:tc>
        <w:tc>
          <w:tcPr>
            <w:tcW w:w="2585" w:type="dxa"/>
            <w:noWrap/>
            <w:vAlign w:val="center"/>
            <w:hideMark/>
          </w:tcPr>
          <w:p w14:paraId="439CD7F4"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(Cifras en millones $)</w:t>
            </w:r>
          </w:p>
        </w:tc>
      </w:tr>
      <w:tr w:rsidR="00643CE2" w:rsidRPr="0044100E" w14:paraId="3EAC552E" w14:textId="77777777" w:rsidTr="00CB5DC3">
        <w:trPr>
          <w:trHeight w:val="231"/>
          <w:tblHeader/>
        </w:trPr>
        <w:tc>
          <w:tcPr>
            <w:tcW w:w="1231" w:type="dxa"/>
            <w:tcBorders>
              <w:top w:val="single" w:sz="8" w:space="0" w:color="auto"/>
              <w:left w:val="single" w:sz="8" w:space="0" w:color="auto"/>
              <w:bottom w:val="single" w:sz="4" w:space="0" w:color="auto"/>
              <w:right w:val="single" w:sz="4" w:space="0" w:color="auto"/>
            </w:tcBorders>
            <w:shd w:val="clear" w:color="auto" w:fill="203764"/>
            <w:noWrap/>
            <w:vAlign w:val="center"/>
            <w:hideMark/>
          </w:tcPr>
          <w:p w14:paraId="1C1063F7" w14:textId="77777777" w:rsidR="00643CE2" w:rsidRPr="0044100E" w:rsidRDefault="00643CE2">
            <w:pPr>
              <w:jc w:val="center"/>
              <w:rPr>
                <w:rFonts w:ascii="Arial" w:eastAsia="Times New Roman" w:hAnsi="Arial" w:cs="Arial"/>
                <w:b/>
                <w:bCs/>
                <w:color w:val="FFFFFF"/>
                <w:sz w:val="22"/>
                <w:szCs w:val="22"/>
                <w:lang w:val="es-CO" w:eastAsia="es-CO"/>
              </w:rPr>
            </w:pPr>
            <w:r w:rsidRPr="0044100E">
              <w:rPr>
                <w:rFonts w:ascii="Arial" w:eastAsia="Times New Roman" w:hAnsi="Arial" w:cs="Arial"/>
                <w:b/>
                <w:bCs/>
                <w:color w:val="FFFFFF"/>
                <w:sz w:val="22"/>
                <w:szCs w:val="22"/>
                <w:lang w:val="es-CO" w:eastAsia="es-CO"/>
              </w:rPr>
              <w:t>#</w:t>
            </w:r>
          </w:p>
        </w:tc>
        <w:tc>
          <w:tcPr>
            <w:tcW w:w="2597" w:type="dxa"/>
            <w:tcBorders>
              <w:top w:val="single" w:sz="8" w:space="0" w:color="auto"/>
              <w:left w:val="nil"/>
              <w:bottom w:val="single" w:sz="4" w:space="0" w:color="auto"/>
              <w:right w:val="single" w:sz="4" w:space="0" w:color="auto"/>
            </w:tcBorders>
            <w:shd w:val="clear" w:color="auto" w:fill="203764"/>
            <w:noWrap/>
            <w:vAlign w:val="center"/>
            <w:hideMark/>
          </w:tcPr>
          <w:p w14:paraId="3BD7B21A" w14:textId="77777777" w:rsidR="00643CE2" w:rsidRPr="0044100E" w:rsidRDefault="00643CE2">
            <w:pPr>
              <w:jc w:val="center"/>
              <w:rPr>
                <w:rFonts w:ascii="Arial" w:eastAsia="Times New Roman" w:hAnsi="Arial" w:cs="Arial"/>
                <w:b/>
                <w:bCs/>
                <w:color w:val="FFFFFF"/>
                <w:sz w:val="22"/>
                <w:szCs w:val="22"/>
                <w:lang w:val="es-CO" w:eastAsia="es-CO"/>
              </w:rPr>
            </w:pPr>
            <w:r w:rsidRPr="0044100E">
              <w:rPr>
                <w:rFonts w:ascii="Arial" w:eastAsia="Times New Roman" w:hAnsi="Arial" w:cs="Arial"/>
                <w:b/>
                <w:bCs/>
                <w:color w:val="FFFFFF"/>
                <w:sz w:val="22"/>
                <w:szCs w:val="22"/>
                <w:lang w:val="es-CO" w:eastAsia="es-CO"/>
              </w:rPr>
              <w:t>Modalidad de selección</w:t>
            </w:r>
          </w:p>
        </w:tc>
        <w:tc>
          <w:tcPr>
            <w:tcW w:w="2511" w:type="dxa"/>
            <w:tcBorders>
              <w:top w:val="single" w:sz="8" w:space="0" w:color="auto"/>
              <w:left w:val="nil"/>
              <w:bottom w:val="single" w:sz="4" w:space="0" w:color="auto"/>
              <w:right w:val="single" w:sz="4" w:space="0" w:color="auto"/>
            </w:tcBorders>
            <w:shd w:val="clear" w:color="auto" w:fill="203764"/>
            <w:noWrap/>
            <w:vAlign w:val="center"/>
            <w:hideMark/>
          </w:tcPr>
          <w:p w14:paraId="5CD87233" w14:textId="77777777" w:rsidR="00643CE2" w:rsidRPr="0044100E" w:rsidRDefault="00643CE2">
            <w:pPr>
              <w:jc w:val="center"/>
              <w:rPr>
                <w:rFonts w:ascii="Arial" w:eastAsia="Times New Roman" w:hAnsi="Arial" w:cs="Arial"/>
                <w:b/>
                <w:bCs/>
                <w:color w:val="FFFFFF"/>
                <w:sz w:val="22"/>
                <w:szCs w:val="22"/>
                <w:lang w:val="es-CO" w:eastAsia="es-CO"/>
              </w:rPr>
            </w:pPr>
            <w:r w:rsidRPr="0044100E">
              <w:rPr>
                <w:rFonts w:ascii="Arial" w:eastAsia="Times New Roman" w:hAnsi="Arial" w:cs="Arial"/>
                <w:b/>
                <w:bCs/>
                <w:color w:val="FFFFFF"/>
                <w:sz w:val="22"/>
                <w:szCs w:val="22"/>
                <w:lang w:val="es-CO" w:eastAsia="es-CO"/>
              </w:rPr>
              <w:t>Tipo de Contrato</w:t>
            </w:r>
          </w:p>
        </w:tc>
        <w:tc>
          <w:tcPr>
            <w:tcW w:w="2585" w:type="dxa"/>
            <w:tcBorders>
              <w:top w:val="single" w:sz="8" w:space="0" w:color="auto"/>
              <w:left w:val="nil"/>
              <w:bottom w:val="single" w:sz="4" w:space="0" w:color="auto"/>
              <w:right w:val="single" w:sz="8" w:space="0" w:color="auto"/>
            </w:tcBorders>
            <w:shd w:val="clear" w:color="auto" w:fill="203764"/>
            <w:noWrap/>
            <w:vAlign w:val="center"/>
            <w:hideMark/>
          </w:tcPr>
          <w:p w14:paraId="76A1F7CC" w14:textId="77777777" w:rsidR="00643CE2" w:rsidRPr="0044100E" w:rsidRDefault="00643CE2">
            <w:pPr>
              <w:jc w:val="center"/>
              <w:rPr>
                <w:rFonts w:ascii="Arial" w:eastAsia="Times New Roman" w:hAnsi="Arial" w:cs="Arial"/>
                <w:b/>
                <w:bCs/>
                <w:color w:val="FFFFFF"/>
                <w:sz w:val="22"/>
                <w:szCs w:val="22"/>
                <w:lang w:val="es-CO" w:eastAsia="es-CO"/>
              </w:rPr>
            </w:pPr>
            <w:r w:rsidRPr="0044100E">
              <w:rPr>
                <w:rFonts w:ascii="Arial" w:eastAsia="Times New Roman" w:hAnsi="Arial" w:cs="Arial"/>
                <w:b/>
                <w:bCs/>
                <w:color w:val="FFFFFF"/>
                <w:sz w:val="22"/>
                <w:szCs w:val="22"/>
                <w:lang w:val="es-CO" w:eastAsia="es-CO"/>
              </w:rPr>
              <w:t>Valor Final del Contrato</w:t>
            </w:r>
          </w:p>
        </w:tc>
      </w:tr>
      <w:tr w:rsidR="00643CE2" w:rsidRPr="0044100E" w14:paraId="56848D2C" w14:textId="77777777" w:rsidTr="00CB5DC3">
        <w:trPr>
          <w:trHeight w:val="231"/>
        </w:trPr>
        <w:tc>
          <w:tcPr>
            <w:tcW w:w="1231" w:type="dxa"/>
            <w:tcBorders>
              <w:top w:val="nil"/>
              <w:left w:val="single" w:sz="8" w:space="0" w:color="auto"/>
              <w:bottom w:val="single" w:sz="4" w:space="0" w:color="auto"/>
              <w:right w:val="single" w:sz="4" w:space="0" w:color="auto"/>
            </w:tcBorders>
            <w:noWrap/>
            <w:vAlign w:val="center"/>
            <w:hideMark/>
          </w:tcPr>
          <w:p w14:paraId="744C9A27" w14:textId="77777777" w:rsidR="00643CE2" w:rsidRPr="0044100E" w:rsidRDefault="00643CE2">
            <w:pPr>
              <w:jc w:val="cente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143</w:t>
            </w:r>
          </w:p>
        </w:tc>
        <w:tc>
          <w:tcPr>
            <w:tcW w:w="2597" w:type="dxa"/>
            <w:tcBorders>
              <w:top w:val="nil"/>
              <w:left w:val="nil"/>
              <w:bottom w:val="single" w:sz="4" w:space="0" w:color="auto"/>
              <w:right w:val="single" w:sz="4" w:space="0" w:color="auto"/>
            </w:tcBorders>
            <w:noWrap/>
            <w:vAlign w:val="center"/>
            <w:hideMark/>
          </w:tcPr>
          <w:p w14:paraId="39C2BF35" w14:textId="77777777" w:rsidR="00643CE2" w:rsidRPr="0044100E" w:rsidRDefault="00643CE2">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Contratación Directa</w:t>
            </w:r>
          </w:p>
        </w:tc>
        <w:tc>
          <w:tcPr>
            <w:tcW w:w="2511" w:type="dxa"/>
            <w:tcBorders>
              <w:top w:val="nil"/>
              <w:left w:val="nil"/>
              <w:bottom w:val="single" w:sz="4" w:space="0" w:color="auto"/>
              <w:right w:val="single" w:sz="4" w:space="0" w:color="auto"/>
            </w:tcBorders>
            <w:noWrap/>
            <w:vAlign w:val="center"/>
            <w:hideMark/>
          </w:tcPr>
          <w:p w14:paraId="7F2E2399" w14:textId="77777777" w:rsidR="00643CE2" w:rsidRPr="0044100E" w:rsidRDefault="00643CE2">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Prestación de Servicios</w:t>
            </w:r>
          </w:p>
        </w:tc>
        <w:tc>
          <w:tcPr>
            <w:tcW w:w="2585" w:type="dxa"/>
            <w:tcBorders>
              <w:top w:val="nil"/>
              <w:left w:val="nil"/>
              <w:bottom w:val="single" w:sz="4" w:space="0" w:color="auto"/>
              <w:right w:val="single" w:sz="8" w:space="0" w:color="auto"/>
            </w:tcBorders>
            <w:noWrap/>
            <w:vAlign w:val="center"/>
            <w:hideMark/>
          </w:tcPr>
          <w:p w14:paraId="2818B27F" w14:textId="3C75FEB8" w:rsidR="00643CE2" w:rsidRPr="0044100E" w:rsidRDefault="006F1BA4">
            <w:pPr>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w:t>
            </w:r>
            <w:r w:rsidR="00643CE2" w:rsidRPr="0044100E">
              <w:rPr>
                <w:rFonts w:ascii="Arial" w:eastAsia="Times New Roman" w:hAnsi="Arial" w:cs="Arial"/>
                <w:color w:val="000000"/>
                <w:sz w:val="22"/>
                <w:szCs w:val="22"/>
                <w:lang w:val="es-CO" w:eastAsia="es-CO"/>
              </w:rPr>
              <w:t>1.728</w:t>
            </w:r>
          </w:p>
        </w:tc>
      </w:tr>
      <w:tr w:rsidR="00CB5DC3" w:rsidRPr="0044100E" w14:paraId="712D51F3" w14:textId="77777777" w:rsidTr="00CB5DC3">
        <w:trPr>
          <w:trHeight w:val="231"/>
        </w:trPr>
        <w:tc>
          <w:tcPr>
            <w:tcW w:w="1231" w:type="dxa"/>
            <w:vMerge w:val="restart"/>
            <w:tcBorders>
              <w:top w:val="nil"/>
              <w:left w:val="single" w:sz="8" w:space="0" w:color="auto"/>
              <w:bottom w:val="single" w:sz="4" w:space="0" w:color="000000"/>
              <w:right w:val="single" w:sz="4" w:space="0" w:color="auto"/>
            </w:tcBorders>
            <w:noWrap/>
            <w:vAlign w:val="center"/>
            <w:hideMark/>
          </w:tcPr>
          <w:p w14:paraId="3628C56D" w14:textId="77777777" w:rsidR="00CB5DC3" w:rsidRPr="0044100E" w:rsidRDefault="00CB5DC3">
            <w:pPr>
              <w:jc w:val="cente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2</w:t>
            </w:r>
          </w:p>
        </w:tc>
        <w:tc>
          <w:tcPr>
            <w:tcW w:w="2597" w:type="dxa"/>
            <w:vMerge w:val="restart"/>
            <w:tcBorders>
              <w:top w:val="nil"/>
              <w:left w:val="nil"/>
              <w:right w:val="single" w:sz="4" w:space="0" w:color="auto"/>
            </w:tcBorders>
            <w:noWrap/>
            <w:vAlign w:val="center"/>
            <w:hideMark/>
          </w:tcPr>
          <w:p w14:paraId="552AA46A" w14:textId="27247B2C" w:rsidR="00CB5DC3" w:rsidRPr="0044100E" w:rsidRDefault="00CB5DC3" w:rsidP="00CB5DC3">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Mínima Cuantía </w:t>
            </w:r>
          </w:p>
        </w:tc>
        <w:tc>
          <w:tcPr>
            <w:tcW w:w="2511" w:type="dxa"/>
            <w:tcBorders>
              <w:top w:val="nil"/>
              <w:left w:val="nil"/>
              <w:bottom w:val="single" w:sz="4" w:space="0" w:color="auto"/>
              <w:right w:val="single" w:sz="4" w:space="0" w:color="auto"/>
            </w:tcBorders>
            <w:noWrap/>
            <w:vAlign w:val="center"/>
            <w:hideMark/>
          </w:tcPr>
          <w:p w14:paraId="5FF24ABA" w14:textId="77777777" w:rsidR="00CB5DC3" w:rsidRPr="0044100E" w:rsidRDefault="00CB5DC3">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Prestación de Servicios</w:t>
            </w:r>
          </w:p>
        </w:tc>
        <w:tc>
          <w:tcPr>
            <w:tcW w:w="2585" w:type="dxa"/>
            <w:vMerge w:val="restart"/>
            <w:tcBorders>
              <w:top w:val="nil"/>
              <w:left w:val="single" w:sz="4" w:space="0" w:color="auto"/>
              <w:bottom w:val="single" w:sz="4" w:space="0" w:color="000000"/>
              <w:right w:val="single" w:sz="8" w:space="0" w:color="auto"/>
            </w:tcBorders>
            <w:noWrap/>
            <w:vAlign w:val="center"/>
            <w:hideMark/>
          </w:tcPr>
          <w:p w14:paraId="6D29A1B3" w14:textId="0F1CFFDB" w:rsidR="00CB5DC3" w:rsidRPr="0044100E" w:rsidRDefault="00CB5DC3">
            <w:pPr>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w:t>
            </w:r>
            <w:r w:rsidRPr="0044100E">
              <w:rPr>
                <w:rFonts w:ascii="Arial" w:eastAsia="Times New Roman" w:hAnsi="Arial" w:cs="Arial"/>
                <w:color w:val="000000"/>
                <w:sz w:val="22"/>
                <w:szCs w:val="22"/>
                <w:lang w:val="es-CO" w:eastAsia="es-CO"/>
              </w:rPr>
              <w:t>40</w:t>
            </w:r>
          </w:p>
        </w:tc>
      </w:tr>
      <w:tr w:rsidR="00CB5DC3" w:rsidRPr="0044100E" w14:paraId="6E58FB74" w14:textId="77777777" w:rsidTr="00CB5DC3">
        <w:trPr>
          <w:trHeight w:val="231"/>
        </w:trPr>
        <w:tc>
          <w:tcPr>
            <w:tcW w:w="0" w:type="auto"/>
            <w:vMerge/>
            <w:tcBorders>
              <w:top w:val="nil"/>
              <w:left w:val="single" w:sz="8" w:space="0" w:color="auto"/>
              <w:bottom w:val="single" w:sz="4" w:space="0" w:color="000000"/>
              <w:right w:val="single" w:sz="4" w:space="0" w:color="auto"/>
            </w:tcBorders>
            <w:vAlign w:val="center"/>
            <w:hideMark/>
          </w:tcPr>
          <w:p w14:paraId="72ADD647" w14:textId="77777777" w:rsidR="00CB5DC3" w:rsidRPr="0044100E" w:rsidRDefault="00CB5DC3">
            <w:pPr>
              <w:rPr>
                <w:rFonts w:ascii="Arial" w:eastAsia="Times New Roman" w:hAnsi="Arial" w:cs="Arial"/>
                <w:color w:val="000000"/>
                <w:sz w:val="22"/>
                <w:szCs w:val="22"/>
                <w:lang w:val="es-CO" w:eastAsia="es-CO"/>
              </w:rPr>
            </w:pPr>
          </w:p>
        </w:tc>
        <w:tc>
          <w:tcPr>
            <w:tcW w:w="2597" w:type="dxa"/>
            <w:vMerge/>
            <w:tcBorders>
              <w:left w:val="nil"/>
              <w:bottom w:val="single" w:sz="4" w:space="0" w:color="auto"/>
              <w:right w:val="single" w:sz="4" w:space="0" w:color="auto"/>
            </w:tcBorders>
            <w:noWrap/>
            <w:vAlign w:val="center"/>
            <w:hideMark/>
          </w:tcPr>
          <w:p w14:paraId="12025D81" w14:textId="178B7BF9" w:rsidR="00CB5DC3" w:rsidRPr="0044100E" w:rsidRDefault="00CB5DC3">
            <w:pPr>
              <w:rPr>
                <w:rFonts w:ascii="Arial" w:eastAsia="Times New Roman" w:hAnsi="Arial" w:cs="Arial"/>
                <w:color w:val="000000"/>
                <w:sz w:val="22"/>
                <w:szCs w:val="22"/>
                <w:lang w:val="es-CO" w:eastAsia="es-CO"/>
              </w:rPr>
            </w:pPr>
          </w:p>
        </w:tc>
        <w:tc>
          <w:tcPr>
            <w:tcW w:w="2511" w:type="dxa"/>
            <w:tcBorders>
              <w:top w:val="nil"/>
              <w:left w:val="nil"/>
              <w:bottom w:val="single" w:sz="4" w:space="0" w:color="auto"/>
              <w:right w:val="single" w:sz="4" w:space="0" w:color="auto"/>
            </w:tcBorders>
            <w:noWrap/>
            <w:vAlign w:val="center"/>
            <w:hideMark/>
          </w:tcPr>
          <w:p w14:paraId="7FC9CD24" w14:textId="77777777" w:rsidR="00CB5DC3" w:rsidRPr="0044100E" w:rsidRDefault="00CB5DC3">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Compraventa</w:t>
            </w:r>
          </w:p>
        </w:tc>
        <w:tc>
          <w:tcPr>
            <w:tcW w:w="0" w:type="auto"/>
            <w:vMerge/>
            <w:tcBorders>
              <w:top w:val="nil"/>
              <w:left w:val="single" w:sz="4" w:space="0" w:color="auto"/>
              <w:bottom w:val="single" w:sz="4" w:space="0" w:color="000000"/>
              <w:right w:val="single" w:sz="8" w:space="0" w:color="auto"/>
            </w:tcBorders>
            <w:vAlign w:val="center"/>
            <w:hideMark/>
          </w:tcPr>
          <w:p w14:paraId="7BCFCF84" w14:textId="77777777" w:rsidR="00CB5DC3" w:rsidRPr="0044100E" w:rsidRDefault="00CB5DC3">
            <w:pPr>
              <w:rPr>
                <w:rFonts w:ascii="Arial" w:eastAsia="Times New Roman" w:hAnsi="Arial" w:cs="Arial"/>
                <w:color w:val="000000"/>
                <w:sz w:val="22"/>
                <w:szCs w:val="22"/>
                <w:lang w:val="es-CO" w:eastAsia="es-CO"/>
              </w:rPr>
            </w:pPr>
          </w:p>
        </w:tc>
      </w:tr>
      <w:tr w:rsidR="00643CE2" w:rsidRPr="0044100E" w14:paraId="66E40C3B" w14:textId="77777777" w:rsidTr="00CB5DC3">
        <w:trPr>
          <w:trHeight w:val="463"/>
        </w:trPr>
        <w:tc>
          <w:tcPr>
            <w:tcW w:w="1231" w:type="dxa"/>
            <w:tcBorders>
              <w:top w:val="nil"/>
              <w:left w:val="single" w:sz="8" w:space="0" w:color="auto"/>
              <w:bottom w:val="single" w:sz="4" w:space="0" w:color="auto"/>
              <w:right w:val="single" w:sz="4" w:space="0" w:color="auto"/>
            </w:tcBorders>
            <w:noWrap/>
            <w:vAlign w:val="center"/>
            <w:hideMark/>
          </w:tcPr>
          <w:p w14:paraId="66B37EC2" w14:textId="77777777" w:rsidR="00643CE2" w:rsidRPr="0044100E" w:rsidRDefault="00643CE2">
            <w:pPr>
              <w:jc w:val="cente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1</w:t>
            </w:r>
          </w:p>
        </w:tc>
        <w:tc>
          <w:tcPr>
            <w:tcW w:w="2597" w:type="dxa"/>
            <w:tcBorders>
              <w:top w:val="nil"/>
              <w:left w:val="nil"/>
              <w:bottom w:val="single" w:sz="4" w:space="0" w:color="auto"/>
              <w:right w:val="single" w:sz="4" w:space="0" w:color="auto"/>
            </w:tcBorders>
            <w:vAlign w:val="center"/>
            <w:hideMark/>
          </w:tcPr>
          <w:p w14:paraId="0F12CECB" w14:textId="77777777" w:rsidR="00643CE2" w:rsidRPr="0044100E" w:rsidRDefault="00643CE2">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Selección Abreviada de subasta inversa presencial</w:t>
            </w:r>
          </w:p>
        </w:tc>
        <w:tc>
          <w:tcPr>
            <w:tcW w:w="2511" w:type="dxa"/>
            <w:tcBorders>
              <w:top w:val="nil"/>
              <w:left w:val="nil"/>
              <w:bottom w:val="single" w:sz="4" w:space="0" w:color="auto"/>
              <w:right w:val="single" w:sz="4" w:space="0" w:color="auto"/>
            </w:tcBorders>
            <w:noWrap/>
            <w:vAlign w:val="center"/>
            <w:hideMark/>
          </w:tcPr>
          <w:p w14:paraId="5F93EDF4" w14:textId="77777777" w:rsidR="00643CE2" w:rsidRPr="0044100E" w:rsidRDefault="00643CE2">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Transporte</w:t>
            </w:r>
          </w:p>
        </w:tc>
        <w:tc>
          <w:tcPr>
            <w:tcW w:w="2585" w:type="dxa"/>
            <w:tcBorders>
              <w:top w:val="nil"/>
              <w:left w:val="nil"/>
              <w:bottom w:val="single" w:sz="4" w:space="0" w:color="auto"/>
              <w:right w:val="single" w:sz="8" w:space="0" w:color="auto"/>
            </w:tcBorders>
            <w:noWrap/>
            <w:vAlign w:val="center"/>
            <w:hideMark/>
          </w:tcPr>
          <w:p w14:paraId="491C89EC" w14:textId="4231C064" w:rsidR="00643CE2" w:rsidRPr="0044100E" w:rsidRDefault="006F1BA4">
            <w:pPr>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w:t>
            </w:r>
            <w:r w:rsidR="00643CE2" w:rsidRPr="0044100E">
              <w:rPr>
                <w:rFonts w:ascii="Arial" w:eastAsia="Times New Roman" w:hAnsi="Arial" w:cs="Arial"/>
                <w:color w:val="000000"/>
                <w:sz w:val="22"/>
                <w:szCs w:val="22"/>
                <w:lang w:val="es-CO" w:eastAsia="es-CO"/>
              </w:rPr>
              <w:t>662</w:t>
            </w:r>
          </w:p>
        </w:tc>
      </w:tr>
      <w:tr w:rsidR="00CB5DC3" w:rsidRPr="0044100E" w14:paraId="264F5C8B" w14:textId="77777777" w:rsidTr="00CB5DC3">
        <w:trPr>
          <w:trHeight w:val="231"/>
        </w:trPr>
        <w:tc>
          <w:tcPr>
            <w:tcW w:w="1231" w:type="dxa"/>
            <w:vMerge w:val="restart"/>
            <w:tcBorders>
              <w:top w:val="nil"/>
              <w:left w:val="single" w:sz="8" w:space="0" w:color="auto"/>
              <w:bottom w:val="single" w:sz="4" w:space="0" w:color="000000"/>
              <w:right w:val="single" w:sz="4" w:space="0" w:color="auto"/>
            </w:tcBorders>
            <w:noWrap/>
            <w:vAlign w:val="center"/>
            <w:hideMark/>
          </w:tcPr>
          <w:p w14:paraId="55B62A0B" w14:textId="77777777" w:rsidR="00CB5DC3" w:rsidRPr="0044100E" w:rsidRDefault="00CB5DC3">
            <w:pPr>
              <w:jc w:val="cente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6</w:t>
            </w:r>
          </w:p>
        </w:tc>
        <w:tc>
          <w:tcPr>
            <w:tcW w:w="2597" w:type="dxa"/>
            <w:vMerge w:val="restart"/>
            <w:tcBorders>
              <w:top w:val="nil"/>
              <w:left w:val="nil"/>
              <w:right w:val="single" w:sz="4" w:space="0" w:color="auto"/>
            </w:tcBorders>
            <w:noWrap/>
            <w:vAlign w:val="center"/>
            <w:hideMark/>
          </w:tcPr>
          <w:p w14:paraId="4877D671" w14:textId="68429BFB" w:rsidR="00CB5DC3" w:rsidRPr="0044100E" w:rsidRDefault="00CB5DC3" w:rsidP="00CB5DC3">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Urgencia Manifiesta</w:t>
            </w:r>
          </w:p>
        </w:tc>
        <w:tc>
          <w:tcPr>
            <w:tcW w:w="2511" w:type="dxa"/>
            <w:tcBorders>
              <w:top w:val="nil"/>
              <w:left w:val="nil"/>
              <w:bottom w:val="single" w:sz="4" w:space="0" w:color="auto"/>
              <w:right w:val="single" w:sz="4" w:space="0" w:color="auto"/>
            </w:tcBorders>
            <w:noWrap/>
            <w:vAlign w:val="center"/>
            <w:hideMark/>
          </w:tcPr>
          <w:p w14:paraId="386A7CDA" w14:textId="77777777" w:rsidR="00CB5DC3" w:rsidRPr="0044100E" w:rsidRDefault="00CB5DC3">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Transporte</w:t>
            </w:r>
          </w:p>
        </w:tc>
        <w:tc>
          <w:tcPr>
            <w:tcW w:w="2585" w:type="dxa"/>
            <w:vMerge w:val="restart"/>
            <w:tcBorders>
              <w:top w:val="nil"/>
              <w:left w:val="single" w:sz="4" w:space="0" w:color="auto"/>
              <w:bottom w:val="single" w:sz="4" w:space="0" w:color="000000"/>
              <w:right w:val="single" w:sz="8" w:space="0" w:color="auto"/>
            </w:tcBorders>
            <w:noWrap/>
            <w:vAlign w:val="center"/>
            <w:hideMark/>
          </w:tcPr>
          <w:p w14:paraId="68447BD4" w14:textId="0AAF76B1" w:rsidR="00CB5DC3" w:rsidRPr="0044100E" w:rsidRDefault="00CB5DC3">
            <w:pPr>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w:t>
            </w:r>
            <w:r w:rsidRPr="0044100E">
              <w:rPr>
                <w:rFonts w:ascii="Arial" w:eastAsia="Times New Roman" w:hAnsi="Arial" w:cs="Arial"/>
                <w:color w:val="000000"/>
                <w:sz w:val="22"/>
                <w:szCs w:val="22"/>
                <w:lang w:val="es-CO" w:eastAsia="es-CO"/>
              </w:rPr>
              <w:t>890</w:t>
            </w:r>
          </w:p>
        </w:tc>
      </w:tr>
      <w:tr w:rsidR="00CB5DC3" w:rsidRPr="0044100E" w14:paraId="0619166B" w14:textId="77777777" w:rsidTr="00CB5DC3">
        <w:trPr>
          <w:trHeight w:val="231"/>
        </w:trPr>
        <w:tc>
          <w:tcPr>
            <w:tcW w:w="0" w:type="auto"/>
            <w:vMerge/>
            <w:tcBorders>
              <w:top w:val="nil"/>
              <w:left w:val="single" w:sz="8" w:space="0" w:color="auto"/>
              <w:bottom w:val="single" w:sz="4" w:space="0" w:color="000000"/>
              <w:right w:val="single" w:sz="4" w:space="0" w:color="auto"/>
            </w:tcBorders>
            <w:vAlign w:val="center"/>
            <w:hideMark/>
          </w:tcPr>
          <w:p w14:paraId="4D9E02E2" w14:textId="77777777" w:rsidR="00CB5DC3" w:rsidRPr="0044100E" w:rsidRDefault="00CB5DC3">
            <w:pPr>
              <w:rPr>
                <w:rFonts w:ascii="Arial" w:eastAsia="Times New Roman" w:hAnsi="Arial" w:cs="Arial"/>
                <w:color w:val="000000"/>
                <w:sz w:val="22"/>
                <w:szCs w:val="22"/>
                <w:lang w:val="es-CO" w:eastAsia="es-CO"/>
              </w:rPr>
            </w:pPr>
          </w:p>
        </w:tc>
        <w:tc>
          <w:tcPr>
            <w:tcW w:w="2597" w:type="dxa"/>
            <w:vMerge/>
            <w:tcBorders>
              <w:left w:val="nil"/>
              <w:right w:val="single" w:sz="4" w:space="0" w:color="auto"/>
            </w:tcBorders>
            <w:noWrap/>
            <w:vAlign w:val="center"/>
            <w:hideMark/>
          </w:tcPr>
          <w:p w14:paraId="41E16F65" w14:textId="57B31E2B" w:rsidR="00CB5DC3" w:rsidRPr="0044100E" w:rsidRDefault="00CB5DC3" w:rsidP="00126909">
            <w:pPr>
              <w:rPr>
                <w:rFonts w:ascii="Arial" w:eastAsia="Times New Roman" w:hAnsi="Arial" w:cs="Arial"/>
                <w:color w:val="000000"/>
                <w:sz w:val="22"/>
                <w:szCs w:val="22"/>
                <w:lang w:val="es-CO" w:eastAsia="es-CO"/>
              </w:rPr>
            </w:pPr>
          </w:p>
        </w:tc>
        <w:tc>
          <w:tcPr>
            <w:tcW w:w="2511" w:type="dxa"/>
            <w:tcBorders>
              <w:top w:val="nil"/>
              <w:left w:val="nil"/>
              <w:bottom w:val="single" w:sz="4" w:space="0" w:color="auto"/>
              <w:right w:val="single" w:sz="4" w:space="0" w:color="auto"/>
            </w:tcBorders>
            <w:noWrap/>
            <w:vAlign w:val="center"/>
            <w:hideMark/>
          </w:tcPr>
          <w:p w14:paraId="007B40A0" w14:textId="77777777" w:rsidR="00CB5DC3" w:rsidRPr="0044100E" w:rsidRDefault="00CB5DC3">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Suministros</w:t>
            </w:r>
          </w:p>
        </w:tc>
        <w:tc>
          <w:tcPr>
            <w:tcW w:w="0" w:type="auto"/>
            <w:vMerge/>
            <w:tcBorders>
              <w:top w:val="nil"/>
              <w:left w:val="single" w:sz="4" w:space="0" w:color="auto"/>
              <w:bottom w:val="single" w:sz="4" w:space="0" w:color="000000"/>
              <w:right w:val="single" w:sz="8" w:space="0" w:color="auto"/>
            </w:tcBorders>
            <w:vAlign w:val="center"/>
            <w:hideMark/>
          </w:tcPr>
          <w:p w14:paraId="136ADFD1" w14:textId="77777777" w:rsidR="00CB5DC3" w:rsidRPr="0044100E" w:rsidRDefault="00CB5DC3">
            <w:pPr>
              <w:rPr>
                <w:rFonts w:ascii="Arial" w:eastAsia="Times New Roman" w:hAnsi="Arial" w:cs="Arial"/>
                <w:color w:val="000000"/>
                <w:sz w:val="22"/>
                <w:szCs w:val="22"/>
                <w:lang w:val="es-CO" w:eastAsia="es-CO"/>
              </w:rPr>
            </w:pPr>
          </w:p>
        </w:tc>
      </w:tr>
      <w:tr w:rsidR="00CB5DC3" w:rsidRPr="0044100E" w14:paraId="1DDEB2D0" w14:textId="77777777" w:rsidTr="00CB5DC3">
        <w:trPr>
          <w:trHeight w:val="231"/>
        </w:trPr>
        <w:tc>
          <w:tcPr>
            <w:tcW w:w="0" w:type="auto"/>
            <w:vMerge/>
            <w:tcBorders>
              <w:top w:val="nil"/>
              <w:left w:val="single" w:sz="8" w:space="0" w:color="auto"/>
              <w:bottom w:val="single" w:sz="4" w:space="0" w:color="000000"/>
              <w:right w:val="single" w:sz="4" w:space="0" w:color="auto"/>
            </w:tcBorders>
            <w:vAlign w:val="center"/>
            <w:hideMark/>
          </w:tcPr>
          <w:p w14:paraId="0B7DBC69" w14:textId="77777777" w:rsidR="00CB5DC3" w:rsidRPr="0044100E" w:rsidRDefault="00CB5DC3">
            <w:pPr>
              <w:rPr>
                <w:rFonts w:ascii="Arial" w:eastAsia="Times New Roman" w:hAnsi="Arial" w:cs="Arial"/>
                <w:color w:val="000000"/>
                <w:sz w:val="22"/>
                <w:szCs w:val="22"/>
                <w:lang w:val="es-CO" w:eastAsia="es-CO"/>
              </w:rPr>
            </w:pPr>
          </w:p>
        </w:tc>
        <w:tc>
          <w:tcPr>
            <w:tcW w:w="2597" w:type="dxa"/>
            <w:vMerge/>
            <w:tcBorders>
              <w:left w:val="nil"/>
              <w:bottom w:val="single" w:sz="4" w:space="0" w:color="auto"/>
              <w:right w:val="single" w:sz="4" w:space="0" w:color="auto"/>
            </w:tcBorders>
            <w:noWrap/>
            <w:vAlign w:val="center"/>
            <w:hideMark/>
          </w:tcPr>
          <w:p w14:paraId="71B1C672" w14:textId="14D27CA6" w:rsidR="00CB5DC3" w:rsidRPr="0044100E" w:rsidRDefault="00CB5DC3">
            <w:pPr>
              <w:rPr>
                <w:rFonts w:ascii="Arial" w:eastAsia="Times New Roman" w:hAnsi="Arial" w:cs="Arial"/>
                <w:color w:val="000000"/>
                <w:sz w:val="22"/>
                <w:szCs w:val="22"/>
                <w:lang w:val="es-CO" w:eastAsia="es-CO"/>
              </w:rPr>
            </w:pPr>
          </w:p>
        </w:tc>
        <w:tc>
          <w:tcPr>
            <w:tcW w:w="2511" w:type="dxa"/>
            <w:tcBorders>
              <w:top w:val="nil"/>
              <w:left w:val="nil"/>
              <w:bottom w:val="single" w:sz="4" w:space="0" w:color="auto"/>
              <w:right w:val="single" w:sz="4" w:space="0" w:color="auto"/>
            </w:tcBorders>
            <w:noWrap/>
            <w:vAlign w:val="center"/>
            <w:hideMark/>
          </w:tcPr>
          <w:p w14:paraId="4C16F1BF" w14:textId="77777777" w:rsidR="00CB5DC3" w:rsidRPr="0044100E" w:rsidRDefault="00CB5DC3">
            <w:pPr>
              <w:rPr>
                <w:rFonts w:ascii="Arial" w:eastAsia="Times New Roman" w:hAnsi="Arial" w:cs="Arial"/>
                <w:color w:val="000000"/>
                <w:sz w:val="22"/>
                <w:szCs w:val="22"/>
                <w:lang w:val="es-CO" w:eastAsia="es-CO"/>
              </w:rPr>
            </w:pPr>
            <w:r w:rsidRPr="0044100E">
              <w:rPr>
                <w:rFonts w:ascii="Arial" w:eastAsia="Times New Roman" w:hAnsi="Arial" w:cs="Arial"/>
                <w:color w:val="000000"/>
                <w:sz w:val="22"/>
                <w:szCs w:val="22"/>
                <w:lang w:val="es-CO" w:eastAsia="es-CO"/>
              </w:rPr>
              <w:t>Prestación de Servicios</w:t>
            </w:r>
          </w:p>
        </w:tc>
        <w:tc>
          <w:tcPr>
            <w:tcW w:w="0" w:type="auto"/>
            <w:vMerge/>
            <w:tcBorders>
              <w:top w:val="nil"/>
              <w:left w:val="single" w:sz="4" w:space="0" w:color="auto"/>
              <w:bottom w:val="single" w:sz="4" w:space="0" w:color="000000"/>
              <w:right w:val="single" w:sz="8" w:space="0" w:color="auto"/>
            </w:tcBorders>
            <w:vAlign w:val="center"/>
            <w:hideMark/>
          </w:tcPr>
          <w:p w14:paraId="27450507" w14:textId="77777777" w:rsidR="00CB5DC3" w:rsidRPr="0044100E" w:rsidRDefault="00CB5DC3">
            <w:pPr>
              <w:rPr>
                <w:rFonts w:ascii="Arial" w:eastAsia="Times New Roman" w:hAnsi="Arial" w:cs="Arial"/>
                <w:color w:val="000000"/>
                <w:sz w:val="22"/>
                <w:szCs w:val="22"/>
                <w:lang w:val="es-CO" w:eastAsia="es-CO"/>
              </w:rPr>
            </w:pPr>
          </w:p>
        </w:tc>
      </w:tr>
      <w:tr w:rsidR="00643CE2" w:rsidRPr="0044100E" w14:paraId="5F624425" w14:textId="77777777" w:rsidTr="00CB5DC3">
        <w:trPr>
          <w:trHeight w:val="242"/>
        </w:trPr>
        <w:tc>
          <w:tcPr>
            <w:tcW w:w="6339" w:type="dxa"/>
            <w:gridSpan w:val="3"/>
            <w:tcBorders>
              <w:top w:val="single" w:sz="4" w:space="0" w:color="auto"/>
              <w:left w:val="single" w:sz="8" w:space="0" w:color="auto"/>
              <w:bottom w:val="single" w:sz="8" w:space="0" w:color="auto"/>
              <w:right w:val="single" w:sz="4" w:space="0" w:color="000000"/>
            </w:tcBorders>
            <w:shd w:val="clear" w:color="auto" w:fill="2F75B5"/>
            <w:noWrap/>
            <w:vAlign w:val="center"/>
            <w:hideMark/>
          </w:tcPr>
          <w:p w14:paraId="037EA42B" w14:textId="77777777" w:rsidR="00643CE2" w:rsidRPr="0044100E" w:rsidRDefault="00643CE2">
            <w:pPr>
              <w:jc w:val="center"/>
              <w:rPr>
                <w:rFonts w:ascii="Arial" w:eastAsia="Times New Roman" w:hAnsi="Arial" w:cs="Arial"/>
                <w:b/>
                <w:bCs/>
                <w:color w:val="FFFFFF"/>
                <w:sz w:val="22"/>
                <w:szCs w:val="22"/>
                <w:lang w:val="es-CO" w:eastAsia="es-CO"/>
              </w:rPr>
            </w:pPr>
            <w:r w:rsidRPr="0044100E">
              <w:rPr>
                <w:rFonts w:ascii="Arial" w:eastAsia="Times New Roman" w:hAnsi="Arial" w:cs="Arial"/>
                <w:b/>
                <w:bCs/>
                <w:color w:val="FFFFFF"/>
                <w:sz w:val="22"/>
                <w:szCs w:val="22"/>
                <w:lang w:val="es-CO" w:eastAsia="es-CO"/>
              </w:rPr>
              <w:t>TOTAL</w:t>
            </w:r>
          </w:p>
        </w:tc>
        <w:tc>
          <w:tcPr>
            <w:tcW w:w="2585" w:type="dxa"/>
            <w:tcBorders>
              <w:top w:val="nil"/>
              <w:left w:val="nil"/>
              <w:bottom w:val="single" w:sz="8" w:space="0" w:color="auto"/>
              <w:right w:val="single" w:sz="8" w:space="0" w:color="auto"/>
            </w:tcBorders>
            <w:shd w:val="clear" w:color="auto" w:fill="2F75B5"/>
            <w:noWrap/>
            <w:vAlign w:val="center"/>
            <w:hideMark/>
          </w:tcPr>
          <w:p w14:paraId="2C6CA77D" w14:textId="43CA7311" w:rsidR="00643CE2" w:rsidRPr="0044100E" w:rsidRDefault="006F1BA4">
            <w:pPr>
              <w:jc w:val="right"/>
              <w:rPr>
                <w:rFonts w:ascii="Arial" w:eastAsia="Times New Roman" w:hAnsi="Arial" w:cs="Arial"/>
                <w:b/>
                <w:bCs/>
                <w:color w:val="FFFFFF"/>
                <w:sz w:val="22"/>
                <w:szCs w:val="22"/>
                <w:lang w:val="es-CO" w:eastAsia="es-CO"/>
              </w:rPr>
            </w:pPr>
            <w:r>
              <w:rPr>
                <w:rFonts w:ascii="Arial" w:eastAsia="Times New Roman" w:hAnsi="Arial" w:cs="Arial"/>
                <w:b/>
                <w:bCs/>
                <w:color w:val="FFFFFF"/>
                <w:sz w:val="22"/>
                <w:szCs w:val="22"/>
                <w:lang w:val="es-CO" w:eastAsia="es-CO"/>
              </w:rPr>
              <w:t>$</w:t>
            </w:r>
            <w:r w:rsidR="00643CE2" w:rsidRPr="0044100E">
              <w:rPr>
                <w:rFonts w:ascii="Arial" w:eastAsia="Times New Roman" w:hAnsi="Arial" w:cs="Arial"/>
                <w:b/>
                <w:bCs/>
                <w:color w:val="FFFFFF"/>
                <w:sz w:val="22"/>
                <w:szCs w:val="22"/>
                <w:lang w:val="es-CO" w:eastAsia="es-CO"/>
              </w:rPr>
              <w:t>3.320</w:t>
            </w:r>
          </w:p>
        </w:tc>
      </w:tr>
    </w:tbl>
    <w:p w14:paraId="57DD2232" w14:textId="77777777" w:rsidR="00643CE2" w:rsidRPr="0044100E" w:rsidRDefault="00643CE2" w:rsidP="00643CE2">
      <w:pPr>
        <w:jc w:val="both"/>
        <w:rPr>
          <w:rFonts w:ascii="Arial" w:hAnsi="Arial" w:cs="Arial"/>
          <w:bCs/>
          <w:sz w:val="16"/>
          <w:szCs w:val="16"/>
        </w:rPr>
      </w:pPr>
      <w:r w:rsidRPr="0044100E">
        <w:rPr>
          <w:rFonts w:ascii="Arial" w:hAnsi="Arial" w:cs="Arial"/>
          <w:bCs/>
          <w:sz w:val="16"/>
          <w:szCs w:val="16"/>
        </w:rPr>
        <w:t>Fuente: Tabla elaborada DAF con base en información reportada por la ET</w:t>
      </w:r>
    </w:p>
    <w:p w14:paraId="5975C170" w14:textId="77777777" w:rsidR="00643CE2" w:rsidRPr="0044100E" w:rsidRDefault="00643CE2" w:rsidP="00643CE2">
      <w:pPr>
        <w:jc w:val="both"/>
        <w:rPr>
          <w:rFonts w:ascii="Arial" w:hAnsi="Arial" w:cs="Arial"/>
          <w:b/>
          <w:bCs/>
          <w:sz w:val="16"/>
          <w:szCs w:val="16"/>
        </w:rPr>
      </w:pPr>
    </w:p>
    <w:p w14:paraId="158AC766" w14:textId="446947E8" w:rsidR="00643CE2" w:rsidRPr="0044100E" w:rsidRDefault="00643CE2" w:rsidP="00643CE2">
      <w:pPr>
        <w:jc w:val="both"/>
        <w:rPr>
          <w:rFonts w:ascii="Arial" w:hAnsi="Arial" w:cs="Arial"/>
          <w:bCs/>
          <w:sz w:val="22"/>
          <w:szCs w:val="22"/>
        </w:rPr>
      </w:pPr>
      <w:r w:rsidRPr="0044100E">
        <w:rPr>
          <w:rFonts w:ascii="Arial" w:hAnsi="Arial" w:cs="Arial"/>
          <w:bCs/>
          <w:sz w:val="22"/>
          <w:szCs w:val="22"/>
        </w:rPr>
        <w:t xml:space="preserve">En relación </w:t>
      </w:r>
      <w:r w:rsidR="00CB5DC3">
        <w:rPr>
          <w:rFonts w:ascii="Arial" w:hAnsi="Arial" w:cs="Arial"/>
          <w:bCs/>
          <w:sz w:val="22"/>
          <w:szCs w:val="22"/>
        </w:rPr>
        <w:t>con</w:t>
      </w:r>
      <w:r w:rsidRPr="0044100E">
        <w:rPr>
          <w:rFonts w:ascii="Arial" w:hAnsi="Arial" w:cs="Arial"/>
          <w:bCs/>
          <w:sz w:val="22"/>
          <w:szCs w:val="22"/>
        </w:rPr>
        <w:t xml:space="preserve"> lo expuesto cabe destacar lo siguiente:</w:t>
      </w:r>
    </w:p>
    <w:p w14:paraId="08104224" w14:textId="77777777" w:rsidR="00643CE2" w:rsidRPr="0044100E" w:rsidRDefault="00643CE2" w:rsidP="00643CE2">
      <w:pPr>
        <w:jc w:val="both"/>
        <w:rPr>
          <w:rFonts w:ascii="Arial" w:hAnsi="Arial" w:cs="Arial"/>
          <w:bCs/>
          <w:sz w:val="22"/>
          <w:szCs w:val="22"/>
        </w:rPr>
      </w:pPr>
    </w:p>
    <w:p w14:paraId="72C60763" w14:textId="373FFD24"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 xml:space="preserve">Del total de la contratación efectuada, el 9% representado en un valor de </w:t>
      </w:r>
      <w:r w:rsidR="006F1BA4">
        <w:rPr>
          <w:rFonts w:ascii="Arial" w:hAnsi="Arial" w:cs="Arial"/>
          <w:bCs/>
          <w:sz w:val="22"/>
          <w:szCs w:val="22"/>
        </w:rPr>
        <w:t>$</w:t>
      </w:r>
      <w:r w:rsidRPr="0044100E">
        <w:rPr>
          <w:rFonts w:ascii="Arial" w:hAnsi="Arial" w:cs="Arial"/>
          <w:bCs/>
          <w:sz w:val="22"/>
          <w:szCs w:val="22"/>
        </w:rPr>
        <w:t>154 millones se definió para un periodo de ejecución de 10 meses, evidenciando posibles falencias en los procesos de planeación contractual e incumplimiento a los principios de responsabilidad y economía de la contratación pública.</w:t>
      </w:r>
    </w:p>
    <w:p w14:paraId="32165687" w14:textId="77777777"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Para la contención de la pandemia derivada del COVID 19 se realizaron 48 contratos durante la vigencia, enmarcados principalmente en las Dimensiones del Fortalecimiento de la Autoridad Sanitaria, Convivencia Social y Salud Mental, Vida Saludable y Enfermedades Transmisibles y Dimensión Gestión diferencial de Poblaciones Vulnerables, comprometiendo recursos del SGP- Salud Pública por $1.039 millones. Al respecto, se identificaron dos contratos que fueron suscritos, pero no enmarcados en ninguna de las Dimensiones:</w:t>
      </w:r>
    </w:p>
    <w:p w14:paraId="1E0252BC" w14:textId="77777777" w:rsidR="00643CE2" w:rsidRPr="0044100E" w:rsidRDefault="00643CE2" w:rsidP="00643CE2">
      <w:pPr>
        <w:jc w:val="both"/>
        <w:rPr>
          <w:rFonts w:ascii="Arial" w:hAnsi="Arial" w:cs="Arial"/>
          <w:bCs/>
          <w:sz w:val="22"/>
          <w:szCs w:val="22"/>
        </w:rPr>
      </w:pPr>
    </w:p>
    <w:p w14:paraId="5A2CBA08" w14:textId="77777777" w:rsidR="00643CE2" w:rsidRPr="0044100E" w:rsidRDefault="00643CE2" w:rsidP="00643CE2">
      <w:pPr>
        <w:jc w:val="both"/>
        <w:rPr>
          <w:rFonts w:ascii="Arial" w:hAnsi="Arial" w:cs="Arial"/>
          <w:bCs/>
          <w:sz w:val="22"/>
          <w:szCs w:val="22"/>
        </w:rPr>
      </w:pPr>
      <w:r w:rsidRPr="0044100E">
        <w:rPr>
          <w:rFonts w:ascii="Arial" w:hAnsi="Arial" w:cs="Arial"/>
          <w:noProof/>
          <w:lang w:val="es-CO" w:eastAsia="es-CO"/>
        </w:rPr>
        <w:drawing>
          <wp:inline distT="0" distB="0" distL="0" distR="0" wp14:anchorId="1197E32C" wp14:editId="0AF2D2A6">
            <wp:extent cx="6086475" cy="1228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1228725"/>
                    </a:xfrm>
                    <a:prstGeom prst="rect">
                      <a:avLst/>
                    </a:prstGeom>
                    <a:noFill/>
                    <a:ln>
                      <a:noFill/>
                    </a:ln>
                  </pic:spPr>
                </pic:pic>
              </a:graphicData>
            </a:graphic>
          </wp:inline>
        </w:drawing>
      </w:r>
    </w:p>
    <w:p w14:paraId="00E9A68B" w14:textId="77777777" w:rsidR="00643CE2" w:rsidRPr="0044100E" w:rsidRDefault="00643CE2" w:rsidP="00643CE2">
      <w:pPr>
        <w:jc w:val="both"/>
        <w:rPr>
          <w:rFonts w:ascii="Arial" w:hAnsi="Arial" w:cs="Arial"/>
          <w:bCs/>
          <w:sz w:val="16"/>
          <w:szCs w:val="16"/>
        </w:rPr>
      </w:pPr>
      <w:r w:rsidRPr="0044100E">
        <w:rPr>
          <w:rFonts w:ascii="Arial" w:hAnsi="Arial" w:cs="Arial"/>
          <w:bCs/>
          <w:sz w:val="16"/>
          <w:szCs w:val="16"/>
        </w:rPr>
        <w:t>Fuente: Tabla elaborada DAF con base en información reportada por la ET</w:t>
      </w:r>
    </w:p>
    <w:p w14:paraId="1EA6C99C" w14:textId="77777777" w:rsidR="00643CE2" w:rsidRPr="0044100E" w:rsidRDefault="00643CE2" w:rsidP="00643CE2">
      <w:pPr>
        <w:jc w:val="both"/>
        <w:rPr>
          <w:rFonts w:ascii="Arial" w:hAnsi="Arial" w:cs="Arial"/>
          <w:bCs/>
          <w:sz w:val="22"/>
          <w:szCs w:val="22"/>
          <w:highlight w:val="yellow"/>
        </w:rPr>
      </w:pPr>
    </w:p>
    <w:p w14:paraId="7F913877" w14:textId="09EB6325"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 xml:space="preserve">Verificado en el SECOP el contrato suscrito con la Señora Diana Patricia Barrera Rodríguez cuyo objeto </w:t>
      </w:r>
      <w:r w:rsidR="009F1DED">
        <w:rPr>
          <w:rFonts w:ascii="Arial" w:hAnsi="Arial" w:cs="Arial"/>
          <w:bCs/>
          <w:sz w:val="22"/>
          <w:szCs w:val="22"/>
        </w:rPr>
        <w:t>consiste en la</w:t>
      </w:r>
      <w:r w:rsidRPr="0044100E">
        <w:rPr>
          <w:rFonts w:ascii="Arial" w:hAnsi="Arial" w:cs="Arial"/>
          <w:bCs/>
          <w:sz w:val="22"/>
          <w:szCs w:val="22"/>
        </w:rPr>
        <w:t xml:space="preserve"> “</w:t>
      </w:r>
      <w:r w:rsidRPr="009F1DED">
        <w:rPr>
          <w:rFonts w:ascii="Arial" w:hAnsi="Arial" w:cs="Arial"/>
          <w:bCs/>
          <w:i/>
          <w:iCs/>
          <w:sz w:val="22"/>
          <w:szCs w:val="22"/>
        </w:rPr>
        <w:t>PRESTACION DE SERVICIOS DE APOYO A LA GESTIÓN OPERATIVA DE UN TECNICO PARA EL FORTALECIMIENTO DE LA AUTORIDAD SANITARIA (LABORATOIO DE SALUD PÚBLICA) EN LA SECRETARÍA DE SALUD DEPARTAMENTAL PARA LA VIGENCIA 2020</w:t>
      </w:r>
      <w:r w:rsidRPr="0044100E">
        <w:rPr>
          <w:rFonts w:ascii="Arial" w:hAnsi="Arial" w:cs="Arial"/>
          <w:bCs/>
          <w:sz w:val="22"/>
          <w:szCs w:val="22"/>
        </w:rPr>
        <w:t xml:space="preserve">”, se identifica en la minuta que la imputación presupuestal se hará con cargo a los recursos propios de la </w:t>
      </w:r>
      <w:r w:rsidR="009F1DED">
        <w:rPr>
          <w:rFonts w:ascii="Arial" w:hAnsi="Arial" w:cs="Arial"/>
          <w:bCs/>
          <w:sz w:val="22"/>
          <w:szCs w:val="22"/>
        </w:rPr>
        <w:t>E</w:t>
      </w:r>
      <w:r w:rsidRPr="0044100E">
        <w:rPr>
          <w:rFonts w:ascii="Arial" w:hAnsi="Arial" w:cs="Arial"/>
          <w:bCs/>
          <w:sz w:val="22"/>
          <w:szCs w:val="22"/>
        </w:rPr>
        <w:t xml:space="preserve">ntidad </w:t>
      </w:r>
      <w:r w:rsidR="009F1DED">
        <w:rPr>
          <w:rFonts w:ascii="Arial" w:hAnsi="Arial" w:cs="Arial"/>
          <w:bCs/>
          <w:sz w:val="22"/>
          <w:szCs w:val="22"/>
        </w:rPr>
        <w:t>T</w:t>
      </w:r>
      <w:r w:rsidRPr="0044100E">
        <w:rPr>
          <w:rFonts w:ascii="Arial" w:hAnsi="Arial" w:cs="Arial"/>
          <w:bCs/>
          <w:sz w:val="22"/>
          <w:szCs w:val="22"/>
        </w:rPr>
        <w:t xml:space="preserve">erritorial respaldado con el CDP No. 151. No obstante, los anexos refieren el CDP No. 157 con imputación </w:t>
      </w:r>
      <w:r w:rsidRPr="0044100E">
        <w:rPr>
          <w:rFonts w:ascii="Arial" w:hAnsi="Arial" w:cs="Arial"/>
          <w:bCs/>
          <w:sz w:val="22"/>
          <w:szCs w:val="22"/>
        </w:rPr>
        <w:lastRenderedPageBreak/>
        <w:t xml:space="preserve">de los recursos del SGP Salud Pública Vigencia Anterior, un RP que indica que el CDP es el No. 151 y que afecta recursos del SGP – Prestación de Servicios, los dos indicando el valor de $8.700.000. Llama la atención además que en la relación contractual suministrada por la </w:t>
      </w:r>
      <w:r w:rsidR="000A6281">
        <w:rPr>
          <w:rFonts w:ascii="Arial" w:hAnsi="Arial" w:cs="Arial"/>
          <w:bCs/>
          <w:sz w:val="22"/>
          <w:szCs w:val="22"/>
        </w:rPr>
        <w:t>E</w:t>
      </w:r>
      <w:r w:rsidRPr="0044100E">
        <w:rPr>
          <w:rFonts w:ascii="Arial" w:hAnsi="Arial" w:cs="Arial"/>
          <w:bCs/>
          <w:sz w:val="22"/>
          <w:szCs w:val="22"/>
        </w:rPr>
        <w:t xml:space="preserve">ntidad </w:t>
      </w:r>
      <w:r w:rsidR="000A6281">
        <w:rPr>
          <w:rFonts w:ascii="Arial" w:hAnsi="Arial" w:cs="Arial"/>
          <w:bCs/>
          <w:sz w:val="22"/>
          <w:szCs w:val="22"/>
        </w:rPr>
        <w:t>T</w:t>
      </w:r>
      <w:r w:rsidRPr="0044100E">
        <w:rPr>
          <w:rFonts w:ascii="Arial" w:hAnsi="Arial" w:cs="Arial"/>
          <w:bCs/>
          <w:sz w:val="22"/>
          <w:szCs w:val="22"/>
        </w:rPr>
        <w:t xml:space="preserve">erritorial se identifica un valor final del contrato por valor de $13 millones, inconsistencias que serán objeto de verificación en el marco de la etapa de reconocimiento institucional que se realizará. </w:t>
      </w:r>
    </w:p>
    <w:p w14:paraId="01302DED" w14:textId="77777777"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Verificados los compromisos efectuados para el componente de Gestión de la Salud Pública reportado en el FUT, cuya única fuente de financiación correspondió al SGP- Salud Pública, se identifica una diferencia de $79 millones respecto al valor de los contratos ejecutados. En ese orden es preciso destacar además que el desarrollo de actividades relacionadas con la gestión en salud pública el nivel de ejecución apenas alcanzó un 46% en la vigencia 2020.</w:t>
      </w:r>
    </w:p>
    <w:p w14:paraId="305E7C32" w14:textId="2B217160"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 xml:space="preserve">La información relacionada con los gastos de funcionamiento no fue aportada por la </w:t>
      </w:r>
      <w:r w:rsidR="000A6281">
        <w:rPr>
          <w:rFonts w:ascii="Arial" w:hAnsi="Arial" w:cs="Arial"/>
          <w:bCs/>
          <w:sz w:val="22"/>
          <w:szCs w:val="22"/>
        </w:rPr>
        <w:t>E</w:t>
      </w:r>
      <w:r w:rsidRPr="0044100E">
        <w:rPr>
          <w:rFonts w:ascii="Arial" w:hAnsi="Arial" w:cs="Arial"/>
          <w:bCs/>
          <w:sz w:val="22"/>
          <w:szCs w:val="22"/>
        </w:rPr>
        <w:t xml:space="preserve">ntidad </w:t>
      </w:r>
      <w:r w:rsidR="000A6281">
        <w:rPr>
          <w:rFonts w:ascii="Arial" w:hAnsi="Arial" w:cs="Arial"/>
          <w:bCs/>
          <w:sz w:val="22"/>
          <w:szCs w:val="22"/>
        </w:rPr>
        <w:t>T</w:t>
      </w:r>
      <w:r w:rsidRPr="0044100E">
        <w:rPr>
          <w:rFonts w:ascii="Arial" w:hAnsi="Arial" w:cs="Arial"/>
          <w:bCs/>
          <w:sz w:val="22"/>
          <w:szCs w:val="22"/>
        </w:rPr>
        <w:t>erritorial y en ese orden no es posible validar la asignación de recursos del SGP- Salud Pública para dicho propósito.</w:t>
      </w:r>
    </w:p>
    <w:p w14:paraId="33CF4C41" w14:textId="77777777" w:rsidR="00643CE2" w:rsidRPr="0044100E" w:rsidRDefault="00643CE2" w:rsidP="00643CE2">
      <w:pPr>
        <w:jc w:val="both"/>
        <w:rPr>
          <w:rFonts w:ascii="Arial" w:hAnsi="Arial" w:cs="Arial"/>
          <w:b/>
          <w:bCs/>
          <w:sz w:val="22"/>
          <w:szCs w:val="22"/>
        </w:rPr>
      </w:pPr>
    </w:p>
    <w:p w14:paraId="32AD2089" w14:textId="77777777" w:rsidR="00643CE2" w:rsidRPr="0044100E" w:rsidRDefault="00643CE2" w:rsidP="00643CE2">
      <w:pPr>
        <w:jc w:val="both"/>
        <w:rPr>
          <w:rFonts w:ascii="Arial" w:hAnsi="Arial" w:cs="Arial"/>
          <w:b/>
          <w:bCs/>
          <w:sz w:val="22"/>
          <w:szCs w:val="22"/>
        </w:rPr>
      </w:pPr>
      <w:r w:rsidRPr="0044100E">
        <w:rPr>
          <w:rFonts w:ascii="Arial" w:hAnsi="Arial" w:cs="Arial"/>
          <w:b/>
          <w:bCs/>
          <w:sz w:val="22"/>
          <w:szCs w:val="22"/>
        </w:rPr>
        <w:t>VIGENCIA 2021</w:t>
      </w:r>
    </w:p>
    <w:p w14:paraId="36C5EB78" w14:textId="77777777" w:rsidR="00643CE2" w:rsidRPr="0044100E" w:rsidRDefault="00643CE2" w:rsidP="00643CE2">
      <w:pPr>
        <w:jc w:val="both"/>
        <w:rPr>
          <w:rFonts w:ascii="Arial" w:hAnsi="Arial" w:cs="Arial"/>
          <w:bCs/>
          <w:sz w:val="22"/>
          <w:szCs w:val="22"/>
        </w:rPr>
      </w:pPr>
    </w:p>
    <w:p w14:paraId="61E7258F" w14:textId="3AF9D80F" w:rsidR="00643CE2" w:rsidRPr="0044100E" w:rsidRDefault="00643CE2" w:rsidP="00643CE2">
      <w:pPr>
        <w:jc w:val="both"/>
        <w:rPr>
          <w:rFonts w:ascii="Arial" w:hAnsi="Arial" w:cs="Arial"/>
          <w:bCs/>
          <w:sz w:val="22"/>
          <w:szCs w:val="22"/>
        </w:rPr>
      </w:pPr>
      <w:r w:rsidRPr="0044100E">
        <w:rPr>
          <w:rFonts w:ascii="Arial" w:hAnsi="Arial" w:cs="Arial"/>
          <w:bCs/>
          <w:sz w:val="22"/>
          <w:szCs w:val="22"/>
        </w:rPr>
        <w:t xml:space="preserve">Para la ejecución de acciones relaciones con la gestión de la salud pública, con corte al mes de julio, la </w:t>
      </w:r>
      <w:r w:rsidR="00376C75">
        <w:rPr>
          <w:rFonts w:ascii="Arial" w:hAnsi="Arial" w:cs="Arial"/>
          <w:bCs/>
          <w:sz w:val="22"/>
          <w:szCs w:val="22"/>
        </w:rPr>
        <w:t>E</w:t>
      </w:r>
      <w:r w:rsidRPr="0044100E">
        <w:rPr>
          <w:rFonts w:ascii="Arial" w:hAnsi="Arial" w:cs="Arial"/>
          <w:bCs/>
          <w:sz w:val="22"/>
          <w:szCs w:val="22"/>
        </w:rPr>
        <w:t xml:space="preserve">ntidad reporta un total de 125 contratos, comprometiendo un total de $4.335 millones provenientes del SGP- Salud Pública y Coljuegos, de los cuales el 8% corresponden a recursos de vigencias anteriores. De acuerdo </w:t>
      </w:r>
      <w:r w:rsidR="00376C75">
        <w:rPr>
          <w:rFonts w:ascii="Arial" w:hAnsi="Arial" w:cs="Arial"/>
          <w:bCs/>
          <w:sz w:val="22"/>
          <w:szCs w:val="22"/>
        </w:rPr>
        <w:t>con</w:t>
      </w:r>
      <w:r w:rsidRPr="0044100E">
        <w:rPr>
          <w:rFonts w:ascii="Arial" w:hAnsi="Arial" w:cs="Arial"/>
          <w:bCs/>
          <w:sz w:val="22"/>
          <w:szCs w:val="22"/>
        </w:rPr>
        <w:t xml:space="preserve"> la modalidad de selección y tipo de contrato realizado se evidenció lo siguiente:</w:t>
      </w:r>
    </w:p>
    <w:tbl>
      <w:tblPr>
        <w:tblW w:w="7700" w:type="dxa"/>
        <w:jc w:val="center"/>
        <w:tblCellMar>
          <w:left w:w="70" w:type="dxa"/>
          <w:right w:w="70" w:type="dxa"/>
        </w:tblCellMar>
        <w:tblLook w:val="04A0" w:firstRow="1" w:lastRow="0" w:firstColumn="1" w:lastColumn="0" w:noHBand="0" w:noVBand="1"/>
      </w:tblPr>
      <w:tblGrid>
        <w:gridCol w:w="1200"/>
        <w:gridCol w:w="2280"/>
        <w:gridCol w:w="2320"/>
        <w:gridCol w:w="1900"/>
      </w:tblGrid>
      <w:tr w:rsidR="00643CE2" w:rsidRPr="0044100E" w14:paraId="6BA6F869" w14:textId="77777777" w:rsidTr="00643CE2">
        <w:trPr>
          <w:trHeight w:val="345"/>
          <w:jc w:val="center"/>
        </w:trPr>
        <w:tc>
          <w:tcPr>
            <w:tcW w:w="1200" w:type="dxa"/>
            <w:noWrap/>
            <w:vAlign w:val="bottom"/>
            <w:hideMark/>
          </w:tcPr>
          <w:p w14:paraId="7B98C1B4" w14:textId="77777777" w:rsidR="00643CE2" w:rsidRPr="0044100E" w:rsidRDefault="00643CE2">
            <w:pPr>
              <w:rPr>
                <w:rFonts w:ascii="Arial" w:hAnsi="Arial" w:cs="Arial"/>
                <w:bCs/>
                <w:sz w:val="22"/>
                <w:szCs w:val="22"/>
              </w:rPr>
            </w:pPr>
          </w:p>
        </w:tc>
        <w:tc>
          <w:tcPr>
            <w:tcW w:w="2280" w:type="dxa"/>
            <w:noWrap/>
            <w:vAlign w:val="bottom"/>
            <w:hideMark/>
          </w:tcPr>
          <w:p w14:paraId="2E4BFFAB" w14:textId="77777777" w:rsidR="00643CE2" w:rsidRPr="0044100E" w:rsidRDefault="00643CE2">
            <w:pPr>
              <w:rPr>
                <w:rFonts w:ascii="Arial" w:eastAsiaTheme="minorHAnsi" w:hAnsi="Arial" w:cs="Arial"/>
                <w:sz w:val="20"/>
                <w:szCs w:val="20"/>
                <w:lang w:val="es-CO" w:eastAsia="es-CO"/>
              </w:rPr>
            </w:pPr>
          </w:p>
        </w:tc>
        <w:tc>
          <w:tcPr>
            <w:tcW w:w="2320" w:type="dxa"/>
            <w:noWrap/>
            <w:vAlign w:val="bottom"/>
            <w:hideMark/>
          </w:tcPr>
          <w:p w14:paraId="349BFE8A" w14:textId="77777777" w:rsidR="00643CE2" w:rsidRPr="0044100E" w:rsidRDefault="00643CE2">
            <w:pPr>
              <w:rPr>
                <w:rFonts w:ascii="Arial" w:eastAsiaTheme="minorHAnsi" w:hAnsi="Arial" w:cs="Arial"/>
                <w:sz w:val="20"/>
                <w:szCs w:val="20"/>
                <w:lang w:val="es-CO" w:eastAsia="es-CO"/>
              </w:rPr>
            </w:pPr>
          </w:p>
        </w:tc>
        <w:tc>
          <w:tcPr>
            <w:tcW w:w="1900" w:type="dxa"/>
            <w:noWrap/>
            <w:vAlign w:val="bottom"/>
            <w:hideMark/>
          </w:tcPr>
          <w:p w14:paraId="5F80CF8B"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(Cifras en millones $)</w:t>
            </w:r>
          </w:p>
        </w:tc>
      </w:tr>
      <w:tr w:rsidR="00643CE2" w:rsidRPr="0044100E" w14:paraId="22B1431B" w14:textId="77777777" w:rsidTr="00643CE2">
        <w:trPr>
          <w:trHeight w:val="300"/>
          <w:jc w:val="center"/>
        </w:trPr>
        <w:tc>
          <w:tcPr>
            <w:tcW w:w="1200" w:type="dxa"/>
            <w:tcBorders>
              <w:top w:val="single" w:sz="8" w:space="0" w:color="auto"/>
              <w:left w:val="single" w:sz="8" w:space="0" w:color="auto"/>
              <w:bottom w:val="single" w:sz="4" w:space="0" w:color="auto"/>
              <w:right w:val="single" w:sz="4" w:space="0" w:color="auto"/>
            </w:tcBorders>
            <w:shd w:val="clear" w:color="auto" w:fill="203764"/>
            <w:noWrap/>
            <w:vAlign w:val="bottom"/>
            <w:hideMark/>
          </w:tcPr>
          <w:p w14:paraId="7F94CA14" w14:textId="77777777" w:rsidR="00643CE2" w:rsidRPr="0044100E" w:rsidRDefault="00643CE2">
            <w:pPr>
              <w:jc w:val="center"/>
              <w:rPr>
                <w:rFonts w:ascii="Arial" w:eastAsia="Times New Roman" w:hAnsi="Arial" w:cs="Arial"/>
                <w:b/>
                <w:bCs/>
                <w:color w:val="FFFFFF"/>
                <w:sz w:val="18"/>
                <w:szCs w:val="18"/>
                <w:lang w:val="es-CO" w:eastAsia="es-CO"/>
              </w:rPr>
            </w:pPr>
            <w:r w:rsidRPr="0044100E">
              <w:rPr>
                <w:rFonts w:ascii="Arial" w:eastAsia="Times New Roman" w:hAnsi="Arial" w:cs="Arial"/>
                <w:b/>
                <w:bCs/>
                <w:color w:val="FFFFFF"/>
                <w:sz w:val="18"/>
                <w:szCs w:val="18"/>
                <w:lang w:val="es-CO" w:eastAsia="es-CO"/>
              </w:rPr>
              <w:t>#</w:t>
            </w:r>
          </w:p>
        </w:tc>
        <w:tc>
          <w:tcPr>
            <w:tcW w:w="2280" w:type="dxa"/>
            <w:tcBorders>
              <w:top w:val="single" w:sz="8" w:space="0" w:color="auto"/>
              <w:left w:val="nil"/>
              <w:bottom w:val="single" w:sz="4" w:space="0" w:color="auto"/>
              <w:right w:val="single" w:sz="4" w:space="0" w:color="auto"/>
            </w:tcBorders>
            <w:shd w:val="clear" w:color="auto" w:fill="203764"/>
            <w:noWrap/>
            <w:vAlign w:val="bottom"/>
            <w:hideMark/>
          </w:tcPr>
          <w:p w14:paraId="0A195DE0" w14:textId="77777777" w:rsidR="00643CE2" w:rsidRPr="0044100E" w:rsidRDefault="00643CE2">
            <w:pPr>
              <w:jc w:val="center"/>
              <w:rPr>
                <w:rFonts w:ascii="Arial" w:eastAsia="Times New Roman" w:hAnsi="Arial" w:cs="Arial"/>
                <w:b/>
                <w:bCs/>
                <w:color w:val="FFFFFF"/>
                <w:sz w:val="18"/>
                <w:szCs w:val="18"/>
                <w:lang w:val="es-CO" w:eastAsia="es-CO"/>
              </w:rPr>
            </w:pPr>
            <w:r w:rsidRPr="0044100E">
              <w:rPr>
                <w:rFonts w:ascii="Arial" w:eastAsia="Times New Roman" w:hAnsi="Arial" w:cs="Arial"/>
                <w:b/>
                <w:bCs/>
                <w:color w:val="FFFFFF"/>
                <w:sz w:val="18"/>
                <w:szCs w:val="18"/>
                <w:lang w:val="es-CO" w:eastAsia="es-CO"/>
              </w:rPr>
              <w:t>Modalidad de selección</w:t>
            </w:r>
          </w:p>
        </w:tc>
        <w:tc>
          <w:tcPr>
            <w:tcW w:w="2320" w:type="dxa"/>
            <w:tcBorders>
              <w:top w:val="single" w:sz="8" w:space="0" w:color="auto"/>
              <w:left w:val="nil"/>
              <w:bottom w:val="single" w:sz="4" w:space="0" w:color="auto"/>
              <w:right w:val="single" w:sz="4" w:space="0" w:color="auto"/>
            </w:tcBorders>
            <w:shd w:val="clear" w:color="auto" w:fill="203764"/>
            <w:noWrap/>
            <w:vAlign w:val="bottom"/>
            <w:hideMark/>
          </w:tcPr>
          <w:p w14:paraId="0A33108D" w14:textId="77777777" w:rsidR="00643CE2" w:rsidRPr="0044100E" w:rsidRDefault="00643CE2">
            <w:pPr>
              <w:jc w:val="center"/>
              <w:rPr>
                <w:rFonts w:ascii="Arial" w:eastAsia="Times New Roman" w:hAnsi="Arial" w:cs="Arial"/>
                <w:b/>
                <w:bCs/>
                <w:color w:val="FFFFFF"/>
                <w:sz w:val="18"/>
                <w:szCs w:val="18"/>
                <w:lang w:val="es-CO" w:eastAsia="es-CO"/>
              </w:rPr>
            </w:pPr>
            <w:r w:rsidRPr="0044100E">
              <w:rPr>
                <w:rFonts w:ascii="Arial" w:eastAsia="Times New Roman" w:hAnsi="Arial" w:cs="Arial"/>
                <w:b/>
                <w:bCs/>
                <w:color w:val="FFFFFF"/>
                <w:sz w:val="18"/>
                <w:szCs w:val="18"/>
                <w:lang w:val="es-CO" w:eastAsia="es-CO"/>
              </w:rPr>
              <w:t>Tipo de Contrato</w:t>
            </w:r>
          </w:p>
        </w:tc>
        <w:tc>
          <w:tcPr>
            <w:tcW w:w="1900" w:type="dxa"/>
            <w:tcBorders>
              <w:top w:val="single" w:sz="8" w:space="0" w:color="auto"/>
              <w:left w:val="nil"/>
              <w:bottom w:val="single" w:sz="4" w:space="0" w:color="auto"/>
              <w:right w:val="single" w:sz="8" w:space="0" w:color="auto"/>
            </w:tcBorders>
            <w:shd w:val="clear" w:color="auto" w:fill="203764"/>
            <w:noWrap/>
            <w:vAlign w:val="bottom"/>
            <w:hideMark/>
          </w:tcPr>
          <w:p w14:paraId="640EB136" w14:textId="77777777" w:rsidR="00643CE2" w:rsidRPr="0044100E" w:rsidRDefault="00643CE2">
            <w:pPr>
              <w:jc w:val="center"/>
              <w:rPr>
                <w:rFonts w:ascii="Arial" w:eastAsia="Times New Roman" w:hAnsi="Arial" w:cs="Arial"/>
                <w:b/>
                <w:bCs/>
                <w:color w:val="FFFFFF"/>
                <w:sz w:val="18"/>
                <w:szCs w:val="18"/>
                <w:lang w:val="es-CO" w:eastAsia="es-CO"/>
              </w:rPr>
            </w:pPr>
            <w:r w:rsidRPr="0044100E">
              <w:rPr>
                <w:rFonts w:ascii="Arial" w:eastAsia="Times New Roman" w:hAnsi="Arial" w:cs="Arial"/>
                <w:b/>
                <w:bCs/>
                <w:color w:val="FFFFFF"/>
                <w:sz w:val="18"/>
                <w:szCs w:val="18"/>
                <w:lang w:val="es-CO" w:eastAsia="es-CO"/>
              </w:rPr>
              <w:t>Valor Final del Contrato</w:t>
            </w:r>
          </w:p>
        </w:tc>
      </w:tr>
      <w:tr w:rsidR="00643CE2" w:rsidRPr="0044100E" w14:paraId="569AE785" w14:textId="77777777" w:rsidTr="00643CE2">
        <w:trPr>
          <w:trHeight w:val="300"/>
          <w:jc w:val="center"/>
        </w:trPr>
        <w:tc>
          <w:tcPr>
            <w:tcW w:w="1200" w:type="dxa"/>
            <w:tcBorders>
              <w:top w:val="nil"/>
              <w:left w:val="single" w:sz="8" w:space="0" w:color="auto"/>
              <w:bottom w:val="single" w:sz="4" w:space="0" w:color="auto"/>
              <w:right w:val="single" w:sz="4" w:space="0" w:color="auto"/>
            </w:tcBorders>
            <w:noWrap/>
            <w:vAlign w:val="bottom"/>
            <w:hideMark/>
          </w:tcPr>
          <w:p w14:paraId="05681829" w14:textId="77777777" w:rsidR="00643CE2" w:rsidRPr="0044100E" w:rsidRDefault="00643CE2">
            <w:pPr>
              <w:jc w:val="cente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122</w:t>
            </w:r>
          </w:p>
        </w:tc>
        <w:tc>
          <w:tcPr>
            <w:tcW w:w="2280" w:type="dxa"/>
            <w:tcBorders>
              <w:top w:val="nil"/>
              <w:left w:val="nil"/>
              <w:bottom w:val="single" w:sz="4" w:space="0" w:color="auto"/>
              <w:right w:val="single" w:sz="4" w:space="0" w:color="auto"/>
            </w:tcBorders>
            <w:noWrap/>
            <w:vAlign w:val="bottom"/>
            <w:hideMark/>
          </w:tcPr>
          <w:p w14:paraId="05739CF6"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CONTRATACIÓN DIRECTA</w:t>
            </w:r>
          </w:p>
        </w:tc>
        <w:tc>
          <w:tcPr>
            <w:tcW w:w="2320" w:type="dxa"/>
            <w:tcBorders>
              <w:top w:val="nil"/>
              <w:left w:val="nil"/>
              <w:bottom w:val="single" w:sz="4" w:space="0" w:color="auto"/>
              <w:right w:val="single" w:sz="4" w:space="0" w:color="auto"/>
            </w:tcBorders>
            <w:noWrap/>
            <w:vAlign w:val="bottom"/>
            <w:hideMark/>
          </w:tcPr>
          <w:p w14:paraId="3F594875"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PRESTACIÓN DE SERVICIOS</w:t>
            </w:r>
          </w:p>
        </w:tc>
        <w:tc>
          <w:tcPr>
            <w:tcW w:w="1900" w:type="dxa"/>
            <w:tcBorders>
              <w:top w:val="nil"/>
              <w:left w:val="nil"/>
              <w:bottom w:val="single" w:sz="4" w:space="0" w:color="auto"/>
              <w:right w:val="single" w:sz="8" w:space="0" w:color="auto"/>
            </w:tcBorders>
            <w:noWrap/>
            <w:vAlign w:val="bottom"/>
            <w:hideMark/>
          </w:tcPr>
          <w:p w14:paraId="5F3D8818" w14:textId="091F27A2" w:rsidR="00643CE2" w:rsidRPr="0044100E" w:rsidRDefault="006F1BA4">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r w:rsidR="00643CE2" w:rsidRPr="0044100E">
              <w:rPr>
                <w:rFonts w:ascii="Arial" w:eastAsia="Times New Roman" w:hAnsi="Arial" w:cs="Arial"/>
                <w:color w:val="000000"/>
                <w:sz w:val="18"/>
                <w:szCs w:val="18"/>
                <w:lang w:val="es-CO" w:eastAsia="es-CO"/>
              </w:rPr>
              <w:t>3.125</w:t>
            </w:r>
          </w:p>
        </w:tc>
      </w:tr>
      <w:tr w:rsidR="00643CE2" w:rsidRPr="0044100E" w14:paraId="0C868636" w14:textId="77777777" w:rsidTr="00643CE2">
        <w:trPr>
          <w:trHeight w:val="300"/>
          <w:jc w:val="center"/>
        </w:trPr>
        <w:tc>
          <w:tcPr>
            <w:tcW w:w="1200" w:type="dxa"/>
            <w:vMerge w:val="restart"/>
            <w:tcBorders>
              <w:top w:val="nil"/>
              <w:left w:val="single" w:sz="8" w:space="0" w:color="auto"/>
              <w:bottom w:val="single" w:sz="4" w:space="0" w:color="000000"/>
              <w:right w:val="single" w:sz="4" w:space="0" w:color="auto"/>
            </w:tcBorders>
            <w:noWrap/>
            <w:vAlign w:val="center"/>
            <w:hideMark/>
          </w:tcPr>
          <w:p w14:paraId="0FB0BB40" w14:textId="77777777" w:rsidR="00643CE2" w:rsidRPr="0044100E" w:rsidRDefault="00643CE2">
            <w:pPr>
              <w:jc w:val="cente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2</w:t>
            </w:r>
          </w:p>
        </w:tc>
        <w:tc>
          <w:tcPr>
            <w:tcW w:w="2280" w:type="dxa"/>
            <w:vMerge w:val="restart"/>
            <w:tcBorders>
              <w:top w:val="nil"/>
              <w:left w:val="single" w:sz="4" w:space="0" w:color="auto"/>
              <w:bottom w:val="single" w:sz="4" w:space="0" w:color="000000"/>
              <w:right w:val="single" w:sz="4" w:space="0" w:color="auto"/>
            </w:tcBorders>
            <w:noWrap/>
            <w:vAlign w:val="center"/>
            <w:hideMark/>
          </w:tcPr>
          <w:p w14:paraId="0A0C493D"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MÍNIMA CUANTÍA</w:t>
            </w:r>
          </w:p>
        </w:tc>
        <w:tc>
          <w:tcPr>
            <w:tcW w:w="2320" w:type="dxa"/>
            <w:tcBorders>
              <w:top w:val="nil"/>
              <w:left w:val="nil"/>
              <w:bottom w:val="single" w:sz="4" w:space="0" w:color="auto"/>
              <w:right w:val="single" w:sz="4" w:space="0" w:color="auto"/>
            </w:tcBorders>
            <w:noWrap/>
            <w:vAlign w:val="bottom"/>
            <w:hideMark/>
          </w:tcPr>
          <w:p w14:paraId="14626B7A"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SUMINISTRO COMBUSTIBLES</w:t>
            </w:r>
          </w:p>
        </w:tc>
        <w:tc>
          <w:tcPr>
            <w:tcW w:w="1900" w:type="dxa"/>
            <w:vMerge w:val="restart"/>
            <w:tcBorders>
              <w:top w:val="nil"/>
              <w:left w:val="single" w:sz="4" w:space="0" w:color="auto"/>
              <w:bottom w:val="single" w:sz="4" w:space="0" w:color="000000"/>
              <w:right w:val="single" w:sz="8" w:space="0" w:color="auto"/>
            </w:tcBorders>
            <w:noWrap/>
            <w:vAlign w:val="center"/>
            <w:hideMark/>
          </w:tcPr>
          <w:p w14:paraId="1EC1D148" w14:textId="3507AEA8" w:rsidR="00643CE2" w:rsidRPr="0044100E" w:rsidRDefault="006F1BA4">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r w:rsidR="00643CE2" w:rsidRPr="0044100E">
              <w:rPr>
                <w:rFonts w:ascii="Arial" w:eastAsia="Times New Roman" w:hAnsi="Arial" w:cs="Arial"/>
                <w:color w:val="000000"/>
                <w:sz w:val="18"/>
                <w:szCs w:val="18"/>
                <w:lang w:val="es-CO" w:eastAsia="es-CO"/>
              </w:rPr>
              <w:t>80</w:t>
            </w:r>
          </w:p>
        </w:tc>
      </w:tr>
      <w:tr w:rsidR="00643CE2" w:rsidRPr="0044100E" w14:paraId="5B37D28D" w14:textId="77777777" w:rsidTr="00643CE2">
        <w:trPr>
          <w:trHeight w:val="300"/>
          <w:jc w:val="center"/>
        </w:trPr>
        <w:tc>
          <w:tcPr>
            <w:tcW w:w="0" w:type="auto"/>
            <w:vMerge/>
            <w:tcBorders>
              <w:top w:val="nil"/>
              <w:left w:val="single" w:sz="8" w:space="0" w:color="auto"/>
              <w:bottom w:val="single" w:sz="4" w:space="0" w:color="000000"/>
              <w:right w:val="single" w:sz="4" w:space="0" w:color="auto"/>
            </w:tcBorders>
            <w:vAlign w:val="center"/>
            <w:hideMark/>
          </w:tcPr>
          <w:p w14:paraId="1FD76AEF" w14:textId="77777777" w:rsidR="00643CE2" w:rsidRPr="0044100E" w:rsidRDefault="00643CE2">
            <w:pPr>
              <w:rPr>
                <w:rFonts w:ascii="Arial" w:eastAsia="Times New Roman" w:hAnsi="Arial" w:cs="Arial"/>
                <w:color w:val="000000"/>
                <w:sz w:val="18"/>
                <w:szCs w:val="18"/>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62E17D6" w14:textId="77777777" w:rsidR="00643CE2" w:rsidRPr="0044100E" w:rsidRDefault="00643CE2">
            <w:pPr>
              <w:rPr>
                <w:rFonts w:ascii="Arial" w:eastAsia="Times New Roman" w:hAnsi="Arial" w:cs="Arial"/>
                <w:color w:val="000000"/>
                <w:sz w:val="18"/>
                <w:szCs w:val="18"/>
                <w:lang w:val="es-CO" w:eastAsia="es-CO"/>
              </w:rPr>
            </w:pPr>
          </w:p>
        </w:tc>
        <w:tc>
          <w:tcPr>
            <w:tcW w:w="2320" w:type="dxa"/>
            <w:tcBorders>
              <w:top w:val="nil"/>
              <w:left w:val="nil"/>
              <w:bottom w:val="single" w:sz="4" w:space="0" w:color="auto"/>
              <w:right w:val="single" w:sz="4" w:space="0" w:color="auto"/>
            </w:tcBorders>
            <w:noWrap/>
            <w:vAlign w:val="bottom"/>
            <w:hideMark/>
          </w:tcPr>
          <w:p w14:paraId="51552B62"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PRESTACIÓN DE SERVICIOS</w:t>
            </w:r>
          </w:p>
        </w:tc>
        <w:tc>
          <w:tcPr>
            <w:tcW w:w="0" w:type="auto"/>
            <w:vMerge/>
            <w:tcBorders>
              <w:top w:val="nil"/>
              <w:left w:val="single" w:sz="4" w:space="0" w:color="auto"/>
              <w:bottom w:val="single" w:sz="4" w:space="0" w:color="000000"/>
              <w:right w:val="single" w:sz="8" w:space="0" w:color="auto"/>
            </w:tcBorders>
            <w:vAlign w:val="center"/>
            <w:hideMark/>
          </w:tcPr>
          <w:p w14:paraId="4B6E22BF" w14:textId="77777777" w:rsidR="00643CE2" w:rsidRPr="0044100E" w:rsidRDefault="00643CE2">
            <w:pPr>
              <w:rPr>
                <w:rFonts w:ascii="Arial" w:eastAsia="Times New Roman" w:hAnsi="Arial" w:cs="Arial"/>
                <w:color w:val="000000"/>
                <w:sz w:val="18"/>
                <w:szCs w:val="18"/>
                <w:lang w:val="es-CO" w:eastAsia="es-CO"/>
              </w:rPr>
            </w:pPr>
          </w:p>
        </w:tc>
      </w:tr>
      <w:tr w:rsidR="00643CE2" w:rsidRPr="0044100E" w14:paraId="0EFCBFB2" w14:textId="77777777" w:rsidTr="00643CE2">
        <w:trPr>
          <w:trHeight w:val="300"/>
          <w:jc w:val="center"/>
        </w:trPr>
        <w:tc>
          <w:tcPr>
            <w:tcW w:w="1200" w:type="dxa"/>
            <w:tcBorders>
              <w:top w:val="nil"/>
              <w:left w:val="single" w:sz="8" w:space="0" w:color="auto"/>
              <w:bottom w:val="single" w:sz="4" w:space="0" w:color="auto"/>
              <w:right w:val="single" w:sz="4" w:space="0" w:color="auto"/>
            </w:tcBorders>
            <w:noWrap/>
            <w:vAlign w:val="center"/>
            <w:hideMark/>
          </w:tcPr>
          <w:p w14:paraId="07954AE9" w14:textId="77777777" w:rsidR="00643CE2" w:rsidRPr="0044100E" w:rsidRDefault="00643CE2">
            <w:pPr>
              <w:jc w:val="cente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 </w:t>
            </w:r>
          </w:p>
        </w:tc>
        <w:tc>
          <w:tcPr>
            <w:tcW w:w="2280" w:type="dxa"/>
            <w:tcBorders>
              <w:top w:val="nil"/>
              <w:left w:val="nil"/>
              <w:bottom w:val="single" w:sz="4" w:space="0" w:color="auto"/>
              <w:right w:val="single" w:sz="4" w:space="0" w:color="auto"/>
            </w:tcBorders>
            <w:vAlign w:val="bottom"/>
            <w:hideMark/>
          </w:tcPr>
          <w:p w14:paraId="05677E67"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SUBASTA INVERSA</w:t>
            </w:r>
          </w:p>
        </w:tc>
        <w:tc>
          <w:tcPr>
            <w:tcW w:w="2320" w:type="dxa"/>
            <w:tcBorders>
              <w:top w:val="nil"/>
              <w:left w:val="nil"/>
              <w:bottom w:val="single" w:sz="4" w:space="0" w:color="auto"/>
              <w:right w:val="single" w:sz="4" w:space="0" w:color="auto"/>
            </w:tcBorders>
            <w:noWrap/>
            <w:vAlign w:val="bottom"/>
            <w:hideMark/>
          </w:tcPr>
          <w:p w14:paraId="6E68D9E8" w14:textId="77777777" w:rsidR="00643CE2" w:rsidRPr="0044100E" w:rsidRDefault="00643CE2">
            <w:pPr>
              <w:rPr>
                <w:rFonts w:ascii="Arial" w:eastAsia="Times New Roman" w:hAnsi="Arial" w:cs="Arial"/>
                <w:color w:val="000000"/>
                <w:sz w:val="18"/>
                <w:szCs w:val="18"/>
                <w:lang w:val="es-CO" w:eastAsia="es-CO"/>
              </w:rPr>
            </w:pPr>
            <w:r w:rsidRPr="0044100E">
              <w:rPr>
                <w:rFonts w:ascii="Arial" w:eastAsia="Times New Roman" w:hAnsi="Arial" w:cs="Arial"/>
                <w:color w:val="000000"/>
                <w:sz w:val="18"/>
                <w:szCs w:val="18"/>
                <w:lang w:val="es-CO" w:eastAsia="es-CO"/>
              </w:rPr>
              <w:t>FLUVIAL, TERRESTRE, AEREO</w:t>
            </w:r>
          </w:p>
        </w:tc>
        <w:tc>
          <w:tcPr>
            <w:tcW w:w="1900" w:type="dxa"/>
            <w:tcBorders>
              <w:top w:val="nil"/>
              <w:left w:val="nil"/>
              <w:bottom w:val="single" w:sz="4" w:space="0" w:color="auto"/>
              <w:right w:val="single" w:sz="8" w:space="0" w:color="auto"/>
            </w:tcBorders>
            <w:noWrap/>
            <w:vAlign w:val="center"/>
            <w:hideMark/>
          </w:tcPr>
          <w:p w14:paraId="477C84BA" w14:textId="3C579495" w:rsidR="00643CE2" w:rsidRPr="0044100E" w:rsidRDefault="006F1BA4">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r w:rsidR="00643CE2" w:rsidRPr="0044100E">
              <w:rPr>
                <w:rFonts w:ascii="Arial" w:eastAsia="Times New Roman" w:hAnsi="Arial" w:cs="Arial"/>
                <w:color w:val="000000"/>
                <w:sz w:val="18"/>
                <w:szCs w:val="18"/>
                <w:lang w:val="es-CO" w:eastAsia="es-CO"/>
              </w:rPr>
              <w:t>1.130</w:t>
            </w:r>
          </w:p>
        </w:tc>
      </w:tr>
      <w:tr w:rsidR="00643CE2" w:rsidRPr="0044100E" w14:paraId="06DE1821" w14:textId="77777777" w:rsidTr="00643CE2">
        <w:trPr>
          <w:trHeight w:val="345"/>
          <w:jc w:val="center"/>
        </w:trPr>
        <w:tc>
          <w:tcPr>
            <w:tcW w:w="5800" w:type="dxa"/>
            <w:gridSpan w:val="3"/>
            <w:tcBorders>
              <w:top w:val="single" w:sz="4" w:space="0" w:color="auto"/>
              <w:left w:val="single" w:sz="8" w:space="0" w:color="auto"/>
              <w:bottom w:val="single" w:sz="8" w:space="0" w:color="auto"/>
              <w:right w:val="single" w:sz="4" w:space="0" w:color="000000"/>
            </w:tcBorders>
            <w:shd w:val="clear" w:color="auto" w:fill="2F75B5"/>
            <w:noWrap/>
            <w:vAlign w:val="bottom"/>
            <w:hideMark/>
          </w:tcPr>
          <w:p w14:paraId="1152C744" w14:textId="77777777" w:rsidR="00643CE2" w:rsidRPr="0044100E" w:rsidRDefault="00643CE2">
            <w:pPr>
              <w:jc w:val="center"/>
              <w:rPr>
                <w:rFonts w:ascii="Arial" w:eastAsia="Times New Roman" w:hAnsi="Arial" w:cs="Arial"/>
                <w:b/>
                <w:bCs/>
                <w:color w:val="FFFFFF"/>
                <w:sz w:val="22"/>
                <w:szCs w:val="22"/>
                <w:lang w:val="es-CO" w:eastAsia="es-CO"/>
              </w:rPr>
            </w:pPr>
            <w:r w:rsidRPr="0044100E">
              <w:rPr>
                <w:rFonts w:ascii="Arial" w:eastAsia="Times New Roman" w:hAnsi="Arial" w:cs="Arial"/>
                <w:b/>
                <w:bCs/>
                <w:color w:val="FFFFFF"/>
                <w:sz w:val="22"/>
                <w:szCs w:val="22"/>
                <w:lang w:val="es-CO" w:eastAsia="es-CO"/>
              </w:rPr>
              <w:t>TOTAL</w:t>
            </w:r>
          </w:p>
        </w:tc>
        <w:tc>
          <w:tcPr>
            <w:tcW w:w="1900" w:type="dxa"/>
            <w:tcBorders>
              <w:top w:val="nil"/>
              <w:left w:val="nil"/>
              <w:bottom w:val="single" w:sz="8" w:space="0" w:color="auto"/>
              <w:right w:val="single" w:sz="8" w:space="0" w:color="auto"/>
            </w:tcBorders>
            <w:shd w:val="clear" w:color="auto" w:fill="2F75B5"/>
            <w:noWrap/>
            <w:vAlign w:val="bottom"/>
            <w:hideMark/>
          </w:tcPr>
          <w:p w14:paraId="2FB326A3" w14:textId="23F0E84E" w:rsidR="00643CE2" w:rsidRPr="0044100E" w:rsidRDefault="006F1BA4">
            <w:pPr>
              <w:jc w:val="right"/>
              <w:rPr>
                <w:rFonts w:ascii="Arial" w:eastAsia="Times New Roman" w:hAnsi="Arial" w:cs="Arial"/>
                <w:b/>
                <w:bCs/>
                <w:color w:val="FFFFFF"/>
                <w:sz w:val="22"/>
                <w:szCs w:val="22"/>
                <w:lang w:val="es-CO" w:eastAsia="es-CO"/>
              </w:rPr>
            </w:pPr>
            <w:r>
              <w:rPr>
                <w:rFonts w:ascii="Arial" w:eastAsia="Times New Roman" w:hAnsi="Arial" w:cs="Arial"/>
                <w:b/>
                <w:bCs/>
                <w:color w:val="FFFFFF"/>
                <w:sz w:val="22"/>
                <w:szCs w:val="22"/>
                <w:lang w:val="es-CO" w:eastAsia="es-CO"/>
              </w:rPr>
              <w:t>$</w:t>
            </w:r>
            <w:r w:rsidR="00643CE2" w:rsidRPr="0044100E">
              <w:rPr>
                <w:rFonts w:ascii="Arial" w:eastAsia="Times New Roman" w:hAnsi="Arial" w:cs="Arial"/>
                <w:b/>
                <w:bCs/>
                <w:color w:val="FFFFFF"/>
                <w:sz w:val="22"/>
                <w:szCs w:val="22"/>
                <w:lang w:val="es-CO" w:eastAsia="es-CO"/>
              </w:rPr>
              <w:t>4.335</w:t>
            </w:r>
          </w:p>
        </w:tc>
      </w:tr>
    </w:tbl>
    <w:p w14:paraId="11506675" w14:textId="77777777" w:rsidR="00643CE2" w:rsidRPr="0044100E" w:rsidRDefault="00643CE2" w:rsidP="00643CE2">
      <w:pPr>
        <w:jc w:val="both"/>
        <w:rPr>
          <w:rFonts w:ascii="Arial" w:hAnsi="Arial" w:cs="Arial"/>
          <w:bCs/>
          <w:sz w:val="22"/>
          <w:szCs w:val="22"/>
        </w:rPr>
      </w:pPr>
    </w:p>
    <w:p w14:paraId="54776062" w14:textId="411344CF" w:rsidR="00643CE2" w:rsidRPr="0044100E" w:rsidRDefault="00643CE2" w:rsidP="00643CE2">
      <w:pPr>
        <w:jc w:val="both"/>
        <w:rPr>
          <w:rFonts w:ascii="Arial" w:hAnsi="Arial" w:cs="Arial"/>
          <w:bCs/>
          <w:sz w:val="22"/>
          <w:szCs w:val="22"/>
        </w:rPr>
      </w:pPr>
      <w:r w:rsidRPr="0044100E">
        <w:rPr>
          <w:rFonts w:ascii="Arial" w:hAnsi="Arial" w:cs="Arial"/>
          <w:bCs/>
          <w:sz w:val="22"/>
          <w:szCs w:val="22"/>
        </w:rPr>
        <w:t xml:space="preserve">En relación </w:t>
      </w:r>
      <w:r w:rsidR="00376C75">
        <w:rPr>
          <w:rFonts w:ascii="Arial" w:hAnsi="Arial" w:cs="Arial"/>
          <w:bCs/>
          <w:sz w:val="22"/>
          <w:szCs w:val="22"/>
        </w:rPr>
        <w:t>con</w:t>
      </w:r>
      <w:r w:rsidRPr="0044100E">
        <w:rPr>
          <w:rFonts w:ascii="Arial" w:hAnsi="Arial" w:cs="Arial"/>
          <w:bCs/>
          <w:sz w:val="22"/>
          <w:szCs w:val="22"/>
        </w:rPr>
        <w:t xml:space="preserve"> lo expuesto cabe destacar lo siguiente:</w:t>
      </w:r>
    </w:p>
    <w:p w14:paraId="02B96D31" w14:textId="77777777" w:rsidR="00643CE2" w:rsidRPr="0044100E" w:rsidRDefault="00643CE2" w:rsidP="00643CE2">
      <w:pPr>
        <w:jc w:val="both"/>
        <w:rPr>
          <w:rFonts w:ascii="Arial" w:hAnsi="Arial" w:cs="Arial"/>
          <w:bCs/>
          <w:sz w:val="22"/>
          <w:szCs w:val="22"/>
        </w:rPr>
      </w:pPr>
    </w:p>
    <w:p w14:paraId="1E9E9F42" w14:textId="41FF047F"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 xml:space="preserve">Del total de la contratación efectuada, el 36% representado en un valor de </w:t>
      </w:r>
      <w:r w:rsidR="006F1BA4">
        <w:rPr>
          <w:rFonts w:ascii="Arial" w:hAnsi="Arial" w:cs="Arial"/>
          <w:bCs/>
          <w:sz w:val="22"/>
          <w:szCs w:val="22"/>
        </w:rPr>
        <w:t>$</w:t>
      </w:r>
      <w:r w:rsidRPr="0044100E">
        <w:rPr>
          <w:rFonts w:ascii="Arial" w:hAnsi="Arial" w:cs="Arial"/>
          <w:bCs/>
          <w:sz w:val="22"/>
          <w:szCs w:val="22"/>
        </w:rPr>
        <w:t>1.776 millones se definió para un periodo de ejecución entre 10 y 11 meses, que, si bien representa una evolución en el proceso contractual en términos de oportunidad respecto a lo evidenciado en la vigencia anterior, es posible inferir recurrencia en las falencias de los procesos de planeación contractual e incumplimiento a los principios de responsabilidad y economía de la contratación pública.</w:t>
      </w:r>
    </w:p>
    <w:p w14:paraId="46507222" w14:textId="77777777"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lastRenderedPageBreak/>
        <w:t>Para la contención de la pandemia derivada del COVID 19 se realizaron 9 contratos por un valor final de $335 millones, durante la vigencia, enmarcados principalmente en las Dimensiones del Fortalecimiento de la Autoridad Sanitaria, Convivencia Social y Salud Mental, Vida Saludable y Enfermedades Transmisibles y Dimensión Gestión diferencial de Poblaciones Vulnerables.</w:t>
      </w:r>
    </w:p>
    <w:p w14:paraId="173753F4" w14:textId="77777777" w:rsidR="00643CE2" w:rsidRPr="0044100E" w:rsidRDefault="00643CE2" w:rsidP="00643CE2">
      <w:pPr>
        <w:numPr>
          <w:ilvl w:val="0"/>
          <w:numId w:val="26"/>
        </w:numPr>
        <w:contextualSpacing/>
        <w:jc w:val="both"/>
        <w:rPr>
          <w:rFonts w:ascii="Arial" w:hAnsi="Arial" w:cs="Arial"/>
          <w:b/>
          <w:bCs/>
          <w:sz w:val="22"/>
          <w:szCs w:val="22"/>
        </w:rPr>
      </w:pPr>
      <w:r w:rsidRPr="0044100E">
        <w:rPr>
          <w:rFonts w:ascii="Arial" w:hAnsi="Arial" w:cs="Arial"/>
          <w:bCs/>
          <w:sz w:val="22"/>
          <w:szCs w:val="22"/>
        </w:rPr>
        <w:t xml:space="preserve">De los contratos suscritos se resaltan los siguientes: </w:t>
      </w:r>
    </w:p>
    <w:p w14:paraId="409C63B3" w14:textId="77777777" w:rsidR="00643CE2" w:rsidRPr="0044100E" w:rsidRDefault="00643CE2" w:rsidP="00643CE2">
      <w:pPr>
        <w:jc w:val="both"/>
        <w:rPr>
          <w:rFonts w:ascii="Arial" w:hAnsi="Arial" w:cs="Arial"/>
          <w:b/>
          <w:bCs/>
          <w:sz w:val="22"/>
          <w:szCs w:val="22"/>
        </w:rPr>
      </w:pPr>
    </w:p>
    <w:p w14:paraId="4AA99C60" w14:textId="77777777" w:rsidR="00643CE2" w:rsidRPr="0044100E" w:rsidRDefault="00643CE2" w:rsidP="00643CE2">
      <w:pPr>
        <w:jc w:val="both"/>
        <w:rPr>
          <w:rFonts w:ascii="Arial" w:hAnsi="Arial" w:cs="Arial"/>
          <w:b/>
          <w:bCs/>
          <w:sz w:val="22"/>
          <w:szCs w:val="22"/>
        </w:rPr>
      </w:pPr>
      <w:r w:rsidRPr="0044100E">
        <w:rPr>
          <w:rFonts w:ascii="Arial" w:hAnsi="Arial" w:cs="Arial"/>
          <w:noProof/>
          <w:lang w:val="es-CO" w:eastAsia="es-CO"/>
        </w:rPr>
        <w:drawing>
          <wp:inline distT="0" distB="0" distL="0" distR="0" wp14:anchorId="2087DE9B" wp14:editId="5DE126A4">
            <wp:extent cx="5958707" cy="35242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4941" cy="3527937"/>
                    </a:xfrm>
                    <a:prstGeom prst="rect">
                      <a:avLst/>
                    </a:prstGeom>
                    <a:noFill/>
                    <a:ln>
                      <a:noFill/>
                    </a:ln>
                  </pic:spPr>
                </pic:pic>
              </a:graphicData>
            </a:graphic>
          </wp:inline>
        </w:drawing>
      </w:r>
    </w:p>
    <w:p w14:paraId="67E0DA40" w14:textId="77777777" w:rsidR="00643CE2" w:rsidRPr="0044100E" w:rsidRDefault="00643CE2" w:rsidP="00643CE2">
      <w:pPr>
        <w:jc w:val="both"/>
        <w:rPr>
          <w:rFonts w:ascii="Arial" w:hAnsi="Arial" w:cs="Arial"/>
          <w:b/>
          <w:bCs/>
          <w:sz w:val="22"/>
          <w:szCs w:val="22"/>
        </w:rPr>
      </w:pPr>
    </w:p>
    <w:p w14:paraId="3821BF1D" w14:textId="6EA97D64" w:rsidR="00643CE2" w:rsidRPr="0044100E" w:rsidRDefault="00643CE2" w:rsidP="00643CE2">
      <w:pPr>
        <w:jc w:val="both"/>
        <w:rPr>
          <w:rFonts w:ascii="Arial" w:hAnsi="Arial" w:cs="Arial"/>
          <w:bCs/>
          <w:sz w:val="22"/>
          <w:szCs w:val="22"/>
        </w:rPr>
      </w:pPr>
      <w:r w:rsidRPr="0044100E">
        <w:rPr>
          <w:rFonts w:ascii="Arial" w:hAnsi="Arial" w:cs="Arial"/>
          <w:bCs/>
          <w:sz w:val="22"/>
          <w:szCs w:val="22"/>
        </w:rPr>
        <w:t>En relación con lo anterior se tiene</w:t>
      </w:r>
      <w:r w:rsidR="0012296B" w:rsidRPr="0044100E">
        <w:rPr>
          <w:rFonts w:ascii="Arial" w:hAnsi="Arial" w:cs="Arial"/>
          <w:bCs/>
          <w:sz w:val="22"/>
          <w:szCs w:val="22"/>
        </w:rPr>
        <w:t>n</w:t>
      </w:r>
      <w:r w:rsidRPr="0044100E">
        <w:rPr>
          <w:rFonts w:ascii="Arial" w:hAnsi="Arial" w:cs="Arial"/>
          <w:bCs/>
          <w:sz w:val="22"/>
          <w:szCs w:val="22"/>
        </w:rPr>
        <w:t xml:space="preserve"> las siguientes consideraciones:</w:t>
      </w:r>
    </w:p>
    <w:p w14:paraId="01AD8AAA" w14:textId="77777777" w:rsidR="00643CE2" w:rsidRPr="0044100E" w:rsidRDefault="00643CE2" w:rsidP="00643CE2">
      <w:pPr>
        <w:jc w:val="both"/>
        <w:rPr>
          <w:rFonts w:ascii="Arial" w:hAnsi="Arial" w:cs="Arial"/>
          <w:b/>
          <w:bCs/>
          <w:sz w:val="22"/>
          <w:szCs w:val="22"/>
        </w:rPr>
      </w:pPr>
    </w:p>
    <w:p w14:paraId="79AD480A" w14:textId="77777777"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Conforme lo prevé el parágrafo 2 del artículo 20 la Resolución 518 de 2015, el talento humano que desarrolla funciones de carácter administrativo de coordinación o dirección en el área de salud pública, cualquiera que sea su modalidad de vinculación no debe financiarse con recursos del SGP- Salud Pública, conducta que se materializa mediante la contratación con el Señor Darwin Leonel Builes toda vez que su objeto señala “</w:t>
      </w:r>
      <w:r w:rsidRPr="00376C75">
        <w:rPr>
          <w:rFonts w:ascii="Arial" w:hAnsi="Arial" w:cs="Arial"/>
          <w:bCs/>
          <w:i/>
          <w:iCs/>
          <w:sz w:val="22"/>
          <w:szCs w:val="22"/>
        </w:rPr>
        <w:t xml:space="preserve">PRESTACION DE SERVICIOS PROFESIONALES EN CIENCIAS ECONOMICAS PARA </w:t>
      </w:r>
      <w:r w:rsidRPr="00376C75">
        <w:rPr>
          <w:rFonts w:ascii="Arial" w:hAnsi="Arial" w:cs="Arial"/>
          <w:bCs/>
          <w:i/>
          <w:iCs/>
          <w:sz w:val="22"/>
          <w:szCs w:val="22"/>
          <w:u w:val="single"/>
        </w:rPr>
        <w:t>DESARROLLAR LAS ACTIVIDADES ADMINISTRATIVAS</w:t>
      </w:r>
      <w:r w:rsidRPr="00376C75">
        <w:rPr>
          <w:rFonts w:ascii="Arial" w:hAnsi="Arial" w:cs="Arial"/>
          <w:bCs/>
          <w:i/>
          <w:iCs/>
          <w:sz w:val="22"/>
          <w:szCs w:val="22"/>
        </w:rPr>
        <w:t xml:space="preserve"> RELACIONADAS CON EL FORTALECIMIENTO DE LA AUTORIDAD SANITARIA DE LA SECRETARÍA DE SALUD DEPARTAMENTAL EN LA VIGENCIA 2021</w:t>
      </w:r>
      <w:r w:rsidRPr="0044100E">
        <w:rPr>
          <w:rFonts w:ascii="Arial" w:hAnsi="Arial" w:cs="Arial"/>
          <w:bCs/>
          <w:sz w:val="22"/>
          <w:szCs w:val="22"/>
        </w:rPr>
        <w:t>”, así como también la relación contractual efectuada con el Señor James Richard Díaz Bolaños cuyo objeto señala “</w:t>
      </w:r>
      <w:r w:rsidRPr="00412E6B">
        <w:rPr>
          <w:rFonts w:ascii="Arial" w:hAnsi="Arial" w:cs="Arial"/>
          <w:bCs/>
          <w:i/>
          <w:iCs/>
          <w:sz w:val="22"/>
          <w:szCs w:val="22"/>
        </w:rPr>
        <w:t xml:space="preserve">PRESTACION DE SERVICIOS PROFESIONALES PARA APOYAR LA COORDINACION TECNICA Y OPERATIVA DEL COMITE DEPARTAMENTAL DE SEGRUIDAD </w:t>
      </w:r>
      <w:r w:rsidRPr="00412E6B">
        <w:rPr>
          <w:rFonts w:ascii="Arial" w:hAnsi="Arial" w:cs="Arial"/>
          <w:bCs/>
          <w:i/>
          <w:iCs/>
          <w:sz w:val="22"/>
          <w:szCs w:val="22"/>
        </w:rPr>
        <w:lastRenderedPageBreak/>
        <w:t>ALIMENTARIA Y NUTRICIONAL Y LA FORMULACION DEL PLAN DEPARTAMENTAL DE SEGRUIDAD ALIMENTARIA Y NUTRICIONAL DEL DEPARTAMENTO DLE VAUPES VIGENCIA 2021</w:t>
      </w:r>
      <w:r w:rsidRPr="0044100E">
        <w:rPr>
          <w:rFonts w:ascii="Arial" w:hAnsi="Arial" w:cs="Arial"/>
          <w:bCs/>
          <w:sz w:val="22"/>
          <w:szCs w:val="22"/>
        </w:rPr>
        <w:t>”</w:t>
      </w:r>
    </w:p>
    <w:p w14:paraId="07B18EE4" w14:textId="7398E3A2"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 xml:space="preserve">De igual forma la citada Resolución prevé que son objeto de financiación con recursos de la subcuenta de Salud Pública Colectiva las acciones de Gestión de la Salud Pública -GSP relacionadas con las competencias de salud pública asignadas en la Ley 715 de 2001 a las entidades territoriales, o en la norma que la modifique, adicione o sustituya. Incluye, los procesos de Gestión de la Salud Pública definidos en la presente </w:t>
      </w:r>
      <w:r w:rsidR="00412E6B">
        <w:rPr>
          <w:rFonts w:ascii="Arial" w:hAnsi="Arial" w:cs="Arial"/>
          <w:bCs/>
          <w:sz w:val="22"/>
          <w:szCs w:val="22"/>
        </w:rPr>
        <w:t>R</w:t>
      </w:r>
      <w:r w:rsidRPr="0044100E">
        <w:rPr>
          <w:rFonts w:ascii="Arial" w:hAnsi="Arial" w:cs="Arial"/>
          <w:bCs/>
          <w:sz w:val="22"/>
          <w:szCs w:val="22"/>
        </w:rPr>
        <w:t xml:space="preserve">esolución, con excepción de los procesos de gestión de la prestación de servicios individuales, gestión del aseguramiento, gestión del talento humano, y el proceso de gestión administrativa y financiera. Este último entendido como aquel proceso que se implementa para ejecutar de manera óptima los recursos y las acciones necesarias para el direccionamiento, coordinación, ejecución, monitoreo y evaluación de los bienes, servicios, atenciones y/o intervenciones contempladas en los planes de cada entidad. En ese sentido y teniendo en cuenta los estudios previos verificados en el SECOP de las contrataciones efectuadas con las Señoras Leydy Anyuley Ospina Neira; Julieth Marina Rojas Pardo y los señores Oswaldo Ignacio Tellez Correa y Carlos Andres Guzmán Moreno para realizar apoyo jurídico a la Secretara de Salud Departamental estarían dadas en el marco del proceso de gestión administrativa y financiera, demostrando una contravención a lo previsto en la normatividad anteriormente citada. </w:t>
      </w:r>
    </w:p>
    <w:p w14:paraId="41C3708F" w14:textId="00575E0F" w:rsidR="00643CE2" w:rsidRPr="0044100E" w:rsidRDefault="00643CE2" w:rsidP="00643CE2">
      <w:pPr>
        <w:numPr>
          <w:ilvl w:val="0"/>
          <w:numId w:val="26"/>
        </w:numPr>
        <w:contextualSpacing/>
        <w:jc w:val="both"/>
        <w:rPr>
          <w:rFonts w:ascii="Arial" w:hAnsi="Arial" w:cs="Arial"/>
          <w:bCs/>
          <w:sz w:val="22"/>
          <w:szCs w:val="22"/>
        </w:rPr>
      </w:pPr>
      <w:r w:rsidRPr="0044100E">
        <w:rPr>
          <w:rFonts w:ascii="Arial" w:hAnsi="Arial" w:cs="Arial"/>
          <w:bCs/>
          <w:sz w:val="22"/>
          <w:szCs w:val="22"/>
        </w:rPr>
        <w:t>Adicionalmente, se evidencia contratación para gastos asociados a gastos de funcionamiento con recursos del SGP, como es el caso de la contratación efectuada con la empresa ESTACION DE SERVICIOS LA MALOCA MITÚ S EN C para el suministro de combustible,</w:t>
      </w:r>
      <w:r w:rsidRPr="0044100E">
        <w:rPr>
          <w:rFonts w:ascii="Arial" w:hAnsi="Arial" w:cs="Arial"/>
        </w:rPr>
        <w:t xml:space="preserve"> </w:t>
      </w:r>
      <w:r w:rsidRPr="0044100E">
        <w:rPr>
          <w:rFonts w:ascii="Arial" w:hAnsi="Arial" w:cs="Arial"/>
          <w:bCs/>
          <w:sz w:val="22"/>
          <w:szCs w:val="22"/>
        </w:rPr>
        <w:t xml:space="preserve">lubricantes, bujías filtros y timbos para el funcionamiento de los equipos de las áreas PAI, ETV, salud ambiental de la </w:t>
      </w:r>
      <w:r w:rsidR="00412E6B">
        <w:rPr>
          <w:rFonts w:ascii="Arial" w:hAnsi="Arial" w:cs="Arial"/>
          <w:bCs/>
          <w:sz w:val="22"/>
          <w:szCs w:val="22"/>
        </w:rPr>
        <w:t>S</w:t>
      </w:r>
      <w:r w:rsidRPr="0044100E">
        <w:rPr>
          <w:rFonts w:ascii="Arial" w:hAnsi="Arial" w:cs="Arial"/>
          <w:bCs/>
          <w:sz w:val="22"/>
          <w:szCs w:val="22"/>
        </w:rPr>
        <w:t xml:space="preserve">ecretaria de </w:t>
      </w:r>
      <w:r w:rsidR="00412E6B">
        <w:rPr>
          <w:rFonts w:ascii="Arial" w:hAnsi="Arial" w:cs="Arial"/>
          <w:bCs/>
          <w:sz w:val="22"/>
          <w:szCs w:val="22"/>
        </w:rPr>
        <w:t>S</w:t>
      </w:r>
      <w:r w:rsidRPr="0044100E">
        <w:rPr>
          <w:rFonts w:ascii="Arial" w:hAnsi="Arial" w:cs="Arial"/>
          <w:bCs/>
          <w:sz w:val="22"/>
          <w:szCs w:val="22"/>
        </w:rPr>
        <w:t xml:space="preserve">alud del </w:t>
      </w:r>
      <w:r w:rsidR="00412E6B">
        <w:rPr>
          <w:rFonts w:ascii="Arial" w:hAnsi="Arial" w:cs="Arial"/>
          <w:bCs/>
          <w:sz w:val="22"/>
          <w:szCs w:val="22"/>
        </w:rPr>
        <w:t>D</w:t>
      </w:r>
      <w:r w:rsidRPr="0044100E">
        <w:rPr>
          <w:rFonts w:ascii="Arial" w:hAnsi="Arial" w:cs="Arial"/>
          <w:bCs/>
          <w:sz w:val="22"/>
          <w:szCs w:val="22"/>
        </w:rPr>
        <w:t>epartamento, conducta contraria a las disposiciones legales vigentes.</w:t>
      </w:r>
    </w:p>
    <w:p w14:paraId="01C1EC7A" w14:textId="77777777" w:rsidR="00643CE2" w:rsidRPr="0044100E" w:rsidRDefault="00643CE2" w:rsidP="00643CE2">
      <w:pPr>
        <w:jc w:val="both"/>
        <w:rPr>
          <w:rFonts w:ascii="Arial" w:hAnsi="Arial" w:cs="Arial"/>
          <w:b/>
          <w:bCs/>
          <w:sz w:val="22"/>
          <w:szCs w:val="22"/>
        </w:rPr>
      </w:pPr>
    </w:p>
    <w:p w14:paraId="0799C596" w14:textId="77777777" w:rsidR="00643CE2" w:rsidRPr="0044100E" w:rsidRDefault="00643CE2" w:rsidP="00643CE2">
      <w:pPr>
        <w:jc w:val="both"/>
        <w:rPr>
          <w:rFonts w:ascii="Arial" w:hAnsi="Arial" w:cs="Arial"/>
          <w:b/>
          <w:bCs/>
          <w:sz w:val="22"/>
          <w:szCs w:val="22"/>
        </w:rPr>
      </w:pPr>
      <w:r w:rsidRPr="0044100E">
        <w:rPr>
          <w:rFonts w:ascii="Arial" w:hAnsi="Arial" w:cs="Arial"/>
          <w:b/>
          <w:bCs/>
          <w:sz w:val="22"/>
          <w:szCs w:val="22"/>
        </w:rPr>
        <w:t>4.4 Red de laboratorios y Laboratorios en salud pública:</w:t>
      </w:r>
    </w:p>
    <w:p w14:paraId="313DC6FD" w14:textId="77777777" w:rsidR="00643CE2" w:rsidRPr="0044100E" w:rsidRDefault="00643CE2" w:rsidP="00643CE2">
      <w:pPr>
        <w:jc w:val="both"/>
        <w:rPr>
          <w:rFonts w:ascii="Arial" w:hAnsi="Arial" w:cs="Arial"/>
          <w:b/>
          <w:bCs/>
          <w:sz w:val="22"/>
          <w:szCs w:val="22"/>
        </w:rPr>
      </w:pPr>
    </w:p>
    <w:p w14:paraId="2A07AAEC" w14:textId="430CD236"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La </w:t>
      </w:r>
      <w:r w:rsidR="00412E6B">
        <w:rPr>
          <w:rFonts w:ascii="Arial" w:hAnsi="Arial" w:cs="Arial"/>
          <w:sz w:val="22"/>
          <w:szCs w:val="22"/>
        </w:rPr>
        <w:t>E</w:t>
      </w:r>
      <w:r w:rsidRPr="0044100E">
        <w:rPr>
          <w:rFonts w:ascii="Arial" w:hAnsi="Arial" w:cs="Arial"/>
          <w:sz w:val="22"/>
          <w:szCs w:val="22"/>
        </w:rPr>
        <w:t>ntidad Territorial no aporta el Acto administrativo y las Actas de reunión correspondientes que permitan verificar el cumplimiento a lo dispuesto en los artículos 13 y 14 del Decreto 2323 de 2006 en relación a la creación del comité técnico Departamental y las funciones que deben desarrollar los mismos frente a la red nacional de laboratorios.</w:t>
      </w:r>
    </w:p>
    <w:p w14:paraId="0334F438" w14:textId="77777777" w:rsidR="00643CE2" w:rsidRPr="0044100E" w:rsidRDefault="00643CE2" w:rsidP="00643CE2">
      <w:pPr>
        <w:jc w:val="both"/>
        <w:rPr>
          <w:rFonts w:ascii="Arial" w:hAnsi="Arial" w:cs="Arial"/>
          <w:sz w:val="22"/>
          <w:szCs w:val="22"/>
        </w:rPr>
      </w:pPr>
    </w:p>
    <w:p w14:paraId="2189C753" w14:textId="44888F8C"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Por otro lado, de acuerdo </w:t>
      </w:r>
      <w:r w:rsidR="00DB5713">
        <w:rPr>
          <w:rFonts w:ascii="Arial" w:hAnsi="Arial" w:cs="Arial"/>
          <w:sz w:val="22"/>
          <w:szCs w:val="22"/>
        </w:rPr>
        <w:t>con e</w:t>
      </w:r>
      <w:r w:rsidRPr="0044100E">
        <w:rPr>
          <w:rFonts w:ascii="Arial" w:hAnsi="Arial" w:cs="Arial"/>
          <w:sz w:val="22"/>
          <w:szCs w:val="22"/>
        </w:rPr>
        <w:t>l Informe de laboratorios de Salud Pública correspondiente a la vigencia 2020 expedido por el Ministerio de Salud y Protección se evidencia que el laboratorio de salud pública Departamental no cumple con los estándares de calidad establecidos por el INS y el INVIMA en materia de vigilancia de la salud pública y vigilancia sanitaria, resultados que serán analizados y validados en el marco del reconocimiento institucional que adelantará esta Dirección.</w:t>
      </w:r>
    </w:p>
    <w:p w14:paraId="3DB0751D" w14:textId="77777777" w:rsidR="00643CE2" w:rsidRPr="0044100E" w:rsidRDefault="00643CE2" w:rsidP="00643CE2">
      <w:pPr>
        <w:jc w:val="both"/>
        <w:rPr>
          <w:rFonts w:ascii="Arial" w:hAnsi="Arial" w:cs="Arial"/>
          <w:sz w:val="22"/>
          <w:szCs w:val="22"/>
        </w:rPr>
      </w:pPr>
    </w:p>
    <w:p w14:paraId="3EB79BC8" w14:textId="47D17198" w:rsidR="00AA720A" w:rsidRPr="0044100E" w:rsidRDefault="00643CE2" w:rsidP="00643CE2">
      <w:pPr>
        <w:jc w:val="both"/>
        <w:rPr>
          <w:rFonts w:ascii="Arial" w:hAnsi="Arial" w:cs="Arial"/>
          <w:i/>
          <w:sz w:val="22"/>
          <w:szCs w:val="22"/>
        </w:rPr>
      </w:pPr>
      <w:r w:rsidRPr="0044100E">
        <w:rPr>
          <w:rFonts w:ascii="Arial" w:hAnsi="Arial" w:cs="Arial"/>
          <w:sz w:val="22"/>
          <w:szCs w:val="22"/>
        </w:rPr>
        <w:t xml:space="preserve">En ese contexto y conforme lo establece el artículo 12 del citado Decreto, </w:t>
      </w:r>
      <w:r w:rsidR="00DB5713">
        <w:rPr>
          <w:rFonts w:ascii="Arial" w:hAnsi="Arial" w:cs="Arial"/>
          <w:sz w:val="22"/>
          <w:szCs w:val="22"/>
        </w:rPr>
        <w:t>respecto de</w:t>
      </w:r>
      <w:r w:rsidRPr="0044100E">
        <w:rPr>
          <w:rFonts w:ascii="Arial" w:hAnsi="Arial" w:cs="Arial"/>
          <w:sz w:val="22"/>
          <w:szCs w:val="22"/>
        </w:rPr>
        <w:t xml:space="preserve"> la autorización de los estándares de calidad para la contratación con terceros el Departamento </w:t>
      </w:r>
      <w:r w:rsidRPr="0044100E">
        <w:rPr>
          <w:rFonts w:ascii="Arial" w:hAnsi="Arial" w:cs="Arial"/>
          <w:sz w:val="22"/>
          <w:szCs w:val="22"/>
        </w:rPr>
        <w:lastRenderedPageBreak/>
        <w:t>manifiesta que</w:t>
      </w:r>
      <w:r w:rsidRPr="0044100E">
        <w:rPr>
          <w:rFonts w:ascii="Arial" w:hAnsi="Arial" w:cs="Arial"/>
          <w:i/>
          <w:sz w:val="22"/>
          <w:szCs w:val="22"/>
        </w:rPr>
        <w:t>, “Durante la vigencia 2020 debido a la emergencia sanitaria los diagnósticos fueron apoyados por el INS.Y para la vigencia 2021 los eventos que se han presentado en el departamento se han dado en el marco de los protocolos de vigilancia en el cual los diagnósticos de complejidad alta han sido realizados por el INS, además, es importante aclarar que en el departamento no hay oferta de Laboratorios con los cuales se puedan contratar productos y servicios en la realización de exámenes de interés en salud pública”.</w:t>
      </w:r>
    </w:p>
    <w:p w14:paraId="19A988CB" w14:textId="6FEE037D" w:rsidR="00643CE2" w:rsidRPr="0044100E" w:rsidRDefault="00643CE2" w:rsidP="00643CE2">
      <w:pPr>
        <w:jc w:val="both"/>
        <w:rPr>
          <w:rFonts w:ascii="Arial" w:hAnsi="Arial" w:cs="Arial"/>
          <w:sz w:val="22"/>
          <w:szCs w:val="22"/>
        </w:rPr>
      </w:pPr>
    </w:p>
    <w:p w14:paraId="17F1941D" w14:textId="77777777" w:rsidR="00643CE2" w:rsidRPr="0044100E" w:rsidRDefault="00643CE2" w:rsidP="00643CE2">
      <w:pPr>
        <w:pStyle w:val="Prrafodelista"/>
        <w:numPr>
          <w:ilvl w:val="0"/>
          <w:numId w:val="22"/>
        </w:numPr>
        <w:jc w:val="both"/>
        <w:rPr>
          <w:rFonts w:ascii="Arial" w:hAnsi="Arial" w:cs="Arial"/>
          <w:b/>
          <w:sz w:val="22"/>
          <w:szCs w:val="22"/>
        </w:rPr>
      </w:pPr>
      <w:r w:rsidRPr="0044100E">
        <w:rPr>
          <w:rFonts w:ascii="Arial" w:hAnsi="Arial" w:cs="Arial"/>
          <w:b/>
          <w:sz w:val="22"/>
          <w:szCs w:val="22"/>
        </w:rPr>
        <w:t xml:space="preserve">Análisis Jurídico </w:t>
      </w:r>
    </w:p>
    <w:p w14:paraId="66A3D143" w14:textId="76FBECCC" w:rsidR="00A11BF2" w:rsidRDefault="00A11BF2" w:rsidP="00A11BF2">
      <w:pPr>
        <w:jc w:val="both"/>
        <w:rPr>
          <w:rFonts w:ascii="Arial" w:eastAsiaTheme="minorHAnsi" w:hAnsi="Arial" w:cs="Arial"/>
          <w:sz w:val="22"/>
          <w:szCs w:val="22"/>
          <w:u w:val="single"/>
          <w:lang w:val="es-CO" w:eastAsia="en-US"/>
        </w:rPr>
      </w:pPr>
    </w:p>
    <w:p w14:paraId="03B3E62E" w14:textId="77777777" w:rsidR="00A11BF2" w:rsidRPr="00A11BF2" w:rsidRDefault="00A11BF2" w:rsidP="00A11BF2">
      <w:pPr>
        <w:jc w:val="both"/>
        <w:rPr>
          <w:rFonts w:ascii="Arial" w:eastAsiaTheme="minorHAnsi" w:hAnsi="Arial" w:cs="Arial"/>
          <w:sz w:val="22"/>
          <w:szCs w:val="22"/>
          <w:u w:val="single"/>
          <w:lang w:val="es-CO" w:eastAsia="en-US"/>
        </w:rPr>
      </w:pPr>
      <w:r w:rsidRPr="00A11BF2">
        <w:rPr>
          <w:rFonts w:ascii="Arial" w:eastAsiaTheme="minorHAnsi" w:hAnsi="Arial" w:cs="Arial"/>
          <w:sz w:val="22"/>
          <w:szCs w:val="22"/>
          <w:u w:val="single"/>
          <w:lang w:val="es-CO" w:eastAsia="en-US"/>
        </w:rPr>
        <w:t>Procesos Jurídicos</w:t>
      </w:r>
    </w:p>
    <w:p w14:paraId="27921734" w14:textId="77777777" w:rsidR="00A11BF2" w:rsidRPr="00A11BF2" w:rsidRDefault="00A11BF2" w:rsidP="00A11BF2">
      <w:pPr>
        <w:pStyle w:val="Prrafodelista"/>
        <w:ind w:left="357"/>
        <w:jc w:val="both"/>
        <w:rPr>
          <w:rFonts w:ascii="Arial" w:hAnsi="Arial" w:cs="Arial"/>
          <w:b/>
          <w:sz w:val="22"/>
          <w:szCs w:val="22"/>
        </w:rPr>
      </w:pPr>
    </w:p>
    <w:p w14:paraId="2A90EAFA" w14:textId="77777777" w:rsidR="00A11BF2" w:rsidRPr="00A11BF2" w:rsidRDefault="00A11BF2" w:rsidP="00A11BF2">
      <w:pPr>
        <w:pStyle w:val="Prrafodelista"/>
        <w:ind w:left="357"/>
        <w:jc w:val="both"/>
        <w:rPr>
          <w:rFonts w:ascii="Arial" w:hAnsi="Arial" w:cs="Arial"/>
          <w:sz w:val="22"/>
          <w:szCs w:val="22"/>
        </w:rPr>
      </w:pPr>
      <w:r w:rsidRPr="00A11BF2">
        <w:rPr>
          <w:rFonts w:ascii="Arial" w:hAnsi="Arial" w:cs="Arial"/>
          <w:sz w:val="22"/>
          <w:szCs w:val="22"/>
        </w:rPr>
        <w:t>El Departamento de Vaupés, hizo entrega del informe de procesos judiciales que cursan actualmente en contra del Departamento, en el cual se identificaron un total de 14, cuyas pretensiones se establecieron en $4.241 millones, cuyo detalle se relaciona a continuación:</w:t>
      </w:r>
    </w:p>
    <w:p w14:paraId="1BC94A0A" w14:textId="185BC9CA" w:rsidR="00A11BF2" w:rsidRDefault="00A11BF2" w:rsidP="00A11BF2">
      <w:pPr>
        <w:jc w:val="both"/>
        <w:rPr>
          <w:rFonts w:ascii="Arial" w:eastAsiaTheme="minorHAnsi" w:hAnsi="Arial" w:cs="Arial"/>
          <w:sz w:val="22"/>
          <w:szCs w:val="22"/>
          <w:u w:val="single"/>
          <w:lang w:val="es-CO" w:eastAsia="en-US"/>
        </w:rPr>
      </w:pPr>
      <w:r w:rsidRPr="0044100E">
        <w:rPr>
          <w:rFonts w:ascii="Arial" w:hAnsi="Arial" w:cs="Arial"/>
          <w:noProof/>
          <w:lang w:val="es-CO" w:eastAsia="es-CO"/>
        </w:rPr>
        <w:drawing>
          <wp:anchor distT="0" distB="0" distL="114300" distR="114300" simplePos="0" relativeHeight="251662336" behindDoc="0" locked="0" layoutInCell="1" allowOverlap="1" wp14:anchorId="6AF85722" wp14:editId="78B6E2C1">
            <wp:simplePos x="0" y="0"/>
            <wp:positionH relativeFrom="margin">
              <wp:align>center</wp:align>
            </wp:positionH>
            <wp:positionV relativeFrom="page">
              <wp:posOffset>3991693</wp:posOffset>
            </wp:positionV>
            <wp:extent cx="5791200" cy="10731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1073150"/>
                    </a:xfrm>
                    <a:prstGeom prst="rect">
                      <a:avLst/>
                    </a:prstGeom>
                    <a:noFill/>
                  </pic:spPr>
                </pic:pic>
              </a:graphicData>
            </a:graphic>
          </wp:anchor>
        </w:drawing>
      </w:r>
    </w:p>
    <w:p w14:paraId="29CBD123" w14:textId="44D91153" w:rsidR="00643CE2" w:rsidRPr="0044100E" w:rsidRDefault="00643CE2" w:rsidP="00643CE2">
      <w:pPr>
        <w:jc w:val="both"/>
        <w:rPr>
          <w:rFonts w:ascii="Arial" w:eastAsia="Calibri" w:hAnsi="Arial" w:cs="Arial"/>
          <w:sz w:val="22"/>
          <w:szCs w:val="22"/>
          <w:lang w:val="es-CO" w:eastAsia="en-US"/>
        </w:rPr>
      </w:pPr>
    </w:p>
    <w:p w14:paraId="3AB67E13" w14:textId="73B4C945" w:rsidR="00DB5713" w:rsidRDefault="00DB5713" w:rsidP="00643CE2">
      <w:pPr>
        <w:jc w:val="both"/>
        <w:rPr>
          <w:rFonts w:ascii="Arial" w:hAnsi="Arial" w:cs="Arial"/>
          <w:sz w:val="22"/>
          <w:szCs w:val="22"/>
        </w:rPr>
      </w:pPr>
    </w:p>
    <w:p w14:paraId="1C502726" w14:textId="54C9AE5B" w:rsidR="00A11BF2" w:rsidRDefault="00A11BF2" w:rsidP="00643CE2">
      <w:pPr>
        <w:jc w:val="both"/>
        <w:rPr>
          <w:rFonts w:ascii="Arial" w:hAnsi="Arial" w:cs="Arial"/>
          <w:noProof/>
          <w:lang w:val="es-CO" w:eastAsia="es-CO"/>
        </w:rPr>
      </w:pPr>
    </w:p>
    <w:p w14:paraId="5B0527B0" w14:textId="02E14D36" w:rsidR="00DB5713" w:rsidRPr="0044100E" w:rsidRDefault="00DB5713" w:rsidP="00643CE2">
      <w:pPr>
        <w:jc w:val="both"/>
        <w:rPr>
          <w:rFonts w:ascii="Arial" w:hAnsi="Arial" w:cs="Arial"/>
          <w:sz w:val="22"/>
          <w:szCs w:val="22"/>
        </w:rPr>
      </w:pPr>
    </w:p>
    <w:p w14:paraId="1ED5A762" w14:textId="6BB1155A" w:rsidR="00643CE2" w:rsidRPr="0044100E" w:rsidRDefault="00DB5713" w:rsidP="00DB5713">
      <w:pPr>
        <w:jc w:val="both"/>
        <w:rPr>
          <w:rFonts w:ascii="Arial" w:eastAsiaTheme="minorHAnsi" w:hAnsi="Arial" w:cs="Arial"/>
          <w:i/>
          <w:sz w:val="18"/>
          <w:szCs w:val="18"/>
          <w:lang w:val="es-CO" w:eastAsia="en-US"/>
        </w:rPr>
      </w:pPr>
      <w:r w:rsidRPr="0044100E">
        <w:rPr>
          <w:rFonts w:ascii="Arial" w:hAnsi="Arial" w:cs="Arial"/>
          <w:noProof/>
          <w:lang w:val="es-CO" w:eastAsia="es-CO"/>
        </w:rPr>
        <w:lastRenderedPageBreak/>
        <w:drawing>
          <wp:anchor distT="0" distB="0" distL="114300" distR="114300" simplePos="0" relativeHeight="251660288" behindDoc="0" locked="0" layoutInCell="1" allowOverlap="1" wp14:anchorId="7F651809" wp14:editId="57EED03B">
            <wp:simplePos x="1280160" y="1581785"/>
            <wp:positionH relativeFrom="margin">
              <wp:align>left</wp:align>
            </wp:positionH>
            <wp:positionV relativeFrom="margin">
              <wp:align>top</wp:align>
            </wp:positionV>
            <wp:extent cx="5800090" cy="58578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090" cy="5857875"/>
                    </a:xfrm>
                    <a:prstGeom prst="rect">
                      <a:avLst/>
                    </a:prstGeom>
                    <a:noFill/>
                  </pic:spPr>
                </pic:pic>
              </a:graphicData>
            </a:graphic>
            <wp14:sizeRelV relativeFrom="margin">
              <wp14:pctHeight>0</wp14:pctHeight>
            </wp14:sizeRelV>
          </wp:anchor>
        </w:drawing>
      </w:r>
      <w:r w:rsidR="00643CE2" w:rsidRPr="0044100E">
        <w:rPr>
          <w:rFonts w:ascii="Arial" w:eastAsia="ヒラギノ角ゴ Pro W3" w:hAnsi="Arial" w:cs="Arial"/>
          <w:i/>
          <w:sz w:val="18"/>
          <w:szCs w:val="18"/>
          <w:lang w:val="es-CO"/>
        </w:rPr>
        <w:t>Fuente: Departamento del Vaupés, Elaborado por la DAF.</w:t>
      </w:r>
    </w:p>
    <w:p w14:paraId="05830AEF" w14:textId="77777777" w:rsidR="00643CE2" w:rsidRPr="0044100E" w:rsidRDefault="00643CE2" w:rsidP="00643CE2">
      <w:pPr>
        <w:jc w:val="both"/>
        <w:rPr>
          <w:rFonts w:ascii="Arial" w:eastAsiaTheme="minorHAnsi" w:hAnsi="Arial" w:cs="Arial"/>
          <w:i/>
          <w:sz w:val="22"/>
          <w:szCs w:val="22"/>
          <w:lang w:val="es-CO" w:eastAsia="en-US"/>
        </w:rPr>
      </w:pPr>
    </w:p>
    <w:p w14:paraId="0F472C5F" w14:textId="4BD2FE55" w:rsidR="00643CE2" w:rsidRPr="0044100E" w:rsidRDefault="00643CE2" w:rsidP="00643CE2">
      <w:pPr>
        <w:jc w:val="both"/>
        <w:rPr>
          <w:rFonts w:ascii="Arial" w:eastAsiaTheme="minorHAnsi" w:hAnsi="Arial" w:cs="Arial"/>
          <w:sz w:val="22"/>
          <w:szCs w:val="22"/>
          <w:lang w:val="es-CO" w:eastAsia="en-US"/>
        </w:rPr>
      </w:pPr>
      <w:r w:rsidRPr="000154A3">
        <w:rPr>
          <w:rFonts w:ascii="Arial" w:eastAsiaTheme="minorHAnsi" w:hAnsi="Arial" w:cs="Arial"/>
          <w:sz w:val="22"/>
          <w:szCs w:val="22"/>
          <w:lang w:val="es-CO" w:eastAsia="en-US"/>
        </w:rPr>
        <w:t xml:space="preserve">De acuerdo </w:t>
      </w:r>
      <w:r w:rsidR="00195178" w:rsidRPr="000154A3">
        <w:rPr>
          <w:rFonts w:ascii="Arial" w:eastAsiaTheme="minorHAnsi" w:hAnsi="Arial" w:cs="Arial"/>
          <w:sz w:val="22"/>
          <w:szCs w:val="22"/>
          <w:lang w:val="es-CO" w:eastAsia="en-US"/>
        </w:rPr>
        <w:t>con</w:t>
      </w:r>
      <w:r w:rsidRPr="000154A3">
        <w:rPr>
          <w:rFonts w:ascii="Arial" w:eastAsiaTheme="minorHAnsi" w:hAnsi="Arial" w:cs="Arial"/>
          <w:sz w:val="22"/>
          <w:szCs w:val="22"/>
          <w:lang w:val="es-CO" w:eastAsia="en-US"/>
        </w:rPr>
        <w:t xml:space="preserve"> lo expuesto, toda vez que la totalidad de los procesos corresponden a Reparación Directa, </w:t>
      </w:r>
      <w:r w:rsidR="000154A3">
        <w:rPr>
          <w:rFonts w:ascii="Arial" w:eastAsiaTheme="minorHAnsi" w:hAnsi="Arial" w:cs="Arial"/>
          <w:sz w:val="22"/>
          <w:szCs w:val="22"/>
          <w:lang w:val="es-CO" w:eastAsia="en-US"/>
        </w:rPr>
        <w:t xml:space="preserve">y que las </w:t>
      </w:r>
      <w:r w:rsidR="00D507C3">
        <w:rPr>
          <w:rFonts w:ascii="Arial" w:eastAsiaTheme="minorHAnsi" w:hAnsi="Arial" w:cs="Arial"/>
          <w:sz w:val="22"/>
          <w:szCs w:val="22"/>
          <w:lang w:val="es-CO" w:eastAsia="en-US"/>
        </w:rPr>
        <w:t>pretens</w:t>
      </w:r>
      <w:r w:rsidR="000154A3">
        <w:rPr>
          <w:rFonts w:ascii="Arial" w:eastAsiaTheme="minorHAnsi" w:hAnsi="Arial" w:cs="Arial"/>
          <w:sz w:val="22"/>
          <w:szCs w:val="22"/>
          <w:lang w:val="es-CO" w:eastAsia="en-US"/>
        </w:rPr>
        <w:t>iones se enmarca</w:t>
      </w:r>
      <w:r w:rsidR="00D507C3">
        <w:rPr>
          <w:rFonts w:ascii="Arial" w:eastAsiaTheme="minorHAnsi" w:hAnsi="Arial" w:cs="Arial"/>
          <w:sz w:val="22"/>
          <w:szCs w:val="22"/>
          <w:lang w:val="es-CO" w:eastAsia="en-US"/>
        </w:rPr>
        <w:t xml:space="preserve">n en que se declare administrativamente responsable a la Entidad de los perjuicios causados por falla médica o falla del servicio, constatando que las demandas instauradas </w:t>
      </w:r>
      <w:r w:rsidR="00455912">
        <w:rPr>
          <w:rFonts w:ascii="Arial" w:eastAsiaTheme="minorHAnsi" w:hAnsi="Arial" w:cs="Arial"/>
          <w:sz w:val="22"/>
          <w:szCs w:val="22"/>
          <w:lang w:val="es-CO" w:eastAsia="en-US"/>
        </w:rPr>
        <w:t xml:space="preserve">van </w:t>
      </w:r>
      <w:r w:rsidR="00D507C3">
        <w:rPr>
          <w:rFonts w:ascii="Arial" w:eastAsiaTheme="minorHAnsi" w:hAnsi="Arial" w:cs="Arial"/>
          <w:sz w:val="22"/>
          <w:szCs w:val="22"/>
          <w:lang w:val="es-CO" w:eastAsia="en-US"/>
        </w:rPr>
        <w:t xml:space="preserve">en contra de </w:t>
      </w:r>
      <w:r w:rsidR="009D164F">
        <w:rPr>
          <w:rFonts w:ascii="Arial" w:eastAsiaTheme="minorHAnsi" w:hAnsi="Arial" w:cs="Arial"/>
          <w:sz w:val="22"/>
          <w:szCs w:val="22"/>
          <w:lang w:val="es-CO" w:eastAsia="en-US"/>
        </w:rPr>
        <w:t>la Corporación Latinoamericana para la educación y la cultura Universos, la Nación, la Aeronáutica Civil y otros prestadores</w:t>
      </w:r>
      <w:r w:rsidR="00D507C3">
        <w:rPr>
          <w:rFonts w:ascii="Arial" w:eastAsiaTheme="minorHAnsi" w:hAnsi="Arial" w:cs="Arial"/>
          <w:sz w:val="22"/>
          <w:szCs w:val="22"/>
          <w:lang w:val="es-CO" w:eastAsia="en-US"/>
        </w:rPr>
        <w:t xml:space="preserve">, </w:t>
      </w:r>
      <w:r w:rsidRPr="000154A3">
        <w:rPr>
          <w:rFonts w:ascii="Arial" w:eastAsiaTheme="minorHAnsi" w:hAnsi="Arial" w:cs="Arial"/>
          <w:sz w:val="22"/>
          <w:szCs w:val="22"/>
          <w:lang w:val="es-CO" w:eastAsia="en-US"/>
        </w:rPr>
        <w:t xml:space="preserve">es posible inferir que no </w:t>
      </w:r>
      <w:r w:rsidR="00D507C3">
        <w:rPr>
          <w:rFonts w:ascii="Arial" w:eastAsiaTheme="minorHAnsi" w:hAnsi="Arial" w:cs="Arial"/>
          <w:sz w:val="22"/>
          <w:szCs w:val="22"/>
          <w:lang w:val="es-CO" w:eastAsia="en-US"/>
        </w:rPr>
        <w:t xml:space="preserve">se identifica </w:t>
      </w:r>
      <w:r w:rsidRPr="000154A3">
        <w:rPr>
          <w:rFonts w:ascii="Arial" w:eastAsiaTheme="minorHAnsi" w:hAnsi="Arial" w:cs="Arial"/>
          <w:sz w:val="22"/>
          <w:szCs w:val="22"/>
          <w:lang w:val="es-CO" w:eastAsia="en-US"/>
        </w:rPr>
        <w:t xml:space="preserve"> un riesgo jurídico directo para la </w:t>
      </w:r>
      <w:r w:rsidR="00990FDC" w:rsidRPr="000154A3">
        <w:rPr>
          <w:rFonts w:ascii="Arial" w:eastAsiaTheme="minorHAnsi" w:hAnsi="Arial" w:cs="Arial"/>
          <w:sz w:val="22"/>
          <w:szCs w:val="22"/>
          <w:lang w:val="es-CO" w:eastAsia="en-US"/>
        </w:rPr>
        <w:t>E</w:t>
      </w:r>
      <w:r w:rsidRPr="000154A3">
        <w:rPr>
          <w:rFonts w:ascii="Arial" w:eastAsiaTheme="minorHAnsi" w:hAnsi="Arial" w:cs="Arial"/>
          <w:sz w:val="22"/>
          <w:szCs w:val="22"/>
          <w:lang w:val="es-CO" w:eastAsia="en-US"/>
        </w:rPr>
        <w:t>ntidad territorial en razón a que la carga del resultado del proceso recae en un tercero.</w:t>
      </w:r>
      <w:r w:rsidR="009C7544">
        <w:rPr>
          <w:rFonts w:ascii="Arial" w:eastAsiaTheme="minorHAnsi" w:hAnsi="Arial" w:cs="Arial"/>
          <w:sz w:val="22"/>
          <w:szCs w:val="22"/>
          <w:lang w:val="es-CO" w:eastAsia="en-US"/>
        </w:rPr>
        <w:t xml:space="preserve"> </w:t>
      </w:r>
    </w:p>
    <w:p w14:paraId="387DFF2B" w14:textId="067A5EE5" w:rsidR="00643CE2" w:rsidRDefault="00643CE2" w:rsidP="00643CE2">
      <w:pPr>
        <w:jc w:val="both"/>
        <w:rPr>
          <w:rFonts w:ascii="Arial" w:eastAsiaTheme="minorHAnsi" w:hAnsi="Arial" w:cs="Arial"/>
          <w:sz w:val="22"/>
          <w:szCs w:val="22"/>
          <w:lang w:val="es-CO" w:eastAsia="en-US"/>
        </w:rPr>
      </w:pPr>
    </w:p>
    <w:p w14:paraId="54B2F979" w14:textId="6251B393" w:rsidR="00643CE2" w:rsidRPr="0044100E" w:rsidRDefault="00643CE2" w:rsidP="00643CE2">
      <w:pPr>
        <w:jc w:val="both"/>
        <w:rPr>
          <w:rFonts w:ascii="Arial" w:eastAsiaTheme="minorHAnsi" w:hAnsi="Arial" w:cs="Arial"/>
          <w:sz w:val="22"/>
          <w:szCs w:val="22"/>
          <w:lang w:val="es-CO" w:eastAsia="en-US"/>
        </w:rPr>
      </w:pPr>
      <w:r w:rsidRPr="0044100E">
        <w:rPr>
          <w:rFonts w:ascii="Arial" w:eastAsiaTheme="minorHAnsi" w:hAnsi="Arial" w:cs="Arial"/>
          <w:sz w:val="22"/>
          <w:szCs w:val="22"/>
          <w:lang w:val="es-CO" w:eastAsia="en-US"/>
        </w:rPr>
        <w:t xml:space="preserve">No obstante, la información remitida por la </w:t>
      </w:r>
      <w:r w:rsidR="00E00653">
        <w:rPr>
          <w:rFonts w:ascii="Arial" w:eastAsiaTheme="minorHAnsi" w:hAnsi="Arial" w:cs="Arial"/>
          <w:sz w:val="22"/>
          <w:szCs w:val="22"/>
          <w:lang w:val="es-CO" w:eastAsia="en-US"/>
        </w:rPr>
        <w:t>E</w:t>
      </w:r>
      <w:r w:rsidRPr="0044100E">
        <w:rPr>
          <w:rFonts w:ascii="Arial" w:eastAsiaTheme="minorHAnsi" w:hAnsi="Arial" w:cs="Arial"/>
          <w:sz w:val="22"/>
          <w:szCs w:val="22"/>
          <w:lang w:val="es-CO" w:eastAsia="en-US"/>
        </w:rPr>
        <w:t xml:space="preserve">ntidad </w:t>
      </w:r>
      <w:r w:rsidR="00E00653">
        <w:rPr>
          <w:rFonts w:ascii="Arial" w:eastAsiaTheme="minorHAnsi" w:hAnsi="Arial" w:cs="Arial"/>
          <w:sz w:val="22"/>
          <w:szCs w:val="22"/>
          <w:lang w:val="es-CO" w:eastAsia="en-US"/>
        </w:rPr>
        <w:t>T</w:t>
      </w:r>
      <w:r w:rsidRPr="0044100E">
        <w:rPr>
          <w:rFonts w:ascii="Arial" w:eastAsiaTheme="minorHAnsi" w:hAnsi="Arial" w:cs="Arial"/>
          <w:sz w:val="22"/>
          <w:szCs w:val="22"/>
          <w:lang w:val="es-CO" w:eastAsia="en-US"/>
        </w:rPr>
        <w:t xml:space="preserve">erritorial señala que ninguno de los procesos ha derivado en embargos, pese a indicar que si estarían afectando cuentas bancarias, las cuales tampoco son referidas, hecho que no guarda consistencia. En ese orden, de acuerdo </w:t>
      </w:r>
      <w:r w:rsidR="00E00653">
        <w:rPr>
          <w:rFonts w:ascii="Arial" w:eastAsiaTheme="minorHAnsi" w:hAnsi="Arial" w:cs="Arial"/>
          <w:sz w:val="22"/>
          <w:szCs w:val="22"/>
          <w:lang w:val="es-CO" w:eastAsia="en-US"/>
        </w:rPr>
        <w:t>con</w:t>
      </w:r>
      <w:r w:rsidRPr="0044100E">
        <w:rPr>
          <w:rFonts w:ascii="Arial" w:eastAsiaTheme="minorHAnsi" w:hAnsi="Arial" w:cs="Arial"/>
          <w:sz w:val="22"/>
          <w:szCs w:val="22"/>
          <w:lang w:val="es-CO" w:eastAsia="en-US"/>
        </w:rPr>
        <w:t xml:space="preserve"> la evidencia suministrada por la Tesorería Departamental, se evidencia que los recursos de las cuentas maestras del Fondo Local de Salud no tienen afectación por concepto de medidas cautelares (embargos). </w:t>
      </w:r>
    </w:p>
    <w:p w14:paraId="71198387" w14:textId="77777777" w:rsidR="00643CE2" w:rsidRPr="0044100E" w:rsidRDefault="00643CE2" w:rsidP="00643CE2">
      <w:pPr>
        <w:jc w:val="both"/>
        <w:rPr>
          <w:rFonts w:ascii="Arial" w:eastAsiaTheme="minorHAnsi" w:hAnsi="Arial" w:cs="Arial"/>
          <w:sz w:val="22"/>
          <w:szCs w:val="22"/>
          <w:lang w:val="es-CO" w:eastAsia="en-US"/>
        </w:rPr>
      </w:pPr>
    </w:p>
    <w:p w14:paraId="7AD7B372" w14:textId="77777777" w:rsidR="00643CE2" w:rsidRPr="0044100E" w:rsidRDefault="00643CE2" w:rsidP="00643CE2">
      <w:pPr>
        <w:jc w:val="both"/>
        <w:rPr>
          <w:rFonts w:ascii="Arial" w:eastAsiaTheme="minorHAnsi" w:hAnsi="Arial" w:cs="Arial"/>
          <w:sz w:val="22"/>
          <w:szCs w:val="22"/>
          <w:lang w:val="es-CO" w:eastAsia="en-US"/>
        </w:rPr>
      </w:pPr>
      <w:r w:rsidRPr="0044100E">
        <w:rPr>
          <w:rFonts w:ascii="Arial" w:eastAsiaTheme="minorHAnsi" w:hAnsi="Arial" w:cs="Arial"/>
          <w:sz w:val="22"/>
          <w:szCs w:val="22"/>
          <w:lang w:val="es-CO" w:eastAsia="en-US"/>
        </w:rPr>
        <w:t>De otro lado, según la certificación expedida por el Director Administrativo de la Dirección Departamental de Asuntos Jurídicos y Judiciales, la entidad aún no cuenta con una metodología para determinar la probabilidad de fallos de cada uno de los procesos referidos, pese a ello refiere que se estima un 9% de probabilidad de pérdida respecto al total de pretensiones. Sin embargo, pese a lo expuesto, no es posible validar con certeza el valor de la probabilidad de perdida estimada.</w:t>
      </w:r>
    </w:p>
    <w:p w14:paraId="400C21B6" w14:textId="77777777" w:rsidR="00643CE2" w:rsidRPr="0044100E" w:rsidRDefault="00643CE2" w:rsidP="00643CE2">
      <w:pPr>
        <w:jc w:val="both"/>
        <w:rPr>
          <w:rFonts w:ascii="Arial" w:eastAsiaTheme="minorHAnsi" w:hAnsi="Arial" w:cs="Arial"/>
          <w:sz w:val="22"/>
          <w:szCs w:val="22"/>
          <w:lang w:val="es-CO" w:eastAsia="en-US"/>
        </w:rPr>
      </w:pPr>
    </w:p>
    <w:p w14:paraId="2C76225A" w14:textId="3B718CE3" w:rsidR="00643CE2" w:rsidRPr="0044100E" w:rsidRDefault="00643CE2" w:rsidP="00643CE2">
      <w:pPr>
        <w:jc w:val="both"/>
        <w:rPr>
          <w:rFonts w:ascii="Arial" w:eastAsiaTheme="minorHAnsi" w:hAnsi="Arial" w:cs="Arial"/>
          <w:sz w:val="22"/>
          <w:szCs w:val="22"/>
          <w:lang w:val="es-CO" w:eastAsia="en-US"/>
        </w:rPr>
      </w:pPr>
      <w:r w:rsidRPr="0044100E">
        <w:rPr>
          <w:rFonts w:ascii="Arial" w:eastAsiaTheme="minorHAnsi" w:hAnsi="Arial" w:cs="Arial"/>
          <w:sz w:val="22"/>
          <w:szCs w:val="22"/>
          <w:lang w:val="es-CO" w:eastAsia="en-US"/>
        </w:rPr>
        <w:t xml:space="preserve">Adicionalmente, de acuerdo </w:t>
      </w:r>
      <w:r w:rsidR="00E00653">
        <w:rPr>
          <w:rFonts w:ascii="Arial" w:eastAsiaTheme="minorHAnsi" w:hAnsi="Arial" w:cs="Arial"/>
          <w:sz w:val="22"/>
          <w:szCs w:val="22"/>
          <w:lang w:val="es-CO" w:eastAsia="en-US"/>
        </w:rPr>
        <w:t>con</w:t>
      </w:r>
      <w:r w:rsidRPr="0044100E">
        <w:rPr>
          <w:rFonts w:ascii="Arial" w:eastAsiaTheme="minorHAnsi" w:hAnsi="Arial" w:cs="Arial"/>
          <w:sz w:val="22"/>
          <w:szCs w:val="22"/>
          <w:lang w:val="es-CO" w:eastAsia="en-US"/>
        </w:rPr>
        <w:t xml:space="preserve"> certificación expedida por el jefe de Presupuesto del Departamento, las fuentes de financiación que se apropian en el rubro “Sentencias y Conciliaciones” corresponde a ingresos corrientes de libre destinación, situación acorde con lo dispuesto por el artículo 3 de la ley 617 de 2000.</w:t>
      </w:r>
    </w:p>
    <w:p w14:paraId="4B10AB5D" w14:textId="77777777" w:rsidR="00643CE2" w:rsidRPr="0044100E" w:rsidRDefault="00643CE2" w:rsidP="00643CE2">
      <w:pPr>
        <w:jc w:val="both"/>
        <w:rPr>
          <w:rFonts w:ascii="Arial" w:eastAsiaTheme="minorHAnsi" w:hAnsi="Arial" w:cs="Arial"/>
          <w:sz w:val="22"/>
          <w:szCs w:val="22"/>
          <w:lang w:val="es-CO" w:eastAsia="en-US"/>
        </w:rPr>
      </w:pPr>
    </w:p>
    <w:p w14:paraId="598AF25D" w14:textId="77777777" w:rsidR="00643CE2" w:rsidRPr="0044100E" w:rsidRDefault="00643CE2" w:rsidP="00643CE2">
      <w:pPr>
        <w:jc w:val="both"/>
        <w:rPr>
          <w:rFonts w:ascii="Arial" w:eastAsiaTheme="minorHAnsi" w:hAnsi="Arial" w:cs="Arial"/>
          <w:sz w:val="22"/>
          <w:szCs w:val="22"/>
          <w:lang w:val="es-CO" w:eastAsia="en-US"/>
        </w:rPr>
      </w:pPr>
      <w:r w:rsidRPr="0044100E">
        <w:rPr>
          <w:rFonts w:ascii="Arial" w:eastAsiaTheme="minorHAnsi" w:hAnsi="Arial" w:cs="Arial"/>
          <w:sz w:val="22"/>
          <w:szCs w:val="22"/>
          <w:lang w:val="es-CO" w:eastAsia="en-US"/>
        </w:rPr>
        <w:t>Lo elementos aquí referidos serán objeto de verificación en el marco del reconocimiento institucional que se realizará a la entidad territorial en una instancia posterior.</w:t>
      </w:r>
    </w:p>
    <w:p w14:paraId="4280C2FC" w14:textId="77777777" w:rsidR="00643CE2" w:rsidRPr="0044100E" w:rsidRDefault="00643CE2" w:rsidP="00643CE2">
      <w:pPr>
        <w:jc w:val="both"/>
        <w:rPr>
          <w:rFonts w:ascii="Arial" w:eastAsia="Times New Roman" w:hAnsi="Arial" w:cs="Arial"/>
          <w:b/>
          <w:sz w:val="22"/>
          <w:szCs w:val="22"/>
        </w:rPr>
      </w:pPr>
    </w:p>
    <w:p w14:paraId="60C51849" w14:textId="77777777" w:rsidR="00643CE2" w:rsidRPr="0044100E" w:rsidRDefault="00643CE2" w:rsidP="00643CE2">
      <w:pPr>
        <w:jc w:val="both"/>
        <w:rPr>
          <w:rFonts w:ascii="Arial" w:eastAsia="Times New Roman" w:hAnsi="Arial" w:cs="Arial"/>
          <w:b/>
          <w:sz w:val="22"/>
          <w:szCs w:val="22"/>
          <w:lang w:eastAsia="en-US"/>
        </w:rPr>
      </w:pPr>
      <w:r w:rsidRPr="0044100E">
        <w:rPr>
          <w:rFonts w:ascii="Arial" w:eastAsia="Times New Roman" w:hAnsi="Arial" w:cs="Arial"/>
          <w:b/>
          <w:sz w:val="22"/>
          <w:szCs w:val="22"/>
          <w:lang w:eastAsia="en-US"/>
        </w:rPr>
        <w:t>VI. CONCLUSIONES Y RECOMENDACIONES</w:t>
      </w:r>
    </w:p>
    <w:p w14:paraId="04418117" w14:textId="77777777" w:rsidR="00643CE2" w:rsidRPr="0044100E" w:rsidRDefault="00643CE2" w:rsidP="00643CE2">
      <w:pPr>
        <w:jc w:val="both"/>
        <w:rPr>
          <w:rFonts w:ascii="Arial" w:hAnsi="Arial" w:cs="Arial"/>
          <w:sz w:val="22"/>
          <w:szCs w:val="22"/>
        </w:rPr>
      </w:pPr>
    </w:p>
    <w:p w14:paraId="6001F74A" w14:textId="542ED555" w:rsidR="00643CE2" w:rsidRPr="0044100E" w:rsidRDefault="00643CE2" w:rsidP="00643CE2">
      <w:pPr>
        <w:jc w:val="both"/>
        <w:rPr>
          <w:rFonts w:ascii="Arial" w:eastAsia="Calibri" w:hAnsi="Arial" w:cs="Arial"/>
          <w:sz w:val="22"/>
          <w:szCs w:val="22"/>
          <w:lang w:val="es-ES_tradnl" w:eastAsia="en-US"/>
        </w:rPr>
      </w:pPr>
      <w:r w:rsidRPr="0044100E">
        <w:rPr>
          <w:rFonts w:ascii="Arial" w:eastAsia="Calibri" w:hAnsi="Arial" w:cs="Arial"/>
          <w:sz w:val="22"/>
          <w:szCs w:val="22"/>
          <w:lang w:val="es-ES_tradnl" w:eastAsia="en-US"/>
        </w:rPr>
        <w:t>Con fundamento en lo expuesto el Departamento de Vaupés al cierre de la vigencia 2020</w:t>
      </w:r>
      <w:r w:rsidR="009C7544">
        <w:rPr>
          <w:rFonts w:ascii="Arial" w:eastAsia="Calibri" w:hAnsi="Arial" w:cs="Arial"/>
          <w:sz w:val="22"/>
          <w:szCs w:val="22"/>
          <w:lang w:val="es-ES_tradnl" w:eastAsia="en-US"/>
        </w:rPr>
        <w:t xml:space="preserve"> </w:t>
      </w:r>
      <w:r w:rsidRPr="0044100E">
        <w:rPr>
          <w:rFonts w:ascii="Arial" w:eastAsia="Calibri" w:hAnsi="Arial" w:cs="Arial"/>
          <w:sz w:val="22"/>
          <w:szCs w:val="22"/>
          <w:lang w:val="es-ES_tradnl" w:eastAsia="en-US"/>
        </w:rPr>
        <w:t xml:space="preserve">mostró un porcentaje de ejecución de recursos del Fondo Local de Salud del 48%; un comportamiento superavitario representado en $18.944 millones, y un saldo en caja de las cuentas maestras de $31.568 millones suficiente para apalancar las exigibilidades generadas al finalizar la vigencia; no obstante, el nivel de reservas y de cuentas por pagar constituidas al cierre de la vigencia 2020 dan cuenta de debilidades relacionadas con una eficiente planeación y ejecución de los recursos. Al respecto también fueron identificadas diferencias entre la información reportada en el FUT y las ejecuciones presupuestales presentadas por la </w:t>
      </w:r>
      <w:r w:rsidR="00E00653">
        <w:rPr>
          <w:rFonts w:ascii="Arial" w:eastAsia="Calibri" w:hAnsi="Arial" w:cs="Arial"/>
          <w:sz w:val="22"/>
          <w:szCs w:val="22"/>
          <w:lang w:val="es-ES_tradnl" w:eastAsia="en-US"/>
        </w:rPr>
        <w:t>E</w:t>
      </w:r>
      <w:r w:rsidRPr="0044100E">
        <w:rPr>
          <w:rFonts w:ascii="Arial" w:eastAsia="Calibri" w:hAnsi="Arial" w:cs="Arial"/>
          <w:sz w:val="22"/>
          <w:szCs w:val="22"/>
          <w:lang w:val="es-ES_tradnl" w:eastAsia="en-US"/>
        </w:rPr>
        <w:t xml:space="preserve">ntidad </w:t>
      </w:r>
      <w:r w:rsidR="00E00653">
        <w:rPr>
          <w:rFonts w:ascii="Arial" w:eastAsia="Calibri" w:hAnsi="Arial" w:cs="Arial"/>
          <w:sz w:val="22"/>
          <w:szCs w:val="22"/>
          <w:lang w:val="es-ES_tradnl" w:eastAsia="en-US"/>
        </w:rPr>
        <w:t>T</w:t>
      </w:r>
      <w:r w:rsidRPr="0044100E">
        <w:rPr>
          <w:rFonts w:ascii="Arial" w:eastAsia="Calibri" w:hAnsi="Arial" w:cs="Arial"/>
          <w:sz w:val="22"/>
          <w:szCs w:val="22"/>
          <w:lang w:val="es-ES_tradnl" w:eastAsia="en-US"/>
        </w:rPr>
        <w:t xml:space="preserve">erritorial en relación </w:t>
      </w:r>
      <w:r w:rsidR="00E00653">
        <w:rPr>
          <w:rFonts w:ascii="Arial" w:eastAsia="Calibri" w:hAnsi="Arial" w:cs="Arial"/>
          <w:sz w:val="22"/>
          <w:szCs w:val="22"/>
          <w:lang w:val="es-ES_tradnl" w:eastAsia="en-US"/>
        </w:rPr>
        <w:t>con</w:t>
      </w:r>
      <w:r w:rsidRPr="0044100E">
        <w:rPr>
          <w:rFonts w:ascii="Arial" w:eastAsia="Calibri" w:hAnsi="Arial" w:cs="Arial"/>
          <w:sz w:val="22"/>
          <w:szCs w:val="22"/>
          <w:lang w:val="es-ES_tradnl" w:eastAsia="en-US"/>
        </w:rPr>
        <w:t xml:space="preserve"> las apropiaciones definitivas en el gasto de los componentes sectoriales. </w:t>
      </w:r>
    </w:p>
    <w:p w14:paraId="4678CAF8" w14:textId="77777777" w:rsidR="00643CE2" w:rsidRPr="0044100E" w:rsidRDefault="00643CE2" w:rsidP="00643CE2">
      <w:pPr>
        <w:jc w:val="both"/>
        <w:rPr>
          <w:rFonts w:ascii="Arial" w:eastAsia="Calibri" w:hAnsi="Arial" w:cs="Arial"/>
          <w:sz w:val="22"/>
          <w:szCs w:val="22"/>
          <w:lang w:val="es-ES_tradnl" w:eastAsia="en-US"/>
        </w:rPr>
      </w:pPr>
    </w:p>
    <w:p w14:paraId="230F53F4" w14:textId="21FAEB37" w:rsidR="00643CE2" w:rsidRPr="0044100E" w:rsidRDefault="00643CE2" w:rsidP="00643CE2">
      <w:pPr>
        <w:jc w:val="both"/>
        <w:rPr>
          <w:rFonts w:ascii="Arial" w:eastAsia="Calibri" w:hAnsi="Arial" w:cs="Arial"/>
          <w:color w:val="000000" w:themeColor="text1"/>
          <w:sz w:val="22"/>
          <w:szCs w:val="22"/>
          <w:lang w:eastAsia="en-US"/>
        </w:rPr>
      </w:pPr>
      <w:r w:rsidRPr="0044100E">
        <w:rPr>
          <w:rFonts w:ascii="Arial" w:eastAsia="Calibri" w:hAnsi="Arial" w:cs="Arial"/>
          <w:color w:val="000000"/>
          <w:sz w:val="22"/>
          <w:szCs w:val="22"/>
          <w:lang w:eastAsia="en-US"/>
        </w:rPr>
        <w:t xml:space="preserve">Además, fueron identificados cheques por cobrar en las conciliaciones efectuadas en los meses de marzo, mayo y junio de la vigencia 2021, de la cuenta maestra de Salud Pública conducta no permitida por la normatividad vigente; y saldos en 8 cuentas recaudadoras por un valor de $2.244 millones </w:t>
      </w:r>
      <w:r w:rsidRPr="0044100E">
        <w:rPr>
          <w:rFonts w:ascii="Arial" w:eastAsia="Calibri" w:hAnsi="Arial" w:cs="Arial"/>
          <w:color w:val="000000" w:themeColor="text1"/>
          <w:sz w:val="22"/>
          <w:szCs w:val="22"/>
          <w:lang w:eastAsia="en-US"/>
        </w:rPr>
        <w:t>que a la luz de lo dispuesto por el artículo 7 de la Resolución 4204 de 2008 debieron ser trasladados a la cuenta correspondiente de acuerdo con su destinación.</w:t>
      </w:r>
      <w:r w:rsidR="009C7544">
        <w:rPr>
          <w:rFonts w:ascii="Arial" w:eastAsia="Calibri" w:hAnsi="Arial" w:cs="Arial"/>
          <w:color w:val="000000" w:themeColor="text1"/>
          <w:sz w:val="22"/>
          <w:szCs w:val="22"/>
          <w:lang w:eastAsia="en-US"/>
        </w:rPr>
        <w:t xml:space="preserve"> </w:t>
      </w:r>
    </w:p>
    <w:p w14:paraId="1E147289" w14:textId="77777777" w:rsidR="00643CE2" w:rsidRPr="0044100E" w:rsidRDefault="00643CE2" w:rsidP="00643CE2">
      <w:pPr>
        <w:jc w:val="both"/>
        <w:rPr>
          <w:rFonts w:ascii="Arial" w:hAnsi="Arial" w:cs="Arial"/>
          <w:color w:val="000000"/>
        </w:rPr>
      </w:pPr>
      <w:r w:rsidRPr="0044100E">
        <w:rPr>
          <w:rFonts w:ascii="Arial" w:eastAsia="Calibri" w:hAnsi="Arial" w:cs="Arial"/>
          <w:color w:val="FF0000"/>
          <w:sz w:val="22"/>
          <w:szCs w:val="22"/>
          <w:lang w:eastAsia="en-US"/>
        </w:rPr>
        <w:t> </w:t>
      </w:r>
    </w:p>
    <w:p w14:paraId="117AC2C5" w14:textId="4EF6F78A" w:rsidR="00643CE2" w:rsidRPr="0044100E" w:rsidRDefault="00643CE2" w:rsidP="00643CE2">
      <w:pPr>
        <w:jc w:val="both"/>
        <w:rPr>
          <w:rFonts w:ascii="Arial" w:eastAsia="Calibri" w:hAnsi="Arial" w:cs="Arial"/>
          <w:sz w:val="22"/>
          <w:szCs w:val="22"/>
          <w:lang w:val="es-ES_tradnl" w:eastAsia="en-US"/>
        </w:rPr>
      </w:pPr>
      <w:r w:rsidRPr="0044100E">
        <w:rPr>
          <w:rFonts w:ascii="Arial" w:eastAsia="Calibri" w:hAnsi="Arial" w:cs="Arial"/>
          <w:sz w:val="22"/>
          <w:szCs w:val="22"/>
          <w:lang w:val="es-ES_tradnl" w:eastAsia="en-US"/>
        </w:rPr>
        <w:t xml:space="preserve">Cabe señalar que la </w:t>
      </w:r>
      <w:r w:rsidR="00E00653">
        <w:rPr>
          <w:rFonts w:ascii="Arial" w:eastAsia="Calibri" w:hAnsi="Arial" w:cs="Arial"/>
          <w:sz w:val="22"/>
          <w:szCs w:val="22"/>
          <w:lang w:val="es-ES_tradnl" w:eastAsia="en-US"/>
        </w:rPr>
        <w:t>E</w:t>
      </w:r>
      <w:r w:rsidRPr="0044100E">
        <w:rPr>
          <w:rFonts w:ascii="Arial" w:eastAsia="Calibri" w:hAnsi="Arial" w:cs="Arial"/>
          <w:sz w:val="22"/>
          <w:szCs w:val="22"/>
          <w:lang w:val="es-ES_tradnl" w:eastAsia="en-US"/>
        </w:rPr>
        <w:t xml:space="preserve">ntidad </w:t>
      </w:r>
      <w:r w:rsidR="00E00653">
        <w:rPr>
          <w:rFonts w:ascii="Arial" w:eastAsia="Calibri" w:hAnsi="Arial" w:cs="Arial"/>
          <w:sz w:val="22"/>
          <w:szCs w:val="22"/>
          <w:lang w:val="es-ES_tradnl" w:eastAsia="en-US"/>
        </w:rPr>
        <w:t>T</w:t>
      </w:r>
      <w:r w:rsidRPr="0044100E">
        <w:rPr>
          <w:rFonts w:ascii="Arial" w:eastAsia="Calibri" w:hAnsi="Arial" w:cs="Arial"/>
          <w:sz w:val="22"/>
          <w:szCs w:val="22"/>
          <w:lang w:val="es-ES_tradnl" w:eastAsia="en-US"/>
        </w:rPr>
        <w:t xml:space="preserve">erritorial no aportó la totalidad de la información solicitada respecto al Fondo Local de Salud en materia presupuestal y de tesorería, razón por la cual no es posible validar el análisis del cierre presupuestal respecto a los actos administrativos </w:t>
      </w:r>
      <w:r w:rsidRPr="0044100E">
        <w:rPr>
          <w:rFonts w:ascii="Arial" w:eastAsia="Calibri" w:hAnsi="Arial" w:cs="Arial"/>
          <w:sz w:val="22"/>
          <w:szCs w:val="22"/>
          <w:lang w:val="es-ES_tradnl" w:eastAsia="en-US"/>
        </w:rPr>
        <w:lastRenderedPageBreak/>
        <w:t>correspondientes, así como tampoco evaluar el cumplimiento de condiciones en la suscripción de los convenios efectuados con las entidades financieras para la administración de los recursos del sector.</w:t>
      </w:r>
      <w:r w:rsidR="009C7544">
        <w:rPr>
          <w:rFonts w:ascii="Arial" w:eastAsia="Calibri" w:hAnsi="Arial" w:cs="Arial"/>
          <w:sz w:val="22"/>
          <w:szCs w:val="22"/>
          <w:lang w:val="es-ES_tradnl" w:eastAsia="en-US"/>
        </w:rPr>
        <w:t xml:space="preserve"> </w:t>
      </w:r>
    </w:p>
    <w:p w14:paraId="2D8EC09B" w14:textId="77777777" w:rsidR="00643CE2" w:rsidRPr="0044100E" w:rsidRDefault="00643CE2" w:rsidP="00643CE2">
      <w:pPr>
        <w:jc w:val="both"/>
        <w:rPr>
          <w:rFonts w:ascii="Arial" w:eastAsiaTheme="minorHAnsi" w:hAnsi="Arial" w:cs="Arial"/>
          <w:color w:val="000000"/>
          <w:lang w:val="es-CO" w:eastAsia="es-CO"/>
        </w:rPr>
      </w:pPr>
    </w:p>
    <w:p w14:paraId="587FC742" w14:textId="441CD768" w:rsidR="00643CE2" w:rsidRPr="0044100E" w:rsidRDefault="00643CE2" w:rsidP="00643CE2">
      <w:pPr>
        <w:jc w:val="both"/>
        <w:rPr>
          <w:rFonts w:ascii="Arial" w:hAnsi="Arial" w:cs="Arial"/>
          <w:color w:val="000000"/>
        </w:rPr>
      </w:pPr>
      <w:r w:rsidRPr="0044100E">
        <w:rPr>
          <w:rFonts w:ascii="Arial" w:hAnsi="Arial" w:cs="Arial"/>
          <w:color w:val="000000"/>
          <w:sz w:val="22"/>
          <w:szCs w:val="22"/>
        </w:rPr>
        <w:t xml:space="preserve">Frente a la cofinanciación del régimen subsidiado en la vigencia 2020, se identificaron diferencias entre la ejecución de recursos que reporta la </w:t>
      </w:r>
      <w:r w:rsidR="00E00653">
        <w:rPr>
          <w:rFonts w:ascii="Arial" w:hAnsi="Arial" w:cs="Arial"/>
          <w:color w:val="000000"/>
          <w:sz w:val="22"/>
          <w:szCs w:val="22"/>
        </w:rPr>
        <w:t>E</w:t>
      </w:r>
      <w:r w:rsidRPr="0044100E">
        <w:rPr>
          <w:rFonts w:ascii="Arial" w:hAnsi="Arial" w:cs="Arial"/>
          <w:color w:val="000000"/>
          <w:sz w:val="22"/>
          <w:szCs w:val="22"/>
        </w:rPr>
        <w:t xml:space="preserve">ntidad </w:t>
      </w:r>
      <w:r w:rsidR="00E00653">
        <w:rPr>
          <w:rFonts w:ascii="Arial" w:hAnsi="Arial" w:cs="Arial"/>
          <w:color w:val="000000"/>
          <w:sz w:val="22"/>
          <w:szCs w:val="22"/>
        </w:rPr>
        <w:t>T</w:t>
      </w:r>
      <w:r w:rsidRPr="0044100E">
        <w:rPr>
          <w:rFonts w:ascii="Arial" w:hAnsi="Arial" w:cs="Arial"/>
          <w:color w:val="000000"/>
          <w:sz w:val="22"/>
          <w:szCs w:val="22"/>
        </w:rPr>
        <w:t xml:space="preserve">erritorial ($1.207 millones) y lo establecido por el Ministerio de Salud y protección Social en la Matriz de cofinanciación - ejecución para la vigencia. </w:t>
      </w:r>
      <w:r w:rsidRPr="0044100E">
        <w:rPr>
          <w:rFonts w:ascii="Arial" w:eastAsia="Calibri" w:hAnsi="Arial" w:cs="Arial"/>
          <w:sz w:val="22"/>
          <w:szCs w:val="22"/>
        </w:rPr>
        <w:t xml:space="preserve">Así mismo con corte a junio de la vigencia 2021 se evidencia que la </w:t>
      </w:r>
      <w:r w:rsidR="00E00653">
        <w:rPr>
          <w:rFonts w:ascii="Arial" w:eastAsia="Calibri" w:hAnsi="Arial" w:cs="Arial"/>
          <w:sz w:val="22"/>
          <w:szCs w:val="22"/>
        </w:rPr>
        <w:t>E</w:t>
      </w:r>
      <w:r w:rsidRPr="0044100E">
        <w:rPr>
          <w:rFonts w:ascii="Arial" w:eastAsia="Calibri" w:hAnsi="Arial" w:cs="Arial"/>
          <w:sz w:val="22"/>
          <w:szCs w:val="22"/>
        </w:rPr>
        <w:t xml:space="preserve">ntidad </w:t>
      </w:r>
      <w:r w:rsidR="00E00653">
        <w:rPr>
          <w:rFonts w:ascii="Arial" w:eastAsia="Calibri" w:hAnsi="Arial" w:cs="Arial"/>
          <w:sz w:val="22"/>
          <w:szCs w:val="22"/>
        </w:rPr>
        <w:t>T</w:t>
      </w:r>
      <w:r w:rsidRPr="0044100E">
        <w:rPr>
          <w:rFonts w:ascii="Arial" w:eastAsia="Calibri" w:hAnsi="Arial" w:cs="Arial"/>
          <w:sz w:val="22"/>
          <w:szCs w:val="22"/>
        </w:rPr>
        <w:t xml:space="preserve">erritorial ha comprometido y pagado </w:t>
      </w:r>
      <w:r w:rsidR="006F1BA4">
        <w:rPr>
          <w:rFonts w:ascii="Arial" w:eastAsia="Calibri" w:hAnsi="Arial" w:cs="Arial"/>
          <w:sz w:val="22"/>
          <w:szCs w:val="22"/>
        </w:rPr>
        <w:t>$</w:t>
      </w:r>
      <w:r w:rsidRPr="0044100E">
        <w:rPr>
          <w:rFonts w:ascii="Arial" w:eastAsia="Calibri" w:hAnsi="Arial" w:cs="Arial"/>
          <w:sz w:val="22"/>
          <w:szCs w:val="22"/>
        </w:rPr>
        <w:t xml:space="preserve">983 millones por concepto de esfuerzo propio, valor que corresponde al 74% respecto al monto estimado por el Ministerio de Salud y Protección Social. Adicionalmente, dado fue identificado el incumplimiento a lo previsto </w:t>
      </w:r>
      <w:r w:rsidRPr="0044100E">
        <w:rPr>
          <w:rFonts w:ascii="Arial" w:eastAsia="Calibri" w:hAnsi="Arial" w:cs="Arial"/>
          <w:color w:val="000000"/>
          <w:sz w:val="22"/>
          <w:szCs w:val="22"/>
        </w:rPr>
        <w:t xml:space="preserve">en el artículo 2.3.2.2.9 del </w:t>
      </w:r>
      <w:r w:rsidR="00E00653">
        <w:rPr>
          <w:rFonts w:ascii="Arial" w:eastAsia="Calibri" w:hAnsi="Arial" w:cs="Arial"/>
          <w:color w:val="000000"/>
          <w:sz w:val="22"/>
          <w:szCs w:val="22"/>
        </w:rPr>
        <w:t>D</w:t>
      </w:r>
      <w:r w:rsidRPr="0044100E">
        <w:rPr>
          <w:rFonts w:ascii="Arial" w:eastAsia="Calibri" w:hAnsi="Arial" w:cs="Arial"/>
          <w:color w:val="000000"/>
          <w:sz w:val="22"/>
          <w:szCs w:val="22"/>
        </w:rPr>
        <w:t xml:space="preserve">ecreto 780 de 2016 respecto al plazo establecido para el giro de los recursos de esfuerzo propio a las EPS y a los municipios para la financiación del Régimen Subsidiado. La verificación de la expedición del acto administrado que debe expedir la </w:t>
      </w:r>
      <w:r w:rsidR="00487AEA">
        <w:rPr>
          <w:rFonts w:ascii="Arial" w:eastAsia="Calibri" w:hAnsi="Arial" w:cs="Arial"/>
          <w:color w:val="000000"/>
          <w:sz w:val="22"/>
          <w:szCs w:val="22"/>
        </w:rPr>
        <w:t>E</w:t>
      </w:r>
      <w:r w:rsidRPr="0044100E">
        <w:rPr>
          <w:rFonts w:ascii="Arial" w:eastAsia="Calibri" w:hAnsi="Arial" w:cs="Arial"/>
          <w:color w:val="000000"/>
          <w:sz w:val="22"/>
          <w:szCs w:val="22"/>
        </w:rPr>
        <w:t xml:space="preserve">ntidad </w:t>
      </w:r>
      <w:r w:rsidR="00487AEA">
        <w:rPr>
          <w:rFonts w:ascii="Arial" w:eastAsia="Calibri" w:hAnsi="Arial" w:cs="Arial"/>
          <w:color w:val="000000"/>
          <w:sz w:val="22"/>
          <w:szCs w:val="22"/>
        </w:rPr>
        <w:t>T</w:t>
      </w:r>
      <w:r w:rsidRPr="0044100E">
        <w:rPr>
          <w:rFonts w:ascii="Arial" w:eastAsia="Calibri" w:hAnsi="Arial" w:cs="Arial"/>
          <w:color w:val="000000"/>
          <w:sz w:val="22"/>
          <w:szCs w:val="22"/>
        </w:rPr>
        <w:t xml:space="preserve">erritorial para comprometer los recursos de cofinanciación del aseguramiento no fue posible, no se aporta la información requerida. </w:t>
      </w:r>
    </w:p>
    <w:p w14:paraId="390C1DB9" w14:textId="77777777" w:rsidR="00643CE2" w:rsidRPr="0044100E" w:rsidRDefault="00643CE2" w:rsidP="00643CE2">
      <w:pPr>
        <w:jc w:val="both"/>
        <w:rPr>
          <w:rFonts w:ascii="Arial" w:hAnsi="Arial" w:cs="Arial"/>
          <w:color w:val="000000"/>
        </w:rPr>
      </w:pPr>
      <w:r w:rsidRPr="0044100E">
        <w:rPr>
          <w:rFonts w:ascii="Arial" w:eastAsia="Calibri" w:hAnsi="Arial" w:cs="Arial"/>
          <w:color w:val="000000"/>
          <w:sz w:val="22"/>
          <w:szCs w:val="22"/>
        </w:rPr>
        <w:t> </w:t>
      </w:r>
    </w:p>
    <w:p w14:paraId="20DD0785" w14:textId="3239C8C2" w:rsidR="00643CE2" w:rsidRPr="0044100E" w:rsidRDefault="00643CE2" w:rsidP="00643CE2">
      <w:pPr>
        <w:jc w:val="both"/>
        <w:rPr>
          <w:rFonts w:ascii="Arial" w:hAnsi="Arial" w:cs="Arial"/>
          <w:color w:val="000000"/>
        </w:rPr>
      </w:pPr>
      <w:r w:rsidRPr="0044100E">
        <w:rPr>
          <w:rFonts w:ascii="Arial" w:hAnsi="Arial" w:cs="Arial"/>
          <w:color w:val="000000" w:themeColor="text1"/>
          <w:sz w:val="22"/>
          <w:szCs w:val="22"/>
        </w:rPr>
        <w:t xml:space="preserve">Ahora bien, frente al seguimiento y control al Régimen Subsidiado por parte de la </w:t>
      </w:r>
      <w:r w:rsidR="00487AEA">
        <w:rPr>
          <w:rFonts w:ascii="Arial" w:hAnsi="Arial" w:cs="Arial"/>
          <w:color w:val="000000" w:themeColor="text1"/>
          <w:sz w:val="22"/>
          <w:szCs w:val="22"/>
        </w:rPr>
        <w:t>E</w:t>
      </w:r>
      <w:r w:rsidRPr="0044100E">
        <w:rPr>
          <w:rFonts w:ascii="Arial" w:hAnsi="Arial" w:cs="Arial"/>
          <w:color w:val="000000" w:themeColor="text1"/>
          <w:sz w:val="22"/>
          <w:szCs w:val="22"/>
        </w:rPr>
        <w:t xml:space="preserve">ntidad </w:t>
      </w:r>
      <w:r w:rsidR="00487AEA">
        <w:rPr>
          <w:rFonts w:ascii="Arial" w:hAnsi="Arial" w:cs="Arial"/>
          <w:color w:val="000000" w:themeColor="text1"/>
          <w:sz w:val="22"/>
          <w:szCs w:val="22"/>
        </w:rPr>
        <w:t>T</w:t>
      </w:r>
      <w:r w:rsidRPr="0044100E">
        <w:rPr>
          <w:rFonts w:ascii="Arial" w:hAnsi="Arial" w:cs="Arial"/>
          <w:color w:val="000000" w:themeColor="text1"/>
          <w:sz w:val="22"/>
          <w:szCs w:val="22"/>
        </w:rPr>
        <w:t>erritorial en las auditorías realizadas a las EPS que operan en el territorio (Nueva EPS Medimás EPS y EPSI MALLAMAS), se identifican hallazgos, pero no la evidencia de las medidas que se están adelantando o implementando para corregirlos. </w:t>
      </w:r>
    </w:p>
    <w:p w14:paraId="5A762D77" w14:textId="77777777" w:rsidR="00643CE2" w:rsidRPr="0044100E" w:rsidRDefault="00643CE2" w:rsidP="00643CE2">
      <w:pPr>
        <w:jc w:val="both"/>
        <w:rPr>
          <w:rFonts w:ascii="Arial" w:hAnsi="Arial" w:cs="Arial"/>
          <w:color w:val="000000"/>
        </w:rPr>
      </w:pPr>
      <w:r w:rsidRPr="0044100E">
        <w:rPr>
          <w:rFonts w:ascii="Arial" w:eastAsia="Calibri" w:hAnsi="Arial" w:cs="Arial"/>
          <w:color w:val="000000"/>
          <w:sz w:val="22"/>
          <w:szCs w:val="22"/>
        </w:rPr>
        <w:t> </w:t>
      </w:r>
    </w:p>
    <w:p w14:paraId="02BB1842" w14:textId="78CB7BC3" w:rsidR="00643CE2" w:rsidRPr="0044100E" w:rsidRDefault="00643CE2" w:rsidP="00643CE2">
      <w:pPr>
        <w:jc w:val="both"/>
        <w:rPr>
          <w:rFonts w:ascii="Arial" w:hAnsi="Arial" w:cs="Arial"/>
          <w:color w:val="000000"/>
        </w:rPr>
      </w:pPr>
      <w:r w:rsidRPr="0044100E">
        <w:rPr>
          <w:rFonts w:ascii="Arial" w:eastAsia="Calibri" w:hAnsi="Arial" w:cs="Arial"/>
          <w:color w:val="000000"/>
          <w:sz w:val="22"/>
          <w:szCs w:val="22"/>
        </w:rPr>
        <w:t xml:space="preserve">Frente al componente de Prestación de Servicios, se identifican dificultades asociadas a la implementación de lo previsto por el documento de Reorganización de la Red Pública de Prestadores viabilizada por el MSPS </w:t>
      </w:r>
      <w:r w:rsidRPr="0044100E">
        <w:rPr>
          <w:rFonts w:ascii="Arial" w:hAnsi="Arial" w:cs="Arial"/>
          <w:color w:val="000000"/>
          <w:sz w:val="22"/>
          <w:lang w:eastAsia="en-US"/>
        </w:rPr>
        <w:t xml:space="preserve">y la Prestación de Servicios en el área rural, no obstante, no es posible validar las acciones que el </w:t>
      </w:r>
      <w:r w:rsidR="002930A6">
        <w:rPr>
          <w:rFonts w:ascii="Arial" w:hAnsi="Arial" w:cs="Arial"/>
          <w:color w:val="000000"/>
          <w:sz w:val="22"/>
          <w:lang w:eastAsia="en-US"/>
        </w:rPr>
        <w:t>D</w:t>
      </w:r>
      <w:r w:rsidRPr="0044100E">
        <w:rPr>
          <w:rFonts w:ascii="Arial" w:hAnsi="Arial" w:cs="Arial"/>
          <w:color w:val="000000"/>
          <w:sz w:val="22"/>
          <w:lang w:eastAsia="en-US"/>
        </w:rPr>
        <w:t>epartamento adelanta en materia de asistencia técnica para la resolución de los problemas identificados. </w:t>
      </w:r>
    </w:p>
    <w:p w14:paraId="5E9E5046" w14:textId="77777777" w:rsidR="00643CE2" w:rsidRPr="0044100E" w:rsidRDefault="00643CE2" w:rsidP="00643CE2">
      <w:pPr>
        <w:jc w:val="both"/>
        <w:rPr>
          <w:rFonts w:ascii="Arial" w:hAnsi="Arial" w:cs="Arial"/>
          <w:color w:val="000000"/>
        </w:rPr>
      </w:pPr>
      <w:r w:rsidRPr="0044100E">
        <w:rPr>
          <w:rFonts w:ascii="Arial" w:eastAsia="Calibri" w:hAnsi="Arial" w:cs="Arial"/>
          <w:color w:val="000000"/>
          <w:sz w:val="22"/>
          <w:szCs w:val="22"/>
        </w:rPr>
        <w:t> </w:t>
      </w:r>
    </w:p>
    <w:p w14:paraId="7A7A8564" w14:textId="3D7CE1DF" w:rsidR="00643CE2" w:rsidRPr="0044100E" w:rsidRDefault="00643CE2" w:rsidP="00643CE2">
      <w:pPr>
        <w:jc w:val="both"/>
        <w:rPr>
          <w:rFonts w:ascii="Arial" w:hAnsi="Arial" w:cs="Arial"/>
          <w:color w:val="000000" w:themeColor="text1"/>
          <w:sz w:val="22"/>
          <w:szCs w:val="22"/>
        </w:rPr>
      </w:pPr>
      <w:r w:rsidRPr="0044100E">
        <w:rPr>
          <w:rFonts w:ascii="Arial" w:hAnsi="Arial" w:cs="Arial"/>
          <w:color w:val="000000" w:themeColor="text1"/>
          <w:sz w:val="22"/>
          <w:szCs w:val="22"/>
        </w:rPr>
        <w:t xml:space="preserve">En cuanto al componente del Subsidio a la oferta, </w:t>
      </w:r>
      <w:r w:rsidRPr="0044100E">
        <w:rPr>
          <w:rFonts w:ascii="Arial" w:hAnsi="Arial" w:cs="Arial"/>
          <w:color w:val="000000"/>
          <w:sz w:val="22"/>
          <w:szCs w:val="22"/>
        </w:rPr>
        <w:t xml:space="preserve">la Entidad Territorial no remite evidencia del convenio suscrito con la ESE Hospital San Antonio de Mitú en la vigencia 2020. No obstante, verificada la ejecución presupuestal se identifica que la </w:t>
      </w:r>
      <w:r w:rsidR="002930A6">
        <w:rPr>
          <w:rFonts w:ascii="Arial" w:hAnsi="Arial" w:cs="Arial"/>
          <w:color w:val="000000"/>
          <w:sz w:val="22"/>
          <w:szCs w:val="22"/>
        </w:rPr>
        <w:t>E</w:t>
      </w:r>
      <w:r w:rsidRPr="0044100E">
        <w:rPr>
          <w:rFonts w:ascii="Arial" w:hAnsi="Arial" w:cs="Arial"/>
          <w:color w:val="000000"/>
          <w:sz w:val="22"/>
          <w:szCs w:val="22"/>
        </w:rPr>
        <w:t xml:space="preserve">ntidad apropió $8.681 millones y realizó compromisos por </w:t>
      </w:r>
      <w:r w:rsidR="006F1BA4">
        <w:rPr>
          <w:rFonts w:ascii="Arial" w:hAnsi="Arial" w:cs="Arial"/>
          <w:color w:val="000000"/>
          <w:sz w:val="22"/>
          <w:szCs w:val="22"/>
        </w:rPr>
        <w:t>$</w:t>
      </w:r>
      <w:r w:rsidRPr="0044100E">
        <w:rPr>
          <w:rFonts w:ascii="Arial" w:hAnsi="Arial" w:cs="Arial"/>
          <w:color w:val="000000"/>
          <w:sz w:val="22"/>
          <w:szCs w:val="22"/>
        </w:rPr>
        <w:t>2.667 millones con fuente de financiación SGP 2020. Para la vigencia 2021 se identificó un convenio interadministrativo suscrito con la ESE Hospital San Antonio de Mitú por un valor de $5</w:t>
      </w:r>
      <w:r w:rsidR="006226E4" w:rsidRPr="0044100E">
        <w:rPr>
          <w:rFonts w:ascii="Arial" w:hAnsi="Arial" w:cs="Arial"/>
          <w:color w:val="000000"/>
          <w:sz w:val="22"/>
          <w:szCs w:val="22"/>
        </w:rPr>
        <w:t>.</w:t>
      </w:r>
      <w:r w:rsidRPr="0044100E">
        <w:rPr>
          <w:rFonts w:ascii="Arial" w:hAnsi="Arial" w:cs="Arial"/>
          <w:color w:val="000000"/>
          <w:sz w:val="22"/>
          <w:szCs w:val="22"/>
        </w:rPr>
        <w:t>669 millones, financiado con recursos del SGP- Vigencia anterior y SGP Prestación de servicios, sin embargo la ejecución presupuestal</w:t>
      </w:r>
      <w:r w:rsidR="009C7544">
        <w:rPr>
          <w:rFonts w:ascii="Arial" w:hAnsi="Arial" w:cs="Arial"/>
          <w:color w:val="000000"/>
          <w:sz w:val="22"/>
          <w:szCs w:val="22"/>
        </w:rPr>
        <w:t xml:space="preserve"> </w:t>
      </w:r>
      <w:r w:rsidRPr="0044100E">
        <w:rPr>
          <w:rFonts w:ascii="Arial" w:hAnsi="Arial" w:cs="Arial"/>
          <w:color w:val="000000"/>
          <w:sz w:val="22"/>
          <w:szCs w:val="22"/>
        </w:rPr>
        <w:t>identifica que la fuente de financiación del SGP_ Vigencia anterior corresponde a la asignación de salud pública, conducta que contraviene lo dispuesto en la normatividad vigente en relación a la destinación permitida para estos recursos. Adicionalmente se identifica falta de oportunidad en la suscripción del mismo dado que su inicio se dio 5</w:t>
      </w:r>
      <w:r w:rsidR="002930A6">
        <w:rPr>
          <w:rFonts w:ascii="Arial" w:hAnsi="Arial" w:cs="Arial"/>
          <w:color w:val="000000"/>
          <w:sz w:val="22"/>
          <w:szCs w:val="22"/>
        </w:rPr>
        <w:t xml:space="preserve"> de abril de </w:t>
      </w:r>
      <w:r w:rsidRPr="0044100E">
        <w:rPr>
          <w:rFonts w:ascii="Arial" w:hAnsi="Arial" w:cs="Arial"/>
          <w:color w:val="000000"/>
          <w:sz w:val="22"/>
          <w:szCs w:val="22"/>
        </w:rPr>
        <w:t>2021 lo cual es contrario a lo señalado en el artículo 5 de la Resolución 857 de 2020, que señala que una vez la nación gire los recursos del SGP la entidad suscribirá los convenios o contratos correspondientes.</w:t>
      </w:r>
      <w:r w:rsidRPr="0044100E">
        <w:rPr>
          <w:rFonts w:ascii="Arial" w:hAnsi="Arial" w:cs="Arial"/>
          <w:color w:val="000000" w:themeColor="text1"/>
          <w:sz w:val="22"/>
          <w:szCs w:val="22"/>
        </w:rPr>
        <w:t> </w:t>
      </w:r>
    </w:p>
    <w:p w14:paraId="495C36C1" w14:textId="77777777" w:rsidR="00643CE2" w:rsidRPr="0044100E" w:rsidRDefault="00643CE2" w:rsidP="00643CE2">
      <w:pPr>
        <w:jc w:val="both"/>
        <w:rPr>
          <w:rFonts w:ascii="Arial" w:hAnsi="Arial" w:cs="Arial"/>
          <w:color w:val="000000" w:themeColor="text1"/>
          <w:sz w:val="22"/>
          <w:szCs w:val="22"/>
        </w:rPr>
      </w:pPr>
    </w:p>
    <w:p w14:paraId="71AD5377" w14:textId="27D64612" w:rsidR="00643CE2" w:rsidRPr="0044100E" w:rsidRDefault="00643CE2" w:rsidP="00643CE2">
      <w:pPr>
        <w:jc w:val="both"/>
        <w:rPr>
          <w:rFonts w:ascii="Arial" w:hAnsi="Arial" w:cs="Arial"/>
          <w:color w:val="000000" w:themeColor="text1"/>
          <w:sz w:val="22"/>
          <w:szCs w:val="22"/>
        </w:rPr>
      </w:pPr>
      <w:r w:rsidRPr="0044100E">
        <w:rPr>
          <w:rFonts w:ascii="Arial" w:hAnsi="Arial" w:cs="Arial"/>
          <w:color w:val="000000" w:themeColor="text1"/>
          <w:sz w:val="22"/>
          <w:szCs w:val="22"/>
        </w:rPr>
        <w:t xml:space="preserve">En materia de salud pública se identifican debilidades en materia de planeación integral del sector dado que la información reportada en los insumos operativos no es consistente, se distribuyen recursos del SGP- Salud pública para la financiación de procesos de gestión </w:t>
      </w:r>
      <w:r w:rsidRPr="0044100E">
        <w:rPr>
          <w:rFonts w:ascii="Arial" w:hAnsi="Arial" w:cs="Arial"/>
          <w:color w:val="000000" w:themeColor="text1"/>
          <w:sz w:val="22"/>
          <w:szCs w:val="22"/>
        </w:rPr>
        <w:lastRenderedPageBreak/>
        <w:t>que no están permitidos por la normatividad y se planean acciones en el marco de los procesos de gestión no acordes con los productos esperados por el Departamento</w:t>
      </w:r>
      <w:r w:rsidR="009C7544">
        <w:rPr>
          <w:rFonts w:ascii="Arial" w:hAnsi="Arial" w:cs="Arial"/>
          <w:color w:val="000000" w:themeColor="text1"/>
          <w:sz w:val="22"/>
          <w:szCs w:val="22"/>
        </w:rPr>
        <w:t xml:space="preserve"> </w:t>
      </w:r>
      <w:r w:rsidRPr="0044100E">
        <w:rPr>
          <w:rFonts w:ascii="Arial" w:hAnsi="Arial" w:cs="Arial"/>
          <w:color w:val="000000" w:themeColor="text1"/>
          <w:sz w:val="22"/>
          <w:szCs w:val="22"/>
        </w:rPr>
        <w:t>de acuerdo las disposiciones emitidas por el Ministerio de Salud y Protección Social.</w:t>
      </w:r>
    </w:p>
    <w:p w14:paraId="2167F5C4" w14:textId="77777777" w:rsidR="00643CE2" w:rsidRPr="0044100E" w:rsidRDefault="00643CE2" w:rsidP="00643CE2">
      <w:pPr>
        <w:jc w:val="both"/>
        <w:rPr>
          <w:rFonts w:ascii="Arial" w:hAnsi="Arial" w:cs="Arial"/>
          <w:color w:val="000000" w:themeColor="text1"/>
          <w:sz w:val="22"/>
          <w:szCs w:val="22"/>
        </w:rPr>
      </w:pPr>
    </w:p>
    <w:p w14:paraId="2C4C2BA8" w14:textId="229D066A" w:rsidR="00643CE2" w:rsidRPr="0044100E" w:rsidRDefault="00643CE2" w:rsidP="00643CE2">
      <w:pPr>
        <w:jc w:val="both"/>
        <w:rPr>
          <w:rFonts w:ascii="Arial" w:hAnsi="Arial" w:cs="Arial"/>
          <w:color w:val="000000" w:themeColor="text1"/>
          <w:sz w:val="22"/>
          <w:szCs w:val="22"/>
        </w:rPr>
      </w:pPr>
      <w:r w:rsidRPr="0044100E">
        <w:rPr>
          <w:rFonts w:ascii="Arial" w:hAnsi="Arial" w:cs="Arial"/>
          <w:color w:val="000000" w:themeColor="text1"/>
          <w:sz w:val="22"/>
          <w:szCs w:val="22"/>
        </w:rPr>
        <w:t xml:space="preserve">De igual forma, en relación a la ejecución de los recursos del SGP- Salud Pública dirigidos al Plan de Intervenciones Colectivas se evidenció la falta de oportunidad en la suscripción del convenio con la ESE San </w:t>
      </w:r>
      <w:r w:rsidR="006226E4" w:rsidRPr="0044100E">
        <w:rPr>
          <w:rFonts w:ascii="Arial" w:hAnsi="Arial" w:cs="Arial"/>
          <w:color w:val="000000" w:themeColor="text1"/>
          <w:sz w:val="22"/>
          <w:szCs w:val="22"/>
        </w:rPr>
        <w:t>Antonio</w:t>
      </w:r>
      <w:r w:rsidRPr="0044100E">
        <w:rPr>
          <w:rFonts w:ascii="Arial" w:hAnsi="Arial" w:cs="Arial"/>
          <w:color w:val="000000" w:themeColor="text1"/>
          <w:sz w:val="22"/>
          <w:szCs w:val="22"/>
        </w:rPr>
        <w:t xml:space="preserve">, se identificaron diferencias entre los recursos comprometidos en el marco del convenio y lo reportado en las ejecuciones presupuestales y no se da total cumplimiento a lo dispuesto en la Resolución 3280 de 2018 en relación al contenido que deben tener los convenios que se suscriban. Frente a la ejecución del componente de gestión, de igual forma se evidencia falta de oportunidad en la contratación para el desarrollo de las acciones, así como también relaciones contractuales que discrepan de lo establecido en la normatividad frente al uso permitido de los recursos del SGP- Salud. </w:t>
      </w:r>
    </w:p>
    <w:p w14:paraId="0133A281" w14:textId="77777777" w:rsidR="00643CE2" w:rsidRPr="0044100E" w:rsidRDefault="00643CE2" w:rsidP="00643CE2">
      <w:pPr>
        <w:jc w:val="both"/>
        <w:rPr>
          <w:rFonts w:ascii="Arial" w:hAnsi="Arial" w:cs="Arial"/>
          <w:color w:val="000000" w:themeColor="text1"/>
          <w:sz w:val="22"/>
          <w:szCs w:val="22"/>
        </w:rPr>
      </w:pPr>
    </w:p>
    <w:p w14:paraId="34EDD381" w14:textId="7C05B1FA"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En relación a las competencias del Departamento frente a la red nacional de Laboratorios de Salud Pública, no se evidencia su cumplimiento toda vez que la </w:t>
      </w:r>
      <w:r w:rsidR="00E1019B">
        <w:rPr>
          <w:rFonts w:ascii="Arial" w:hAnsi="Arial" w:cs="Arial"/>
          <w:sz w:val="22"/>
          <w:szCs w:val="22"/>
        </w:rPr>
        <w:t>E</w:t>
      </w:r>
      <w:r w:rsidRPr="0044100E">
        <w:rPr>
          <w:rFonts w:ascii="Arial" w:hAnsi="Arial" w:cs="Arial"/>
          <w:sz w:val="22"/>
          <w:szCs w:val="22"/>
        </w:rPr>
        <w:t xml:space="preserve">ntidad </w:t>
      </w:r>
      <w:r w:rsidR="00E1019B">
        <w:rPr>
          <w:rFonts w:ascii="Arial" w:hAnsi="Arial" w:cs="Arial"/>
          <w:sz w:val="22"/>
          <w:szCs w:val="22"/>
        </w:rPr>
        <w:t>T</w:t>
      </w:r>
      <w:r w:rsidRPr="0044100E">
        <w:rPr>
          <w:rFonts w:ascii="Arial" w:hAnsi="Arial" w:cs="Arial"/>
          <w:sz w:val="22"/>
          <w:szCs w:val="22"/>
        </w:rPr>
        <w:t>erritorial no aporta la información requerida, lo cual impide además validar su impacto frente al propósito que establece el gobierno nacional para fortalecer la vigilancia en salud pública, la gestión de calidad, la prestación de servicios y la investigación.</w:t>
      </w:r>
    </w:p>
    <w:p w14:paraId="22D7CEE3" w14:textId="77777777" w:rsidR="00643CE2" w:rsidRPr="0044100E" w:rsidRDefault="00643CE2" w:rsidP="00643CE2">
      <w:pPr>
        <w:jc w:val="both"/>
        <w:rPr>
          <w:rFonts w:ascii="Arial" w:hAnsi="Arial" w:cs="Arial"/>
          <w:sz w:val="22"/>
          <w:szCs w:val="22"/>
        </w:rPr>
      </w:pPr>
    </w:p>
    <w:p w14:paraId="4C28A355" w14:textId="27F2D0BD" w:rsidR="00643CE2" w:rsidRPr="0044100E" w:rsidRDefault="00643CE2" w:rsidP="00643CE2">
      <w:pPr>
        <w:jc w:val="both"/>
        <w:rPr>
          <w:rFonts w:ascii="Arial" w:hAnsi="Arial" w:cs="Arial"/>
          <w:sz w:val="22"/>
          <w:szCs w:val="22"/>
        </w:rPr>
      </w:pPr>
      <w:r w:rsidRPr="0044100E">
        <w:rPr>
          <w:rFonts w:ascii="Arial" w:hAnsi="Arial" w:cs="Arial"/>
          <w:sz w:val="22"/>
          <w:szCs w:val="22"/>
        </w:rPr>
        <w:t xml:space="preserve">Por otro lado, de acuerdo con el Informe de laboratorios de Salud Pública correspondiente a la vigencia 2020 expedido por el Ministerio de Salud y Protección se </w:t>
      </w:r>
      <w:r w:rsidR="00AA720A" w:rsidRPr="0044100E">
        <w:rPr>
          <w:rFonts w:ascii="Arial" w:hAnsi="Arial" w:cs="Arial"/>
          <w:sz w:val="22"/>
          <w:szCs w:val="22"/>
        </w:rPr>
        <w:t xml:space="preserve">identifica </w:t>
      </w:r>
      <w:r w:rsidRPr="0044100E">
        <w:rPr>
          <w:rFonts w:ascii="Arial" w:hAnsi="Arial" w:cs="Arial"/>
          <w:sz w:val="22"/>
          <w:szCs w:val="22"/>
        </w:rPr>
        <w:t>que el laboratorio de salud pública Departamental no cumple con los estándares de calidad establecidos por el INS y el INVIMA en materia de vigilancia de la salud pública y vigilancia sanitaria.</w:t>
      </w:r>
    </w:p>
    <w:p w14:paraId="4E0ED34D" w14:textId="77777777" w:rsidR="00643CE2" w:rsidRPr="0044100E" w:rsidRDefault="00643CE2" w:rsidP="00643CE2">
      <w:pPr>
        <w:jc w:val="both"/>
        <w:rPr>
          <w:rFonts w:ascii="Arial" w:hAnsi="Arial" w:cs="Arial"/>
          <w:color w:val="000000" w:themeColor="text1"/>
          <w:sz w:val="22"/>
          <w:szCs w:val="22"/>
        </w:rPr>
      </w:pPr>
    </w:p>
    <w:p w14:paraId="29CD03D8" w14:textId="1F9806A2" w:rsidR="00643CE2" w:rsidRPr="0044100E" w:rsidRDefault="00643CE2" w:rsidP="00643CE2">
      <w:pPr>
        <w:jc w:val="both"/>
        <w:rPr>
          <w:rFonts w:ascii="Arial" w:eastAsiaTheme="minorHAnsi" w:hAnsi="Arial" w:cs="Arial"/>
          <w:sz w:val="22"/>
          <w:szCs w:val="22"/>
          <w:lang w:val="es-CO" w:eastAsia="en-US"/>
        </w:rPr>
      </w:pPr>
      <w:r w:rsidRPr="00D507C3">
        <w:rPr>
          <w:rFonts w:ascii="Arial" w:hAnsi="Arial" w:cs="Arial"/>
          <w:color w:val="000000" w:themeColor="text1"/>
          <w:sz w:val="22"/>
          <w:szCs w:val="22"/>
        </w:rPr>
        <w:t xml:space="preserve">Conforme la información jurídica presentada se identifica que </w:t>
      </w:r>
      <w:r w:rsidRPr="00D507C3">
        <w:rPr>
          <w:rFonts w:ascii="Arial" w:eastAsiaTheme="minorHAnsi" w:hAnsi="Arial" w:cs="Arial"/>
          <w:sz w:val="22"/>
          <w:szCs w:val="22"/>
          <w:lang w:val="es-CO" w:eastAsia="en-US"/>
        </w:rPr>
        <w:t>los recursos de las cuentas maestras del Fondo Local de Salud no tienen afectación por concepto de medidas cautelares (embargos) y</w:t>
      </w:r>
      <w:r w:rsidR="009C7544" w:rsidRPr="00D507C3">
        <w:rPr>
          <w:rFonts w:ascii="Arial" w:eastAsiaTheme="minorHAnsi" w:hAnsi="Arial" w:cs="Arial"/>
          <w:sz w:val="22"/>
          <w:szCs w:val="22"/>
          <w:lang w:val="es-CO" w:eastAsia="en-US"/>
        </w:rPr>
        <w:t xml:space="preserve"> </w:t>
      </w:r>
      <w:r w:rsidRPr="00D507C3">
        <w:rPr>
          <w:rFonts w:ascii="Arial" w:eastAsiaTheme="minorHAnsi" w:hAnsi="Arial" w:cs="Arial"/>
          <w:sz w:val="22"/>
          <w:szCs w:val="22"/>
          <w:lang w:val="es-CO" w:eastAsia="en-US"/>
        </w:rPr>
        <w:t xml:space="preserve">toda vez que la totalidad de los procesos que cursan en contra de la entidad territorial relacionados con el sector salud corresponden a Reparación Directa, es posible inferir que no </w:t>
      </w:r>
      <w:r w:rsidR="00D507C3">
        <w:rPr>
          <w:rFonts w:ascii="Arial" w:eastAsiaTheme="minorHAnsi" w:hAnsi="Arial" w:cs="Arial"/>
          <w:sz w:val="22"/>
          <w:szCs w:val="22"/>
          <w:lang w:val="es-CO" w:eastAsia="en-US"/>
        </w:rPr>
        <w:t>se identifica</w:t>
      </w:r>
      <w:r w:rsidRPr="00D507C3">
        <w:rPr>
          <w:rFonts w:ascii="Arial" w:eastAsiaTheme="minorHAnsi" w:hAnsi="Arial" w:cs="Arial"/>
          <w:sz w:val="22"/>
          <w:szCs w:val="22"/>
          <w:lang w:val="es-CO" w:eastAsia="en-US"/>
        </w:rPr>
        <w:t xml:space="preserve"> un riesgo jurídico directo para la </w:t>
      </w:r>
      <w:r w:rsidR="00D507C3">
        <w:rPr>
          <w:rFonts w:ascii="Arial" w:eastAsiaTheme="minorHAnsi" w:hAnsi="Arial" w:cs="Arial"/>
          <w:sz w:val="22"/>
          <w:szCs w:val="22"/>
          <w:lang w:val="es-CO" w:eastAsia="en-US"/>
        </w:rPr>
        <w:t>E</w:t>
      </w:r>
      <w:r w:rsidRPr="00D507C3">
        <w:rPr>
          <w:rFonts w:ascii="Arial" w:eastAsiaTheme="minorHAnsi" w:hAnsi="Arial" w:cs="Arial"/>
          <w:sz w:val="22"/>
          <w:szCs w:val="22"/>
          <w:lang w:val="es-CO" w:eastAsia="en-US"/>
        </w:rPr>
        <w:t xml:space="preserve">ntidad </w:t>
      </w:r>
      <w:r w:rsidR="00D507C3">
        <w:rPr>
          <w:rFonts w:ascii="Arial" w:eastAsiaTheme="minorHAnsi" w:hAnsi="Arial" w:cs="Arial"/>
          <w:sz w:val="22"/>
          <w:szCs w:val="22"/>
          <w:lang w:val="es-CO" w:eastAsia="en-US"/>
        </w:rPr>
        <w:t>T</w:t>
      </w:r>
      <w:r w:rsidRPr="00D507C3">
        <w:rPr>
          <w:rFonts w:ascii="Arial" w:eastAsiaTheme="minorHAnsi" w:hAnsi="Arial" w:cs="Arial"/>
          <w:sz w:val="22"/>
          <w:szCs w:val="22"/>
          <w:lang w:val="es-CO" w:eastAsia="en-US"/>
        </w:rPr>
        <w:t>erritorial en razón a que la carga del resultado del proceso recae en un tercero.</w:t>
      </w:r>
      <w:r w:rsidR="009C7544">
        <w:rPr>
          <w:rFonts w:ascii="Arial" w:eastAsiaTheme="minorHAnsi" w:hAnsi="Arial" w:cs="Arial"/>
          <w:sz w:val="22"/>
          <w:szCs w:val="22"/>
          <w:lang w:val="es-CO" w:eastAsia="en-US"/>
        </w:rPr>
        <w:t xml:space="preserve"> </w:t>
      </w:r>
    </w:p>
    <w:p w14:paraId="39194B43" w14:textId="77777777" w:rsidR="00643CE2" w:rsidRPr="0044100E" w:rsidRDefault="00643CE2" w:rsidP="00643CE2">
      <w:pPr>
        <w:jc w:val="both"/>
        <w:rPr>
          <w:rFonts w:ascii="Arial" w:hAnsi="Arial" w:cs="Arial"/>
          <w:color w:val="000000"/>
        </w:rPr>
      </w:pPr>
    </w:p>
    <w:p w14:paraId="1A69225B" w14:textId="32AD5F9A" w:rsidR="00643CE2" w:rsidRPr="0044100E" w:rsidRDefault="00643CE2" w:rsidP="00643CE2">
      <w:pPr>
        <w:jc w:val="both"/>
        <w:rPr>
          <w:rFonts w:ascii="Arial" w:hAnsi="Arial" w:cs="Arial"/>
          <w:color w:val="000000"/>
          <w:sz w:val="22"/>
          <w:szCs w:val="22"/>
        </w:rPr>
      </w:pPr>
      <w:r w:rsidRPr="0044100E">
        <w:rPr>
          <w:rFonts w:ascii="Arial" w:hAnsi="Arial" w:cs="Arial"/>
          <w:color w:val="000000"/>
          <w:sz w:val="22"/>
          <w:szCs w:val="22"/>
        </w:rPr>
        <w:t>Finalmente, de acuerdo con las situaciones expuest</w:t>
      </w:r>
      <w:r w:rsidR="00455912">
        <w:rPr>
          <w:rFonts w:ascii="Arial" w:hAnsi="Arial" w:cs="Arial"/>
          <w:color w:val="000000"/>
          <w:sz w:val="22"/>
          <w:szCs w:val="22"/>
        </w:rPr>
        <w:t>as, se recomienda adelantar un</w:t>
      </w:r>
      <w:r w:rsidRPr="0044100E">
        <w:rPr>
          <w:rFonts w:ascii="Arial" w:hAnsi="Arial" w:cs="Arial"/>
          <w:color w:val="000000"/>
          <w:sz w:val="22"/>
          <w:szCs w:val="22"/>
        </w:rPr>
        <w:t xml:space="preserve"> reconocimiento institucional al </w:t>
      </w:r>
      <w:r w:rsidR="00E1019B">
        <w:rPr>
          <w:rFonts w:ascii="Arial" w:hAnsi="Arial" w:cs="Arial"/>
          <w:color w:val="000000"/>
          <w:sz w:val="22"/>
          <w:szCs w:val="22"/>
        </w:rPr>
        <w:t>D</w:t>
      </w:r>
      <w:r w:rsidRPr="0044100E">
        <w:rPr>
          <w:rFonts w:ascii="Arial" w:hAnsi="Arial" w:cs="Arial"/>
          <w:color w:val="000000"/>
          <w:sz w:val="22"/>
          <w:szCs w:val="22"/>
        </w:rPr>
        <w:t xml:space="preserve">epartamento con el propósito de </w:t>
      </w:r>
      <w:r w:rsidR="001846CC" w:rsidRPr="0044100E">
        <w:rPr>
          <w:rFonts w:ascii="Arial" w:hAnsi="Arial" w:cs="Arial"/>
          <w:color w:val="000000"/>
          <w:sz w:val="22"/>
          <w:szCs w:val="22"/>
        </w:rPr>
        <w:t xml:space="preserve">complementar información, </w:t>
      </w:r>
      <w:r w:rsidRPr="0044100E">
        <w:rPr>
          <w:rFonts w:ascii="Arial" w:hAnsi="Arial" w:cs="Arial"/>
          <w:color w:val="000000"/>
          <w:sz w:val="22"/>
          <w:szCs w:val="22"/>
        </w:rPr>
        <w:t>validar las situaciones de riesgo descritas e identificar sobrevinientes y en ese sentido, determinar la pertinencia de adoptar medidas en aplicación a lo dispuesto en el Decreto 028 de 2008.</w:t>
      </w:r>
    </w:p>
    <w:p w14:paraId="4E57CECE" w14:textId="77777777" w:rsidR="00643CE2" w:rsidRPr="0044100E" w:rsidRDefault="00643CE2" w:rsidP="00643CE2">
      <w:pPr>
        <w:pStyle w:val="default0"/>
        <w:jc w:val="both"/>
        <w:rPr>
          <w:rFonts w:ascii="Arial" w:hAnsi="Arial" w:cs="Arial"/>
          <w:color w:val="000000"/>
        </w:rPr>
      </w:pPr>
      <w:r w:rsidRPr="0044100E">
        <w:rPr>
          <w:rFonts w:ascii="Arial" w:hAnsi="Arial" w:cs="Arial"/>
          <w:sz w:val="22"/>
          <w:szCs w:val="22"/>
        </w:rPr>
        <w:t> </w:t>
      </w:r>
    </w:p>
    <w:p w14:paraId="19A59532" w14:textId="77777777" w:rsidR="00643CE2" w:rsidRPr="0044100E" w:rsidRDefault="00643CE2" w:rsidP="00643CE2">
      <w:pPr>
        <w:rPr>
          <w:rFonts w:ascii="Arial" w:eastAsia="Times New Roman" w:hAnsi="Arial" w:cs="Arial"/>
          <w:color w:val="000000"/>
        </w:rPr>
      </w:pPr>
    </w:p>
    <w:p w14:paraId="00596946" w14:textId="77777777" w:rsidR="00643CE2" w:rsidRPr="0044100E" w:rsidRDefault="00643CE2" w:rsidP="00643CE2">
      <w:pPr>
        <w:jc w:val="both"/>
        <w:rPr>
          <w:rFonts w:ascii="Arial" w:eastAsia="Times New Roman" w:hAnsi="Arial" w:cs="Arial"/>
          <w:sz w:val="16"/>
          <w:szCs w:val="18"/>
          <w:lang w:eastAsia="en-US"/>
        </w:rPr>
      </w:pPr>
      <w:r w:rsidRPr="0044100E">
        <w:rPr>
          <w:rFonts w:ascii="Arial" w:eastAsia="Times New Roman" w:hAnsi="Arial" w:cs="Arial"/>
          <w:b/>
          <w:sz w:val="16"/>
          <w:szCs w:val="18"/>
          <w:lang w:eastAsia="en-US"/>
        </w:rPr>
        <w:t>Aprobó</w:t>
      </w:r>
      <w:r w:rsidRPr="0044100E">
        <w:rPr>
          <w:rFonts w:ascii="Arial" w:eastAsia="Times New Roman" w:hAnsi="Arial" w:cs="Arial"/>
          <w:sz w:val="16"/>
          <w:szCs w:val="18"/>
          <w:lang w:eastAsia="en-US"/>
        </w:rPr>
        <w:t xml:space="preserve">: Fernando Olivera </w:t>
      </w:r>
    </w:p>
    <w:p w14:paraId="01284833" w14:textId="77777777" w:rsidR="00643CE2" w:rsidRPr="0044100E" w:rsidRDefault="00643CE2" w:rsidP="00643CE2">
      <w:pPr>
        <w:jc w:val="both"/>
        <w:rPr>
          <w:rFonts w:ascii="Arial" w:eastAsia="Times New Roman" w:hAnsi="Arial" w:cs="Arial"/>
          <w:sz w:val="16"/>
          <w:szCs w:val="18"/>
          <w:lang w:eastAsia="en-US"/>
        </w:rPr>
      </w:pPr>
      <w:r w:rsidRPr="0044100E">
        <w:rPr>
          <w:rFonts w:ascii="Arial" w:eastAsia="Times New Roman" w:hAnsi="Arial" w:cs="Arial"/>
          <w:b/>
          <w:sz w:val="16"/>
          <w:szCs w:val="18"/>
          <w:lang w:eastAsia="en-US"/>
        </w:rPr>
        <w:t>Revisión Jurídica</w:t>
      </w:r>
      <w:r w:rsidRPr="0044100E">
        <w:rPr>
          <w:rFonts w:ascii="Arial" w:eastAsia="Times New Roman" w:hAnsi="Arial" w:cs="Arial"/>
          <w:sz w:val="16"/>
          <w:szCs w:val="18"/>
          <w:lang w:eastAsia="en-US"/>
        </w:rPr>
        <w:t>: María Adelaida Berdugo</w:t>
      </w:r>
    </w:p>
    <w:p w14:paraId="01666EA0" w14:textId="77777777" w:rsidR="00643CE2" w:rsidRPr="0044100E" w:rsidRDefault="00643CE2" w:rsidP="00643CE2">
      <w:pPr>
        <w:jc w:val="both"/>
        <w:rPr>
          <w:rFonts w:ascii="Arial" w:eastAsia="Times New Roman" w:hAnsi="Arial" w:cs="Arial"/>
          <w:sz w:val="16"/>
          <w:szCs w:val="18"/>
          <w:lang w:eastAsia="en-US"/>
        </w:rPr>
      </w:pPr>
      <w:r w:rsidRPr="0044100E">
        <w:rPr>
          <w:rFonts w:ascii="Arial" w:eastAsia="Times New Roman" w:hAnsi="Arial" w:cs="Arial"/>
          <w:b/>
          <w:sz w:val="16"/>
          <w:szCs w:val="18"/>
          <w:lang w:eastAsia="en-US"/>
        </w:rPr>
        <w:t>Revisión Técnica</w:t>
      </w:r>
      <w:r w:rsidRPr="0044100E">
        <w:rPr>
          <w:rFonts w:ascii="Arial" w:eastAsia="Times New Roman" w:hAnsi="Arial" w:cs="Arial"/>
          <w:sz w:val="16"/>
          <w:szCs w:val="18"/>
          <w:lang w:eastAsia="en-US"/>
        </w:rPr>
        <w:t>: Patricia Peña</w:t>
      </w:r>
    </w:p>
    <w:p w14:paraId="51AEA469" w14:textId="77777777" w:rsidR="00643CE2" w:rsidRPr="0044100E" w:rsidRDefault="00643CE2" w:rsidP="00643CE2">
      <w:pPr>
        <w:jc w:val="both"/>
        <w:rPr>
          <w:rFonts w:ascii="Arial" w:eastAsia="Times New Roman" w:hAnsi="Arial" w:cs="Arial"/>
          <w:sz w:val="16"/>
          <w:szCs w:val="18"/>
          <w:lang w:eastAsia="en-US"/>
        </w:rPr>
      </w:pPr>
      <w:r w:rsidRPr="0044100E">
        <w:rPr>
          <w:rFonts w:ascii="Arial" w:eastAsia="Times New Roman" w:hAnsi="Arial" w:cs="Arial"/>
          <w:b/>
          <w:sz w:val="16"/>
          <w:szCs w:val="18"/>
          <w:lang w:eastAsia="en-US"/>
        </w:rPr>
        <w:t>Elaboró</w:t>
      </w:r>
      <w:r w:rsidRPr="0044100E">
        <w:rPr>
          <w:rFonts w:ascii="Arial" w:eastAsia="Times New Roman" w:hAnsi="Arial" w:cs="Arial"/>
          <w:sz w:val="16"/>
          <w:szCs w:val="18"/>
          <w:lang w:eastAsia="en-US"/>
        </w:rPr>
        <w:t>: Alejandro Valencia / Patricia Peña</w:t>
      </w:r>
    </w:p>
    <w:sectPr w:rsidR="00643CE2" w:rsidRPr="0044100E" w:rsidSect="004E432F">
      <w:headerReference w:type="default" r:id="rId22"/>
      <w:footerReference w:type="default" r:id="rId23"/>
      <w:headerReference w:type="first" r:id="rId24"/>
      <w:footerReference w:type="first" r:id="rId25"/>
      <w:pgSz w:w="12240" w:h="15840" w:code="1"/>
      <w:pgMar w:top="1985" w:right="1701" w:bottom="1701" w:left="1701" w:header="284"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2DCB" w16cex:dateUtc="2021-11-10T16:38:00Z"/>
  <w16cex:commentExtensible w16cex:durableId="25362E76" w16cex:dateUtc="2021-11-10T16:41:00Z"/>
  <w16cex:commentExtensible w16cex:durableId="253638B2" w16cex:dateUtc="2021-11-10T1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7D7390" w16cid:durableId="25362DCB"/>
  <w16cid:commentId w16cid:paraId="53EFED59" w16cid:durableId="25362E76"/>
  <w16cid:commentId w16cid:paraId="76850ED3" w16cid:durableId="253638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895F5" w14:textId="77777777" w:rsidR="007319A1" w:rsidRDefault="007319A1" w:rsidP="00F71345">
      <w:r>
        <w:separator/>
      </w:r>
    </w:p>
  </w:endnote>
  <w:endnote w:type="continuationSeparator" w:id="0">
    <w:p w14:paraId="7FCD05D1" w14:textId="77777777" w:rsidR="007319A1" w:rsidRDefault="007319A1"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A1C71" w14:textId="4A42EA46" w:rsidR="00126909" w:rsidRPr="007E345D" w:rsidRDefault="00126909" w:rsidP="007E345D">
    <w:pPr>
      <w:pStyle w:val="Piedepgina"/>
    </w:pPr>
    <w:r w:rsidRPr="00364B15">
      <w:rPr>
        <w:noProof/>
        <w:lang w:eastAsia="es-CO"/>
      </w:rPr>
      <w:drawing>
        <wp:inline distT="0" distB="0" distL="0" distR="0" wp14:anchorId="0422541A" wp14:editId="340126AA">
          <wp:extent cx="3399155" cy="981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94046" w14:textId="0625C97B" w:rsidR="00126909" w:rsidRPr="00F01F75" w:rsidRDefault="00126909" w:rsidP="00F01F75">
    <w:pPr>
      <w:pStyle w:val="Piedepgina"/>
    </w:pPr>
    <w:r w:rsidRPr="00364B15">
      <w:rPr>
        <w:noProof/>
        <w:lang w:eastAsia="es-CO"/>
      </w:rPr>
      <w:drawing>
        <wp:inline distT="0" distB="0" distL="0" distR="0" wp14:anchorId="72AF1998" wp14:editId="4275D8F9">
          <wp:extent cx="3399155" cy="981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030D2" w14:textId="77777777" w:rsidR="007319A1" w:rsidRDefault="007319A1" w:rsidP="00F71345">
      <w:r>
        <w:separator/>
      </w:r>
    </w:p>
  </w:footnote>
  <w:footnote w:type="continuationSeparator" w:id="0">
    <w:p w14:paraId="0940327D" w14:textId="77777777" w:rsidR="007319A1" w:rsidRDefault="007319A1" w:rsidP="00F71345">
      <w:r>
        <w:continuationSeparator/>
      </w:r>
    </w:p>
  </w:footnote>
  <w:footnote w:id="1">
    <w:p w14:paraId="2AE2B94C" w14:textId="7CE6B0A5" w:rsidR="00126909" w:rsidRDefault="00126909" w:rsidP="00643CE2">
      <w:pPr>
        <w:pStyle w:val="Textonotapie"/>
        <w:rPr>
          <w:lang w:val="es-CO"/>
        </w:rPr>
      </w:pPr>
      <w:r>
        <w:rPr>
          <w:rStyle w:val="Refdenotaalpie"/>
        </w:rPr>
        <w:footnoteRef/>
      </w:r>
      <w:r>
        <w:t xml:space="preserve"> </w:t>
      </w:r>
      <w:r>
        <w:rPr>
          <w:rFonts w:ascii="Arial Narrow" w:hAnsi="Arial Narrow"/>
          <w:sz w:val="16"/>
          <w:szCs w:val="16"/>
          <w:lang w:val="es-CO"/>
        </w:rPr>
        <w:t>Información tomada del Informe de Viabilidad Fiscal del Departamento del Vaupés a diciembre 2020 de la DAF/MHCP.</w:t>
      </w:r>
    </w:p>
  </w:footnote>
  <w:footnote w:id="2">
    <w:p w14:paraId="1E119FCD" w14:textId="77777777" w:rsidR="00126909" w:rsidRPr="009B0AC1" w:rsidRDefault="00126909" w:rsidP="009B0AC1">
      <w:pPr>
        <w:pStyle w:val="Textonotapie"/>
        <w:jc w:val="both"/>
        <w:rPr>
          <w:rFonts w:ascii="Arial" w:hAnsi="Arial" w:cs="Arial"/>
          <w:sz w:val="16"/>
          <w:szCs w:val="16"/>
          <w:lang w:val="es-MX"/>
        </w:rPr>
      </w:pPr>
      <w:r w:rsidRPr="009B0AC1">
        <w:rPr>
          <w:rStyle w:val="Refdenotaalpie"/>
          <w:rFonts w:ascii="Arial" w:hAnsi="Arial" w:cs="Arial"/>
          <w:sz w:val="16"/>
          <w:szCs w:val="16"/>
        </w:rPr>
        <w:footnoteRef/>
      </w:r>
      <w:r w:rsidRPr="009B0AC1">
        <w:rPr>
          <w:rFonts w:ascii="Arial" w:hAnsi="Arial" w:cs="Arial"/>
          <w:sz w:val="16"/>
          <w:szCs w:val="16"/>
        </w:rPr>
        <w:t xml:space="preserve"> </w:t>
      </w:r>
      <w:r w:rsidRPr="009B0AC1">
        <w:rPr>
          <w:rFonts w:ascii="Arial" w:hAnsi="Arial" w:cs="Arial"/>
          <w:sz w:val="16"/>
          <w:szCs w:val="16"/>
          <w:lang w:val="es-MX"/>
        </w:rPr>
        <w:t>Valor programado/valor ejecutado.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1102B" w14:textId="77777777" w:rsidR="00126909" w:rsidRDefault="00126909" w:rsidP="00643CE2">
    <w:pPr>
      <w:rPr>
        <w:rFonts w:ascii="Arial" w:hAnsi="Arial" w:cs="Arial"/>
        <w:sz w:val="16"/>
        <w:szCs w:val="16"/>
      </w:rPr>
    </w:pPr>
    <w:r>
      <w:rPr>
        <w:noProof/>
        <w:lang w:val="es-CO" w:eastAsia="es-CO"/>
      </w:rPr>
      <w:drawing>
        <wp:anchor distT="0" distB="0" distL="114300" distR="114300" simplePos="0" relativeHeight="251661312" behindDoc="0" locked="0" layoutInCell="1" allowOverlap="1" wp14:anchorId="1A077DA6" wp14:editId="2C6C01E1">
          <wp:simplePos x="0" y="0"/>
          <wp:positionH relativeFrom="column">
            <wp:posOffset>-289560</wp:posOffset>
          </wp:positionH>
          <wp:positionV relativeFrom="paragraph">
            <wp:posOffset>114935</wp:posOffset>
          </wp:positionV>
          <wp:extent cx="3088005" cy="504825"/>
          <wp:effectExtent l="0" t="0" r="0" b="9525"/>
          <wp:wrapTopAndBottom/>
          <wp:docPr id="15" name="Imagen 1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3068" t="21424" r="69280" b="73446"/>
                  <a:stretch/>
                </pic:blipFill>
                <pic:spPr bwMode="auto">
                  <a:xfrm>
                    <a:off x="0" y="0"/>
                    <a:ext cx="3088005" cy="504825"/>
                  </a:xfrm>
                  <a:prstGeom prst="rect">
                    <a:avLst/>
                  </a:prstGeom>
                  <a:ln>
                    <a:noFill/>
                  </a:ln>
                  <a:extLst>
                    <a:ext uri="{53640926-AAD7-44D8-BBD7-CCE9431645EC}">
                      <a14:shadowObscured xmlns:a14="http://schemas.microsoft.com/office/drawing/2010/main"/>
                    </a:ext>
                  </a:extLst>
                </pic:spPr>
              </pic:pic>
            </a:graphicData>
          </a:graphic>
        </wp:anchor>
      </w:drawing>
    </w:r>
  </w:p>
  <w:p w14:paraId="35A640B3" w14:textId="77777777" w:rsidR="00126909" w:rsidRDefault="00126909" w:rsidP="00F01F75">
    <w:pPr>
      <w:pStyle w:val="Encabezado"/>
      <w:rPr>
        <w:rFonts w:ascii="Arial" w:hAnsi="Arial" w:cs="Arial"/>
        <w:sz w:val="16"/>
        <w:szCs w:val="16"/>
      </w:rPr>
    </w:pPr>
  </w:p>
  <w:p w14:paraId="460CEF44" w14:textId="77777777" w:rsidR="00126909" w:rsidRDefault="00126909" w:rsidP="00F01F75">
    <w:pPr>
      <w:pStyle w:val="Encabezado"/>
      <w:rPr>
        <w:rFonts w:ascii="Arial" w:hAnsi="Arial" w:cs="Arial"/>
        <w:sz w:val="16"/>
        <w:szCs w:val="16"/>
      </w:rPr>
    </w:pPr>
  </w:p>
  <w:p w14:paraId="7943CE2E" w14:textId="036875F7" w:rsidR="00126909" w:rsidRPr="00F01F75" w:rsidRDefault="00126909" w:rsidP="00F01F75">
    <w:pPr>
      <w:pStyle w:val="Encabezado"/>
      <w:rPr>
        <w:rFonts w:ascii="Arial" w:hAnsi="Arial" w:cs="Arial"/>
        <w:sz w:val="16"/>
        <w:szCs w:val="16"/>
      </w:rPr>
    </w:pPr>
    <w:r w:rsidRPr="00F01F75">
      <w:rPr>
        <w:rFonts w:ascii="Arial" w:hAnsi="Arial" w:cs="Arial"/>
        <w:sz w:val="16"/>
        <w:szCs w:val="16"/>
      </w:rPr>
      <w:t>Continuación oficio</w:t>
    </w:r>
    <w:r>
      <w:rPr>
        <w:rFonts w:ascii="Arial" w:hAnsi="Arial" w:cs="Arial"/>
        <w:sz w:val="16"/>
        <w:szCs w:val="16"/>
      </w:rPr>
      <w:t xml:space="preserve"> </w:t>
    </w:r>
    <w:r w:rsidRPr="007E345D">
      <w:rPr>
        <w:rFonts w:ascii="Arial" w:hAnsi="Arial" w:cs="Arial"/>
        <w:sz w:val="16"/>
        <w:szCs w:val="16"/>
      </w:rPr>
      <w:t>INFORME DE PREDIAGNÓSTICO</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1010E7">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1010E7">
      <w:rPr>
        <w:rStyle w:val="Nmerodepgina"/>
        <w:rFonts w:ascii="Arial" w:hAnsi="Arial" w:cs="Arial"/>
        <w:noProof/>
        <w:sz w:val="16"/>
        <w:szCs w:val="16"/>
      </w:rPr>
      <w:t>33</w:t>
    </w:r>
    <w:r w:rsidRPr="00F01F75">
      <w:rPr>
        <w:rStyle w:val="Nmerodepgina"/>
        <w:rFonts w:ascii="Arial" w:hAnsi="Arial" w:cs="Arial"/>
        <w:sz w:val="16"/>
        <w:szCs w:val="16"/>
      </w:rPr>
      <w:fldChar w:fldCharType="end"/>
    </w:r>
  </w:p>
  <w:p w14:paraId="3949A9AE" w14:textId="77777777" w:rsidR="00126909" w:rsidRPr="00F01F75" w:rsidRDefault="00126909">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D9943" w14:textId="77777777" w:rsidR="00126909" w:rsidRDefault="00126909" w:rsidP="001339E2">
    <w:pPr>
      <w:pStyle w:val="Encabezado"/>
      <w:jc w:val="right"/>
    </w:pPr>
    <w:r>
      <w:rPr>
        <w:noProof/>
        <w:lang w:eastAsia="es-CO"/>
      </w:rPr>
      <w:drawing>
        <wp:anchor distT="0" distB="0" distL="114300" distR="114300" simplePos="0" relativeHeight="251660288" behindDoc="0" locked="0" layoutInCell="1" allowOverlap="1" wp14:anchorId="4690CD89" wp14:editId="3C29CE79">
          <wp:simplePos x="0" y="0"/>
          <wp:positionH relativeFrom="margin">
            <wp:align>left</wp:align>
          </wp:positionH>
          <wp:positionV relativeFrom="paragraph">
            <wp:posOffset>29210</wp:posOffset>
          </wp:positionV>
          <wp:extent cx="3088005" cy="504825"/>
          <wp:effectExtent l="0" t="0" r="0" b="9525"/>
          <wp:wrapTopAndBottom/>
          <wp:docPr id="14" name="Imagen 1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3068" t="21424" r="69280" b="73446"/>
                  <a:stretch/>
                </pic:blipFill>
                <pic:spPr bwMode="auto">
                  <a:xfrm>
                    <a:off x="0" y="0"/>
                    <a:ext cx="3088005" cy="50482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113"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0000002"/>
    <w:multiLevelType w:val="multilevel"/>
    <w:tmpl w:val="894EE874"/>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2" w15:restartNumberingAfterBreak="0">
    <w:nsid w:val="00000003"/>
    <w:multiLevelType w:val="multilevel"/>
    <w:tmpl w:val="EBD6F14A"/>
    <w:lvl w:ilvl="0">
      <w:start w:val="1"/>
      <w:numFmt w:val="upperLetter"/>
      <w:lvlText w:val="%1."/>
      <w:lvlJc w:val="left"/>
      <w:pPr>
        <w:tabs>
          <w:tab w:val="num" w:pos="0"/>
        </w:tabs>
        <w:ind w:left="0" w:firstLine="1440"/>
      </w:pPr>
      <w:rPr>
        <w:rFonts w:hint="default"/>
        <w:color w:val="000000"/>
        <w:position w:val="0"/>
        <w:sz w:val="24"/>
      </w:rPr>
    </w:lvl>
    <w:lvl w:ilvl="1">
      <w:start w:val="1"/>
      <w:numFmt w:val="lowerLetter"/>
      <w:suff w:val="nothing"/>
      <w:lvlText w:val="%2."/>
      <w:lvlJc w:val="left"/>
      <w:pPr>
        <w:ind w:left="-360" w:firstLine="2520"/>
      </w:pPr>
      <w:rPr>
        <w:rFonts w:hint="default"/>
        <w:color w:val="000000"/>
        <w:position w:val="0"/>
        <w:sz w:val="24"/>
      </w:rPr>
    </w:lvl>
    <w:lvl w:ilvl="2">
      <w:start w:val="1"/>
      <w:numFmt w:val="lowerRoman"/>
      <w:suff w:val="nothing"/>
      <w:lvlText w:val="%3."/>
      <w:lvlJc w:val="left"/>
      <w:pPr>
        <w:ind w:left="-360" w:firstLine="3240"/>
      </w:pPr>
      <w:rPr>
        <w:rFonts w:hint="default"/>
        <w:color w:val="000000"/>
        <w:position w:val="0"/>
        <w:sz w:val="24"/>
      </w:rPr>
    </w:lvl>
    <w:lvl w:ilvl="3">
      <w:start w:val="1"/>
      <w:numFmt w:val="decimal"/>
      <w:isLgl/>
      <w:suff w:val="nothing"/>
      <w:lvlText w:val="%4."/>
      <w:lvlJc w:val="left"/>
      <w:pPr>
        <w:ind w:left="-360" w:firstLine="3960"/>
      </w:pPr>
      <w:rPr>
        <w:rFonts w:hint="default"/>
        <w:color w:val="000000"/>
        <w:position w:val="0"/>
        <w:sz w:val="24"/>
      </w:rPr>
    </w:lvl>
    <w:lvl w:ilvl="4">
      <w:start w:val="1"/>
      <w:numFmt w:val="lowerLetter"/>
      <w:suff w:val="nothing"/>
      <w:lvlText w:val="%5."/>
      <w:lvlJc w:val="left"/>
      <w:pPr>
        <w:ind w:left="-360" w:firstLine="4680"/>
      </w:pPr>
      <w:rPr>
        <w:rFonts w:hint="default"/>
        <w:color w:val="000000"/>
        <w:position w:val="0"/>
        <w:sz w:val="24"/>
      </w:rPr>
    </w:lvl>
    <w:lvl w:ilvl="5">
      <w:start w:val="1"/>
      <w:numFmt w:val="lowerRoman"/>
      <w:suff w:val="nothing"/>
      <w:lvlText w:val="%6."/>
      <w:lvlJc w:val="left"/>
      <w:pPr>
        <w:ind w:left="-360" w:firstLine="5400"/>
      </w:pPr>
      <w:rPr>
        <w:rFonts w:hint="default"/>
        <w:color w:val="000000"/>
        <w:position w:val="0"/>
        <w:sz w:val="24"/>
      </w:rPr>
    </w:lvl>
    <w:lvl w:ilvl="6">
      <w:start w:val="1"/>
      <w:numFmt w:val="decimal"/>
      <w:isLgl/>
      <w:suff w:val="nothing"/>
      <w:lvlText w:val="%7."/>
      <w:lvlJc w:val="left"/>
      <w:pPr>
        <w:ind w:left="-360" w:firstLine="6120"/>
      </w:pPr>
      <w:rPr>
        <w:rFonts w:hint="default"/>
        <w:color w:val="000000"/>
        <w:position w:val="0"/>
        <w:sz w:val="24"/>
      </w:rPr>
    </w:lvl>
    <w:lvl w:ilvl="7">
      <w:start w:val="1"/>
      <w:numFmt w:val="lowerLetter"/>
      <w:suff w:val="nothing"/>
      <w:lvlText w:val="%8."/>
      <w:lvlJc w:val="left"/>
      <w:pPr>
        <w:ind w:left="-360" w:firstLine="6840"/>
      </w:pPr>
      <w:rPr>
        <w:rFonts w:hint="default"/>
        <w:color w:val="000000"/>
        <w:position w:val="0"/>
        <w:sz w:val="24"/>
      </w:rPr>
    </w:lvl>
    <w:lvl w:ilvl="8">
      <w:start w:val="1"/>
      <w:numFmt w:val="lowerRoman"/>
      <w:suff w:val="nothing"/>
      <w:lvlText w:val="%9."/>
      <w:lvlJc w:val="left"/>
      <w:pPr>
        <w:ind w:left="-360" w:firstLine="7560"/>
      </w:pPr>
      <w:rPr>
        <w:rFonts w:hint="default"/>
        <w:color w:val="000000"/>
        <w:position w:val="0"/>
        <w:sz w:val="24"/>
      </w:rPr>
    </w:lvl>
  </w:abstractNum>
  <w:abstractNum w:abstractNumId="3" w15:restartNumberingAfterBreak="0">
    <w:nsid w:val="00000004"/>
    <w:multiLevelType w:val="multilevel"/>
    <w:tmpl w:val="894EE876"/>
    <w:lvl w:ilvl="0">
      <w:start w:val="3"/>
      <w:numFmt w:val="upperRoman"/>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6" w15:restartNumberingAfterBreak="0">
    <w:nsid w:val="00000008"/>
    <w:multiLevelType w:val="multilevel"/>
    <w:tmpl w:val="894EE87A"/>
    <w:lvl w:ilvl="0">
      <w:start w:val="4"/>
      <w:numFmt w:val="upperRoman"/>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15:restartNumberingAfterBreak="0">
    <w:nsid w:val="007946FF"/>
    <w:multiLevelType w:val="hybridMultilevel"/>
    <w:tmpl w:val="BA48F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526800"/>
    <w:multiLevelType w:val="hybridMultilevel"/>
    <w:tmpl w:val="B37656E4"/>
    <w:lvl w:ilvl="0" w:tplc="23B0932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10EE2A49"/>
    <w:multiLevelType w:val="hybridMultilevel"/>
    <w:tmpl w:val="18D26DF0"/>
    <w:lvl w:ilvl="0" w:tplc="E2044868">
      <w:start w:val="1"/>
      <w:numFmt w:val="decimal"/>
      <w:lvlText w:val="%1)"/>
      <w:lvlJc w:val="left"/>
      <w:pPr>
        <w:ind w:left="1070" w:hanging="360"/>
      </w:pPr>
    </w:lvl>
    <w:lvl w:ilvl="1" w:tplc="240A0019">
      <w:start w:val="1"/>
      <w:numFmt w:val="lowerLetter"/>
      <w:lvlText w:val="%2."/>
      <w:lvlJc w:val="left"/>
      <w:pPr>
        <w:ind w:left="1790" w:hanging="360"/>
      </w:pPr>
    </w:lvl>
    <w:lvl w:ilvl="2" w:tplc="240A001B">
      <w:start w:val="1"/>
      <w:numFmt w:val="lowerRoman"/>
      <w:lvlText w:val="%3."/>
      <w:lvlJc w:val="right"/>
      <w:pPr>
        <w:ind w:left="2510" w:hanging="180"/>
      </w:pPr>
    </w:lvl>
    <w:lvl w:ilvl="3" w:tplc="240A000F">
      <w:start w:val="1"/>
      <w:numFmt w:val="decimal"/>
      <w:lvlText w:val="%4."/>
      <w:lvlJc w:val="left"/>
      <w:pPr>
        <w:ind w:left="3230" w:hanging="360"/>
      </w:pPr>
    </w:lvl>
    <w:lvl w:ilvl="4" w:tplc="240A0019">
      <w:start w:val="1"/>
      <w:numFmt w:val="lowerLetter"/>
      <w:lvlText w:val="%5."/>
      <w:lvlJc w:val="left"/>
      <w:pPr>
        <w:ind w:left="3950" w:hanging="360"/>
      </w:pPr>
    </w:lvl>
    <w:lvl w:ilvl="5" w:tplc="240A001B">
      <w:start w:val="1"/>
      <w:numFmt w:val="lowerRoman"/>
      <w:lvlText w:val="%6."/>
      <w:lvlJc w:val="right"/>
      <w:pPr>
        <w:ind w:left="4670" w:hanging="180"/>
      </w:pPr>
    </w:lvl>
    <w:lvl w:ilvl="6" w:tplc="240A000F">
      <w:start w:val="1"/>
      <w:numFmt w:val="decimal"/>
      <w:lvlText w:val="%7."/>
      <w:lvlJc w:val="left"/>
      <w:pPr>
        <w:ind w:left="5390" w:hanging="360"/>
      </w:pPr>
    </w:lvl>
    <w:lvl w:ilvl="7" w:tplc="240A0019">
      <w:start w:val="1"/>
      <w:numFmt w:val="lowerLetter"/>
      <w:lvlText w:val="%8."/>
      <w:lvlJc w:val="left"/>
      <w:pPr>
        <w:ind w:left="6110" w:hanging="360"/>
      </w:pPr>
    </w:lvl>
    <w:lvl w:ilvl="8" w:tplc="240A001B">
      <w:start w:val="1"/>
      <w:numFmt w:val="lowerRoman"/>
      <w:lvlText w:val="%9."/>
      <w:lvlJc w:val="right"/>
      <w:pPr>
        <w:ind w:left="6830" w:hanging="180"/>
      </w:pPr>
    </w:lvl>
  </w:abstractNum>
  <w:abstractNum w:abstractNumId="10" w15:restartNumberingAfterBreak="0">
    <w:nsid w:val="12696F3C"/>
    <w:multiLevelType w:val="hybridMultilevel"/>
    <w:tmpl w:val="DC843ED6"/>
    <w:lvl w:ilvl="0" w:tplc="E77E82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6D64FE0"/>
    <w:multiLevelType w:val="hybridMultilevel"/>
    <w:tmpl w:val="18D26DF0"/>
    <w:lvl w:ilvl="0" w:tplc="E2044868">
      <w:start w:val="1"/>
      <w:numFmt w:val="decimal"/>
      <w:lvlText w:val="%1)"/>
      <w:lvlJc w:val="left"/>
      <w:pPr>
        <w:ind w:left="1070" w:hanging="360"/>
      </w:pPr>
    </w:lvl>
    <w:lvl w:ilvl="1" w:tplc="240A0019">
      <w:start w:val="1"/>
      <w:numFmt w:val="lowerLetter"/>
      <w:lvlText w:val="%2."/>
      <w:lvlJc w:val="left"/>
      <w:pPr>
        <w:ind w:left="1790" w:hanging="360"/>
      </w:pPr>
    </w:lvl>
    <w:lvl w:ilvl="2" w:tplc="240A001B">
      <w:start w:val="1"/>
      <w:numFmt w:val="lowerRoman"/>
      <w:lvlText w:val="%3."/>
      <w:lvlJc w:val="right"/>
      <w:pPr>
        <w:ind w:left="2510" w:hanging="180"/>
      </w:pPr>
    </w:lvl>
    <w:lvl w:ilvl="3" w:tplc="240A000F">
      <w:start w:val="1"/>
      <w:numFmt w:val="decimal"/>
      <w:lvlText w:val="%4."/>
      <w:lvlJc w:val="left"/>
      <w:pPr>
        <w:ind w:left="3230" w:hanging="360"/>
      </w:pPr>
    </w:lvl>
    <w:lvl w:ilvl="4" w:tplc="240A0019">
      <w:start w:val="1"/>
      <w:numFmt w:val="lowerLetter"/>
      <w:lvlText w:val="%5."/>
      <w:lvlJc w:val="left"/>
      <w:pPr>
        <w:ind w:left="3950" w:hanging="360"/>
      </w:pPr>
    </w:lvl>
    <w:lvl w:ilvl="5" w:tplc="240A001B">
      <w:start w:val="1"/>
      <w:numFmt w:val="lowerRoman"/>
      <w:lvlText w:val="%6."/>
      <w:lvlJc w:val="right"/>
      <w:pPr>
        <w:ind w:left="4670" w:hanging="180"/>
      </w:pPr>
    </w:lvl>
    <w:lvl w:ilvl="6" w:tplc="240A000F">
      <w:start w:val="1"/>
      <w:numFmt w:val="decimal"/>
      <w:lvlText w:val="%7."/>
      <w:lvlJc w:val="left"/>
      <w:pPr>
        <w:ind w:left="5390" w:hanging="360"/>
      </w:pPr>
    </w:lvl>
    <w:lvl w:ilvl="7" w:tplc="240A0019">
      <w:start w:val="1"/>
      <w:numFmt w:val="lowerLetter"/>
      <w:lvlText w:val="%8."/>
      <w:lvlJc w:val="left"/>
      <w:pPr>
        <w:ind w:left="6110" w:hanging="360"/>
      </w:pPr>
    </w:lvl>
    <w:lvl w:ilvl="8" w:tplc="240A001B">
      <w:start w:val="1"/>
      <w:numFmt w:val="lowerRoman"/>
      <w:lvlText w:val="%9."/>
      <w:lvlJc w:val="right"/>
      <w:pPr>
        <w:ind w:left="6830" w:hanging="180"/>
      </w:pPr>
    </w:lvl>
  </w:abstractNum>
  <w:abstractNum w:abstractNumId="12" w15:restartNumberingAfterBreak="0">
    <w:nsid w:val="1732123D"/>
    <w:multiLevelType w:val="hybridMultilevel"/>
    <w:tmpl w:val="7D988FEA"/>
    <w:lvl w:ilvl="0" w:tplc="6E96D08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1A4F0685"/>
    <w:multiLevelType w:val="multilevel"/>
    <w:tmpl w:val="8E328688"/>
    <w:lvl w:ilvl="0">
      <w:start w:val="1"/>
      <w:numFmt w:val="decimal"/>
      <w:lvlText w:val="%1."/>
      <w:lvlJc w:val="left"/>
      <w:pPr>
        <w:ind w:left="357" w:hanging="357"/>
      </w:pPr>
      <w:rPr>
        <w:b/>
      </w:rPr>
    </w:lvl>
    <w:lvl w:ilvl="1">
      <w:start w:val="1"/>
      <w:numFmt w:val="decimal"/>
      <w:lvlText w:val="%1.%2."/>
      <w:lvlJc w:val="left"/>
      <w:pPr>
        <w:ind w:left="357" w:hanging="357"/>
      </w:pPr>
      <w:rPr>
        <w:b/>
        <w:color w:val="auto"/>
      </w:r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14" w15:restartNumberingAfterBreak="0">
    <w:nsid w:val="1B996B61"/>
    <w:multiLevelType w:val="hybridMultilevel"/>
    <w:tmpl w:val="F92E00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ED225C6"/>
    <w:multiLevelType w:val="multilevel"/>
    <w:tmpl w:val="894EE875"/>
    <w:lvl w:ilvl="0">
      <w:start w:val="2"/>
      <w:numFmt w:val="upperLetter"/>
      <w:lvlText w:val="%1."/>
      <w:lvlJc w:val="left"/>
      <w:pPr>
        <w:tabs>
          <w:tab w:val="num" w:pos="360"/>
        </w:tabs>
        <w:ind w:left="360" w:firstLine="14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16" w15:restartNumberingAfterBreak="0">
    <w:nsid w:val="275A71CC"/>
    <w:multiLevelType w:val="hybridMultilevel"/>
    <w:tmpl w:val="6E8C4B40"/>
    <w:lvl w:ilvl="0" w:tplc="A3CA0B36">
      <w:start w:val="1"/>
      <w:numFmt w:val="decimal"/>
      <w:lvlText w:val="%1."/>
      <w:lvlJc w:val="left"/>
      <w:pPr>
        <w:ind w:left="1068" w:hanging="360"/>
      </w:p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17" w15:restartNumberingAfterBreak="0">
    <w:nsid w:val="393D0F47"/>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18" w15:restartNumberingAfterBreak="0">
    <w:nsid w:val="47C633B5"/>
    <w:multiLevelType w:val="hybridMultilevel"/>
    <w:tmpl w:val="BF8016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566B062C"/>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0" w15:restartNumberingAfterBreak="0">
    <w:nsid w:val="5B3537F2"/>
    <w:multiLevelType w:val="hybridMultilevel"/>
    <w:tmpl w:val="18D26DF0"/>
    <w:lvl w:ilvl="0" w:tplc="E2044868">
      <w:start w:val="1"/>
      <w:numFmt w:val="decimal"/>
      <w:lvlText w:val="%1)"/>
      <w:lvlJc w:val="left"/>
      <w:pPr>
        <w:ind w:left="1070" w:hanging="360"/>
      </w:pPr>
    </w:lvl>
    <w:lvl w:ilvl="1" w:tplc="240A0019">
      <w:start w:val="1"/>
      <w:numFmt w:val="lowerLetter"/>
      <w:lvlText w:val="%2."/>
      <w:lvlJc w:val="left"/>
      <w:pPr>
        <w:ind w:left="1790" w:hanging="360"/>
      </w:pPr>
    </w:lvl>
    <w:lvl w:ilvl="2" w:tplc="240A001B">
      <w:start w:val="1"/>
      <w:numFmt w:val="lowerRoman"/>
      <w:lvlText w:val="%3."/>
      <w:lvlJc w:val="right"/>
      <w:pPr>
        <w:ind w:left="2510" w:hanging="180"/>
      </w:pPr>
    </w:lvl>
    <w:lvl w:ilvl="3" w:tplc="240A000F">
      <w:start w:val="1"/>
      <w:numFmt w:val="decimal"/>
      <w:lvlText w:val="%4."/>
      <w:lvlJc w:val="left"/>
      <w:pPr>
        <w:ind w:left="3230" w:hanging="360"/>
      </w:pPr>
    </w:lvl>
    <w:lvl w:ilvl="4" w:tplc="240A0019">
      <w:start w:val="1"/>
      <w:numFmt w:val="lowerLetter"/>
      <w:lvlText w:val="%5."/>
      <w:lvlJc w:val="left"/>
      <w:pPr>
        <w:ind w:left="3950" w:hanging="360"/>
      </w:pPr>
    </w:lvl>
    <w:lvl w:ilvl="5" w:tplc="240A001B">
      <w:start w:val="1"/>
      <w:numFmt w:val="lowerRoman"/>
      <w:lvlText w:val="%6."/>
      <w:lvlJc w:val="right"/>
      <w:pPr>
        <w:ind w:left="4670" w:hanging="180"/>
      </w:pPr>
    </w:lvl>
    <w:lvl w:ilvl="6" w:tplc="240A000F">
      <w:start w:val="1"/>
      <w:numFmt w:val="decimal"/>
      <w:lvlText w:val="%7."/>
      <w:lvlJc w:val="left"/>
      <w:pPr>
        <w:ind w:left="5390" w:hanging="360"/>
      </w:pPr>
    </w:lvl>
    <w:lvl w:ilvl="7" w:tplc="240A0019">
      <w:start w:val="1"/>
      <w:numFmt w:val="lowerLetter"/>
      <w:lvlText w:val="%8."/>
      <w:lvlJc w:val="left"/>
      <w:pPr>
        <w:ind w:left="6110" w:hanging="360"/>
      </w:pPr>
    </w:lvl>
    <w:lvl w:ilvl="8" w:tplc="240A001B">
      <w:start w:val="1"/>
      <w:numFmt w:val="lowerRoman"/>
      <w:lvlText w:val="%9."/>
      <w:lvlJc w:val="right"/>
      <w:pPr>
        <w:ind w:left="6830" w:hanging="180"/>
      </w:pPr>
    </w:lvl>
  </w:abstractNum>
  <w:abstractNum w:abstractNumId="21" w15:restartNumberingAfterBreak="0">
    <w:nsid w:val="5F504790"/>
    <w:multiLevelType w:val="hybridMultilevel"/>
    <w:tmpl w:val="F5123C76"/>
    <w:lvl w:ilvl="0" w:tplc="E8F24B2A">
      <w:start w:val="1"/>
      <w:numFmt w:val="decimal"/>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22" w15:restartNumberingAfterBreak="0">
    <w:nsid w:val="663D06A6"/>
    <w:multiLevelType w:val="multilevel"/>
    <w:tmpl w:val="60AC43B0"/>
    <w:styleLink w:val="Listaactual1"/>
    <w:lvl w:ilvl="0">
      <w:start w:val="1"/>
      <w:numFmt w:val="decimal"/>
      <w:lvlText w:val="%1."/>
      <w:lvlJc w:val="left"/>
      <w:pPr>
        <w:ind w:left="1429"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3" w15:restartNumberingAfterBreak="0">
    <w:nsid w:val="68DF04A8"/>
    <w:multiLevelType w:val="hybridMultilevel"/>
    <w:tmpl w:val="A7C6DD7C"/>
    <w:lvl w:ilvl="0" w:tplc="DB4ED004">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69884139"/>
    <w:multiLevelType w:val="hybridMultilevel"/>
    <w:tmpl w:val="EE20F39C"/>
    <w:lvl w:ilvl="0" w:tplc="9EE4125E">
      <w:start w:val="1"/>
      <w:numFmt w:val="upperLetter"/>
      <w:lvlText w:val="%1."/>
      <w:lvlJc w:val="left"/>
      <w:pPr>
        <w:ind w:left="720" w:hanging="360"/>
      </w:pPr>
      <w:rPr>
        <w:rFonts w:ascii="Arial Narrow" w:eastAsia="Calibri" w:hAnsi="Arial Narrow" w:cs="Arial" w:hint="default"/>
        <w:b/>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6B2F37B9"/>
    <w:multiLevelType w:val="hybridMultilevel"/>
    <w:tmpl w:val="CD6890E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6" w15:restartNumberingAfterBreak="0">
    <w:nsid w:val="6BEB534F"/>
    <w:multiLevelType w:val="hybridMultilevel"/>
    <w:tmpl w:val="B358EA5A"/>
    <w:lvl w:ilvl="0" w:tplc="186098D8">
      <w:start w:val="1"/>
      <w:numFmt w:val="lowerLetter"/>
      <w:lvlText w:val="%1."/>
      <w:lvlJc w:val="left"/>
      <w:pPr>
        <w:ind w:left="1068" w:hanging="360"/>
      </w:pPr>
      <w:rPr>
        <w:rFonts w:ascii="Arial Narrow" w:eastAsia="MS Mincho" w:hAnsi="Arial Narrow" w:cs="Times New Roman"/>
      </w:rPr>
    </w:lvl>
    <w:lvl w:ilvl="1" w:tplc="240A0019">
      <w:start w:val="1"/>
      <w:numFmt w:val="lowerLetter"/>
      <w:lvlText w:val="%2."/>
      <w:lvlJc w:val="left"/>
      <w:pPr>
        <w:ind w:left="1787" w:hanging="360"/>
      </w:pPr>
    </w:lvl>
    <w:lvl w:ilvl="2" w:tplc="240A001B">
      <w:start w:val="1"/>
      <w:numFmt w:val="lowerRoman"/>
      <w:lvlText w:val="%3."/>
      <w:lvlJc w:val="right"/>
      <w:pPr>
        <w:ind w:left="2507" w:hanging="180"/>
      </w:pPr>
    </w:lvl>
    <w:lvl w:ilvl="3" w:tplc="240A000F">
      <w:start w:val="1"/>
      <w:numFmt w:val="decimal"/>
      <w:lvlText w:val="%4."/>
      <w:lvlJc w:val="left"/>
      <w:pPr>
        <w:ind w:left="3227" w:hanging="360"/>
      </w:pPr>
    </w:lvl>
    <w:lvl w:ilvl="4" w:tplc="240A0019">
      <w:start w:val="1"/>
      <w:numFmt w:val="lowerLetter"/>
      <w:lvlText w:val="%5."/>
      <w:lvlJc w:val="left"/>
      <w:pPr>
        <w:ind w:left="3947" w:hanging="360"/>
      </w:pPr>
    </w:lvl>
    <w:lvl w:ilvl="5" w:tplc="240A001B">
      <w:start w:val="1"/>
      <w:numFmt w:val="lowerRoman"/>
      <w:lvlText w:val="%6."/>
      <w:lvlJc w:val="right"/>
      <w:pPr>
        <w:ind w:left="4667" w:hanging="180"/>
      </w:pPr>
    </w:lvl>
    <w:lvl w:ilvl="6" w:tplc="240A000F">
      <w:start w:val="1"/>
      <w:numFmt w:val="decimal"/>
      <w:lvlText w:val="%7."/>
      <w:lvlJc w:val="left"/>
      <w:pPr>
        <w:ind w:left="5387" w:hanging="360"/>
      </w:pPr>
    </w:lvl>
    <w:lvl w:ilvl="7" w:tplc="240A0019">
      <w:start w:val="1"/>
      <w:numFmt w:val="lowerLetter"/>
      <w:lvlText w:val="%8."/>
      <w:lvlJc w:val="left"/>
      <w:pPr>
        <w:ind w:left="6107" w:hanging="360"/>
      </w:pPr>
    </w:lvl>
    <w:lvl w:ilvl="8" w:tplc="240A001B">
      <w:start w:val="1"/>
      <w:numFmt w:val="lowerRoman"/>
      <w:lvlText w:val="%9."/>
      <w:lvlJc w:val="right"/>
      <w:pPr>
        <w:ind w:left="6827" w:hanging="180"/>
      </w:pPr>
    </w:lvl>
  </w:abstractNum>
  <w:abstractNum w:abstractNumId="27" w15:restartNumberingAfterBreak="0">
    <w:nsid w:val="6C7B6C46"/>
    <w:multiLevelType w:val="hybridMultilevel"/>
    <w:tmpl w:val="ECFAB862"/>
    <w:lvl w:ilvl="0" w:tplc="9282F29C">
      <w:start w:val="3"/>
      <w:numFmt w:val="bullet"/>
      <w:lvlText w:val="-"/>
      <w:lvlJc w:val="left"/>
      <w:pPr>
        <w:ind w:left="1070" w:hanging="360"/>
      </w:pPr>
      <w:rPr>
        <w:rFonts w:ascii="Arial" w:eastAsia="MS Mincho" w:hAnsi="Arial" w:cs="Arial" w:hint="default"/>
      </w:rPr>
    </w:lvl>
    <w:lvl w:ilvl="1" w:tplc="240A0003">
      <w:start w:val="1"/>
      <w:numFmt w:val="bullet"/>
      <w:lvlText w:val="o"/>
      <w:lvlJc w:val="left"/>
      <w:pPr>
        <w:ind w:left="1790" w:hanging="360"/>
      </w:pPr>
      <w:rPr>
        <w:rFonts w:ascii="Courier New" w:hAnsi="Courier New" w:cs="Courier New" w:hint="default"/>
      </w:rPr>
    </w:lvl>
    <w:lvl w:ilvl="2" w:tplc="240A0005">
      <w:start w:val="1"/>
      <w:numFmt w:val="bullet"/>
      <w:lvlText w:val=""/>
      <w:lvlJc w:val="left"/>
      <w:pPr>
        <w:ind w:left="2510" w:hanging="360"/>
      </w:pPr>
      <w:rPr>
        <w:rFonts w:ascii="Wingdings" w:hAnsi="Wingdings" w:hint="default"/>
      </w:rPr>
    </w:lvl>
    <w:lvl w:ilvl="3" w:tplc="240A0001">
      <w:start w:val="1"/>
      <w:numFmt w:val="bullet"/>
      <w:lvlText w:val=""/>
      <w:lvlJc w:val="left"/>
      <w:pPr>
        <w:ind w:left="3230" w:hanging="360"/>
      </w:pPr>
      <w:rPr>
        <w:rFonts w:ascii="Symbol" w:hAnsi="Symbol" w:hint="default"/>
      </w:rPr>
    </w:lvl>
    <w:lvl w:ilvl="4" w:tplc="240A0003">
      <w:start w:val="1"/>
      <w:numFmt w:val="bullet"/>
      <w:lvlText w:val="o"/>
      <w:lvlJc w:val="left"/>
      <w:pPr>
        <w:ind w:left="3950" w:hanging="360"/>
      </w:pPr>
      <w:rPr>
        <w:rFonts w:ascii="Courier New" w:hAnsi="Courier New" w:cs="Courier New" w:hint="default"/>
      </w:rPr>
    </w:lvl>
    <w:lvl w:ilvl="5" w:tplc="240A0005">
      <w:start w:val="1"/>
      <w:numFmt w:val="bullet"/>
      <w:lvlText w:val=""/>
      <w:lvlJc w:val="left"/>
      <w:pPr>
        <w:ind w:left="4670" w:hanging="360"/>
      </w:pPr>
      <w:rPr>
        <w:rFonts w:ascii="Wingdings" w:hAnsi="Wingdings" w:hint="default"/>
      </w:rPr>
    </w:lvl>
    <w:lvl w:ilvl="6" w:tplc="240A0001">
      <w:start w:val="1"/>
      <w:numFmt w:val="bullet"/>
      <w:lvlText w:val=""/>
      <w:lvlJc w:val="left"/>
      <w:pPr>
        <w:ind w:left="5390" w:hanging="360"/>
      </w:pPr>
      <w:rPr>
        <w:rFonts w:ascii="Symbol" w:hAnsi="Symbol" w:hint="default"/>
      </w:rPr>
    </w:lvl>
    <w:lvl w:ilvl="7" w:tplc="240A0003">
      <w:start w:val="1"/>
      <w:numFmt w:val="bullet"/>
      <w:lvlText w:val="o"/>
      <w:lvlJc w:val="left"/>
      <w:pPr>
        <w:ind w:left="6110" w:hanging="360"/>
      </w:pPr>
      <w:rPr>
        <w:rFonts w:ascii="Courier New" w:hAnsi="Courier New" w:cs="Courier New" w:hint="default"/>
      </w:rPr>
    </w:lvl>
    <w:lvl w:ilvl="8" w:tplc="240A0005">
      <w:start w:val="1"/>
      <w:numFmt w:val="bullet"/>
      <w:lvlText w:val=""/>
      <w:lvlJc w:val="left"/>
      <w:pPr>
        <w:ind w:left="6830" w:hanging="360"/>
      </w:pPr>
      <w:rPr>
        <w:rFonts w:ascii="Wingdings" w:hAnsi="Wingdings" w:hint="default"/>
      </w:rPr>
    </w:lvl>
  </w:abstractNum>
  <w:abstractNum w:abstractNumId="28" w15:restartNumberingAfterBreak="0">
    <w:nsid w:val="71E35FC9"/>
    <w:multiLevelType w:val="hybridMultilevel"/>
    <w:tmpl w:val="456CD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23"/>
  </w:num>
  <w:num w:numId="3">
    <w:abstractNumId w:val="0"/>
  </w:num>
  <w:num w:numId="4">
    <w:abstractNumId w:val="1"/>
  </w:num>
  <w:num w:numId="5">
    <w:abstractNumId w:val="4"/>
  </w:num>
  <w:num w:numId="6">
    <w:abstractNumId w:val="6"/>
  </w:num>
  <w:num w:numId="7">
    <w:abstractNumId w:val="12"/>
  </w:num>
  <w:num w:numId="8">
    <w:abstractNumId w:val="2"/>
  </w:num>
  <w:num w:numId="9">
    <w:abstractNumId w:val="3"/>
  </w:num>
  <w:num w:numId="10">
    <w:abstractNumId w:val="5"/>
  </w:num>
  <w:num w:numId="11">
    <w:abstractNumId w:val="15"/>
  </w:num>
  <w:num w:numId="12">
    <w:abstractNumId w:val="10"/>
  </w:num>
  <w:num w:numId="13">
    <w:abstractNumId w:val="7"/>
  </w:num>
  <w:num w:numId="14">
    <w:abstractNumId w:val="28"/>
  </w:num>
  <w:num w:numId="15">
    <w:abstractNumId w:val="14"/>
  </w:num>
  <w:num w:numId="16">
    <w:abstractNumId w:val="25"/>
  </w:num>
  <w:num w:numId="17">
    <w:abstractNumId w:val="19"/>
  </w:num>
  <w:num w:numId="18">
    <w:abstractNumId w:val="17"/>
  </w:num>
  <w:num w:numId="19">
    <w:abstractNumId w:val="24"/>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7"/>
  </w:num>
  <w:num w:numId="27">
    <w:abstractNumId w:val="1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1D89"/>
    <w:rsid w:val="0000282C"/>
    <w:rsid w:val="000154A3"/>
    <w:rsid w:val="00015D8E"/>
    <w:rsid w:val="00024814"/>
    <w:rsid w:val="000322E3"/>
    <w:rsid w:val="00042D32"/>
    <w:rsid w:val="00057AF8"/>
    <w:rsid w:val="00063F5A"/>
    <w:rsid w:val="000643E9"/>
    <w:rsid w:val="00066D3A"/>
    <w:rsid w:val="00071B7E"/>
    <w:rsid w:val="00073A1F"/>
    <w:rsid w:val="00075AD5"/>
    <w:rsid w:val="00077AA2"/>
    <w:rsid w:val="0008210A"/>
    <w:rsid w:val="0008507C"/>
    <w:rsid w:val="000877D1"/>
    <w:rsid w:val="00093EB8"/>
    <w:rsid w:val="000A1163"/>
    <w:rsid w:val="000A2FC8"/>
    <w:rsid w:val="000A31BA"/>
    <w:rsid w:val="000A4383"/>
    <w:rsid w:val="000A6281"/>
    <w:rsid w:val="000B20AE"/>
    <w:rsid w:val="000C1DA7"/>
    <w:rsid w:val="000C2C96"/>
    <w:rsid w:val="000C4465"/>
    <w:rsid w:val="000D09AB"/>
    <w:rsid w:val="000D466B"/>
    <w:rsid w:val="000D6A82"/>
    <w:rsid w:val="000E4714"/>
    <w:rsid w:val="000E5163"/>
    <w:rsid w:val="000E6513"/>
    <w:rsid w:val="000E68C7"/>
    <w:rsid w:val="000F0EAD"/>
    <w:rsid w:val="000F1CBA"/>
    <w:rsid w:val="000F3807"/>
    <w:rsid w:val="001010E7"/>
    <w:rsid w:val="00103AE9"/>
    <w:rsid w:val="0010497F"/>
    <w:rsid w:val="001100A5"/>
    <w:rsid w:val="0011263A"/>
    <w:rsid w:val="00112AA2"/>
    <w:rsid w:val="0011350E"/>
    <w:rsid w:val="00114AE3"/>
    <w:rsid w:val="00117B7B"/>
    <w:rsid w:val="00120EEB"/>
    <w:rsid w:val="00121B0F"/>
    <w:rsid w:val="0012296B"/>
    <w:rsid w:val="001258D6"/>
    <w:rsid w:val="00126909"/>
    <w:rsid w:val="001339E2"/>
    <w:rsid w:val="0013472A"/>
    <w:rsid w:val="00144777"/>
    <w:rsid w:val="001448E3"/>
    <w:rsid w:val="00147E82"/>
    <w:rsid w:val="001515F9"/>
    <w:rsid w:val="001518F2"/>
    <w:rsid w:val="00153C65"/>
    <w:rsid w:val="00156301"/>
    <w:rsid w:val="001708A8"/>
    <w:rsid w:val="0017111C"/>
    <w:rsid w:val="0017545B"/>
    <w:rsid w:val="00182DEA"/>
    <w:rsid w:val="001846CC"/>
    <w:rsid w:val="0019035D"/>
    <w:rsid w:val="00191D96"/>
    <w:rsid w:val="00191E93"/>
    <w:rsid w:val="00195178"/>
    <w:rsid w:val="001A1ABA"/>
    <w:rsid w:val="001B0799"/>
    <w:rsid w:val="001B1A71"/>
    <w:rsid w:val="001C1507"/>
    <w:rsid w:val="001C2A75"/>
    <w:rsid w:val="001D1F25"/>
    <w:rsid w:val="001D36C0"/>
    <w:rsid w:val="001D7796"/>
    <w:rsid w:val="001E0398"/>
    <w:rsid w:val="001E3E05"/>
    <w:rsid w:val="001E50F4"/>
    <w:rsid w:val="001E5520"/>
    <w:rsid w:val="001E60E2"/>
    <w:rsid w:val="001F0127"/>
    <w:rsid w:val="001F0B1A"/>
    <w:rsid w:val="001F19FD"/>
    <w:rsid w:val="001F4D1B"/>
    <w:rsid w:val="001F4ED2"/>
    <w:rsid w:val="001F6014"/>
    <w:rsid w:val="001F7009"/>
    <w:rsid w:val="001F72C4"/>
    <w:rsid w:val="00200C9A"/>
    <w:rsid w:val="0020773D"/>
    <w:rsid w:val="0021375B"/>
    <w:rsid w:val="002176E6"/>
    <w:rsid w:val="002211EF"/>
    <w:rsid w:val="00221EF1"/>
    <w:rsid w:val="0022264A"/>
    <w:rsid w:val="00226B16"/>
    <w:rsid w:val="00237795"/>
    <w:rsid w:val="00237DFE"/>
    <w:rsid w:val="00241348"/>
    <w:rsid w:val="002414B0"/>
    <w:rsid w:val="0024487B"/>
    <w:rsid w:val="002567A2"/>
    <w:rsid w:val="002658A7"/>
    <w:rsid w:val="00271E28"/>
    <w:rsid w:val="0027421A"/>
    <w:rsid w:val="00280A31"/>
    <w:rsid w:val="00283D9E"/>
    <w:rsid w:val="00284D0B"/>
    <w:rsid w:val="002850DB"/>
    <w:rsid w:val="002930A6"/>
    <w:rsid w:val="002A13EA"/>
    <w:rsid w:val="002A2626"/>
    <w:rsid w:val="002A6351"/>
    <w:rsid w:val="002B2812"/>
    <w:rsid w:val="002B2E03"/>
    <w:rsid w:val="002B3410"/>
    <w:rsid w:val="002B4E93"/>
    <w:rsid w:val="002C45F1"/>
    <w:rsid w:val="002C64C1"/>
    <w:rsid w:val="002C6BBE"/>
    <w:rsid w:val="002D3CF8"/>
    <w:rsid w:val="002D4B67"/>
    <w:rsid w:val="002D6C5F"/>
    <w:rsid w:val="002E3E8B"/>
    <w:rsid w:val="002E6BE9"/>
    <w:rsid w:val="002E72FA"/>
    <w:rsid w:val="002E7640"/>
    <w:rsid w:val="002E7778"/>
    <w:rsid w:val="002F01D9"/>
    <w:rsid w:val="00301846"/>
    <w:rsid w:val="0030295A"/>
    <w:rsid w:val="003057C9"/>
    <w:rsid w:val="003226AB"/>
    <w:rsid w:val="0032474D"/>
    <w:rsid w:val="003300CE"/>
    <w:rsid w:val="00330AC6"/>
    <w:rsid w:val="0033289D"/>
    <w:rsid w:val="003334C8"/>
    <w:rsid w:val="0033489C"/>
    <w:rsid w:val="00336BAB"/>
    <w:rsid w:val="00341877"/>
    <w:rsid w:val="0034312A"/>
    <w:rsid w:val="00350C08"/>
    <w:rsid w:val="0035116E"/>
    <w:rsid w:val="003560AE"/>
    <w:rsid w:val="0036144E"/>
    <w:rsid w:val="00370540"/>
    <w:rsid w:val="0037189F"/>
    <w:rsid w:val="00376C75"/>
    <w:rsid w:val="0038265A"/>
    <w:rsid w:val="00384066"/>
    <w:rsid w:val="00387857"/>
    <w:rsid w:val="00391021"/>
    <w:rsid w:val="00395375"/>
    <w:rsid w:val="003A4D61"/>
    <w:rsid w:val="003A520B"/>
    <w:rsid w:val="003B1D05"/>
    <w:rsid w:val="003B7FE6"/>
    <w:rsid w:val="003C102D"/>
    <w:rsid w:val="003C262C"/>
    <w:rsid w:val="003C3012"/>
    <w:rsid w:val="003C6D25"/>
    <w:rsid w:val="003D4DD3"/>
    <w:rsid w:val="003D7FD2"/>
    <w:rsid w:val="003E31A7"/>
    <w:rsid w:val="003E59CF"/>
    <w:rsid w:val="003E632D"/>
    <w:rsid w:val="003E77FC"/>
    <w:rsid w:val="003F07EB"/>
    <w:rsid w:val="003F59D9"/>
    <w:rsid w:val="003F617A"/>
    <w:rsid w:val="003F6A30"/>
    <w:rsid w:val="003F7900"/>
    <w:rsid w:val="004057C1"/>
    <w:rsid w:val="00410C94"/>
    <w:rsid w:val="00412976"/>
    <w:rsid w:val="00412E6B"/>
    <w:rsid w:val="0041494D"/>
    <w:rsid w:val="004315F2"/>
    <w:rsid w:val="00434B41"/>
    <w:rsid w:val="00437A6B"/>
    <w:rsid w:val="0044100E"/>
    <w:rsid w:val="0044344C"/>
    <w:rsid w:val="00447D2A"/>
    <w:rsid w:val="00453CE2"/>
    <w:rsid w:val="00455912"/>
    <w:rsid w:val="00467143"/>
    <w:rsid w:val="004700D0"/>
    <w:rsid w:val="00472DB8"/>
    <w:rsid w:val="00473B82"/>
    <w:rsid w:val="00473F70"/>
    <w:rsid w:val="00474633"/>
    <w:rsid w:val="00487AEA"/>
    <w:rsid w:val="0049010D"/>
    <w:rsid w:val="004A54B3"/>
    <w:rsid w:val="004B299B"/>
    <w:rsid w:val="004D66AD"/>
    <w:rsid w:val="004D7B1A"/>
    <w:rsid w:val="004E432F"/>
    <w:rsid w:val="004E4D21"/>
    <w:rsid w:val="004E7B18"/>
    <w:rsid w:val="004F2BB0"/>
    <w:rsid w:val="005125B0"/>
    <w:rsid w:val="0052323E"/>
    <w:rsid w:val="00526978"/>
    <w:rsid w:val="0053089E"/>
    <w:rsid w:val="00537794"/>
    <w:rsid w:val="0053783B"/>
    <w:rsid w:val="00537AEC"/>
    <w:rsid w:val="00542591"/>
    <w:rsid w:val="005445CE"/>
    <w:rsid w:val="00552AE0"/>
    <w:rsid w:val="00553C66"/>
    <w:rsid w:val="0055424A"/>
    <w:rsid w:val="005553A4"/>
    <w:rsid w:val="00561999"/>
    <w:rsid w:val="00562716"/>
    <w:rsid w:val="00571279"/>
    <w:rsid w:val="00571ED1"/>
    <w:rsid w:val="00576F0C"/>
    <w:rsid w:val="00577720"/>
    <w:rsid w:val="00581C84"/>
    <w:rsid w:val="00587CD3"/>
    <w:rsid w:val="00593364"/>
    <w:rsid w:val="005A27D0"/>
    <w:rsid w:val="005A34AD"/>
    <w:rsid w:val="005A3BD8"/>
    <w:rsid w:val="005A5B4E"/>
    <w:rsid w:val="005B5FB7"/>
    <w:rsid w:val="005B7E8F"/>
    <w:rsid w:val="005C5817"/>
    <w:rsid w:val="005C6301"/>
    <w:rsid w:val="005C7523"/>
    <w:rsid w:val="005D214D"/>
    <w:rsid w:val="005E04F5"/>
    <w:rsid w:val="005E1133"/>
    <w:rsid w:val="005E422C"/>
    <w:rsid w:val="005F245D"/>
    <w:rsid w:val="005F726F"/>
    <w:rsid w:val="005F77DF"/>
    <w:rsid w:val="0060069D"/>
    <w:rsid w:val="00604180"/>
    <w:rsid w:val="00605557"/>
    <w:rsid w:val="0061094A"/>
    <w:rsid w:val="00611CFE"/>
    <w:rsid w:val="00616130"/>
    <w:rsid w:val="006170E3"/>
    <w:rsid w:val="006206EE"/>
    <w:rsid w:val="00620F85"/>
    <w:rsid w:val="006226E4"/>
    <w:rsid w:val="006252FE"/>
    <w:rsid w:val="00625968"/>
    <w:rsid w:val="00625FC7"/>
    <w:rsid w:val="0063188F"/>
    <w:rsid w:val="00636431"/>
    <w:rsid w:val="0063771F"/>
    <w:rsid w:val="00641321"/>
    <w:rsid w:val="00643CE2"/>
    <w:rsid w:val="00646D5E"/>
    <w:rsid w:val="006473B9"/>
    <w:rsid w:val="00652DAC"/>
    <w:rsid w:val="00656C7D"/>
    <w:rsid w:val="00675B68"/>
    <w:rsid w:val="00681239"/>
    <w:rsid w:val="006845A4"/>
    <w:rsid w:val="00687E5C"/>
    <w:rsid w:val="0069486D"/>
    <w:rsid w:val="00695F10"/>
    <w:rsid w:val="006A042D"/>
    <w:rsid w:val="006A05E2"/>
    <w:rsid w:val="006A18EF"/>
    <w:rsid w:val="006A29E0"/>
    <w:rsid w:val="006A7F83"/>
    <w:rsid w:val="006B67C9"/>
    <w:rsid w:val="006C2B4A"/>
    <w:rsid w:val="006C3264"/>
    <w:rsid w:val="006C509B"/>
    <w:rsid w:val="006C76C8"/>
    <w:rsid w:val="006D038E"/>
    <w:rsid w:val="006D7421"/>
    <w:rsid w:val="006E137B"/>
    <w:rsid w:val="006E358F"/>
    <w:rsid w:val="006F1BA4"/>
    <w:rsid w:val="006F4E8F"/>
    <w:rsid w:val="00702037"/>
    <w:rsid w:val="00702AA8"/>
    <w:rsid w:val="00705EA4"/>
    <w:rsid w:val="00711742"/>
    <w:rsid w:val="00717F9F"/>
    <w:rsid w:val="0072156C"/>
    <w:rsid w:val="00721671"/>
    <w:rsid w:val="00724108"/>
    <w:rsid w:val="007319A1"/>
    <w:rsid w:val="007326C6"/>
    <w:rsid w:val="00736096"/>
    <w:rsid w:val="007364A7"/>
    <w:rsid w:val="00741E0C"/>
    <w:rsid w:val="0074453A"/>
    <w:rsid w:val="00746297"/>
    <w:rsid w:val="00750056"/>
    <w:rsid w:val="00751CA6"/>
    <w:rsid w:val="00756840"/>
    <w:rsid w:val="007760F2"/>
    <w:rsid w:val="0077677C"/>
    <w:rsid w:val="00777211"/>
    <w:rsid w:val="00780C6D"/>
    <w:rsid w:val="007810B5"/>
    <w:rsid w:val="007902C2"/>
    <w:rsid w:val="00797B07"/>
    <w:rsid w:val="00797DA6"/>
    <w:rsid w:val="007A0806"/>
    <w:rsid w:val="007B1D31"/>
    <w:rsid w:val="007D55D3"/>
    <w:rsid w:val="007E0BF0"/>
    <w:rsid w:val="007E2B39"/>
    <w:rsid w:val="007E2C10"/>
    <w:rsid w:val="007E345D"/>
    <w:rsid w:val="007E47EB"/>
    <w:rsid w:val="007E55C0"/>
    <w:rsid w:val="0080212F"/>
    <w:rsid w:val="00804184"/>
    <w:rsid w:val="00805F1F"/>
    <w:rsid w:val="00807524"/>
    <w:rsid w:val="0081002E"/>
    <w:rsid w:val="00823102"/>
    <w:rsid w:val="00823ABF"/>
    <w:rsid w:val="008327AD"/>
    <w:rsid w:val="008341CE"/>
    <w:rsid w:val="008363B6"/>
    <w:rsid w:val="00843519"/>
    <w:rsid w:val="00844E5C"/>
    <w:rsid w:val="00851356"/>
    <w:rsid w:val="008540DC"/>
    <w:rsid w:val="00862A45"/>
    <w:rsid w:val="008634CC"/>
    <w:rsid w:val="008663CA"/>
    <w:rsid w:val="008674EE"/>
    <w:rsid w:val="00870E09"/>
    <w:rsid w:val="00874628"/>
    <w:rsid w:val="00876917"/>
    <w:rsid w:val="00891CEC"/>
    <w:rsid w:val="00894E28"/>
    <w:rsid w:val="008958DB"/>
    <w:rsid w:val="008A1BA2"/>
    <w:rsid w:val="008A2D0E"/>
    <w:rsid w:val="008A2D15"/>
    <w:rsid w:val="008A4DC4"/>
    <w:rsid w:val="008A73E0"/>
    <w:rsid w:val="008B3DEC"/>
    <w:rsid w:val="008C49F3"/>
    <w:rsid w:val="008C705B"/>
    <w:rsid w:val="008D7E24"/>
    <w:rsid w:val="008E33A2"/>
    <w:rsid w:val="00902163"/>
    <w:rsid w:val="0090467A"/>
    <w:rsid w:val="00913266"/>
    <w:rsid w:val="0092035F"/>
    <w:rsid w:val="00931D87"/>
    <w:rsid w:val="009436F2"/>
    <w:rsid w:val="00944394"/>
    <w:rsid w:val="00945819"/>
    <w:rsid w:val="00957FBF"/>
    <w:rsid w:val="009600C8"/>
    <w:rsid w:val="0096240B"/>
    <w:rsid w:val="009677C0"/>
    <w:rsid w:val="00973B15"/>
    <w:rsid w:val="00982AC4"/>
    <w:rsid w:val="00984BD2"/>
    <w:rsid w:val="00990FDC"/>
    <w:rsid w:val="00992748"/>
    <w:rsid w:val="00996E42"/>
    <w:rsid w:val="00996E4F"/>
    <w:rsid w:val="0099728C"/>
    <w:rsid w:val="0099760B"/>
    <w:rsid w:val="009A5FD7"/>
    <w:rsid w:val="009A6BFC"/>
    <w:rsid w:val="009B0AC1"/>
    <w:rsid w:val="009B3C7A"/>
    <w:rsid w:val="009B4F70"/>
    <w:rsid w:val="009B62ED"/>
    <w:rsid w:val="009C1E4E"/>
    <w:rsid w:val="009C6FEB"/>
    <w:rsid w:val="009C7544"/>
    <w:rsid w:val="009D164F"/>
    <w:rsid w:val="009D2198"/>
    <w:rsid w:val="009D3916"/>
    <w:rsid w:val="009E36F1"/>
    <w:rsid w:val="009E6F2A"/>
    <w:rsid w:val="009F1065"/>
    <w:rsid w:val="009F1DED"/>
    <w:rsid w:val="009F6C11"/>
    <w:rsid w:val="00A00B26"/>
    <w:rsid w:val="00A117D7"/>
    <w:rsid w:val="00A11BF2"/>
    <w:rsid w:val="00A21993"/>
    <w:rsid w:val="00A240A7"/>
    <w:rsid w:val="00A25DEC"/>
    <w:rsid w:val="00A26644"/>
    <w:rsid w:val="00A36875"/>
    <w:rsid w:val="00A405D3"/>
    <w:rsid w:val="00A45C91"/>
    <w:rsid w:val="00A50048"/>
    <w:rsid w:val="00A62B42"/>
    <w:rsid w:val="00A63200"/>
    <w:rsid w:val="00A646FC"/>
    <w:rsid w:val="00A653E4"/>
    <w:rsid w:val="00A65BBE"/>
    <w:rsid w:val="00A65FDF"/>
    <w:rsid w:val="00A67BCD"/>
    <w:rsid w:val="00A71316"/>
    <w:rsid w:val="00A77A34"/>
    <w:rsid w:val="00A82889"/>
    <w:rsid w:val="00A9281B"/>
    <w:rsid w:val="00A963CA"/>
    <w:rsid w:val="00AA3408"/>
    <w:rsid w:val="00AA56AC"/>
    <w:rsid w:val="00AA720A"/>
    <w:rsid w:val="00AB1E23"/>
    <w:rsid w:val="00AB3160"/>
    <w:rsid w:val="00AC150F"/>
    <w:rsid w:val="00AC47A2"/>
    <w:rsid w:val="00AD0830"/>
    <w:rsid w:val="00AD3D48"/>
    <w:rsid w:val="00AD3F70"/>
    <w:rsid w:val="00AD46E2"/>
    <w:rsid w:val="00AE60FB"/>
    <w:rsid w:val="00AE7BA2"/>
    <w:rsid w:val="00AF5950"/>
    <w:rsid w:val="00AF5DE1"/>
    <w:rsid w:val="00B01DA2"/>
    <w:rsid w:val="00B022F5"/>
    <w:rsid w:val="00B04F94"/>
    <w:rsid w:val="00B13B7F"/>
    <w:rsid w:val="00B15D52"/>
    <w:rsid w:val="00B165CB"/>
    <w:rsid w:val="00B16A12"/>
    <w:rsid w:val="00B22F0D"/>
    <w:rsid w:val="00B23027"/>
    <w:rsid w:val="00B23AB6"/>
    <w:rsid w:val="00B268C2"/>
    <w:rsid w:val="00B3089A"/>
    <w:rsid w:val="00B32956"/>
    <w:rsid w:val="00B32B0A"/>
    <w:rsid w:val="00B41AE8"/>
    <w:rsid w:val="00B42B54"/>
    <w:rsid w:val="00B43896"/>
    <w:rsid w:val="00B43AFA"/>
    <w:rsid w:val="00B44184"/>
    <w:rsid w:val="00B45154"/>
    <w:rsid w:val="00B50692"/>
    <w:rsid w:val="00B51957"/>
    <w:rsid w:val="00B55812"/>
    <w:rsid w:val="00B56A74"/>
    <w:rsid w:val="00B600DD"/>
    <w:rsid w:val="00B62D9B"/>
    <w:rsid w:val="00B62FD1"/>
    <w:rsid w:val="00B66236"/>
    <w:rsid w:val="00B667E4"/>
    <w:rsid w:val="00B73CE0"/>
    <w:rsid w:val="00B74688"/>
    <w:rsid w:val="00B81971"/>
    <w:rsid w:val="00B90B4B"/>
    <w:rsid w:val="00B9309E"/>
    <w:rsid w:val="00BA08A8"/>
    <w:rsid w:val="00BA1ABA"/>
    <w:rsid w:val="00BA2064"/>
    <w:rsid w:val="00BA46B9"/>
    <w:rsid w:val="00BB23F6"/>
    <w:rsid w:val="00BB2B65"/>
    <w:rsid w:val="00BB3FEA"/>
    <w:rsid w:val="00BB40CD"/>
    <w:rsid w:val="00BB5205"/>
    <w:rsid w:val="00BB76D5"/>
    <w:rsid w:val="00BC14DC"/>
    <w:rsid w:val="00BC1762"/>
    <w:rsid w:val="00BC6847"/>
    <w:rsid w:val="00BC6ABE"/>
    <w:rsid w:val="00BE711F"/>
    <w:rsid w:val="00BE7A7D"/>
    <w:rsid w:val="00BE7EFD"/>
    <w:rsid w:val="00BF7E7E"/>
    <w:rsid w:val="00C0298B"/>
    <w:rsid w:val="00C057ED"/>
    <w:rsid w:val="00C10D22"/>
    <w:rsid w:val="00C11141"/>
    <w:rsid w:val="00C27CC8"/>
    <w:rsid w:val="00C32D7F"/>
    <w:rsid w:val="00C427C0"/>
    <w:rsid w:val="00C447A9"/>
    <w:rsid w:val="00C45AFC"/>
    <w:rsid w:val="00C47352"/>
    <w:rsid w:val="00C516DD"/>
    <w:rsid w:val="00C52A22"/>
    <w:rsid w:val="00C539EB"/>
    <w:rsid w:val="00C6415B"/>
    <w:rsid w:val="00C668DD"/>
    <w:rsid w:val="00C67A77"/>
    <w:rsid w:val="00C77C56"/>
    <w:rsid w:val="00C83999"/>
    <w:rsid w:val="00C90BA5"/>
    <w:rsid w:val="00C943ED"/>
    <w:rsid w:val="00C94DE4"/>
    <w:rsid w:val="00CA0E12"/>
    <w:rsid w:val="00CA4476"/>
    <w:rsid w:val="00CA4EF8"/>
    <w:rsid w:val="00CA5028"/>
    <w:rsid w:val="00CB5DC3"/>
    <w:rsid w:val="00CB6B23"/>
    <w:rsid w:val="00CB70F7"/>
    <w:rsid w:val="00CD1C0F"/>
    <w:rsid w:val="00CD2418"/>
    <w:rsid w:val="00CD3A81"/>
    <w:rsid w:val="00CE7065"/>
    <w:rsid w:val="00CF5704"/>
    <w:rsid w:val="00D0144F"/>
    <w:rsid w:val="00D06885"/>
    <w:rsid w:val="00D12651"/>
    <w:rsid w:val="00D12FFB"/>
    <w:rsid w:val="00D210E1"/>
    <w:rsid w:val="00D2162C"/>
    <w:rsid w:val="00D27A6F"/>
    <w:rsid w:val="00D45F04"/>
    <w:rsid w:val="00D507C3"/>
    <w:rsid w:val="00D55234"/>
    <w:rsid w:val="00D8162B"/>
    <w:rsid w:val="00D85863"/>
    <w:rsid w:val="00DB1A70"/>
    <w:rsid w:val="00DB1B9A"/>
    <w:rsid w:val="00DB264B"/>
    <w:rsid w:val="00DB4CF9"/>
    <w:rsid w:val="00DB5713"/>
    <w:rsid w:val="00DC25D3"/>
    <w:rsid w:val="00DC2787"/>
    <w:rsid w:val="00DC60BE"/>
    <w:rsid w:val="00DD3C3F"/>
    <w:rsid w:val="00DD4C14"/>
    <w:rsid w:val="00DE7CD9"/>
    <w:rsid w:val="00DF13EB"/>
    <w:rsid w:val="00DF4CC1"/>
    <w:rsid w:val="00E00653"/>
    <w:rsid w:val="00E02036"/>
    <w:rsid w:val="00E02276"/>
    <w:rsid w:val="00E1019B"/>
    <w:rsid w:val="00E11760"/>
    <w:rsid w:val="00E14B50"/>
    <w:rsid w:val="00E15BE8"/>
    <w:rsid w:val="00E22584"/>
    <w:rsid w:val="00E22771"/>
    <w:rsid w:val="00E30903"/>
    <w:rsid w:val="00E32B27"/>
    <w:rsid w:val="00E33180"/>
    <w:rsid w:val="00E35077"/>
    <w:rsid w:val="00E35715"/>
    <w:rsid w:val="00E35E3F"/>
    <w:rsid w:val="00E40750"/>
    <w:rsid w:val="00E45087"/>
    <w:rsid w:val="00E52DE0"/>
    <w:rsid w:val="00E543C2"/>
    <w:rsid w:val="00E5464B"/>
    <w:rsid w:val="00E5534B"/>
    <w:rsid w:val="00E603F8"/>
    <w:rsid w:val="00E61E67"/>
    <w:rsid w:val="00E674BE"/>
    <w:rsid w:val="00E678D9"/>
    <w:rsid w:val="00E708C1"/>
    <w:rsid w:val="00E71A3E"/>
    <w:rsid w:val="00E72535"/>
    <w:rsid w:val="00E84405"/>
    <w:rsid w:val="00E84A33"/>
    <w:rsid w:val="00E93334"/>
    <w:rsid w:val="00E97BFD"/>
    <w:rsid w:val="00EA006F"/>
    <w:rsid w:val="00EA1AF5"/>
    <w:rsid w:val="00EB2676"/>
    <w:rsid w:val="00EB2BC9"/>
    <w:rsid w:val="00EB3399"/>
    <w:rsid w:val="00EB3AAB"/>
    <w:rsid w:val="00ED2360"/>
    <w:rsid w:val="00ED3344"/>
    <w:rsid w:val="00ED42E5"/>
    <w:rsid w:val="00EE0A7F"/>
    <w:rsid w:val="00EE10E1"/>
    <w:rsid w:val="00EE231F"/>
    <w:rsid w:val="00EE3936"/>
    <w:rsid w:val="00EF04A8"/>
    <w:rsid w:val="00EF27B9"/>
    <w:rsid w:val="00EF3D14"/>
    <w:rsid w:val="00EF523B"/>
    <w:rsid w:val="00F018CF"/>
    <w:rsid w:val="00F01F75"/>
    <w:rsid w:val="00F02B45"/>
    <w:rsid w:val="00F04D0A"/>
    <w:rsid w:val="00F10C44"/>
    <w:rsid w:val="00F140E1"/>
    <w:rsid w:val="00F153C8"/>
    <w:rsid w:val="00F17232"/>
    <w:rsid w:val="00F2208E"/>
    <w:rsid w:val="00F22828"/>
    <w:rsid w:val="00F267FC"/>
    <w:rsid w:val="00F310FC"/>
    <w:rsid w:val="00F31BF9"/>
    <w:rsid w:val="00F33B61"/>
    <w:rsid w:val="00F34DFC"/>
    <w:rsid w:val="00F35F61"/>
    <w:rsid w:val="00F418EA"/>
    <w:rsid w:val="00F436BA"/>
    <w:rsid w:val="00F46181"/>
    <w:rsid w:val="00F511D4"/>
    <w:rsid w:val="00F565B6"/>
    <w:rsid w:val="00F62A45"/>
    <w:rsid w:val="00F65748"/>
    <w:rsid w:val="00F71345"/>
    <w:rsid w:val="00F746FF"/>
    <w:rsid w:val="00F77A5D"/>
    <w:rsid w:val="00F80CAD"/>
    <w:rsid w:val="00F82BD2"/>
    <w:rsid w:val="00F84806"/>
    <w:rsid w:val="00F87245"/>
    <w:rsid w:val="00F93F04"/>
    <w:rsid w:val="00F970D0"/>
    <w:rsid w:val="00FB3A12"/>
    <w:rsid w:val="00FB58C7"/>
    <w:rsid w:val="00FC1BF5"/>
    <w:rsid w:val="00FC4A32"/>
    <w:rsid w:val="00FD4185"/>
    <w:rsid w:val="00FD6239"/>
    <w:rsid w:val="00FE03FA"/>
    <w:rsid w:val="00FF0B33"/>
    <w:rsid w:val="00FF40D6"/>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74DE8"/>
  <w15:docId w15:val="{391AEF4E-B95C-446C-845D-DE9456AF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643CE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semiHidden/>
    <w:unhideWhenUsed/>
    <w:qFormat/>
    <w:rsid w:val="00643CE2"/>
    <w:pPr>
      <w:spacing w:before="100" w:beforeAutospacing="1" w:after="100" w:afterAutospacing="1"/>
      <w:outlineLvl w:val="2"/>
    </w:pPr>
    <w:rPr>
      <w:rFonts w:eastAsia="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34"/>
    <w:qFormat/>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semiHidden/>
    <w:unhideWhenUsed/>
    <w:rsid w:val="00CB6B23"/>
    <w:rPr>
      <w:sz w:val="20"/>
      <w:szCs w:val="20"/>
    </w:rPr>
  </w:style>
  <w:style w:type="character" w:customStyle="1" w:styleId="TextocomentarioCar">
    <w:name w:val="Texto comentario Car"/>
    <w:basedOn w:val="Fuentedeprrafopredeter"/>
    <w:link w:val="Textocomentario"/>
    <w:uiPriority w:val="99"/>
    <w:semiHidden/>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7E47EB"/>
    <w:pPr>
      <w:spacing w:before="100" w:beforeAutospacing="1" w:after="119"/>
    </w:pPr>
    <w:rPr>
      <w:rFonts w:eastAsia="Calibri"/>
    </w:rPr>
  </w:style>
  <w:style w:type="character" w:customStyle="1" w:styleId="Ttulo2Car">
    <w:name w:val="Título 2 Car"/>
    <w:basedOn w:val="Fuentedeprrafopredeter"/>
    <w:link w:val="Ttulo2"/>
    <w:uiPriority w:val="9"/>
    <w:semiHidden/>
    <w:rsid w:val="00643CE2"/>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9"/>
    <w:semiHidden/>
    <w:rsid w:val="00643CE2"/>
    <w:rPr>
      <w:rFonts w:ascii="Times New Roman" w:eastAsia="Times New Roman" w:hAnsi="Times New Roman" w:cs="Times New Roman"/>
      <w:b/>
      <w:bCs/>
      <w:sz w:val="27"/>
      <w:szCs w:val="27"/>
      <w:lang w:eastAsia="es-CO"/>
    </w:rPr>
  </w:style>
  <w:style w:type="character" w:styleId="Hipervnculovisitado">
    <w:name w:val="FollowedHyperlink"/>
    <w:basedOn w:val="Fuentedeprrafopredeter"/>
    <w:uiPriority w:val="99"/>
    <w:semiHidden/>
    <w:unhideWhenUsed/>
    <w:rsid w:val="00643CE2"/>
    <w:rPr>
      <w:color w:val="800080" w:themeColor="followedHyperlink"/>
      <w:u w:val="single"/>
    </w:rPr>
  </w:style>
  <w:style w:type="paragraph" w:customStyle="1" w:styleId="msonormal0">
    <w:name w:val="msonormal"/>
    <w:basedOn w:val="Normal"/>
    <w:uiPriority w:val="99"/>
    <w:rsid w:val="00643CE2"/>
    <w:pPr>
      <w:spacing w:before="100" w:beforeAutospacing="1" w:after="119"/>
    </w:pPr>
    <w:rPr>
      <w:rFonts w:eastAsia="Calibri"/>
    </w:rPr>
  </w:style>
  <w:style w:type="character" w:customStyle="1" w:styleId="TextonotapieCar">
    <w:name w:val="Texto nota pie Car"/>
    <w:aliases w:val="Ref. de nota al pie1 Car,Texto de nota al pie Car,Footnotes refss Car,referencia nota al pie Car,BVI fnr Car,Ref. de nota al pie 2 Car,Footnote Text Char Car,Footnote Text Char Char Char Char Car,FA Fu Car,ft Car Car Car Car"/>
    <w:basedOn w:val="Fuentedeprrafopredeter"/>
    <w:link w:val="Textonotapie"/>
    <w:semiHidden/>
    <w:locked/>
    <w:rsid w:val="00643CE2"/>
    <w:rPr>
      <w:rFonts w:ascii="Times New Roman" w:eastAsia="MS Mincho" w:hAnsi="Times New Roman" w:cs="Times New Roman"/>
      <w:sz w:val="20"/>
      <w:szCs w:val="20"/>
      <w:lang w:val="es-ES" w:eastAsia="es-ES"/>
    </w:rPr>
  </w:style>
  <w:style w:type="paragraph" w:styleId="Textonotapie">
    <w:name w:val="footnote text"/>
    <w:aliases w:val="Ref. de nota al pie1,Texto de nota al pie,Footnotes refss,referencia nota al pie,BVI fnr,Ref. de nota al pie 2,Footnote Text Char,Footnote Text Char Char Char Char,Footnote Text Char Char Char Char Char Char Char Char,FA Fu,ft Car Car Car"/>
    <w:basedOn w:val="Normal"/>
    <w:link w:val="TextonotapieCar"/>
    <w:semiHidden/>
    <w:unhideWhenUsed/>
    <w:qFormat/>
    <w:rsid w:val="00643CE2"/>
    <w:rPr>
      <w:sz w:val="20"/>
      <w:szCs w:val="20"/>
    </w:rPr>
  </w:style>
  <w:style w:type="character" w:customStyle="1" w:styleId="TextonotapieCar1">
    <w:name w:val="Texto nota pie Car1"/>
    <w:aliases w:val="Ref. de nota al pie1 Car1,Texto de nota al pie Car1,Footnotes refss Car1,referencia nota al pie Car1,BVI fnr Car1,Ref. de nota al pie 2 Car1,Footnote Text Char Car1,Footnote Text Char Char Char Char Car1,FA Fu Car1"/>
    <w:basedOn w:val="Fuentedeprrafopredeter"/>
    <w:uiPriority w:val="99"/>
    <w:semiHidden/>
    <w:rsid w:val="00643CE2"/>
    <w:rPr>
      <w:rFonts w:ascii="Times New Roman" w:eastAsia="MS Mincho" w:hAnsi="Times New Roman" w:cs="Times New Roman"/>
      <w:sz w:val="20"/>
      <w:szCs w:val="20"/>
      <w:lang w:val="es-ES" w:eastAsia="es-ES"/>
    </w:rPr>
  </w:style>
  <w:style w:type="character" w:customStyle="1" w:styleId="SinespaciadoCar">
    <w:name w:val="Sin espaciado Car"/>
    <w:basedOn w:val="Fuentedeprrafopredeter"/>
    <w:link w:val="Sinespaciado"/>
    <w:uiPriority w:val="1"/>
    <w:locked/>
    <w:rsid w:val="00643CE2"/>
  </w:style>
  <w:style w:type="paragraph" w:styleId="Revisin">
    <w:name w:val="Revision"/>
    <w:uiPriority w:val="99"/>
    <w:semiHidden/>
    <w:rsid w:val="00643CE2"/>
    <w:rPr>
      <w:rFonts w:ascii="Times New Roman" w:eastAsia="MS Mincho" w:hAnsi="Times New Roman" w:cs="Times New Roman"/>
      <w:sz w:val="24"/>
      <w:szCs w:val="24"/>
      <w:lang w:val="es-ES" w:eastAsia="es-ES"/>
    </w:rPr>
  </w:style>
  <w:style w:type="paragraph" w:customStyle="1" w:styleId="Default">
    <w:name w:val="Default"/>
    <w:uiPriority w:val="99"/>
    <w:rsid w:val="00643CE2"/>
    <w:pPr>
      <w:autoSpaceDE w:val="0"/>
      <w:autoSpaceDN w:val="0"/>
      <w:adjustRightInd w:val="0"/>
    </w:pPr>
    <w:rPr>
      <w:rFonts w:ascii="Arial" w:hAnsi="Arial" w:cs="Arial"/>
      <w:color w:val="000000"/>
      <w:sz w:val="24"/>
      <w:szCs w:val="24"/>
    </w:rPr>
  </w:style>
  <w:style w:type="paragraph" w:customStyle="1" w:styleId="default0">
    <w:name w:val="default"/>
    <w:basedOn w:val="Normal"/>
    <w:uiPriority w:val="99"/>
    <w:rsid w:val="00643CE2"/>
    <w:rPr>
      <w:rFonts w:eastAsiaTheme="minorHAnsi"/>
      <w:lang w:val="es-CO" w:eastAsia="es-CO"/>
    </w:rPr>
  </w:style>
  <w:style w:type="character" w:styleId="Refdenotaalpie">
    <w:name w:val="footnote reference"/>
    <w:aliases w:val="Texto Nota Pie de Pagina,Ref. de nota al pie2,Nota de pie,Ref,de nota al pie"/>
    <w:basedOn w:val="Fuentedeprrafopredeter"/>
    <w:uiPriority w:val="99"/>
    <w:semiHidden/>
    <w:unhideWhenUsed/>
    <w:rsid w:val="00643CE2"/>
    <w:rPr>
      <w:vertAlign w:val="superscript"/>
    </w:rPr>
  </w:style>
  <w:style w:type="character" w:customStyle="1" w:styleId="mw-headline">
    <w:name w:val="mw-headline"/>
    <w:basedOn w:val="Fuentedeprrafopredeter"/>
    <w:rsid w:val="00643CE2"/>
  </w:style>
  <w:style w:type="character" w:customStyle="1" w:styleId="mw-editsection">
    <w:name w:val="mw-editsection"/>
    <w:basedOn w:val="Fuentedeprrafopredeter"/>
    <w:rsid w:val="00643CE2"/>
  </w:style>
  <w:style w:type="character" w:customStyle="1" w:styleId="mw-editsection-bracket">
    <w:name w:val="mw-editsection-bracket"/>
    <w:basedOn w:val="Fuentedeprrafopredeter"/>
    <w:rsid w:val="00643CE2"/>
  </w:style>
  <w:style w:type="table" w:styleId="Tablanormal2">
    <w:name w:val="Plain Table 2"/>
    <w:basedOn w:val="Tablanormal"/>
    <w:uiPriority w:val="42"/>
    <w:rsid w:val="00643CE2"/>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643CE2"/>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5">
    <w:name w:val="Tabla con cuadrícula15"/>
    <w:basedOn w:val="Tablanormal"/>
    <w:uiPriority w:val="59"/>
    <w:rsid w:val="00643CE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643CE2"/>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883061588">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823110728">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2084449455">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customXml" Target="../customXml/item5.xml"/><Relationship Id="rId20" Type="http://schemas.openxmlformats.org/officeDocument/2006/relationships/image" Target="media/image9.emf"/><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wmf"/></Relationships>
</file>

<file path=word/_rels/footer2.xml.rels><?xml version="1.0" encoding="UTF-8" standalone="yes"?>
<Relationships xmlns="http://schemas.openxmlformats.org/package/2006/relationships"><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sz="1100"/>
              <a:t>ESE CATEGORIZADAS EN RIESGO MEDIO - ALTO</a:t>
            </a:r>
            <a:endParaRPr lang="es-CO"/>
          </a:p>
          <a:p>
            <a:pPr>
              <a:defRPr/>
            </a:pPr>
            <a:r>
              <a:rPr lang="es-CO" sz="800"/>
              <a:t>NÚMERO DE ESE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Datos!$Q$60</c:f>
              <c:strCache>
                <c:ptCount val="1"/>
                <c:pt idx="0">
                  <c:v>RIESGO 
ALTO</c:v>
                </c:pt>
              </c:strCache>
            </c:strRef>
          </c:tx>
          <c:spPr>
            <a:solidFill>
              <a:schemeClr val="accent1"/>
            </a:solidFill>
            <a:ln>
              <a:noFill/>
            </a:ln>
            <a:effectLst/>
          </c:spPr>
          <c:invertIfNegative val="0"/>
          <c:cat>
            <c:strRef>
              <c:f>Datos!$P$61:$P$68</c:f>
              <c:strCache>
                <c:ptCount val="8"/>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strCache>
            </c:strRef>
          </c:cat>
          <c:val>
            <c:numRef>
              <c:f>Datos!$Q$61:$Q$68</c:f>
              <c:numCache>
                <c:formatCode>_(* #,##0_);_(* \(#,##0\);_(* "-"_);_(@_)</c:formatCode>
                <c:ptCount val="8"/>
                <c:pt idx="1">
                  <c:v>1</c:v>
                </c:pt>
                <c:pt idx="2">
                  <c:v>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1668-4CDE-9668-E17252261A14}"/>
            </c:ext>
          </c:extLst>
        </c:ser>
        <c:ser>
          <c:idx val="1"/>
          <c:order val="1"/>
          <c:tx>
            <c:strRef>
              <c:f>Datos!$R$60</c:f>
              <c:strCache>
                <c:ptCount val="1"/>
                <c:pt idx="0">
                  <c:v>RIESGO 
MEDIO</c:v>
                </c:pt>
              </c:strCache>
            </c:strRef>
          </c:tx>
          <c:spPr>
            <a:solidFill>
              <a:schemeClr val="accent2"/>
            </a:solidFill>
            <a:ln>
              <a:noFill/>
            </a:ln>
            <a:effectLst/>
          </c:spPr>
          <c:invertIfNegative val="0"/>
          <c:cat>
            <c:strRef>
              <c:f>Datos!$P$61:$P$68</c:f>
              <c:strCache>
                <c:ptCount val="8"/>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strCache>
            </c:strRef>
          </c:cat>
          <c:val>
            <c:numRef>
              <c:f>Datos!$R$61:$R$68</c:f>
              <c:numCache>
                <c:formatCode>General</c:formatCode>
                <c:ptCount val="8"/>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1668-4CDE-9668-E17252261A14}"/>
            </c:ext>
          </c:extLst>
        </c:ser>
        <c:dLbls>
          <c:showLegendKey val="0"/>
          <c:showVal val="0"/>
          <c:showCatName val="0"/>
          <c:showSerName val="0"/>
          <c:showPercent val="0"/>
          <c:showBubbleSize val="0"/>
        </c:dLbls>
        <c:gapWidth val="219"/>
        <c:overlap val="-27"/>
        <c:axId val="1762039087"/>
        <c:axId val="1762042415"/>
      </c:barChart>
      <c:lineChart>
        <c:grouping val="standard"/>
        <c:varyColors val="0"/>
        <c:ser>
          <c:idx val="2"/>
          <c:order val="2"/>
          <c:tx>
            <c:strRef>
              <c:f>Datos!$S$60</c:f>
              <c:strCache>
                <c:ptCount val="1"/>
                <c:pt idx="0">
                  <c:v>TOTAL ESE EN RIESGO</c:v>
                </c:pt>
              </c:strCache>
            </c:strRef>
          </c:tx>
          <c:spPr>
            <a:ln w="28575" cap="rnd">
              <a:solidFill>
                <a:schemeClr val="accent3"/>
              </a:solidFill>
              <a:round/>
            </a:ln>
            <a:effectLst/>
          </c:spPr>
          <c:marker>
            <c:symbol val="none"/>
          </c:marker>
          <c:cat>
            <c:strRef>
              <c:f>Datos!$P$61:$P$68</c:f>
              <c:strCache>
                <c:ptCount val="8"/>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strCache>
            </c:strRef>
          </c:cat>
          <c:val>
            <c:numRef>
              <c:f>Datos!$S$61:$S$68</c:f>
              <c:numCache>
                <c:formatCode>_(* #,##0_);_(* \(#,##0\);_(* "-"_);_(@_)</c:formatCode>
                <c:ptCount val="8"/>
                <c:pt idx="1">
                  <c:v>1</c:v>
                </c:pt>
                <c:pt idx="2">
                  <c:v>1</c:v>
                </c:pt>
              </c:numCache>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1668-4CDE-9668-E17252261A14}"/>
            </c:ext>
          </c:extLst>
        </c:ser>
        <c:ser>
          <c:idx val="3"/>
          <c:order val="3"/>
          <c:tx>
            <c:strRef>
              <c:f>Datos!$T$60</c:f>
              <c:strCache>
                <c:ptCount val="1"/>
                <c:pt idx="0">
                  <c:v>TOTAL ESE
</c:v>
                </c:pt>
              </c:strCache>
            </c:strRef>
          </c:tx>
          <c:spPr>
            <a:ln w="28575" cap="rnd">
              <a:solidFill>
                <a:schemeClr val="accent4"/>
              </a:solidFill>
              <a:round/>
            </a:ln>
            <a:effectLst/>
          </c:spPr>
          <c:marker>
            <c:symbol val="none"/>
          </c:marker>
          <c:cat>
            <c:strRef>
              <c:f>Datos!$P$61:$P$68</c:f>
              <c:strCache>
                <c:ptCount val="8"/>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strCache>
            </c:strRef>
          </c:cat>
          <c:val>
            <c:numRef>
              <c:f>Datos!$T$61:$T$68</c:f>
              <c:numCache>
                <c:formatCode>_(* #,##0_);_(* \(#,##0\);_(* "-"_);_(@_)</c:formatCode>
                <c:ptCount val="8"/>
                <c:pt idx="0">
                  <c:v>1</c:v>
                </c:pt>
                <c:pt idx="1">
                  <c:v>1</c:v>
                </c:pt>
                <c:pt idx="2">
                  <c:v>1</c:v>
                </c:pt>
                <c:pt idx="3">
                  <c:v>1</c:v>
                </c:pt>
                <c:pt idx="4">
                  <c:v>1</c:v>
                </c:pt>
                <c:pt idx="5">
                  <c:v>1</c:v>
                </c:pt>
                <c:pt idx="6">
                  <c:v>1</c:v>
                </c:pt>
                <c:pt idx="7">
                  <c:v>1</c:v>
                </c:pt>
              </c:numCache>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1668-4CDE-9668-E17252261A14}"/>
            </c:ext>
          </c:extLst>
        </c:ser>
        <c:dLbls>
          <c:showLegendKey val="0"/>
          <c:showVal val="0"/>
          <c:showCatName val="0"/>
          <c:showSerName val="0"/>
          <c:showPercent val="0"/>
          <c:showBubbleSize val="0"/>
        </c:dLbls>
        <c:marker val="1"/>
        <c:smooth val="0"/>
        <c:axId val="1762039087"/>
        <c:axId val="1762042415"/>
      </c:lineChart>
      <c:catAx>
        <c:axId val="176203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es-CO"/>
          </a:p>
        </c:txPr>
        <c:crossAx val="1762042415"/>
        <c:crosses val="autoZero"/>
        <c:auto val="1"/>
        <c:lblAlgn val="ctr"/>
        <c:lblOffset val="100"/>
        <c:noMultiLvlLbl val="0"/>
      </c:catAx>
      <c:valAx>
        <c:axId val="1762042415"/>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62039087"/>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3.xml><?xml version="1.0" encoding="utf-8"?>
<ds:datastoreItem xmlns:ds="http://schemas.openxmlformats.org/officeDocument/2006/customXml" ds:itemID="{480DF5CF-2C97-4F75-91F4-122B0588BD58}"/>
</file>

<file path=customXml/itemProps4.xml><?xml version="1.0" encoding="utf-8"?>
<ds:datastoreItem xmlns:ds="http://schemas.openxmlformats.org/officeDocument/2006/customXml" ds:itemID="{0BB279E5-EFBA-4B79-9CC1-39410D340D2A}">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6DA97A6E-7015-43A6-B26C-7A8BB5839853}"/>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33</Pages>
  <Words>12017</Words>
  <Characters>66097</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77959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lastModifiedBy>Pablo Andres Parra Cubides</cp:lastModifiedBy>
  <cp:revision>2</cp:revision>
  <cp:lastPrinted>2015-12-16T15:04:00Z</cp:lastPrinted>
  <dcterms:created xsi:type="dcterms:W3CDTF">2022-06-18T04:47:00Z</dcterms:created>
  <dcterms:modified xsi:type="dcterms:W3CDTF">2022-06-18T04:47:00Z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