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57" w:rsidRDefault="00CD0557" w:rsidP="000540A7">
      <w:pPr>
        <w:spacing w:line="276" w:lineRule="auto"/>
        <w:jc w:val="center"/>
        <w:rPr>
          <w:rFonts w:ascii="Arial Narrow" w:hAnsi="Arial Narrow" w:cs="Times New Roman"/>
          <w:b/>
          <w:sz w:val="24"/>
          <w:szCs w:val="24"/>
          <w:lang w:eastAsia="es-CO"/>
        </w:rPr>
      </w:pPr>
      <w:bookmarkStart w:id="0" w:name="_GoBack"/>
      <w:bookmarkEnd w:id="0"/>
    </w:p>
    <w:p w:rsidR="0026447C" w:rsidRPr="00EC3D47" w:rsidRDefault="00CD0557" w:rsidP="000540A7">
      <w:pPr>
        <w:spacing w:line="276" w:lineRule="auto"/>
        <w:jc w:val="center"/>
        <w:rPr>
          <w:rFonts w:ascii="Arial Narrow" w:hAnsi="Arial Narrow" w:cs="Times New Roman"/>
          <w:b/>
          <w:sz w:val="24"/>
          <w:szCs w:val="24"/>
          <w:lang w:eastAsia="es-CO"/>
        </w:rPr>
      </w:pPr>
      <w:r w:rsidRPr="00EC3D47">
        <w:rPr>
          <w:rFonts w:ascii="Arial Narrow" w:hAnsi="Arial Narrow" w:cs="Times New Roman"/>
          <w:b/>
          <w:sz w:val="24"/>
          <w:szCs w:val="24"/>
          <w:lang w:eastAsia="es-CO"/>
        </w:rPr>
        <w:t>TABLA DE CONTENIDO</w:t>
      </w:r>
    </w:p>
    <w:sdt>
      <w:sdtPr>
        <w:rPr>
          <w:rFonts w:ascii="Arial Narrow" w:eastAsiaTheme="minorHAnsi" w:hAnsi="Arial Narrow" w:cstheme="minorBidi"/>
          <w:color w:val="auto"/>
          <w:sz w:val="22"/>
          <w:szCs w:val="22"/>
          <w:lang w:val="es-ES" w:eastAsia="en-US"/>
        </w:rPr>
        <w:id w:val="222184423"/>
        <w:docPartObj>
          <w:docPartGallery w:val="Table of Contents"/>
          <w:docPartUnique/>
        </w:docPartObj>
      </w:sdtPr>
      <w:sdtEndPr>
        <w:rPr>
          <w:b/>
          <w:bCs/>
        </w:rPr>
      </w:sdtEndPr>
      <w:sdtContent>
        <w:p w:rsidR="0026447C" w:rsidRPr="00EC3D47" w:rsidRDefault="0026447C">
          <w:pPr>
            <w:pStyle w:val="TtuloTDC"/>
            <w:rPr>
              <w:rFonts w:ascii="Arial Narrow" w:hAnsi="Arial Narrow"/>
            </w:rPr>
          </w:pPr>
        </w:p>
        <w:p w:rsidR="00CD0557" w:rsidRPr="00CD0557" w:rsidRDefault="0026447C">
          <w:pPr>
            <w:pStyle w:val="TDC1"/>
            <w:tabs>
              <w:tab w:val="left" w:pos="440"/>
              <w:tab w:val="right" w:leader="dot" w:pos="8828"/>
            </w:tabs>
            <w:rPr>
              <w:rFonts w:ascii="Arial Narrow" w:eastAsiaTheme="minorEastAsia" w:hAnsi="Arial Narrow"/>
              <w:noProof/>
              <w:lang w:val="en-US"/>
            </w:rPr>
          </w:pPr>
          <w:r w:rsidRPr="00CD0557">
            <w:rPr>
              <w:rFonts w:ascii="Arial Narrow" w:hAnsi="Arial Narrow"/>
              <w:b/>
              <w:bCs/>
              <w:lang w:val="es-ES"/>
            </w:rPr>
            <w:fldChar w:fldCharType="begin"/>
          </w:r>
          <w:r w:rsidRPr="00CD0557">
            <w:rPr>
              <w:rFonts w:ascii="Arial Narrow" w:hAnsi="Arial Narrow"/>
              <w:b/>
              <w:bCs/>
              <w:lang w:val="es-ES"/>
            </w:rPr>
            <w:instrText xml:space="preserve"> TOC \o "1-3" \h \z \u </w:instrText>
          </w:r>
          <w:r w:rsidRPr="00CD0557">
            <w:rPr>
              <w:rFonts w:ascii="Arial Narrow" w:hAnsi="Arial Narrow"/>
              <w:b/>
              <w:bCs/>
              <w:lang w:val="es-ES"/>
            </w:rPr>
            <w:fldChar w:fldCharType="separate"/>
          </w:r>
          <w:hyperlink w:anchor="_Toc533665758" w:history="1">
            <w:r w:rsidR="00CD0557" w:rsidRPr="00CD0557">
              <w:rPr>
                <w:rStyle w:val="Hipervnculo"/>
                <w:rFonts w:ascii="Arial Narrow" w:hAnsi="Arial Narrow"/>
                <w:noProof/>
              </w:rPr>
              <w:t>1.</w:t>
            </w:r>
            <w:r w:rsidR="00CD0557" w:rsidRPr="00CD0557">
              <w:rPr>
                <w:rFonts w:ascii="Arial Narrow" w:eastAsiaTheme="minorEastAsia" w:hAnsi="Arial Narrow"/>
                <w:noProof/>
                <w:lang w:val="en-US"/>
              </w:rPr>
              <w:tab/>
            </w:r>
            <w:r w:rsidR="00CD0557" w:rsidRPr="00CD0557">
              <w:rPr>
                <w:rStyle w:val="Hipervnculo"/>
                <w:rFonts w:ascii="Arial Narrow" w:hAnsi="Arial Narrow"/>
                <w:noProof/>
              </w:rPr>
              <w:t>INTRODUCCIÓN</w:t>
            </w:r>
            <w:r w:rsidR="00CD0557" w:rsidRPr="00CD0557">
              <w:rPr>
                <w:rFonts w:ascii="Arial Narrow" w:hAnsi="Arial Narrow"/>
                <w:noProof/>
                <w:webHidden/>
              </w:rPr>
              <w:tab/>
            </w:r>
            <w:r w:rsidR="00CD0557" w:rsidRPr="00CD0557">
              <w:rPr>
                <w:rFonts w:ascii="Arial Narrow" w:hAnsi="Arial Narrow"/>
                <w:noProof/>
                <w:webHidden/>
              </w:rPr>
              <w:fldChar w:fldCharType="begin"/>
            </w:r>
            <w:r w:rsidR="00CD0557" w:rsidRPr="00CD0557">
              <w:rPr>
                <w:rFonts w:ascii="Arial Narrow" w:hAnsi="Arial Narrow"/>
                <w:noProof/>
                <w:webHidden/>
              </w:rPr>
              <w:instrText xml:space="preserve"> PAGEREF _Toc533665758 \h </w:instrText>
            </w:r>
            <w:r w:rsidR="00CD0557" w:rsidRPr="00CD0557">
              <w:rPr>
                <w:rFonts w:ascii="Arial Narrow" w:hAnsi="Arial Narrow"/>
                <w:noProof/>
                <w:webHidden/>
              </w:rPr>
            </w:r>
            <w:r w:rsidR="00CD0557" w:rsidRPr="00CD0557">
              <w:rPr>
                <w:rFonts w:ascii="Arial Narrow" w:hAnsi="Arial Narrow"/>
                <w:noProof/>
                <w:webHidden/>
              </w:rPr>
              <w:fldChar w:fldCharType="separate"/>
            </w:r>
            <w:r w:rsidR="00CD0557">
              <w:rPr>
                <w:rFonts w:ascii="Arial Narrow" w:hAnsi="Arial Narrow"/>
                <w:noProof/>
                <w:webHidden/>
              </w:rPr>
              <w:t>2</w:t>
            </w:r>
            <w:r w:rsidR="00CD0557"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59" w:history="1">
            <w:r w:rsidRPr="00CD0557">
              <w:rPr>
                <w:rStyle w:val="Hipervnculo"/>
                <w:rFonts w:ascii="Arial Narrow" w:hAnsi="Arial Narrow"/>
                <w:noProof/>
              </w:rPr>
              <w:t>2.</w:t>
            </w:r>
            <w:r w:rsidRPr="00CD0557">
              <w:rPr>
                <w:rFonts w:ascii="Arial Narrow" w:eastAsiaTheme="minorEastAsia" w:hAnsi="Arial Narrow"/>
                <w:noProof/>
                <w:lang w:val="en-US"/>
              </w:rPr>
              <w:tab/>
            </w:r>
            <w:r w:rsidRPr="00CD0557">
              <w:rPr>
                <w:rStyle w:val="Hipervnculo"/>
                <w:rFonts w:ascii="Arial Narrow" w:hAnsi="Arial Narrow"/>
                <w:noProof/>
              </w:rPr>
              <w:t>OBJETIVO</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_Toc533665759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3</w:t>
            </w:r>
            <w:r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60" w:history="1">
            <w:r w:rsidRPr="00CD0557">
              <w:rPr>
                <w:rStyle w:val="Hipervnculo"/>
                <w:rFonts w:ascii="Arial Narrow" w:hAnsi="Arial Narrow"/>
                <w:noProof/>
              </w:rPr>
              <w:t>3.</w:t>
            </w:r>
            <w:r w:rsidRPr="00CD0557">
              <w:rPr>
                <w:rFonts w:ascii="Arial Narrow" w:eastAsiaTheme="minorEastAsia" w:hAnsi="Arial Narrow"/>
                <w:noProof/>
                <w:lang w:val="en-US"/>
              </w:rPr>
              <w:tab/>
            </w:r>
            <w:r w:rsidRPr="00CD0557">
              <w:rPr>
                <w:rStyle w:val="Hipervnculo"/>
                <w:rFonts w:ascii="Arial Narrow" w:hAnsi="Arial Narrow"/>
                <w:noProof/>
              </w:rPr>
              <w:t>ALCANCE</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_Toc533665760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3</w:t>
            </w:r>
            <w:r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61" w:history="1">
            <w:r w:rsidRPr="00CD0557">
              <w:rPr>
                <w:rStyle w:val="Hipervnculo"/>
                <w:rFonts w:ascii="Arial Narrow" w:hAnsi="Arial Narrow"/>
                <w:noProof/>
              </w:rPr>
              <w:t>4.</w:t>
            </w:r>
            <w:r w:rsidRPr="00CD0557">
              <w:rPr>
                <w:rFonts w:ascii="Arial Narrow" w:eastAsiaTheme="minorEastAsia" w:hAnsi="Arial Narrow"/>
                <w:noProof/>
                <w:lang w:val="en-US"/>
              </w:rPr>
              <w:tab/>
            </w:r>
            <w:r w:rsidRPr="00CD0557">
              <w:rPr>
                <w:rStyle w:val="Hipervnculo"/>
                <w:rFonts w:ascii="Arial Narrow" w:hAnsi="Arial Narrow"/>
                <w:noProof/>
              </w:rPr>
              <w:t>PRODUCTOS ESPERADOS</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_Toc533665761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3</w:t>
            </w:r>
            <w:r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62" w:history="1">
            <w:r w:rsidRPr="00CD0557">
              <w:rPr>
                <w:rStyle w:val="Hipervnculo"/>
                <w:rFonts w:ascii="Arial Narrow" w:hAnsi="Arial Narrow"/>
                <w:noProof/>
              </w:rPr>
              <w:t>5.</w:t>
            </w:r>
            <w:r w:rsidRPr="00CD0557">
              <w:rPr>
                <w:rFonts w:ascii="Arial Narrow" w:eastAsiaTheme="minorEastAsia" w:hAnsi="Arial Narrow"/>
                <w:noProof/>
                <w:lang w:val="en-US"/>
              </w:rPr>
              <w:tab/>
            </w:r>
            <w:r w:rsidRPr="00CD0557">
              <w:rPr>
                <w:rStyle w:val="Hipervnculo"/>
                <w:rFonts w:ascii="Arial Narrow" w:hAnsi="Arial Narrow"/>
                <w:noProof/>
              </w:rPr>
              <w:t>TÉRMINOS Y DEFINICIONES</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_Toc533665762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3</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3" w:history="1">
            <w:r w:rsidRPr="00CD0557">
              <w:rPr>
                <w:rStyle w:val="Hipervnculo"/>
                <w:rFonts w:ascii="Arial Narrow" w:hAnsi="Arial Narrow"/>
                <w:noProof/>
              </w:rPr>
              <w:t>6.</w:t>
            </w:r>
            <w:r w:rsidRPr="00CD0557">
              <w:rPr>
                <w:rFonts w:ascii="Arial Narrow" w:eastAsiaTheme="minorEastAsia" w:hAnsi="Arial Narrow"/>
                <w:noProof/>
                <w:lang w:val="en-US"/>
              </w:rPr>
              <w:tab/>
            </w:r>
            <w:r w:rsidRPr="00CD0557">
              <w:rPr>
                <w:rStyle w:val="Hipervnculo"/>
                <w:rFonts w:ascii="Arial Narrow" w:hAnsi="Arial Narrow"/>
                <w:noProof/>
              </w:rPr>
              <w:t>METODOLOGÍA DEL MODELO VAR DE SIMULACIÓN HISTÓRICA</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_Toc533665763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4</w:t>
            </w:r>
            <w:r w:rsidRPr="00CD0557">
              <w:rPr>
                <w:rFonts w:ascii="Arial Narrow" w:hAnsi="Arial Narrow"/>
                <w:noProof/>
                <w:webHidden/>
              </w:rPr>
              <w:fldChar w:fldCharType="end"/>
            </w:r>
          </w:hyperlink>
        </w:p>
        <w:p w:rsidR="00CD0557" w:rsidRPr="00CD0557" w:rsidRDefault="00CD0557" w:rsidP="00CD0557">
          <w:pPr>
            <w:pStyle w:val="TDC1"/>
            <w:tabs>
              <w:tab w:val="left" w:pos="440"/>
              <w:tab w:val="right" w:leader="dot" w:pos="8828"/>
            </w:tabs>
            <w:rPr>
              <w:rFonts w:ascii="Arial Narrow" w:eastAsiaTheme="minorEastAsia" w:hAnsi="Arial Narrow"/>
              <w:noProof/>
              <w:lang w:val="en-US"/>
            </w:rPr>
          </w:pPr>
          <w:hyperlink w:anchor="_Toc533665764" w:history="1">
            <w:r w:rsidRPr="00CD0557">
              <w:rPr>
                <w:rStyle w:val="Hipervnculo"/>
                <w:rFonts w:ascii="Arial Narrow" w:hAnsi="Arial Narrow"/>
                <w:noProof/>
              </w:rPr>
              <w:t>6.1.</w:t>
            </w:r>
            <w:r w:rsidRPr="00CD0557">
              <w:rPr>
                <w:rFonts w:ascii="Arial Narrow" w:eastAsiaTheme="minorEastAsia" w:hAnsi="Arial Narrow"/>
                <w:noProof/>
                <w:lang w:val="en-US"/>
              </w:rPr>
              <w:tab/>
            </w:r>
            <w:r w:rsidRPr="00CD0557">
              <w:rPr>
                <w:rStyle w:val="Hipervnculo"/>
                <w:rFonts w:ascii="Arial Narrow" w:hAnsi="Arial Narrow"/>
                <w:noProof/>
              </w:rPr>
              <w:t>Aplicación de medición.</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_Toc533665764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6</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5" w:history="1">
            <w:r w:rsidRPr="00CD0557">
              <w:rPr>
                <w:rStyle w:val="Hipervnculo"/>
                <w:rFonts w:ascii="Arial Narrow" w:hAnsi="Arial Narrow"/>
                <w:noProof/>
              </w:rPr>
              <w:t>7.</w:t>
            </w:r>
            <w:r w:rsidRPr="00CD0557">
              <w:rPr>
                <w:rFonts w:ascii="Arial Narrow" w:eastAsiaTheme="minorEastAsia" w:hAnsi="Arial Narrow"/>
                <w:noProof/>
                <w:lang w:val="en-US"/>
              </w:rPr>
              <w:tab/>
            </w:r>
            <w:r w:rsidRPr="00CD0557">
              <w:rPr>
                <w:rStyle w:val="Hipervnculo"/>
                <w:rFonts w:ascii="Arial Narrow" w:hAnsi="Arial Narrow"/>
                <w:noProof/>
              </w:rPr>
              <w:t>MODELO VAR DIVERSIFICADO CON VOLATILIDADES EWMA</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_Toc533665765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6</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6" w:history="1">
            <w:r w:rsidRPr="00CD0557">
              <w:rPr>
                <w:rStyle w:val="Hipervnculo"/>
                <w:rFonts w:ascii="Arial Narrow" w:hAnsi="Arial Narrow"/>
                <w:noProof/>
              </w:rPr>
              <w:t>7.1.</w:t>
            </w:r>
            <w:r w:rsidRPr="00CD0557">
              <w:rPr>
                <w:rFonts w:ascii="Arial Narrow" w:eastAsiaTheme="minorEastAsia" w:hAnsi="Arial Narrow"/>
                <w:noProof/>
                <w:lang w:val="en-US"/>
              </w:rPr>
              <w:tab/>
            </w:r>
            <w:r w:rsidRPr="00CD0557">
              <w:rPr>
                <w:rStyle w:val="Hipervnculo"/>
                <w:rFonts w:ascii="Arial Narrow" w:hAnsi="Arial Narrow"/>
                <w:noProof/>
              </w:rPr>
              <w:t>Estimación de las volatilidades bajo la metodología EWMA</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_Toc533665766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6</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7" w:history="1">
            <w:r w:rsidRPr="00CD0557">
              <w:rPr>
                <w:rStyle w:val="Hipervnculo"/>
                <w:rFonts w:ascii="Arial Narrow" w:hAnsi="Arial Narrow"/>
                <w:noProof/>
              </w:rPr>
              <w:t>7.2.</w:t>
            </w:r>
            <w:r w:rsidRPr="00CD0557">
              <w:rPr>
                <w:rFonts w:ascii="Arial Narrow" w:eastAsiaTheme="minorEastAsia" w:hAnsi="Arial Narrow"/>
                <w:noProof/>
                <w:lang w:val="en-US"/>
              </w:rPr>
              <w:tab/>
            </w:r>
            <w:r w:rsidRPr="00CD0557">
              <w:rPr>
                <w:rStyle w:val="Hipervnculo"/>
                <w:rFonts w:ascii="Arial Narrow" w:hAnsi="Arial Narrow"/>
                <w:noProof/>
              </w:rPr>
              <w:t>Parámetros del Modelo</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_Toc533665767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7</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8" w:history="1">
            <w:r w:rsidRPr="00CD0557">
              <w:rPr>
                <w:rStyle w:val="Hipervnculo"/>
                <w:rFonts w:ascii="Arial Narrow" w:hAnsi="Arial Narrow"/>
                <w:noProof/>
              </w:rPr>
              <w:t>7.3.</w:t>
            </w:r>
            <w:r w:rsidRPr="00CD0557">
              <w:rPr>
                <w:rFonts w:ascii="Arial Narrow" w:eastAsiaTheme="minorEastAsia" w:hAnsi="Arial Narrow"/>
                <w:noProof/>
                <w:lang w:val="en-US"/>
              </w:rPr>
              <w:tab/>
            </w:r>
            <w:r w:rsidRPr="00CD0557">
              <w:rPr>
                <w:rStyle w:val="Hipervnculo"/>
                <w:rFonts w:ascii="Arial Narrow" w:hAnsi="Arial Narrow"/>
                <w:noProof/>
              </w:rPr>
              <w:t>Factores de Riesgo</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_Toc533665768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8</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69" w:history="1">
            <w:r w:rsidRPr="00CD0557">
              <w:rPr>
                <w:rStyle w:val="Hipervnculo"/>
                <w:rFonts w:ascii="Arial Narrow" w:hAnsi="Arial Narrow"/>
                <w:noProof/>
              </w:rPr>
              <w:t>7.4.</w:t>
            </w:r>
            <w:r w:rsidRPr="00CD0557">
              <w:rPr>
                <w:rFonts w:ascii="Arial Narrow" w:eastAsiaTheme="minorEastAsia" w:hAnsi="Arial Narrow"/>
                <w:noProof/>
                <w:lang w:val="en-US"/>
              </w:rPr>
              <w:tab/>
            </w:r>
            <w:r w:rsidRPr="00CD0557">
              <w:rPr>
                <w:rStyle w:val="Hipervnculo"/>
                <w:rFonts w:ascii="Arial Narrow" w:hAnsi="Arial Narrow"/>
                <w:noProof/>
              </w:rPr>
              <w:t>Cálculo de las volatilidades</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_Toc533665769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8</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70" w:history="1">
            <w:r w:rsidRPr="00CD0557">
              <w:rPr>
                <w:rStyle w:val="Hipervnculo"/>
                <w:rFonts w:ascii="Arial Narrow" w:hAnsi="Arial Narrow"/>
                <w:noProof/>
              </w:rPr>
              <w:t>7.5.</w:t>
            </w:r>
            <w:r w:rsidRPr="00CD0557">
              <w:rPr>
                <w:rFonts w:ascii="Arial Narrow" w:eastAsiaTheme="minorEastAsia" w:hAnsi="Arial Narrow"/>
                <w:noProof/>
                <w:lang w:val="en-US"/>
              </w:rPr>
              <w:tab/>
            </w:r>
            <w:r w:rsidRPr="00CD0557">
              <w:rPr>
                <w:rStyle w:val="Hipervnculo"/>
                <w:rFonts w:ascii="Arial Narrow" w:hAnsi="Arial Narrow"/>
                <w:noProof/>
              </w:rPr>
              <w:t>Cálculo del VaR Diversificado</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_Toc533665770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9</w:t>
            </w:r>
            <w:r w:rsidRPr="00CD0557">
              <w:rPr>
                <w:rFonts w:ascii="Arial Narrow" w:hAnsi="Arial Narrow"/>
                <w:noProof/>
                <w:webHidden/>
              </w:rPr>
              <w:fldChar w:fldCharType="end"/>
            </w:r>
          </w:hyperlink>
        </w:p>
        <w:p w:rsidR="00CD0557" w:rsidRDefault="00CD0557" w:rsidP="00CD0557">
          <w:pPr>
            <w:pStyle w:val="TDC1"/>
            <w:tabs>
              <w:tab w:val="left" w:pos="440"/>
              <w:tab w:val="right" w:leader="dot" w:pos="8828"/>
            </w:tabs>
            <w:rPr>
              <w:rStyle w:val="Hipervnculo"/>
              <w:rFonts w:ascii="Arial Narrow" w:hAnsi="Arial Narrow"/>
              <w:noProof/>
            </w:rPr>
          </w:pPr>
          <w:hyperlink w:anchor="_Toc533665771" w:history="1">
            <w:r w:rsidRPr="00CD0557">
              <w:rPr>
                <w:rStyle w:val="Hipervnculo"/>
                <w:rFonts w:ascii="Arial Narrow" w:hAnsi="Arial Narrow"/>
                <w:noProof/>
              </w:rPr>
              <w:t>7.5.1.VaR Individual</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_Toc533665771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9</w:t>
            </w:r>
            <w:r w:rsidRPr="00CD0557">
              <w:rPr>
                <w:rFonts w:ascii="Arial Narrow" w:hAnsi="Arial Narrow"/>
                <w:noProof/>
                <w:webHidden/>
              </w:rPr>
              <w:fldChar w:fldCharType="end"/>
            </w:r>
          </w:hyperlink>
        </w:p>
        <w:p w:rsidR="00CD0557" w:rsidRPr="00CD0557" w:rsidRDefault="00CD0557" w:rsidP="00CD0557">
          <w:pPr>
            <w:pStyle w:val="TDC1"/>
            <w:tabs>
              <w:tab w:val="left" w:pos="440"/>
              <w:tab w:val="right" w:leader="dot" w:pos="8828"/>
            </w:tabs>
            <w:rPr>
              <w:rFonts w:ascii="Arial Narrow" w:eastAsiaTheme="minorEastAsia" w:hAnsi="Arial Narrow"/>
              <w:noProof/>
              <w:lang w:val="en-US"/>
            </w:rPr>
          </w:pPr>
          <w:hyperlink w:anchor="_Toc533665772" w:history="1">
            <w:r w:rsidRPr="00CD0557">
              <w:rPr>
                <w:rStyle w:val="Hipervnculo"/>
                <w:rFonts w:ascii="Arial Narrow" w:hAnsi="Arial Narrow"/>
                <w:noProof/>
              </w:rPr>
              <w:t>7.5.2.Uso de la Matriz de Correlación para el cálculo del VaR Diversificado</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_Toc533665772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10</w:t>
            </w:r>
            <w:r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73" w:history="1">
            <w:r w:rsidRPr="00CD0557">
              <w:rPr>
                <w:rStyle w:val="Hipervnculo"/>
                <w:rFonts w:ascii="Arial Narrow" w:hAnsi="Arial Narrow"/>
                <w:noProof/>
              </w:rPr>
              <w:t>8.</w:t>
            </w:r>
            <w:r w:rsidRPr="00CD0557">
              <w:rPr>
                <w:rFonts w:ascii="Arial Narrow" w:eastAsiaTheme="minorEastAsia" w:hAnsi="Arial Narrow"/>
                <w:noProof/>
                <w:lang w:val="en-US"/>
              </w:rPr>
              <w:tab/>
            </w:r>
            <w:r w:rsidRPr="00CD0557">
              <w:rPr>
                <w:rStyle w:val="Hipervnculo"/>
                <w:rFonts w:ascii="Arial Narrow" w:hAnsi="Arial Narrow"/>
                <w:noProof/>
              </w:rPr>
              <w:t>CONCLUSIÓN</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_Toc533665773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11</w:t>
            </w:r>
            <w:r w:rsidRPr="00CD0557">
              <w:rPr>
                <w:rFonts w:ascii="Arial Narrow" w:hAnsi="Arial Narrow"/>
                <w:noProof/>
                <w:webHidden/>
              </w:rPr>
              <w:fldChar w:fldCharType="end"/>
            </w:r>
          </w:hyperlink>
        </w:p>
        <w:p w:rsidR="00CD0557" w:rsidRPr="00CD0557" w:rsidRDefault="00CD0557">
          <w:pPr>
            <w:pStyle w:val="TDC1"/>
            <w:tabs>
              <w:tab w:val="left" w:pos="440"/>
              <w:tab w:val="right" w:leader="dot" w:pos="8828"/>
            </w:tabs>
            <w:rPr>
              <w:rFonts w:ascii="Arial Narrow" w:eastAsiaTheme="minorEastAsia" w:hAnsi="Arial Narrow"/>
              <w:noProof/>
              <w:lang w:val="en-US"/>
            </w:rPr>
          </w:pPr>
          <w:hyperlink w:anchor="_Toc533665774" w:history="1">
            <w:r w:rsidRPr="00CD0557">
              <w:rPr>
                <w:rStyle w:val="Hipervnculo"/>
                <w:rFonts w:ascii="Arial Narrow" w:hAnsi="Arial Narrow"/>
                <w:noProof/>
              </w:rPr>
              <w:t>9.</w:t>
            </w:r>
            <w:r w:rsidRPr="00CD0557">
              <w:rPr>
                <w:rFonts w:ascii="Arial Narrow" w:eastAsiaTheme="minorEastAsia" w:hAnsi="Arial Narrow"/>
                <w:noProof/>
                <w:lang w:val="en-US"/>
              </w:rPr>
              <w:tab/>
            </w:r>
            <w:r w:rsidRPr="00CD0557">
              <w:rPr>
                <w:rStyle w:val="Hipervnculo"/>
                <w:rFonts w:ascii="Arial Narrow" w:hAnsi="Arial Narrow"/>
                <w:noProof/>
              </w:rPr>
              <w:t>BIBLIOGRAFÍA</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_Toc533665774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12</w:t>
            </w:r>
            <w:r w:rsidRPr="00CD0557">
              <w:rPr>
                <w:rFonts w:ascii="Arial Narrow" w:hAnsi="Arial Narrow"/>
                <w:noProof/>
                <w:webHidden/>
              </w:rPr>
              <w:fldChar w:fldCharType="end"/>
            </w:r>
          </w:hyperlink>
        </w:p>
        <w:p w:rsidR="00CD0557" w:rsidRPr="00CD0557" w:rsidRDefault="00CD0557">
          <w:pPr>
            <w:pStyle w:val="TDC1"/>
            <w:tabs>
              <w:tab w:val="left" w:pos="660"/>
              <w:tab w:val="right" w:leader="dot" w:pos="8828"/>
            </w:tabs>
            <w:rPr>
              <w:rFonts w:ascii="Arial Narrow" w:eastAsiaTheme="minorEastAsia" w:hAnsi="Arial Narrow"/>
              <w:noProof/>
              <w:lang w:val="en-US"/>
            </w:rPr>
          </w:pPr>
          <w:hyperlink w:anchor="_Toc533665775" w:history="1">
            <w:r w:rsidRPr="00CD0557">
              <w:rPr>
                <w:rStyle w:val="Hipervnculo"/>
                <w:rFonts w:ascii="Arial Narrow" w:hAnsi="Arial Narrow" w:cs="Arial"/>
                <w:noProof/>
              </w:rPr>
              <w:t>10.</w:t>
            </w:r>
            <w:r w:rsidRPr="00CD0557">
              <w:rPr>
                <w:rFonts w:ascii="Arial Narrow" w:eastAsiaTheme="minorEastAsia" w:hAnsi="Arial Narrow"/>
                <w:noProof/>
                <w:lang w:val="en-US"/>
              </w:rPr>
              <w:tab/>
            </w:r>
            <w:r w:rsidRPr="00CD0557">
              <w:rPr>
                <w:rStyle w:val="Hipervnculo"/>
                <w:rFonts w:ascii="Arial Narrow" w:hAnsi="Arial Narrow"/>
                <w:noProof/>
              </w:rPr>
              <w:t>HISTORIAL DE CAMBIOS</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_Toc533665775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12</w:t>
            </w:r>
            <w:r w:rsidRPr="00CD0557">
              <w:rPr>
                <w:rFonts w:ascii="Arial Narrow" w:hAnsi="Arial Narrow"/>
                <w:noProof/>
                <w:webHidden/>
              </w:rPr>
              <w:fldChar w:fldCharType="end"/>
            </w:r>
          </w:hyperlink>
        </w:p>
        <w:p w:rsidR="00CD0557" w:rsidRPr="00CD0557" w:rsidRDefault="00CD0557">
          <w:pPr>
            <w:pStyle w:val="TDC1"/>
            <w:tabs>
              <w:tab w:val="left" w:pos="660"/>
              <w:tab w:val="right" w:leader="dot" w:pos="8828"/>
            </w:tabs>
            <w:rPr>
              <w:rFonts w:ascii="Arial Narrow" w:eastAsiaTheme="minorEastAsia" w:hAnsi="Arial Narrow"/>
              <w:noProof/>
              <w:lang w:val="en-US"/>
            </w:rPr>
          </w:pPr>
          <w:hyperlink w:anchor="_Toc533665776" w:history="1">
            <w:r w:rsidRPr="00CD0557">
              <w:rPr>
                <w:rStyle w:val="Hipervnculo"/>
                <w:rFonts w:ascii="Arial Narrow" w:hAnsi="Arial Narrow"/>
                <w:noProof/>
              </w:rPr>
              <w:t>11.</w:t>
            </w:r>
            <w:r w:rsidRPr="00CD0557">
              <w:rPr>
                <w:rFonts w:ascii="Arial Narrow" w:eastAsiaTheme="minorEastAsia" w:hAnsi="Arial Narrow"/>
                <w:noProof/>
                <w:lang w:val="en-US"/>
              </w:rPr>
              <w:tab/>
            </w:r>
            <w:r w:rsidRPr="00CD0557">
              <w:rPr>
                <w:rStyle w:val="Hipervnculo"/>
                <w:rFonts w:ascii="Arial Narrow" w:hAnsi="Arial Narrow"/>
                <w:noProof/>
              </w:rPr>
              <w:t>APROBACIÓN</w:t>
            </w:r>
            <w:r w:rsidRPr="00CD0557">
              <w:rPr>
                <w:rFonts w:ascii="Arial Narrow" w:hAnsi="Arial Narrow"/>
                <w:noProof/>
                <w:webHidden/>
              </w:rPr>
              <w:tab/>
            </w:r>
            <w:r w:rsidRPr="00CD0557">
              <w:rPr>
                <w:rFonts w:ascii="Arial Narrow" w:hAnsi="Arial Narrow"/>
                <w:noProof/>
                <w:webHidden/>
              </w:rPr>
              <w:fldChar w:fldCharType="begin"/>
            </w:r>
            <w:r w:rsidRPr="00CD0557">
              <w:rPr>
                <w:rFonts w:ascii="Arial Narrow" w:hAnsi="Arial Narrow"/>
                <w:noProof/>
                <w:webHidden/>
              </w:rPr>
              <w:instrText xml:space="preserve"> PAGEREF _Toc533665776 \h </w:instrText>
            </w:r>
            <w:r w:rsidRPr="00CD0557">
              <w:rPr>
                <w:rFonts w:ascii="Arial Narrow" w:hAnsi="Arial Narrow"/>
                <w:noProof/>
                <w:webHidden/>
              </w:rPr>
            </w:r>
            <w:r w:rsidRPr="00CD0557">
              <w:rPr>
                <w:rFonts w:ascii="Arial Narrow" w:hAnsi="Arial Narrow"/>
                <w:noProof/>
                <w:webHidden/>
              </w:rPr>
              <w:fldChar w:fldCharType="separate"/>
            </w:r>
            <w:r>
              <w:rPr>
                <w:rFonts w:ascii="Arial Narrow" w:hAnsi="Arial Narrow"/>
                <w:noProof/>
                <w:webHidden/>
              </w:rPr>
              <w:t>12</w:t>
            </w:r>
            <w:r w:rsidRPr="00CD0557">
              <w:rPr>
                <w:rFonts w:ascii="Arial Narrow" w:hAnsi="Arial Narrow"/>
                <w:noProof/>
                <w:webHidden/>
              </w:rPr>
              <w:fldChar w:fldCharType="end"/>
            </w:r>
          </w:hyperlink>
        </w:p>
        <w:p w:rsidR="0026447C" w:rsidRPr="00EC3D47" w:rsidRDefault="0026447C">
          <w:pPr>
            <w:rPr>
              <w:rFonts w:ascii="Arial Narrow" w:hAnsi="Arial Narrow"/>
            </w:rPr>
          </w:pPr>
          <w:r w:rsidRPr="00CD0557">
            <w:rPr>
              <w:rFonts w:ascii="Arial Narrow" w:hAnsi="Arial Narrow"/>
              <w:b/>
              <w:bCs/>
              <w:lang w:val="es-ES"/>
            </w:rPr>
            <w:fldChar w:fldCharType="end"/>
          </w:r>
        </w:p>
      </w:sdtContent>
    </w:sdt>
    <w:p w:rsidR="0026447C" w:rsidRPr="00EC3D47" w:rsidRDefault="0026447C"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9B316A" w:rsidRPr="00EC3D47" w:rsidRDefault="009B316A"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26447C" w:rsidRPr="00EC3D47" w:rsidRDefault="0026447C" w:rsidP="0026447C">
      <w:pPr>
        <w:spacing w:line="276" w:lineRule="auto"/>
        <w:jc w:val="both"/>
        <w:rPr>
          <w:rFonts w:ascii="Arial Narrow" w:hAnsi="Arial Narrow" w:cs="Times New Roman"/>
          <w:b/>
          <w:sz w:val="24"/>
          <w:szCs w:val="24"/>
          <w:lang w:eastAsia="es-CO"/>
        </w:rPr>
      </w:pPr>
    </w:p>
    <w:p w:rsidR="008B56CA" w:rsidRDefault="000473C4" w:rsidP="000473C4">
      <w:pPr>
        <w:pStyle w:val="Ttulo1"/>
        <w:jc w:val="center"/>
      </w:pPr>
      <w:bookmarkStart w:id="1" w:name="_Toc533665758"/>
      <w:r w:rsidRPr="00EC3D47">
        <w:t>INTRODUCCIÓN</w:t>
      </w:r>
      <w:bookmarkEnd w:id="1"/>
    </w:p>
    <w:p w:rsidR="00ED16E5" w:rsidRPr="00ED16E5" w:rsidRDefault="00ED16E5" w:rsidP="00ED16E5">
      <w:pPr>
        <w:rPr>
          <w:lang w:eastAsia="es-CO"/>
        </w:rPr>
      </w:pPr>
    </w:p>
    <w:p w:rsidR="00B11770" w:rsidRPr="00EC3D47" w:rsidRDefault="0010374A"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M</w:t>
      </w:r>
      <w:r w:rsidR="00B11770" w:rsidRPr="00EC3D47">
        <w:rPr>
          <w:rFonts w:ascii="Arial Narrow" w:hAnsi="Arial Narrow" w:cs="Times New Roman"/>
          <w:sz w:val="24"/>
          <w:szCs w:val="24"/>
          <w:lang w:eastAsia="es-CO"/>
        </w:rPr>
        <w:t>inisterio de Hacienda y Crédito Público</w:t>
      </w:r>
      <w:r w:rsidRPr="00EC3D47">
        <w:rPr>
          <w:rFonts w:ascii="Arial Narrow" w:hAnsi="Arial Narrow" w:cs="Times New Roman"/>
          <w:sz w:val="24"/>
          <w:szCs w:val="24"/>
          <w:lang w:eastAsia="es-CO"/>
        </w:rPr>
        <w:t xml:space="preserve"> (MHCP)</w:t>
      </w:r>
      <w:r w:rsidR="00B11770" w:rsidRPr="00EC3D47">
        <w:rPr>
          <w:rFonts w:ascii="Arial Narrow" w:hAnsi="Arial Narrow" w:cs="Times New Roman"/>
          <w:sz w:val="24"/>
          <w:szCs w:val="24"/>
          <w:lang w:eastAsia="es-CO"/>
        </w:rPr>
        <w:t xml:space="preserve"> a través de la Dirección</w:t>
      </w:r>
      <w:r w:rsidR="000D523F" w:rsidRPr="00EC3D47">
        <w:rPr>
          <w:rFonts w:ascii="Arial Narrow" w:hAnsi="Arial Narrow" w:cs="Times New Roman"/>
          <w:sz w:val="24"/>
          <w:szCs w:val="24"/>
          <w:lang w:eastAsia="es-CO"/>
        </w:rPr>
        <w:t xml:space="preserve"> General</w:t>
      </w:r>
      <w:r w:rsidR="00B11770" w:rsidRPr="00EC3D47">
        <w:rPr>
          <w:rFonts w:ascii="Arial Narrow" w:hAnsi="Arial Narrow" w:cs="Times New Roman"/>
          <w:sz w:val="24"/>
          <w:szCs w:val="24"/>
          <w:lang w:eastAsia="es-CO"/>
        </w:rPr>
        <w:t xml:space="preserve"> de Crédito Público y Tesoro Nacional</w:t>
      </w:r>
      <w:r w:rsidR="000D523F" w:rsidRPr="00EC3D47">
        <w:rPr>
          <w:rFonts w:ascii="Arial Narrow" w:hAnsi="Arial Narrow" w:cs="Times New Roman"/>
          <w:sz w:val="24"/>
          <w:szCs w:val="24"/>
          <w:lang w:eastAsia="es-CO"/>
        </w:rPr>
        <w:t xml:space="preserve"> (DGCPTN) </w:t>
      </w:r>
      <w:r w:rsidR="00B11770" w:rsidRPr="00EC3D47">
        <w:rPr>
          <w:rFonts w:ascii="Arial Narrow" w:hAnsi="Arial Narrow" w:cs="Times New Roman"/>
          <w:sz w:val="24"/>
          <w:szCs w:val="24"/>
          <w:lang w:eastAsia="es-CO"/>
        </w:rPr>
        <w:t xml:space="preserve"> se encarga de </w:t>
      </w:r>
      <w:r w:rsidR="00DE4F22" w:rsidRPr="00EC3D47">
        <w:rPr>
          <w:rFonts w:ascii="Arial Narrow" w:hAnsi="Arial Narrow" w:cs="Times New Roman"/>
          <w:sz w:val="24"/>
          <w:szCs w:val="24"/>
          <w:lang w:eastAsia="es-CO"/>
        </w:rPr>
        <w:t>la administración de los Excedentes de Liquidez</w:t>
      </w:r>
      <w:r w:rsidR="00095D5B" w:rsidRPr="00EC3D47">
        <w:rPr>
          <w:rFonts w:ascii="Arial Narrow" w:hAnsi="Arial Narrow" w:cs="Times New Roman"/>
          <w:sz w:val="24"/>
          <w:szCs w:val="24"/>
          <w:lang w:eastAsia="es-CO"/>
        </w:rPr>
        <w:t xml:space="preserve"> provenientes de recursos propios, recursos administrados y los de los Fondos Especiales </w:t>
      </w:r>
      <w:r w:rsidR="00DE4F22" w:rsidRPr="00EC3D47">
        <w:rPr>
          <w:rFonts w:ascii="Arial Narrow" w:hAnsi="Arial Narrow" w:cs="Times New Roman"/>
          <w:sz w:val="24"/>
          <w:szCs w:val="24"/>
          <w:lang w:eastAsia="es-CO"/>
        </w:rPr>
        <w:t xml:space="preserve">por medio de la inversión en </w:t>
      </w:r>
      <w:r w:rsidR="00095D5B" w:rsidRPr="00EC3D47">
        <w:rPr>
          <w:rFonts w:ascii="Arial Narrow" w:hAnsi="Arial Narrow" w:cs="Times New Roman"/>
          <w:sz w:val="24"/>
          <w:szCs w:val="24"/>
          <w:lang w:eastAsia="es-CO"/>
        </w:rPr>
        <w:t xml:space="preserve">mercados financieros nacionales y del extranjero </w:t>
      </w:r>
      <w:r w:rsidR="00DE4F22" w:rsidRPr="00EC3D47">
        <w:rPr>
          <w:rFonts w:ascii="Arial Narrow" w:hAnsi="Arial Narrow" w:cs="Times New Roman"/>
          <w:sz w:val="24"/>
          <w:szCs w:val="24"/>
          <w:lang w:eastAsia="es-CO"/>
        </w:rPr>
        <w:t>con el fin de</w:t>
      </w:r>
      <w:r w:rsidR="000D523F" w:rsidRPr="00EC3D47">
        <w:rPr>
          <w:rFonts w:ascii="Arial Narrow" w:hAnsi="Arial Narrow" w:cs="Times New Roman"/>
          <w:sz w:val="24"/>
          <w:szCs w:val="24"/>
          <w:lang w:eastAsia="es-CO"/>
        </w:rPr>
        <w:t xml:space="preserve"> que</w:t>
      </w:r>
      <w:r w:rsidR="008B56CA" w:rsidRPr="00EC3D47">
        <w:rPr>
          <w:rFonts w:ascii="Arial Narrow" w:hAnsi="Arial Narrow" w:cs="Times New Roman"/>
          <w:sz w:val="24"/>
          <w:szCs w:val="24"/>
          <w:lang w:eastAsia="es-CO"/>
        </w:rPr>
        <w:t xml:space="preserve"> los recursos sean eficientes.</w:t>
      </w:r>
    </w:p>
    <w:p w:rsidR="008B56CA" w:rsidRPr="00EC3D47" w:rsidRDefault="008B56CA" w:rsidP="00F81069">
      <w:pPr>
        <w:spacing w:line="276" w:lineRule="auto"/>
        <w:jc w:val="both"/>
        <w:rPr>
          <w:rFonts w:ascii="Arial Narrow" w:hAnsi="Arial Narrow" w:cs="Times New Roman"/>
          <w:sz w:val="24"/>
          <w:szCs w:val="24"/>
          <w:lang w:eastAsia="es-CO"/>
        </w:rPr>
      </w:pPr>
    </w:p>
    <w:p w:rsidR="00B11770" w:rsidRPr="00EC3D47" w:rsidRDefault="00711A2B"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La Subdirección de Riesgo, tiene como función plantear políticas y metodologías que permitan administrar el riesgo asociado a las inversiones que la Tesorería realiza, al igual que diseñar estrategias de control y monitoreo de los riesgos</w:t>
      </w:r>
      <w:r w:rsidR="00637317" w:rsidRPr="00EC3D47">
        <w:rPr>
          <w:rFonts w:ascii="Arial Narrow" w:hAnsi="Arial Narrow" w:cs="Times New Roman"/>
          <w:sz w:val="24"/>
          <w:szCs w:val="24"/>
          <w:lang w:eastAsia="es-CO"/>
        </w:rPr>
        <w:t xml:space="preserve"> asociados</w:t>
      </w:r>
      <w:r w:rsidRPr="00EC3D47">
        <w:rPr>
          <w:rFonts w:ascii="Arial Narrow" w:hAnsi="Arial Narrow" w:cs="Times New Roman"/>
          <w:sz w:val="24"/>
          <w:szCs w:val="24"/>
          <w:lang w:eastAsia="es-CO"/>
        </w:rPr>
        <w:t>.</w:t>
      </w:r>
      <w:r w:rsidR="00DF4B45" w:rsidRPr="00EC3D47">
        <w:rPr>
          <w:rFonts w:ascii="Arial Narrow" w:hAnsi="Arial Narrow" w:cs="Times New Roman"/>
          <w:sz w:val="24"/>
          <w:szCs w:val="24"/>
          <w:lang w:eastAsia="es-CO"/>
        </w:rPr>
        <w:t xml:space="preserve"> Con el fin de realizar una adecuada </w:t>
      </w:r>
      <w:r w:rsidR="001E6EB4" w:rsidRPr="00EC3D47">
        <w:rPr>
          <w:rFonts w:ascii="Arial Narrow" w:hAnsi="Arial Narrow" w:cs="Times New Roman"/>
          <w:sz w:val="24"/>
          <w:szCs w:val="24"/>
          <w:lang w:eastAsia="es-CO"/>
        </w:rPr>
        <w:t>administración de</w:t>
      </w:r>
      <w:r w:rsidR="00DF4B45" w:rsidRPr="00EC3D47">
        <w:rPr>
          <w:rFonts w:ascii="Arial Narrow" w:hAnsi="Arial Narrow" w:cs="Times New Roman"/>
          <w:sz w:val="24"/>
          <w:szCs w:val="24"/>
          <w:lang w:eastAsia="es-CO"/>
        </w:rPr>
        <w:t xml:space="preserve"> los</w:t>
      </w:r>
      <w:r w:rsidR="001E6EB4" w:rsidRPr="00EC3D47">
        <w:rPr>
          <w:rFonts w:ascii="Arial Narrow" w:hAnsi="Arial Narrow" w:cs="Times New Roman"/>
          <w:sz w:val="24"/>
          <w:szCs w:val="24"/>
          <w:lang w:eastAsia="es-CO"/>
        </w:rPr>
        <w:t xml:space="preserve"> riesgo</w:t>
      </w:r>
      <w:r w:rsidR="00DF4B45" w:rsidRPr="00EC3D47">
        <w:rPr>
          <w:rFonts w:ascii="Arial Narrow" w:hAnsi="Arial Narrow" w:cs="Times New Roman"/>
          <w:sz w:val="24"/>
          <w:szCs w:val="24"/>
          <w:lang w:eastAsia="es-CO"/>
        </w:rPr>
        <w:t>s</w:t>
      </w:r>
      <w:r w:rsidR="00E66E0E" w:rsidRPr="00EC3D47">
        <w:rPr>
          <w:rFonts w:ascii="Arial Narrow" w:hAnsi="Arial Narrow" w:cs="Times New Roman"/>
          <w:sz w:val="24"/>
          <w:szCs w:val="24"/>
          <w:lang w:eastAsia="es-CO"/>
        </w:rPr>
        <w:t>,</w:t>
      </w:r>
      <w:r w:rsidR="001E6EB4" w:rsidRPr="00EC3D47">
        <w:rPr>
          <w:rFonts w:ascii="Arial Narrow" w:hAnsi="Arial Narrow" w:cs="Times New Roman"/>
          <w:sz w:val="24"/>
          <w:szCs w:val="24"/>
          <w:lang w:eastAsia="es-CO"/>
        </w:rPr>
        <w:t xml:space="preserve"> es</w:t>
      </w:r>
      <w:r w:rsidR="00DF4B45" w:rsidRPr="00EC3D47">
        <w:rPr>
          <w:rFonts w:ascii="Arial Narrow" w:hAnsi="Arial Narrow" w:cs="Times New Roman"/>
          <w:sz w:val="24"/>
          <w:szCs w:val="24"/>
          <w:lang w:eastAsia="es-CO"/>
        </w:rPr>
        <w:t xml:space="preserve"> necesario establecer métodos de cálculo que permitan cuantificar la exposición al riesgo para crear </w:t>
      </w:r>
      <w:r w:rsidR="00E66E0E" w:rsidRPr="00EC3D47">
        <w:rPr>
          <w:rFonts w:ascii="Arial Narrow" w:hAnsi="Arial Narrow" w:cs="Times New Roman"/>
          <w:sz w:val="24"/>
          <w:szCs w:val="24"/>
          <w:lang w:eastAsia="es-CO"/>
        </w:rPr>
        <w:t xml:space="preserve">alertas tempranas ante cambios en los mercados que podrían afectar negativamente las inversiones de la Tesorería. </w:t>
      </w:r>
    </w:p>
    <w:p w:rsidR="008B56CA" w:rsidRPr="00EC3D47" w:rsidRDefault="008B56CA" w:rsidP="00F81069">
      <w:pPr>
        <w:spacing w:line="276" w:lineRule="auto"/>
        <w:jc w:val="both"/>
        <w:rPr>
          <w:rFonts w:ascii="Arial Narrow" w:hAnsi="Arial Narrow" w:cs="Times New Roman"/>
          <w:sz w:val="24"/>
          <w:szCs w:val="24"/>
          <w:lang w:eastAsia="es-CO"/>
        </w:rPr>
      </w:pPr>
    </w:p>
    <w:p w:rsidR="000D523F" w:rsidRPr="00EC3D47" w:rsidRDefault="00E66E0E"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En virtud</w:t>
      </w:r>
      <w:r w:rsidR="00BC2F08" w:rsidRPr="00EC3D47">
        <w:rPr>
          <w:rFonts w:ascii="Arial Narrow" w:hAnsi="Arial Narrow" w:cs="Times New Roman"/>
          <w:sz w:val="24"/>
          <w:szCs w:val="24"/>
          <w:lang w:eastAsia="es-CO"/>
        </w:rPr>
        <w:t xml:space="preserve"> de responder con las funciones propias de la Subdirección de Riesgo, a continuación se </w:t>
      </w:r>
      <w:r w:rsidR="000D523F" w:rsidRPr="00EC3D47">
        <w:rPr>
          <w:rFonts w:ascii="Arial Narrow" w:hAnsi="Arial Narrow" w:cs="Times New Roman"/>
          <w:sz w:val="24"/>
          <w:szCs w:val="24"/>
          <w:lang w:eastAsia="es-CO"/>
        </w:rPr>
        <w:t>expone</w:t>
      </w:r>
      <w:r w:rsidR="00BC2F08" w:rsidRPr="00EC3D47">
        <w:rPr>
          <w:rFonts w:ascii="Arial Narrow" w:hAnsi="Arial Narrow" w:cs="Times New Roman"/>
          <w:sz w:val="24"/>
          <w:szCs w:val="24"/>
          <w:lang w:eastAsia="es-CO"/>
        </w:rPr>
        <w:t xml:space="preserve"> la metodología </w:t>
      </w:r>
      <w:r w:rsidR="00061A13" w:rsidRPr="00EC3D47">
        <w:rPr>
          <w:rFonts w:ascii="Arial Narrow" w:hAnsi="Arial Narrow" w:cs="Times New Roman"/>
          <w:sz w:val="24"/>
          <w:szCs w:val="24"/>
          <w:lang w:eastAsia="es-CO"/>
        </w:rPr>
        <w:t xml:space="preserve">que se implementa </w:t>
      </w:r>
      <w:r w:rsidR="00BC2F08" w:rsidRPr="00EC3D47">
        <w:rPr>
          <w:rFonts w:ascii="Arial Narrow" w:hAnsi="Arial Narrow" w:cs="Times New Roman"/>
          <w:sz w:val="24"/>
          <w:szCs w:val="24"/>
          <w:lang w:eastAsia="es-CO"/>
        </w:rPr>
        <w:t xml:space="preserve">para </w:t>
      </w:r>
      <w:r w:rsidR="00061A13" w:rsidRPr="00EC3D47">
        <w:rPr>
          <w:rFonts w:ascii="Arial Narrow" w:hAnsi="Arial Narrow" w:cs="Times New Roman"/>
          <w:sz w:val="24"/>
          <w:szCs w:val="24"/>
          <w:lang w:eastAsia="es-CO"/>
        </w:rPr>
        <w:t xml:space="preserve">cuantificar </w:t>
      </w:r>
      <w:r w:rsidR="00BC2F08" w:rsidRPr="00EC3D47">
        <w:rPr>
          <w:rFonts w:ascii="Arial Narrow" w:hAnsi="Arial Narrow" w:cs="Times New Roman"/>
          <w:sz w:val="24"/>
          <w:szCs w:val="24"/>
          <w:lang w:eastAsia="es-CO"/>
        </w:rPr>
        <w:t>el riesgo de mercado, entendiéndose ést</w:t>
      </w:r>
      <w:r w:rsidR="00061A13" w:rsidRPr="00EC3D47">
        <w:rPr>
          <w:rFonts w:ascii="Arial Narrow" w:hAnsi="Arial Narrow" w:cs="Times New Roman"/>
          <w:sz w:val="24"/>
          <w:szCs w:val="24"/>
          <w:lang w:eastAsia="es-CO"/>
        </w:rPr>
        <w:t xml:space="preserve">e como el riesgo </w:t>
      </w:r>
      <w:r w:rsidR="00BC2F08" w:rsidRPr="00EC3D47">
        <w:rPr>
          <w:rFonts w:ascii="Arial Narrow" w:hAnsi="Arial Narrow" w:cs="Times New Roman"/>
          <w:sz w:val="24"/>
          <w:szCs w:val="24"/>
          <w:lang w:eastAsia="es-CO"/>
        </w:rPr>
        <w:t>que las inversiones enfrentan ante cambios significativos de los precios</w:t>
      </w:r>
      <w:r w:rsidR="00061A13" w:rsidRPr="00EC3D47">
        <w:rPr>
          <w:rFonts w:ascii="Arial Narrow" w:hAnsi="Arial Narrow" w:cs="Times New Roman"/>
          <w:sz w:val="24"/>
          <w:szCs w:val="24"/>
          <w:lang w:eastAsia="es-CO"/>
        </w:rPr>
        <w:t xml:space="preserve"> y las tasas de interés</w:t>
      </w:r>
      <w:r w:rsidR="000D523F" w:rsidRPr="00EC3D47">
        <w:rPr>
          <w:rFonts w:ascii="Arial Narrow" w:hAnsi="Arial Narrow" w:cs="Times New Roman"/>
          <w:sz w:val="24"/>
          <w:szCs w:val="24"/>
          <w:lang w:eastAsia="es-CO"/>
        </w:rPr>
        <w:t xml:space="preserve"> </w:t>
      </w:r>
      <w:r w:rsidR="00061A13" w:rsidRPr="00EC3D47">
        <w:rPr>
          <w:rFonts w:ascii="Arial Narrow" w:hAnsi="Arial Narrow" w:cs="Times New Roman"/>
          <w:sz w:val="24"/>
          <w:szCs w:val="24"/>
          <w:lang w:eastAsia="es-CO"/>
        </w:rPr>
        <w:t xml:space="preserve">que se registran </w:t>
      </w:r>
      <w:r w:rsidR="000D523F" w:rsidRPr="00EC3D47">
        <w:rPr>
          <w:rFonts w:ascii="Arial Narrow" w:hAnsi="Arial Narrow" w:cs="Times New Roman"/>
          <w:sz w:val="24"/>
          <w:szCs w:val="24"/>
          <w:lang w:eastAsia="es-CO"/>
        </w:rPr>
        <w:t>en los diferentes mercados y sistemas de negociación, permitiendo así establecer políticas de control y monitoreo</w:t>
      </w:r>
      <w:r w:rsidR="00061A13" w:rsidRPr="00EC3D47">
        <w:rPr>
          <w:rFonts w:ascii="Arial Narrow" w:hAnsi="Arial Narrow" w:cs="Times New Roman"/>
          <w:sz w:val="24"/>
          <w:szCs w:val="24"/>
          <w:lang w:eastAsia="es-CO"/>
        </w:rPr>
        <w:t xml:space="preserve"> que ayuden a mitigar el riesgo de que el portafolio de la Nación pierda valor por movimientos en los precios</w:t>
      </w:r>
      <w:r w:rsidR="000D523F" w:rsidRPr="00EC3D47">
        <w:rPr>
          <w:rFonts w:ascii="Arial Narrow" w:hAnsi="Arial Narrow" w:cs="Times New Roman"/>
          <w:sz w:val="24"/>
          <w:szCs w:val="24"/>
          <w:lang w:eastAsia="es-CO"/>
        </w:rPr>
        <w:t xml:space="preserve">. </w:t>
      </w:r>
    </w:p>
    <w:p w:rsidR="008B56CA" w:rsidRPr="00EC3D47" w:rsidRDefault="008B56CA" w:rsidP="00F81069">
      <w:pPr>
        <w:spacing w:line="276" w:lineRule="auto"/>
        <w:jc w:val="both"/>
        <w:rPr>
          <w:rFonts w:ascii="Arial Narrow" w:hAnsi="Arial Narrow" w:cs="Times New Roman"/>
          <w:sz w:val="24"/>
          <w:szCs w:val="24"/>
          <w:lang w:eastAsia="es-CO"/>
        </w:rPr>
      </w:pPr>
    </w:p>
    <w:p w:rsidR="000D523F" w:rsidRDefault="000D523F"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El presente documento consta de un marco legal </w:t>
      </w:r>
      <w:r w:rsidR="0010374A" w:rsidRPr="00EC3D47">
        <w:rPr>
          <w:rFonts w:ascii="Arial Narrow" w:hAnsi="Arial Narrow" w:cs="Times New Roman"/>
          <w:sz w:val="24"/>
          <w:szCs w:val="24"/>
          <w:lang w:eastAsia="es-CO"/>
        </w:rPr>
        <w:t>con</w:t>
      </w:r>
      <w:r w:rsidRPr="00EC3D47">
        <w:rPr>
          <w:rFonts w:ascii="Arial Narrow" w:hAnsi="Arial Narrow" w:cs="Times New Roman"/>
          <w:sz w:val="24"/>
          <w:szCs w:val="24"/>
          <w:lang w:eastAsia="es-CO"/>
        </w:rPr>
        <w:t xml:space="preserve"> los antecedentes de la gestión de la administración de los Excedentes de Liquidez en la DGCPTN, un marco teórico donde se definirá la metodología de medición</w:t>
      </w:r>
      <w:r w:rsidR="00B970E0" w:rsidRPr="00EC3D47">
        <w:rPr>
          <w:rFonts w:ascii="Arial Narrow" w:hAnsi="Arial Narrow" w:cs="Times New Roman"/>
          <w:sz w:val="24"/>
          <w:szCs w:val="24"/>
          <w:lang w:eastAsia="es-CO"/>
        </w:rPr>
        <w:t>, control y monitoreo</w:t>
      </w:r>
      <w:r w:rsidRPr="00EC3D47">
        <w:rPr>
          <w:rFonts w:ascii="Arial Narrow" w:hAnsi="Arial Narrow" w:cs="Times New Roman"/>
          <w:sz w:val="24"/>
          <w:szCs w:val="24"/>
          <w:lang w:eastAsia="es-CO"/>
        </w:rPr>
        <w:t xml:space="preserve"> del Riesgo de Mercado</w:t>
      </w:r>
      <w:r w:rsidR="00B970E0" w:rsidRPr="00EC3D47">
        <w:rPr>
          <w:rFonts w:ascii="Arial Narrow" w:hAnsi="Arial Narrow" w:cs="Times New Roman"/>
          <w:sz w:val="24"/>
          <w:szCs w:val="24"/>
          <w:lang w:eastAsia="es-CO"/>
        </w:rPr>
        <w:t>, y finalmente se presentará el esquema de alertas y de escenarios de riesgo que se aplican a la metodología.</w:t>
      </w:r>
    </w:p>
    <w:p w:rsidR="000473C4" w:rsidRDefault="000473C4" w:rsidP="00F81069">
      <w:pPr>
        <w:spacing w:line="276" w:lineRule="auto"/>
        <w:jc w:val="both"/>
        <w:rPr>
          <w:rFonts w:ascii="Arial Narrow" w:hAnsi="Arial Narrow" w:cs="Times New Roman"/>
          <w:sz w:val="24"/>
          <w:szCs w:val="24"/>
          <w:lang w:eastAsia="es-CO"/>
        </w:rPr>
      </w:pPr>
    </w:p>
    <w:p w:rsidR="000473C4" w:rsidRDefault="000473C4" w:rsidP="00F81069">
      <w:pPr>
        <w:spacing w:line="276" w:lineRule="auto"/>
        <w:jc w:val="both"/>
        <w:rPr>
          <w:rFonts w:ascii="Arial Narrow" w:hAnsi="Arial Narrow" w:cs="Times New Roman"/>
          <w:sz w:val="24"/>
          <w:szCs w:val="24"/>
          <w:lang w:eastAsia="es-CO"/>
        </w:rPr>
      </w:pPr>
    </w:p>
    <w:p w:rsidR="000473C4" w:rsidRDefault="000473C4" w:rsidP="00F81069">
      <w:pPr>
        <w:spacing w:line="276" w:lineRule="auto"/>
        <w:jc w:val="both"/>
        <w:rPr>
          <w:rFonts w:ascii="Arial Narrow" w:hAnsi="Arial Narrow" w:cs="Times New Roman"/>
          <w:sz w:val="24"/>
          <w:szCs w:val="24"/>
          <w:lang w:eastAsia="es-CO"/>
        </w:rPr>
      </w:pPr>
    </w:p>
    <w:p w:rsidR="000473C4" w:rsidRDefault="000473C4" w:rsidP="00F81069">
      <w:pPr>
        <w:spacing w:line="276" w:lineRule="auto"/>
        <w:jc w:val="both"/>
        <w:rPr>
          <w:rFonts w:ascii="Arial Narrow" w:hAnsi="Arial Narrow" w:cs="Times New Roman"/>
          <w:sz w:val="24"/>
          <w:szCs w:val="24"/>
          <w:lang w:eastAsia="es-CO"/>
        </w:rPr>
      </w:pPr>
    </w:p>
    <w:p w:rsidR="000473C4" w:rsidRDefault="000473C4" w:rsidP="00F81069">
      <w:pPr>
        <w:spacing w:line="276" w:lineRule="auto"/>
        <w:jc w:val="both"/>
        <w:rPr>
          <w:rFonts w:ascii="Arial Narrow" w:hAnsi="Arial Narrow" w:cs="Times New Roman"/>
          <w:sz w:val="24"/>
          <w:szCs w:val="24"/>
          <w:lang w:eastAsia="es-CO"/>
        </w:rPr>
      </w:pPr>
    </w:p>
    <w:p w:rsidR="000473C4" w:rsidRDefault="000473C4" w:rsidP="00F81069">
      <w:pPr>
        <w:spacing w:line="276" w:lineRule="auto"/>
        <w:jc w:val="both"/>
        <w:rPr>
          <w:rFonts w:ascii="Arial Narrow" w:hAnsi="Arial Narrow" w:cs="Times New Roman"/>
          <w:sz w:val="24"/>
          <w:szCs w:val="24"/>
          <w:lang w:eastAsia="es-CO"/>
        </w:rPr>
      </w:pPr>
    </w:p>
    <w:p w:rsidR="00D83C27" w:rsidRPr="00EC3D47" w:rsidRDefault="000473C4" w:rsidP="00D83C27">
      <w:pPr>
        <w:pStyle w:val="Ttulo1"/>
      </w:pPr>
      <w:bookmarkStart w:id="2" w:name="_Toc533665759"/>
      <w:r w:rsidRPr="00EC3D47">
        <w:t>OBJETIVO</w:t>
      </w:r>
      <w:bookmarkEnd w:id="2"/>
    </w:p>
    <w:p w:rsidR="00D83C27" w:rsidRDefault="00D83C27" w:rsidP="00D83C27">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Cuantificar la exposición ante el riesgo de mercado que </w:t>
      </w:r>
      <w:r w:rsidR="000473C4" w:rsidRPr="00EC3D47">
        <w:rPr>
          <w:rFonts w:ascii="Arial Narrow" w:hAnsi="Arial Narrow" w:cs="Times New Roman"/>
          <w:sz w:val="24"/>
          <w:szCs w:val="24"/>
          <w:lang w:eastAsia="es-CO"/>
        </w:rPr>
        <w:t>tiene el</w:t>
      </w:r>
      <w:r w:rsidRPr="00EC3D47">
        <w:rPr>
          <w:rFonts w:ascii="Arial Narrow" w:hAnsi="Arial Narrow" w:cs="Times New Roman"/>
          <w:sz w:val="24"/>
          <w:szCs w:val="24"/>
          <w:lang w:eastAsia="es-CO"/>
        </w:rPr>
        <w:t xml:space="preserve"> portafolio activo de la Nación con el fin de realizar análisis de riesgo y de sensibilidades.</w:t>
      </w:r>
    </w:p>
    <w:p w:rsidR="000473C4" w:rsidRPr="00EC3D47" w:rsidRDefault="000473C4" w:rsidP="000473C4">
      <w:pPr>
        <w:spacing w:after="0" w:line="276" w:lineRule="auto"/>
        <w:jc w:val="both"/>
        <w:rPr>
          <w:rFonts w:ascii="Arial Narrow" w:hAnsi="Arial Narrow" w:cs="Times New Roman"/>
          <w:sz w:val="24"/>
          <w:szCs w:val="24"/>
          <w:lang w:eastAsia="es-CO"/>
        </w:rPr>
      </w:pPr>
    </w:p>
    <w:p w:rsidR="00D83C27" w:rsidRDefault="000473C4" w:rsidP="00D83C27">
      <w:pPr>
        <w:pStyle w:val="Ttulo1"/>
      </w:pPr>
      <w:bookmarkStart w:id="3" w:name="_Toc533665760"/>
      <w:r>
        <w:t>ALCANCE</w:t>
      </w:r>
      <w:bookmarkEnd w:id="3"/>
    </w:p>
    <w:p w:rsidR="008B56CA" w:rsidRDefault="00D83C27" w:rsidP="00D83C27">
      <w:pPr>
        <w:jc w:val="both"/>
        <w:rPr>
          <w:rFonts w:ascii="Arial Narrow" w:hAnsi="Arial Narrow" w:cs="Times New Roman"/>
          <w:sz w:val="24"/>
          <w:szCs w:val="24"/>
          <w:lang w:eastAsia="es-CO"/>
        </w:rPr>
      </w:pPr>
      <w:r w:rsidRPr="00D83C27">
        <w:rPr>
          <w:rFonts w:ascii="Arial Narrow" w:hAnsi="Arial Narrow" w:cs="Times New Roman"/>
          <w:sz w:val="24"/>
          <w:szCs w:val="24"/>
          <w:lang w:eastAsia="es-CO"/>
        </w:rPr>
        <w:t>D</w:t>
      </w:r>
      <w:r>
        <w:rPr>
          <w:rFonts w:ascii="Arial Narrow" w:hAnsi="Arial Narrow" w:cs="Times New Roman"/>
          <w:sz w:val="24"/>
          <w:szCs w:val="24"/>
          <w:lang w:eastAsia="es-CO"/>
        </w:rPr>
        <w:t>escripción metodológica del cálculo de exposición al riesgo de mercado del portafolio activo de la Nación.</w:t>
      </w:r>
    </w:p>
    <w:p w:rsidR="000473C4" w:rsidRDefault="000473C4" w:rsidP="000473C4">
      <w:pPr>
        <w:spacing w:after="0"/>
        <w:jc w:val="both"/>
        <w:rPr>
          <w:rFonts w:ascii="Arial Narrow" w:hAnsi="Arial Narrow" w:cs="Times New Roman"/>
          <w:sz w:val="24"/>
          <w:szCs w:val="24"/>
          <w:lang w:eastAsia="es-CO"/>
        </w:rPr>
      </w:pPr>
    </w:p>
    <w:p w:rsidR="00D83C27" w:rsidRDefault="000473C4" w:rsidP="00D83C27">
      <w:pPr>
        <w:pStyle w:val="Ttulo1"/>
      </w:pPr>
      <w:bookmarkStart w:id="4" w:name="_Toc533665761"/>
      <w:r>
        <w:t>PRODUCTOS ESPERADOS</w:t>
      </w:r>
      <w:bookmarkEnd w:id="4"/>
    </w:p>
    <w:p w:rsidR="00D83C27" w:rsidRPr="00D83C27" w:rsidRDefault="00D83C27" w:rsidP="00D83C27">
      <w:pPr>
        <w:jc w:val="both"/>
        <w:rPr>
          <w:rFonts w:ascii="Arial Narrow" w:hAnsi="Arial Narrow" w:cs="Times New Roman"/>
          <w:sz w:val="24"/>
          <w:szCs w:val="24"/>
          <w:lang w:eastAsia="es-CO"/>
        </w:rPr>
      </w:pPr>
      <w:r w:rsidRPr="00D83C27">
        <w:rPr>
          <w:rFonts w:ascii="Arial Narrow" w:hAnsi="Arial Narrow" w:cs="Times New Roman"/>
          <w:sz w:val="24"/>
          <w:szCs w:val="24"/>
          <w:lang w:eastAsia="es-CO"/>
        </w:rPr>
        <w:t xml:space="preserve">Con la aplicación adecuada de la metodología descrita en este documento, se espera obtener el siguiente producto: </w:t>
      </w:r>
    </w:p>
    <w:p w:rsidR="00D83C27" w:rsidRDefault="00D83C27" w:rsidP="00D83C27">
      <w:pPr>
        <w:numPr>
          <w:ilvl w:val="0"/>
          <w:numId w:val="6"/>
        </w:numPr>
        <w:spacing w:after="0" w:line="240" w:lineRule="auto"/>
        <w:ind w:left="709"/>
        <w:jc w:val="both"/>
        <w:rPr>
          <w:rFonts w:ascii="Arial Narrow" w:hAnsi="Arial Narrow" w:cs="Times New Roman"/>
          <w:sz w:val="24"/>
          <w:szCs w:val="24"/>
          <w:lang w:eastAsia="es-CO"/>
        </w:rPr>
      </w:pPr>
      <w:r>
        <w:rPr>
          <w:rFonts w:ascii="Arial Narrow" w:hAnsi="Arial Narrow" w:cs="Times New Roman"/>
          <w:sz w:val="24"/>
          <w:szCs w:val="24"/>
          <w:lang w:eastAsia="es-CO"/>
        </w:rPr>
        <w:t xml:space="preserve">Monto expuesto ante cambios en los precios d los activos que componen el portafolio activo de la nación. </w:t>
      </w:r>
    </w:p>
    <w:p w:rsidR="00D83C27" w:rsidRDefault="00D83C27" w:rsidP="00D83C27">
      <w:pPr>
        <w:spacing w:after="0" w:line="240" w:lineRule="auto"/>
        <w:jc w:val="both"/>
        <w:rPr>
          <w:rFonts w:ascii="Arial Narrow" w:hAnsi="Arial Narrow" w:cs="Times New Roman"/>
          <w:sz w:val="24"/>
          <w:szCs w:val="24"/>
          <w:lang w:eastAsia="es-CO"/>
        </w:rPr>
      </w:pPr>
    </w:p>
    <w:p w:rsidR="000473C4" w:rsidRDefault="000473C4" w:rsidP="00D83C27">
      <w:pPr>
        <w:spacing w:after="0" w:line="240" w:lineRule="auto"/>
        <w:jc w:val="both"/>
        <w:rPr>
          <w:rFonts w:ascii="Arial Narrow" w:hAnsi="Arial Narrow" w:cs="Times New Roman"/>
          <w:sz w:val="24"/>
          <w:szCs w:val="24"/>
          <w:lang w:eastAsia="es-CO"/>
        </w:rPr>
      </w:pPr>
    </w:p>
    <w:p w:rsidR="00D83C27" w:rsidRDefault="000473C4" w:rsidP="00D83C27">
      <w:pPr>
        <w:pStyle w:val="Ttulo1"/>
      </w:pPr>
      <w:bookmarkStart w:id="5" w:name="_Toc533665762"/>
      <w:r>
        <w:t>TÉRMINOS Y DEFINICIONES</w:t>
      </w:r>
      <w:bookmarkEnd w:id="5"/>
    </w:p>
    <w:p w:rsidR="00D83C27" w:rsidRDefault="00D83C27" w:rsidP="000473C4">
      <w:pPr>
        <w:pStyle w:val="Prrafodelista"/>
        <w:numPr>
          <w:ilvl w:val="0"/>
          <w:numId w:val="8"/>
        </w:numPr>
        <w:rPr>
          <w:rFonts w:ascii="Arial Narrow" w:hAnsi="Arial Narrow" w:cs="Times New Roman"/>
          <w:sz w:val="24"/>
          <w:szCs w:val="24"/>
          <w:lang w:eastAsia="es-CO"/>
        </w:rPr>
      </w:pPr>
      <w:r w:rsidRPr="000473C4">
        <w:rPr>
          <w:rFonts w:ascii="Arial Narrow" w:hAnsi="Arial Narrow" w:cs="Times New Roman"/>
          <w:b/>
          <w:sz w:val="24"/>
          <w:szCs w:val="24"/>
          <w:lang w:eastAsia="es-CO"/>
        </w:rPr>
        <w:t>VaR:</w:t>
      </w:r>
      <w:r w:rsidRPr="000473C4">
        <w:rPr>
          <w:rFonts w:ascii="Arial Narrow" w:hAnsi="Arial Narrow" w:cs="Times New Roman"/>
          <w:sz w:val="24"/>
          <w:szCs w:val="24"/>
          <w:lang w:eastAsia="es-CO"/>
        </w:rPr>
        <w:t xml:space="preserve"> Valor en Riesgo, por sus siglas en inglés (</w:t>
      </w:r>
      <w:r w:rsidRPr="000473C4">
        <w:rPr>
          <w:rFonts w:ascii="Arial Narrow" w:hAnsi="Arial Narrow" w:cs="Times New Roman"/>
          <w:i/>
          <w:sz w:val="24"/>
          <w:szCs w:val="24"/>
          <w:lang w:eastAsia="es-CO"/>
        </w:rPr>
        <w:t>Value at Risk</w:t>
      </w:r>
      <w:r w:rsidRPr="000473C4">
        <w:rPr>
          <w:rFonts w:ascii="Arial Narrow" w:hAnsi="Arial Narrow" w:cs="Times New Roman"/>
          <w:sz w:val="24"/>
          <w:szCs w:val="24"/>
          <w:lang w:eastAsia="es-CO"/>
        </w:rPr>
        <w:t>). Técnica estadística para medir el riesgo financiero de una inversión.</w:t>
      </w:r>
    </w:p>
    <w:p w:rsidR="000473C4" w:rsidRPr="000473C4" w:rsidRDefault="000473C4" w:rsidP="000473C4">
      <w:pPr>
        <w:pStyle w:val="Prrafodelista"/>
        <w:rPr>
          <w:rFonts w:ascii="Arial Narrow" w:hAnsi="Arial Narrow" w:cs="Times New Roman"/>
          <w:sz w:val="24"/>
          <w:szCs w:val="24"/>
          <w:lang w:eastAsia="es-CO"/>
        </w:rPr>
      </w:pPr>
    </w:p>
    <w:p w:rsidR="00D83C27" w:rsidRDefault="00D83C27" w:rsidP="000473C4">
      <w:pPr>
        <w:pStyle w:val="Prrafodelista"/>
        <w:numPr>
          <w:ilvl w:val="0"/>
          <w:numId w:val="8"/>
        </w:numPr>
        <w:rPr>
          <w:rFonts w:ascii="Arial Narrow" w:hAnsi="Arial Narrow" w:cs="Times New Roman"/>
          <w:sz w:val="24"/>
          <w:szCs w:val="24"/>
          <w:lang w:eastAsia="es-CO"/>
        </w:rPr>
      </w:pPr>
      <w:r w:rsidRPr="000473C4">
        <w:rPr>
          <w:rFonts w:ascii="Arial Narrow" w:hAnsi="Arial Narrow" w:cs="Times New Roman"/>
          <w:b/>
          <w:sz w:val="24"/>
          <w:szCs w:val="24"/>
          <w:lang w:eastAsia="es-CO"/>
        </w:rPr>
        <w:t>VaR EWMA:</w:t>
      </w:r>
      <w:r w:rsidRPr="000473C4">
        <w:rPr>
          <w:rFonts w:ascii="Arial Narrow" w:hAnsi="Arial Narrow" w:cs="Times New Roman"/>
          <w:sz w:val="24"/>
          <w:szCs w:val="24"/>
          <w:lang w:eastAsia="es-CO"/>
        </w:rPr>
        <w:t xml:space="preserve"> EWMA por sus siglas en inglés </w:t>
      </w:r>
      <w:r w:rsidRPr="000473C4">
        <w:rPr>
          <w:rFonts w:ascii="Arial Narrow" w:hAnsi="Arial Narrow" w:cs="Times New Roman"/>
          <w:i/>
          <w:sz w:val="24"/>
          <w:szCs w:val="24"/>
          <w:lang w:eastAsia="es-CO"/>
        </w:rPr>
        <w:t xml:space="preserve">Exponentially Weighted Moving Average. </w:t>
      </w:r>
      <w:r w:rsidR="00253A6A" w:rsidRPr="000473C4">
        <w:rPr>
          <w:rFonts w:ascii="Arial Narrow" w:hAnsi="Arial Narrow" w:cs="Times New Roman"/>
          <w:sz w:val="24"/>
          <w:szCs w:val="24"/>
          <w:lang w:eastAsia="es-CO"/>
        </w:rPr>
        <w:t>(Promedio móvil ponderado exponencialmente).</w:t>
      </w:r>
    </w:p>
    <w:p w:rsidR="000473C4" w:rsidRPr="000473C4" w:rsidRDefault="000473C4" w:rsidP="000473C4">
      <w:pPr>
        <w:pStyle w:val="Prrafodelista"/>
        <w:rPr>
          <w:rFonts w:ascii="Arial Narrow" w:hAnsi="Arial Narrow" w:cs="Times New Roman"/>
          <w:sz w:val="24"/>
          <w:szCs w:val="24"/>
          <w:lang w:eastAsia="es-CO"/>
        </w:rPr>
      </w:pPr>
    </w:p>
    <w:p w:rsidR="00D83C27" w:rsidRDefault="00D83C27" w:rsidP="000473C4">
      <w:pPr>
        <w:pStyle w:val="Prrafodelista"/>
        <w:numPr>
          <w:ilvl w:val="0"/>
          <w:numId w:val="8"/>
        </w:numPr>
        <w:rPr>
          <w:rFonts w:ascii="Arial Narrow" w:hAnsi="Arial Narrow" w:cs="Times New Roman"/>
          <w:sz w:val="24"/>
          <w:szCs w:val="24"/>
          <w:lang w:eastAsia="es-CO"/>
        </w:rPr>
      </w:pPr>
      <w:r w:rsidRPr="000473C4">
        <w:rPr>
          <w:rFonts w:ascii="Arial Narrow" w:hAnsi="Arial Narrow" w:cs="Times New Roman"/>
          <w:b/>
          <w:sz w:val="24"/>
          <w:szCs w:val="24"/>
          <w:lang w:eastAsia="es-CO"/>
        </w:rPr>
        <w:t>VaR diversificado</w:t>
      </w:r>
      <w:r w:rsidR="00253A6A" w:rsidRPr="000473C4">
        <w:rPr>
          <w:rFonts w:ascii="Arial Narrow" w:hAnsi="Arial Narrow" w:cs="Times New Roman"/>
          <w:b/>
          <w:sz w:val="24"/>
          <w:szCs w:val="24"/>
          <w:lang w:eastAsia="es-CO"/>
        </w:rPr>
        <w:t>:</w:t>
      </w:r>
      <w:r w:rsidR="00253A6A" w:rsidRPr="000473C4">
        <w:rPr>
          <w:rFonts w:ascii="Arial Narrow" w:hAnsi="Arial Narrow" w:cs="Times New Roman"/>
          <w:sz w:val="24"/>
          <w:szCs w:val="24"/>
          <w:lang w:eastAsia="es-CO"/>
        </w:rPr>
        <w:t xml:space="preserve"> Exposicion que tiene en cuenta las correlaciones de los rendimientos de los instrumentos financieros.</w:t>
      </w:r>
    </w:p>
    <w:p w:rsidR="000473C4" w:rsidRPr="000473C4" w:rsidRDefault="000473C4" w:rsidP="000473C4">
      <w:pPr>
        <w:pStyle w:val="Prrafodelista"/>
        <w:rPr>
          <w:rFonts w:ascii="Arial Narrow" w:hAnsi="Arial Narrow" w:cs="Times New Roman"/>
          <w:sz w:val="24"/>
          <w:szCs w:val="24"/>
          <w:lang w:eastAsia="es-CO"/>
        </w:rPr>
      </w:pPr>
    </w:p>
    <w:p w:rsidR="00253A6A" w:rsidRPr="00253A6A" w:rsidRDefault="00D83C27" w:rsidP="000473C4">
      <w:pPr>
        <w:pStyle w:val="Prrafodelista"/>
        <w:numPr>
          <w:ilvl w:val="0"/>
          <w:numId w:val="8"/>
        </w:numPr>
        <w:rPr>
          <w:lang w:eastAsia="es-CO"/>
        </w:rPr>
      </w:pPr>
      <w:r w:rsidRPr="000473C4">
        <w:rPr>
          <w:rFonts w:ascii="Arial Narrow" w:hAnsi="Arial Narrow" w:cs="Times New Roman"/>
          <w:b/>
          <w:sz w:val="24"/>
          <w:szCs w:val="24"/>
          <w:lang w:eastAsia="es-CO"/>
        </w:rPr>
        <w:t>VaR Histórico</w:t>
      </w:r>
      <w:r w:rsidR="00253A6A" w:rsidRPr="000473C4">
        <w:rPr>
          <w:rFonts w:ascii="Arial Narrow" w:hAnsi="Arial Narrow" w:cs="Times New Roman"/>
          <w:b/>
          <w:sz w:val="24"/>
          <w:szCs w:val="24"/>
          <w:lang w:eastAsia="es-CO"/>
        </w:rPr>
        <w:t>:</w:t>
      </w:r>
      <w:r w:rsidR="00253A6A" w:rsidRPr="000473C4">
        <w:rPr>
          <w:rFonts w:ascii="Arial Narrow" w:hAnsi="Arial Narrow" w:cs="Times New Roman"/>
          <w:sz w:val="24"/>
          <w:szCs w:val="24"/>
          <w:lang w:eastAsia="es-CO"/>
        </w:rPr>
        <w:t xml:space="preserve"> Técnica de estimación del Riesgo de Mercado que tiene en cuenta los rendimientos del pasado.</w:t>
      </w:r>
    </w:p>
    <w:p w:rsidR="008B56CA" w:rsidRDefault="008B56CA"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Default="000473C4" w:rsidP="008B56CA">
      <w:pPr>
        <w:pStyle w:val="Prrafodelista"/>
        <w:spacing w:line="276" w:lineRule="auto"/>
        <w:ind w:left="0"/>
        <w:jc w:val="both"/>
        <w:rPr>
          <w:rFonts w:ascii="Arial Narrow" w:hAnsi="Arial Narrow" w:cs="Times New Roman"/>
          <w:sz w:val="24"/>
          <w:szCs w:val="24"/>
          <w:lang w:eastAsia="es-CO"/>
        </w:rPr>
      </w:pPr>
    </w:p>
    <w:p w:rsidR="000473C4" w:rsidRPr="00EC3D47" w:rsidRDefault="000473C4" w:rsidP="000473C4">
      <w:pPr>
        <w:pStyle w:val="Prrafodelista"/>
        <w:spacing w:line="276" w:lineRule="auto"/>
        <w:ind w:left="0"/>
        <w:jc w:val="center"/>
        <w:rPr>
          <w:rFonts w:ascii="Arial Narrow" w:hAnsi="Arial Narrow" w:cs="Times New Roman"/>
          <w:sz w:val="24"/>
          <w:szCs w:val="24"/>
          <w:lang w:eastAsia="es-CO"/>
        </w:rPr>
      </w:pPr>
    </w:p>
    <w:p w:rsidR="0023320F" w:rsidRPr="00EC3D47" w:rsidRDefault="000473C4" w:rsidP="000473C4">
      <w:pPr>
        <w:pStyle w:val="Ttulo1"/>
        <w:jc w:val="left"/>
      </w:pPr>
      <w:bookmarkStart w:id="6" w:name="_Toc533665763"/>
      <w:r w:rsidRPr="00EC3D47">
        <w:t>METODOLOGÍA DEL MODELO VAR DE SIMULACIÓN HISTÓRICA</w:t>
      </w:r>
      <w:bookmarkEnd w:id="6"/>
    </w:p>
    <w:p w:rsidR="000473C4" w:rsidRDefault="000473C4" w:rsidP="000473C4">
      <w:pPr>
        <w:spacing w:after="0" w:line="276" w:lineRule="auto"/>
        <w:jc w:val="both"/>
        <w:rPr>
          <w:rFonts w:ascii="Arial Narrow" w:hAnsi="Arial Narrow" w:cs="Times New Roman"/>
          <w:sz w:val="24"/>
          <w:szCs w:val="24"/>
          <w:lang w:eastAsia="es-CO"/>
        </w:rPr>
      </w:pPr>
    </w:p>
    <w:p w:rsidR="009C25DB" w:rsidRPr="00EC3D47" w:rsidRDefault="00C50B6D"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El riesgo de mercado se </w:t>
      </w:r>
      <w:r w:rsidR="00EB1AAA" w:rsidRPr="00EC3D47">
        <w:rPr>
          <w:rFonts w:ascii="Arial Narrow" w:hAnsi="Arial Narrow" w:cs="Times New Roman"/>
          <w:sz w:val="24"/>
          <w:szCs w:val="24"/>
          <w:lang w:eastAsia="es-CO"/>
        </w:rPr>
        <w:t>entiende</w:t>
      </w:r>
      <w:r w:rsidRPr="00EC3D47">
        <w:rPr>
          <w:rFonts w:ascii="Arial Narrow" w:hAnsi="Arial Narrow" w:cs="Times New Roman"/>
          <w:sz w:val="24"/>
          <w:szCs w:val="24"/>
          <w:lang w:eastAsia="es-CO"/>
        </w:rPr>
        <w:t xml:space="preserve"> como la exposición que enfrentan</w:t>
      </w:r>
      <w:r w:rsidR="00B812D1" w:rsidRPr="00EC3D47">
        <w:rPr>
          <w:rFonts w:ascii="Arial Narrow" w:hAnsi="Arial Narrow" w:cs="Times New Roman"/>
          <w:sz w:val="24"/>
          <w:szCs w:val="24"/>
          <w:lang w:eastAsia="es-CO"/>
        </w:rPr>
        <w:t xml:space="preserve"> las </w:t>
      </w:r>
      <w:r w:rsidRPr="00EC3D47">
        <w:rPr>
          <w:rFonts w:ascii="Arial Narrow" w:hAnsi="Arial Narrow" w:cs="Times New Roman"/>
          <w:sz w:val="24"/>
          <w:szCs w:val="24"/>
          <w:lang w:eastAsia="es-CO"/>
        </w:rPr>
        <w:t>inversiones ante cambios en los precios</w:t>
      </w:r>
      <w:r w:rsidR="00061A13" w:rsidRPr="00EC3D47">
        <w:rPr>
          <w:rFonts w:ascii="Arial Narrow" w:hAnsi="Arial Narrow" w:cs="Times New Roman"/>
          <w:sz w:val="24"/>
          <w:szCs w:val="24"/>
          <w:lang w:eastAsia="es-CO"/>
        </w:rPr>
        <w:t xml:space="preserve"> y tasas de interés</w:t>
      </w:r>
      <w:r w:rsidRPr="00EC3D47">
        <w:rPr>
          <w:rFonts w:ascii="Arial Narrow" w:hAnsi="Arial Narrow" w:cs="Times New Roman"/>
          <w:sz w:val="24"/>
          <w:szCs w:val="24"/>
          <w:lang w:eastAsia="es-CO"/>
        </w:rPr>
        <w:t xml:space="preserve"> de los instrumentos que se tienen en </w:t>
      </w:r>
      <w:r w:rsidR="009C0749" w:rsidRPr="00EC3D47">
        <w:rPr>
          <w:rFonts w:ascii="Arial Narrow" w:hAnsi="Arial Narrow" w:cs="Times New Roman"/>
          <w:sz w:val="24"/>
          <w:szCs w:val="24"/>
          <w:lang w:eastAsia="es-CO"/>
        </w:rPr>
        <w:t xml:space="preserve">el </w:t>
      </w:r>
      <w:r w:rsidRPr="00EC3D47">
        <w:rPr>
          <w:rFonts w:ascii="Arial Narrow" w:hAnsi="Arial Narrow" w:cs="Times New Roman"/>
          <w:sz w:val="24"/>
          <w:szCs w:val="24"/>
          <w:lang w:eastAsia="es-CO"/>
        </w:rPr>
        <w:t xml:space="preserve">portafolio, el cual tiene potencial de generar rendimientos y así mismo de perder valor por movimientos </w:t>
      </w:r>
      <w:r w:rsidR="00B812D1" w:rsidRPr="00EC3D47">
        <w:rPr>
          <w:rFonts w:ascii="Arial Narrow" w:hAnsi="Arial Narrow" w:cs="Times New Roman"/>
          <w:sz w:val="24"/>
          <w:szCs w:val="24"/>
          <w:lang w:eastAsia="es-CO"/>
        </w:rPr>
        <w:t>significativos</w:t>
      </w:r>
      <w:r w:rsidRPr="00EC3D47">
        <w:rPr>
          <w:rFonts w:ascii="Arial Narrow" w:hAnsi="Arial Narrow" w:cs="Times New Roman"/>
          <w:sz w:val="24"/>
          <w:szCs w:val="24"/>
          <w:lang w:eastAsia="es-CO"/>
        </w:rPr>
        <w:t xml:space="preserve"> </w:t>
      </w:r>
      <w:r w:rsidR="009C0749" w:rsidRPr="00EC3D47">
        <w:rPr>
          <w:rFonts w:ascii="Arial Narrow" w:hAnsi="Arial Narrow" w:cs="Times New Roman"/>
          <w:sz w:val="24"/>
          <w:szCs w:val="24"/>
          <w:lang w:eastAsia="es-CO"/>
        </w:rPr>
        <w:t>en los precios. La Tesorería de la DGCPTN realiza inversiones en diferentes instrumentos, tanto en moneda extranjera como en moneda local y su portafolio esta principalmente compuesto por inversiones de tasa fija</w:t>
      </w:r>
      <w:r w:rsidR="00EB1AAA" w:rsidRPr="00EC3D47">
        <w:rPr>
          <w:rFonts w:ascii="Arial Narrow" w:hAnsi="Arial Narrow" w:cs="Times New Roman"/>
          <w:sz w:val="24"/>
          <w:szCs w:val="24"/>
          <w:lang w:eastAsia="es-CO"/>
        </w:rPr>
        <w:t xml:space="preserve"> que son valorados a precios de mercado</w:t>
      </w:r>
      <w:r w:rsidR="009C0749" w:rsidRPr="00EC3D47">
        <w:rPr>
          <w:rFonts w:ascii="Arial Narrow" w:hAnsi="Arial Narrow" w:cs="Times New Roman"/>
          <w:sz w:val="24"/>
          <w:szCs w:val="24"/>
          <w:lang w:eastAsia="es-CO"/>
        </w:rPr>
        <w:t>. Los instrumentos en moneda local son en su gran mayoría títulos de deuda pública tanto en COP como en UVR y los instrumentos en moneda extranjera están representados por depósitos a término</w:t>
      </w:r>
      <w:r w:rsidR="00D369FA" w:rsidRPr="00EC3D47">
        <w:rPr>
          <w:rFonts w:ascii="Arial Narrow" w:hAnsi="Arial Narrow" w:cs="Times New Roman"/>
          <w:sz w:val="24"/>
          <w:szCs w:val="24"/>
          <w:lang w:eastAsia="es-CO"/>
        </w:rPr>
        <w:t xml:space="preserve"> y fondos del mercado monetario</w:t>
      </w:r>
      <w:r w:rsidR="009C0749" w:rsidRPr="00EC3D47">
        <w:rPr>
          <w:rFonts w:ascii="Arial Narrow" w:hAnsi="Arial Narrow" w:cs="Times New Roman"/>
          <w:sz w:val="24"/>
          <w:szCs w:val="24"/>
          <w:lang w:eastAsia="es-CO"/>
        </w:rPr>
        <w:t xml:space="preserve"> (</w:t>
      </w:r>
      <w:r w:rsidR="009C0749" w:rsidRPr="00EC3D47">
        <w:rPr>
          <w:rFonts w:ascii="Arial Narrow" w:hAnsi="Arial Narrow" w:cs="Times New Roman"/>
          <w:i/>
          <w:sz w:val="24"/>
          <w:szCs w:val="24"/>
          <w:lang w:eastAsia="es-CO"/>
        </w:rPr>
        <w:t>Time Deposits</w:t>
      </w:r>
      <w:r w:rsidR="00D369FA" w:rsidRPr="00EC3D47">
        <w:rPr>
          <w:rFonts w:ascii="Arial Narrow" w:hAnsi="Arial Narrow" w:cs="Times New Roman"/>
          <w:i/>
          <w:sz w:val="24"/>
          <w:szCs w:val="24"/>
          <w:lang w:eastAsia="es-CO"/>
        </w:rPr>
        <w:t xml:space="preserve"> y Money Market Fund</w:t>
      </w:r>
      <w:r w:rsidR="009C0749" w:rsidRPr="00EC3D47">
        <w:rPr>
          <w:rFonts w:ascii="Arial Narrow" w:hAnsi="Arial Narrow" w:cs="Times New Roman"/>
          <w:sz w:val="24"/>
          <w:szCs w:val="24"/>
          <w:lang w:eastAsia="es-CO"/>
        </w:rPr>
        <w:t>), al analizar el tipo de operaciones que la Tesorería realiza</w:t>
      </w:r>
      <w:r w:rsidR="009C25DB" w:rsidRPr="00EC3D47">
        <w:rPr>
          <w:rFonts w:ascii="Arial Narrow" w:hAnsi="Arial Narrow" w:cs="Times New Roman"/>
          <w:sz w:val="24"/>
          <w:szCs w:val="24"/>
          <w:lang w:eastAsia="es-CO"/>
        </w:rPr>
        <w:t>, se evidencia que el valor del portafolio puede presentar una disminución dependiendo del valor de mercado</w:t>
      </w:r>
      <w:r w:rsidR="009D3ADB" w:rsidRPr="00EC3D47">
        <w:rPr>
          <w:rFonts w:ascii="Arial Narrow" w:hAnsi="Arial Narrow" w:cs="Times New Roman"/>
          <w:sz w:val="24"/>
          <w:szCs w:val="24"/>
          <w:lang w:eastAsia="es-CO"/>
        </w:rPr>
        <w:t xml:space="preserve"> (precio)</w:t>
      </w:r>
      <w:r w:rsidR="009C25DB" w:rsidRPr="00EC3D47">
        <w:rPr>
          <w:rFonts w:ascii="Arial Narrow" w:hAnsi="Arial Narrow" w:cs="Times New Roman"/>
          <w:sz w:val="24"/>
          <w:szCs w:val="24"/>
          <w:lang w:eastAsia="es-CO"/>
        </w:rPr>
        <w:t xml:space="preserve"> registrado diariamente</w:t>
      </w:r>
      <w:r w:rsidR="00EB1AAA" w:rsidRPr="00EC3D47">
        <w:rPr>
          <w:rFonts w:ascii="Arial Narrow" w:hAnsi="Arial Narrow" w:cs="Times New Roman"/>
          <w:sz w:val="24"/>
          <w:szCs w:val="24"/>
          <w:lang w:eastAsia="es-CO"/>
        </w:rPr>
        <w:t xml:space="preserve"> en las plataformas transaccionales</w:t>
      </w:r>
      <w:r w:rsidR="009C25DB" w:rsidRPr="00EC3D47">
        <w:rPr>
          <w:rFonts w:ascii="Arial Narrow" w:hAnsi="Arial Narrow" w:cs="Times New Roman"/>
          <w:sz w:val="24"/>
          <w:szCs w:val="24"/>
          <w:lang w:eastAsia="es-CO"/>
        </w:rPr>
        <w:t>.</w:t>
      </w:r>
    </w:p>
    <w:p w:rsidR="00201034" w:rsidRPr="00EC3D47" w:rsidRDefault="009C25DB"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Teniendo en cuenta que la Subdirección de Riesgo debe identificar, controlar y monitorear los riesgos que implica la administración de los recursos de la Nación</w:t>
      </w:r>
      <w:r w:rsidR="00F81069" w:rsidRPr="00EC3D47">
        <w:rPr>
          <w:rFonts w:ascii="Arial Narrow" w:hAnsi="Arial Narrow" w:cs="Times New Roman"/>
          <w:sz w:val="24"/>
          <w:szCs w:val="24"/>
          <w:lang w:eastAsia="es-CO"/>
        </w:rPr>
        <w:t xml:space="preserve">, es </w:t>
      </w:r>
      <w:r w:rsidR="00D369FA" w:rsidRPr="00EC3D47">
        <w:rPr>
          <w:rFonts w:ascii="Arial Narrow" w:hAnsi="Arial Narrow" w:cs="Times New Roman"/>
          <w:sz w:val="24"/>
          <w:szCs w:val="24"/>
          <w:lang w:eastAsia="es-CO"/>
        </w:rPr>
        <w:t>necesario</w:t>
      </w:r>
      <w:r w:rsidR="00F81069" w:rsidRPr="00EC3D47">
        <w:rPr>
          <w:rFonts w:ascii="Arial Narrow" w:hAnsi="Arial Narrow" w:cs="Times New Roman"/>
          <w:sz w:val="24"/>
          <w:szCs w:val="24"/>
          <w:lang w:eastAsia="es-CO"/>
        </w:rPr>
        <w:t xml:space="preserve"> cuantificar la pérdida potencial del portafolio activo. De acuerdo a las inversiones que la Tesorería realiza, el riesgo identificado para las operaciones </w:t>
      </w:r>
      <w:r w:rsidR="00EB1AAA" w:rsidRPr="00EC3D47">
        <w:rPr>
          <w:rFonts w:ascii="Arial Narrow" w:hAnsi="Arial Narrow" w:cs="Times New Roman"/>
          <w:sz w:val="24"/>
          <w:szCs w:val="24"/>
          <w:lang w:eastAsia="es-CO"/>
        </w:rPr>
        <w:t>de</w:t>
      </w:r>
      <w:r w:rsidR="003D33FC" w:rsidRPr="00EC3D47">
        <w:rPr>
          <w:rFonts w:ascii="Arial Narrow" w:hAnsi="Arial Narrow" w:cs="Times New Roman"/>
          <w:sz w:val="24"/>
          <w:szCs w:val="24"/>
          <w:lang w:eastAsia="es-CO"/>
        </w:rPr>
        <w:t xml:space="preserve"> los</w:t>
      </w:r>
      <w:r w:rsidR="00F81069" w:rsidRPr="00EC3D47">
        <w:rPr>
          <w:rFonts w:ascii="Arial Narrow" w:hAnsi="Arial Narrow" w:cs="Times New Roman"/>
          <w:sz w:val="24"/>
          <w:szCs w:val="24"/>
          <w:lang w:eastAsia="es-CO"/>
        </w:rPr>
        <w:t xml:space="preserve"> instrumentos </w:t>
      </w:r>
      <w:r w:rsidR="002B6352" w:rsidRPr="00EC3D47">
        <w:rPr>
          <w:rFonts w:ascii="Arial Narrow" w:hAnsi="Arial Narrow" w:cs="Times New Roman"/>
          <w:sz w:val="24"/>
          <w:szCs w:val="24"/>
          <w:lang w:eastAsia="es-CO"/>
        </w:rPr>
        <w:t xml:space="preserve">de deuda pública son los movimientos </w:t>
      </w:r>
      <w:r w:rsidR="00201034" w:rsidRPr="00EC3D47">
        <w:rPr>
          <w:rFonts w:ascii="Arial Narrow" w:hAnsi="Arial Narrow" w:cs="Times New Roman"/>
          <w:sz w:val="24"/>
          <w:szCs w:val="24"/>
          <w:lang w:eastAsia="es-CO"/>
        </w:rPr>
        <w:t>en los precios</w:t>
      </w:r>
      <w:r w:rsidR="003D33FC" w:rsidRPr="00EC3D47">
        <w:rPr>
          <w:rFonts w:ascii="Arial Narrow" w:hAnsi="Arial Narrow" w:cs="Times New Roman"/>
          <w:sz w:val="24"/>
          <w:szCs w:val="24"/>
          <w:lang w:eastAsia="es-CO"/>
        </w:rPr>
        <w:t xml:space="preserve"> y las tasas de interés</w:t>
      </w:r>
      <w:r w:rsidR="00201034" w:rsidRPr="00EC3D47">
        <w:rPr>
          <w:rFonts w:ascii="Arial Narrow" w:hAnsi="Arial Narrow" w:cs="Times New Roman"/>
          <w:sz w:val="24"/>
          <w:szCs w:val="24"/>
          <w:lang w:eastAsia="es-CO"/>
        </w:rPr>
        <w:t xml:space="preserve"> </w:t>
      </w:r>
      <w:r w:rsidR="003D33FC" w:rsidRPr="00EC3D47">
        <w:rPr>
          <w:rFonts w:ascii="Arial Narrow" w:hAnsi="Arial Narrow" w:cs="Times New Roman"/>
          <w:sz w:val="24"/>
          <w:szCs w:val="24"/>
          <w:lang w:eastAsia="es-CO"/>
        </w:rPr>
        <w:t>que se registran en los mercados</w:t>
      </w:r>
      <w:r w:rsidR="00201034" w:rsidRPr="00EC3D47">
        <w:rPr>
          <w:rFonts w:ascii="Arial Narrow" w:hAnsi="Arial Narrow" w:cs="Times New Roman"/>
          <w:sz w:val="24"/>
          <w:szCs w:val="24"/>
          <w:lang w:eastAsia="es-CO"/>
        </w:rPr>
        <w:t>, los cuales cambian diariamente, adicionalmente se debe tener en cuenta el valor de la UVR para los instrumentos denominados en UVR. En cuanto a las</w:t>
      </w:r>
      <w:r w:rsidR="002B6352" w:rsidRPr="00EC3D47">
        <w:rPr>
          <w:rFonts w:ascii="Arial Narrow" w:hAnsi="Arial Narrow" w:cs="Times New Roman"/>
          <w:sz w:val="24"/>
          <w:szCs w:val="24"/>
          <w:lang w:eastAsia="es-CO"/>
        </w:rPr>
        <w:t xml:space="preserve"> inversiones en moneda extranjera </w:t>
      </w:r>
      <w:r w:rsidR="00201034" w:rsidRPr="00EC3D47">
        <w:rPr>
          <w:rFonts w:ascii="Arial Narrow" w:hAnsi="Arial Narrow" w:cs="Times New Roman"/>
          <w:sz w:val="24"/>
          <w:szCs w:val="24"/>
          <w:lang w:eastAsia="es-CO"/>
        </w:rPr>
        <w:t>se estudian</w:t>
      </w:r>
      <w:r w:rsidR="002B6352" w:rsidRPr="00EC3D47">
        <w:rPr>
          <w:rFonts w:ascii="Arial Narrow" w:hAnsi="Arial Narrow" w:cs="Times New Roman"/>
          <w:sz w:val="24"/>
          <w:szCs w:val="24"/>
          <w:lang w:eastAsia="es-CO"/>
        </w:rPr>
        <w:t xml:space="preserve"> los movimientos en la tasa de cambio</w:t>
      </w:r>
      <w:r w:rsidR="00D369FA" w:rsidRPr="00EC3D47">
        <w:rPr>
          <w:rFonts w:ascii="Arial Narrow" w:hAnsi="Arial Narrow" w:cs="Times New Roman"/>
          <w:sz w:val="24"/>
          <w:szCs w:val="24"/>
          <w:lang w:eastAsia="es-CO"/>
        </w:rPr>
        <w:t xml:space="preserve">, pues las inversiones </w:t>
      </w:r>
      <w:r w:rsidR="00516425" w:rsidRPr="00EC3D47">
        <w:rPr>
          <w:rFonts w:ascii="Arial Narrow" w:hAnsi="Arial Narrow" w:cs="Times New Roman"/>
          <w:sz w:val="24"/>
          <w:szCs w:val="24"/>
          <w:lang w:eastAsia="es-CO"/>
        </w:rPr>
        <w:t>en</w:t>
      </w:r>
      <w:r w:rsidR="00D369FA" w:rsidRPr="00EC3D47">
        <w:rPr>
          <w:rFonts w:ascii="Arial Narrow" w:hAnsi="Arial Narrow" w:cs="Times New Roman"/>
          <w:sz w:val="24"/>
          <w:szCs w:val="24"/>
          <w:lang w:eastAsia="es-CO"/>
        </w:rPr>
        <w:t xml:space="preserve"> </w:t>
      </w:r>
      <w:r w:rsidR="00D369FA" w:rsidRPr="00EC3D47">
        <w:rPr>
          <w:rFonts w:ascii="Arial Narrow" w:hAnsi="Arial Narrow" w:cs="Times New Roman"/>
          <w:i/>
          <w:sz w:val="24"/>
          <w:szCs w:val="24"/>
          <w:lang w:eastAsia="es-CO"/>
        </w:rPr>
        <w:t xml:space="preserve">Time Deposits </w:t>
      </w:r>
      <w:r w:rsidR="00D369FA" w:rsidRPr="00EC3D47">
        <w:rPr>
          <w:rFonts w:ascii="Arial Narrow" w:hAnsi="Arial Narrow" w:cs="Times New Roman"/>
          <w:sz w:val="24"/>
          <w:szCs w:val="24"/>
          <w:lang w:eastAsia="es-CO"/>
        </w:rPr>
        <w:t xml:space="preserve">y </w:t>
      </w:r>
      <w:r w:rsidR="00516425" w:rsidRPr="00EC3D47">
        <w:rPr>
          <w:rFonts w:ascii="Arial Narrow" w:hAnsi="Arial Narrow" w:cs="Times New Roman"/>
          <w:sz w:val="24"/>
          <w:szCs w:val="24"/>
          <w:lang w:eastAsia="es-CO"/>
        </w:rPr>
        <w:t xml:space="preserve">en </w:t>
      </w:r>
      <w:r w:rsidR="00D369FA" w:rsidRPr="00EC3D47">
        <w:rPr>
          <w:rFonts w:ascii="Arial Narrow" w:hAnsi="Arial Narrow" w:cs="Times New Roman"/>
          <w:sz w:val="24"/>
          <w:szCs w:val="24"/>
          <w:lang w:eastAsia="es-CO"/>
        </w:rPr>
        <w:t>los</w:t>
      </w:r>
      <w:r w:rsidR="00D369FA" w:rsidRPr="00EC3D47">
        <w:rPr>
          <w:rFonts w:ascii="Arial Narrow" w:hAnsi="Arial Narrow" w:cs="Times New Roman"/>
          <w:i/>
          <w:sz w:val="24"/>
          <w:szCs w:val="24"/>
          <w:lang w:eastAsia="es-CO"/>
        </w:rPr>
        <w:t xml:space="preserve"> Money Market Funds </w:t>
      </w:r>
      <w:r w:rsidR="00832F0E" w:rsidRPr="00EC3D47">
        <w:rPr>
          <w:rFonts w:ascii="Arial Narrow" w:hAnsi="Arial Narrow" w:cs="Times New Roman"/>
          <w:sz w:val="24"/>
          <w:szCs w:val="24"/>
          <w:lang w:eastAsia="es-CO"/>
        </w:rPr>
        <w:t xml:space="preserve">son  pactadas en </w:t>
      </w:r>
      <w:r w:rsidR="009D3ADB" w:rsidRPr="00EC3D47">
        <w:rPr>
          <w:rFonts w:ascii="Arial Narrow" w:hAnsi="Arial Narrow" w:cs="Times New Roman"/>
          <w:sz w:val="24"/>
          <w:szCs w:val="24"/>
          <w:lang w:eastAsia="es-CO"/>
        </w:rPr>
        <w:t>su</w:t>
      </w:r>
      <w:r w:rsidR="00832F0E" w:rsidRPr="00EC3D47">
        <w:rPr>
          <w:rFonts w:ascii="Arial Narrow" w:hAnsi="Arial Narrow" w:cs="Times New Roman"/>
          <w:sz w:val="24"/>
          <w:szCs w:val="24"/>
          <w:lang w:eastAsia="es-CO"/>
        </w:rPr>
        <w:t xml:space="preserve"> moneda de origen</w:t>
      </w:r>
      <w:r w:rsidR="00201034" w:rsidRPr="00EC3D47">
        <w:rPr>
          <w:rFonts w:ascii="Arial Narrow" w:hAnsi="Arial Narrow" w:cs="Times New Roman"/>
          <w:sz w:val="24"/>
          <w:szCs w:val="24"/>
          <w:lang w:eastAsia="es-CO"/>
        </w:rPr>
        <w:t xml:space="preserve"> (USD)</w:t>
      </w:r>
      <w:r w:rsidR="00832F0E" w:rsidRPr="00EC3D47">
        <w:rPr>
          <w:rFonts w:ascii="Arial Narrow" w:hAnsi="Arial Narrow" w:cs="Times New Roman"/>
          <w:sz w:val="24"/>
          <w:szCs w:val="24"/>
          <w:lang w:eastAsia="es-CO"/>
        </w:rPr>
        <w:t>, por lo que</w:t>
      </w:r>
      <w:r w:rsidR="00516425" w:rsidRPr="00EC3D47">
        <w:rPr>
          <w:rFonts w:ascii="Arial Narrow" w:hAnsi="Arial Narrow" w:cs="Times New Roman"/>
          <w:sz w:val="24"/>
          <w:szCs w:val="24"/>
          <w:lang w:eastAsia="es-CO"/>
        </w:rPr>
        <w:t xml:space="preserve"> los retornos de las inversiones van a depender de la tasa de</w:t>
      </w:r>
      <w:r w:rsidR="00201034" w:rsidRPr="00EC3D47">
        <w:rPr>
          <w:rFonts w:ascii="Arial Narrow" w:hAnsi="Arial Narrow" w:cs="Times New Roman"/>
          <w:sz w:val="24"/>
          <w:szCs w:val="24"/>
          <w:lang w:eastAsia="es-CO"/>
        </w:rPr>
        <w:t xml:space="preserve"> cambio</w:t>
      </w:r>
      <w:r w:rsidR="00F56316" w:rsidRPr="00EC3D47">
        <w:rPr>
          <w:rFonts w:ascii="Arial Narrow" w:hAnsi="Arial Narrow" w:cs="Times New Roman"/>
          <w:sz w:val="24"/>
          <w:szCs w:val="24"/>
          <w:lang w:eastAsia="es-CO"/>
        </w:rPr>
        <w:t xml:space="preserve">. </w:t>
      </w:r>
    </w:p>
    <w:p w:rsidR="00D63248" w:rsidRPr="00EC3D47" w:rsidRDefault="00585AB6" w:rsidP="00F81069">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Con el fin de calcular el valor en riesgo que el portafolio podría enfrentar ante cambio</w:t>
      </w:r>
      <w:r w:rsidR="00F20795" w:rsidRPr="00EC3D47">
        <w:rPr>
          <w:rFonts w:ascii="Arial Narrow" w:hAnsi="Arial Narrow" w:cs="Times New Roman"/>
          <w:sz w:val="24"/>
          <w:szCs w:val="24"/>
          <w:lang w:eastAsia="es-CO"/>
        </w:rPr>
        <w:t>s</w:t>
      </w:r>
      <w:r w:rsidRPr="00EC3D47">
        <w:rPr>
          <w:rFonts w:ascii="Arial Narrow" w:hAnsi="Arial Narrow" w:cs="Times New Roman"/>
          <w:sz w:val="24"/>
          <w:szCs w:val="24"/>
          <w:lang w:eastAsia="es-CO"/>
        </w:rPr>
        <w:t xml:space="preserve"> en los precios</w:t>
      </w:r>
      <w:r w:rsidR="009D3ADB" w:rsidRPr="00EC3D47">
        <w:rPr>
          <w:rFonts w:ascii="Arial Narrow" w:hAnsi="Arial Narrow" w:cs="Times New Roman"/>
          <w:sz w:val="24"/>
          <w:szCs w:val="24"/>
          <w:lang w:eastAsia="es-CO"/>
        </w:rPr>
        <w:t xml:space="preserve"> y las tasas de interés</w:t>
      </w:r>
      <w:r w:rsidRPr="00EC3D47">
        <w:rPr>
          <w:rFonts w:ascii="Arial Narrow" w:hAnsi="Arial Narrow" w:cs="Times New Roman"/>
          <w:sz w:val="24"/>
          <w:szCs w:val="24"/>
          <w:lang w:eastAsia="es-CO"/>
        </w:rPr>
        <w:t>, la Subdirección de Riesgo implementa la metodología de</w:t>
      </w:r>
      <w:r w:rsidR="009D3ADB" w:rsidRPr="00EC3D47">
        <w:rPr>
          <w:rFonts w:ascii="Arial Narrow" w:hAnsi="Arial Narrow" w:cs="Times New Roman"/>
          <w:sz w:val="24"/>
          <w:szCs w:val="24"/>
          <w:lang w:eastAsia="es-CO"/>
        </w:rPr>
        <w:t xml:space="preserve">l </w:t>
      </w:r>
      <w:r w:rsidR="009D3ADB" w:rsidRPr="00EC3D47">
        <w:rPr>
          <w:rFonts w:ascii="Arial Narrow" w:hAnsi="Arial Narrow" w:cs="Times New Roman"/>
          <w:i/>
          <w:sz w:val="24"/>
          <w:szCs w:val="24"/>
          <w:lang w:eastAsia="es-CO"/>
        </w:rPr>
        <w:t xml:space="preserve">VaR </w:t>
      </w:r>
      <w:r w:rsidR="009D3ADB" w:rsidRPr="00EC3D47">
        <w:rPr>
          <w:rFonts w:ascii="Arial Narrow" w:hAnsi="Arial Narrow" w:cs="Times New Roman"/>
          <w:sz w:val="24"/>
          <w:szCs w:val="24"/>
          <w:lang w:eastAsia="es-CO"/>
        </w:rPr>
        <w:t xml:space="preserve">(por sus siglas en ingles </w:t>
      </w:r>
      <w:r w:rsidR="009D3ADB" w:rsidRPr="00EC3D47">
        <w:rPr>
          <w:rFonts w:ascii="Arial Narrow" w:hAnsi="Arial Narrow" w:cs="Times New Roman"/>
          <w:i/>
          <w:sz w:val="24"/>
          <w:szCs w:val="24"/>
          <w:lang w:eastAsia="es-CO"/>
        </w:rPr>
        <w:t>Value at Risk</w:t>
      </w:r>
      <w:r w:rsidR="009D3ADB" w:rsidRPr="00EC3D47">
        <w:rPr>
          <w:rFonts w:ascii="Arial Narrow" w:hAnsi="Arial Narrow" w:cs="Times New Roman"/>
          <w:sz w:val="24"/>
          <w:szCs w:val="24"/>
          <w:lang w:eastAsia="es-CO"/>
        </w:rPr>
        <w:t>)</w:t>
      </w:r>
      <w:r w:rsidRPr="00EC3D47">
        <w:rPr>
          <w:rFonts w:ascii="Arial Narrow" w:hAnsi="Arial Narrow" w:cs="Times New Roman"/>
          <w:sz w:val="24"/>
          <w:szCs w:val="24"/>
          <w:lang w:eastAsia="es-CO"/>
        </w:rPr>
        <w:t xml:space="preserve">, la cual permite cuantificar la máxima perdida </w:t>
      </w:r>
      <w:r w:rsidR="003D33FC" w:rsidRPr="00EC3D47">
        <w:rPr>
          <w:rFonts w:ascii="Arial Narrow" w:hAnsi="Arial Narrow" w:cs="Times New Roman"/>
          <w:sz w:val="24"/>
          <w:szCs w:val="24"/>
          <w:lang w:eastAsia="es-CO"/>
        </w:rPr>
        <w:t>probable</w:t>
      </w:r>
      <w:r w:rsidRPr="00EC3D47">
        <w:rPr>
          <w:rFonts w:ascii="Arial Narrow" w:hAnsi="Arial Narrow" w:cs="Times New Roman"/>
          <w:sz w:val="24"/>
          <w:szCs w:val="24"/>
          <w:lang w:eastAsia="es-CO"/>
        </w:rPr>
        <w:t xml:space="preserve"> basándose en las variaciones </w:t>
      </w:r>
      <w:r w:rsidR="00F20795" w:rsidRPr="00EC3D47">
        <w:rPr>
          <w:rFonts w:ascii="Arial Narrow" w:hAnsi="Arial Narrow" w:cs="Times New Roman"/>
          <w:sz w:val="24"/>
          <w:szCs w:val="24"/>
          <w:lang w:eastAsia="es-CO"/>
        </w:rPr>
        <w:t xml:space="preserve">de </w:t>
      </w:r>
      <w:r w:rsidRPr="00EC3D47">
        <w:rPr>
          <w:rFonts w:ascii="Arial Narrow" w:hAnsi="Arial Narrow" w:cs="Times New Roman"/>
          <w:sz w:val="24"/>
          <w:szCs w:val="24"/>
          <w:lang w:eastAsia="es-CO"/>
        </w:rPr>
        <w:t>los precios</w:t>
      </w:r>
      <w:r w:rsidR="003D33FC" w:rsidRPr="00EC3D47">
        <w:rPr>
          <w:rFonts w:ascii="Arial Narrow" w:hAnsi="Arial Narrow" w:cs="Times New Roman"/>
          <w:sz w:val="24"/>
          <w:szCs w:val="24"/>
          <w:lang w:eastAsia="es-CO"/>
        </w:rPr>
        <w:t xml:space="preserve"> estableciendo un horizonte de tiempo y un nivel de confianza</w:t>
      </w:r>
      <w:r w:rsidRPr="00EC3D47">
        <w:rPr>
          <w:rFonts w:ascii="Arial Narrow" w:hAnsi="Arial Narrow" w:cs="Times New Roman"/>
          <w:sz w:val="24"/>
          <w:szCs w:val="24"/>
          <w:lang w:eastAsia="es-CO"/>
        </w:rPr>
        <w:t xml:space="preserve">. Existen diferentes maneras de calcular el </w:t>
      </w:r>
      <w:r w:rsidRPr="00EC3D47">
        <w:rPr>
          <w:rFonts w:ascii="Arial Narrow" w:hAnsi="Arial Narrow" w:cs="Times New Roman"/>
          <w:i/>
          <w:sz w:val="24"/>
          <w:szCs w:val="24"/>
          <w:lang w:eastAsia="es-CO"/>
        </w:rPr>
        <w:t>VaR</w:t>
      </w:r>
      <w:r w:rsidR="00F20795" w:rsidRPr="00EC3D47">
        <w:rPr>
          <w:rFonts w:ascii="Arial Narrow" w:hAnsi="Arial Narrow" w:cs="Times New Roman"/>
          <w:sz w:val="24"/>
          <w:szCs w:val="24"/>
          <w:lang w:eastAsia="es-CO"/>
        </w:rPr>
        <w:t>, una de ellas</w:t>
      </w:r>
      <w:r w:rsidR="00BD247D" w:rsidRPr="00EC3D47">
        <w:rPr>
          <w:rFonts w:ascii="Arial Narrow" w:hAnsi="Arial Narrow" w:cs="Times New Roman"/>
          <w:sz w:val="24"/>
          <w:szCs w:val="24"/>
          <w:lang w:eastAsia="es-CO"/>
        </w:rPr>
        <w:t xml:space="preserve"> se denomina el </w:t>
      </w:r>
      <w:r w:rsidR="00BD247D" w:rsidRPr="00EC3D47">
        <w:rPr>
          <w:rFonts w:ascii="Arial Narrow" w:hAnsi="Arial Narrow" w:cs="Times New Roman"/>
          <w:i/>
          <w:sz w:val="24"/>
          <w:szCs w:val="24"/>
          <w:lang w:eastAsia="es-CO"/>
        </w:rPr>
        <w:t>VaR</w:t>
      </w:r>
      <w:r w:rsidR="00BD247D" w:rsidRPr="00EC3D47">
        <w:rPr>
          <w:rFonts w:ascii="Arial Narrow" w:hAnsi="Arial Narrow" w:cs="Times New Roman"/>
          <w:sz w:val="24"/>
          <w:szCs w:val="24"/>
          <w:lang w:eastAsia="es-CO"/>
        </w:rPr>
        <w:t xml:space="preserve"> Histórico, y se calcula con base en la </w:t>
      </w:r>
      <w:r w:rsidR="00C33D5A" w:rsidRPr="00EC3D47">
        <w:rPr>
          <w:rFonts w:ascii="Arial Narrow" w:hAnsi="Arial Narrow" w:cs="Times New Roman"/>
          <w:sz w:val="24"/>
          <w:szCs w:val="24"/>
          <w:lang w:eastAsia="es-CO"/>
        </w:rPr>
        <w:t>historia de los precios</w:t>
      </w:r>
      <w:r w:rsidR="003D33FC" w:rsidRPr="00EC3D47">
        <w:rPr>
          <w:rFonts w:ascii="Arial Narrow" w:hAnsi="Arial Narrow" w:cs="Times New Roman"/>
          <w:sz w:val="24"/>
          <w:szCs w:val="24"/>
          <w:lang w:eastAsia="es-CO"/>
        </w:rPr>
        <w:t xml:space="preserve">. </w:t>
      </w:r>
    </w:p>
    <w:p w:rsidR="00F219B2" w:rsidRPr="00EC3D47" w:rsidRDefault="00D63248" w:rsidP="00F86991">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objetivo principal de la implementación de la metodología es la estimación del</w:t>
      </w:r>
      <w:r w:rsidR="00F219B2" w:rsidRPr="00EC3D47">
        <w:rPr>
          <w:rFonts w:ascii="Arial Narrow" w:hAnsi="Arial Narrow" w:cs="Times New Roman"/>
          <w:sz w:val="24"/>
          <w:szCs w:val="24"/>
          <w:lang w:eastAsia="es-CO"/>
        </w:rPr>
        <w:t xml:space="preserve"> valor en riesgo del portafolio, </w:t>
      </w:r>
      <w:r w:rsidR="00341428" w:rsidRPr="00EC3D47">
        <w:rPr>
          <w:rFonts w:ascii="Arial Narrow" w:hAnsi="Arial Narrow" w:cs="Times New Roman"/>
          <w:sz w:val="24"/>
          <w:szCs w:val="24"/>
          <w:lang w:eastAsia="es-CO"/>
        </w:rPr>
        <w:t xml:space="preserve">para esto, la aplicación de la metodología se realiza a partir </w:t>
      </w:r>
      <w:r w:rsidR="00724D8C" w:rsidRPr="00EC3D47">
        <w:rPr>
          <w:rFonts w:ascii="Arial Narrow" w:hAnsi="Arial Narrow" w:cs="Times New Roman"/>
          <w:sz w:val="24"/>
          <w:szCs w:val="24"/>
          <w:lang w:eastAsia="es-CO"/>
        </w:rPr>
        <w:t>del siguiente</w:t>
      </w:r>
      <w:r w:rsidR="009D3ADB" w:rsidRPr="00EC3D47">
        <w:rPr>
          <w:rFonts w:ascii="Arial Narrow" w:hAnsi="Arial Narrow" w:cs="Times New Roman"/>
          <w:sz w:val="24"/>
          <w:szCs w:val="24"/>
          <w:lang w:eastAsia="es-CO"/>
        </w:rPr>
        <w:t xml:space="preserve"> procedimiento:</w:t>
      </w:r>
    </w:p>
    <w:p w:rsidR="00341428" w:rsidRPr="00EC3D47" w:rsidRDefault="005E431C" w:rsidP="009932A4">
      <w:pPr>
        <w:pStyle w:val="Prrafodelista"/>
        <w:numPr>
          <w:ilvl w:val="0"/>
          <w:numId w:val="2"/>
        </w:num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Se </w:t>
      </w:r>
      <w:r w:rsidR="00724D8C" w:rsidRPr="00EC3D47">
        <w:rPr>
          <w:rFonts w:ascii="Arial Narrow" w:hAnsi="Arial Narrow" w:cs="Times New Roman"/>
          <w:sz w:val="24"/>
          <w:szCs w:val="24"/>
          <w:lang w:eastAsia="es-CO"/>
        </w:rPr>
        <w:t>construye una serie de tiempo con los datos de los rendimientos simulados hi</w:t>
      </w:r>
      <w:r w:rsidR="000A06BB" w:rsidRPr="00EC3D47">
        <w:rPr>
          <w:rFonts w:ascii="Arial Narrow" w:hAnsi="Arial Narrow" w:cs="Times New Roman"/>
          <w:sz w:val="24"/>
          <w:szCs w:val="24"/>
          <w:lang w:eastAsia="es-CO"/>
        </w:rPr>
        <w:t>stóricos, donde se asume que la ponderación de las</w:t>
      </w:r>
      <w:r w:rsidR="00724D8C" w:rsidRPr="00EC3D47">
        <w:rPr>
          <w:rFonts w:ascii="Arial Narrow" w:hAnsi="Arial Narrow" w:cs="Times New Roman"/>
          <w:sz w:val="24"/>
          <w:szCs w:val="24"/>
          <w:lang w:eastAsia="es-CO"/>
        </w:rPr>
        <w:t xml:space="preserve"> inversiones se han mantenido en el portafolio durante todo el periodo de tiempo de la serie de datos. Para la </w:t>
      </w:r>
      <w:r w:rsidR="00061A13" w:rsidRPr="00EC3D47">
        <w:rPr>
          <w:rFonts w:ascii="Arial Narrow" w:hAnsi="Arial Narrow" w:cs="Times New Roman"/>
          <w:sz w:val="24"/>
          <w:szCs w:val="24"/>
          <w:lang w:eastAsia="es-CO"/>
        </w:rPr>
        <w:t>simulación de los rendimientos</w:t>
      </w:r>
      <w:r w:rsidR="00724D8C" w:rsidRPr="00EC3D47">
        <w:rPr>
          <w:rFonts w:ascii="Arial Narrow" w:hAnsi="Arial Narrow" w:cs="Times New Roman"/>
          <w:sz w:val="24"/>
          <w:szCs w:val="24"/>
          <w:lang w:eastAsia="es-CO"/>
        </w:rPr>
        <w:t>, se debe</w:t>
      </w:r>
      <w:r w:rsidR="000A06BB" w:rsidRPr="00EC3D47">
        <w:rPr>
          <w:rFonts w:ascii="Arial Narrow" w:hAnsi="Arial Narrow" w:cs="Times New Roman"/>
          <w:sz w:val="24"/>
          <w:szCs w:val="24"/>
          <w:lang w:eastAsia="es-CO"/>
        </w:rPr>
        <w:t>n</w:t>
      </w:r>
      <w:r w:rsidR="00724D8C" w:rsidRPr="00EC3D47">
        <w:rPr>
          <w:rFonts w:ascii="Arial Narrow" w:hAnsi="Arial Narrow" w:cs="Times New Roman"/>
          <w:sz w:val="24"/>
          <w:szCs w:val="24"/>
          <w:lang w:eastAsia="es-CO"/>
        </w:rPr>
        <w:t xml:space="preserve"> tener</w:t>
      </w:r>
      <w:r w:rsidR="009D3ADB" w:rsidRPr="00EC3D47">
        <w:rPr>
          <w:rFonts w:ascii="Arial Narrow" w:hAnsi="Arial Narrow" w:cs="Times New Roman"/>
          <w:sz w:val="24"/>
          <w:szCs w:val="24"/>
          <w:lang w:eastAsia="es-CO"/>
        </w:rPr>
        <w:t xml:space="preserve"> los precios diarios históricos</w:t>
      </w:r>
      <w:r w:rsidR="00724D8C" w:rsidRPr="00EC3D47">
        <w:rPr>
          <w:rFonts w:ascii="Arial Narrow" w:hAnsi="Arial Narrow" w:cs="Times New Roman"/>
          <w:sz w:val="24"/>
          <w:szCs w:val="24"/>
          <w:lang w:eastAsia="es-CO"/>
        </w:rPr>
        <w:t xml:space="preserve"> </w:t>
      </w:r>
      <w:r w:rsidR="009D3ADB" w:rsidRPr="00EC3D47">
        <w:rPr>
          <w:rFonts w:ascii="Arial Narrow" w:hAnsi="Arial Narrow" w:cs="Times New Roman"/>
          <w:sz w:val="24"/>
          <w:szCs w:val="24"/>
          <w:lang w:eastAsia="es-CO"/>
        </w:rPr>
        <w:t>(</w:t>
      </w:r>
      <w:r w:rsidR="00724D8C" w:rsidRPr="00EC3D47">
        <w:rPr>
          <w:rFonts w:ascii="Arial Narrow" w:hAnsi="Arial Narrow" w:cs="Times New Roman"/>
          <w:sz w:val="24"/>
          <w:szCs w:val="24"/>
          <w:lang w:eastAsia="es-CO"/>
        </w:rPr>
        <w:t>es recomendable tener una muestra de precios entre 250 y 500</w:t>
      </w:r>
      <w:r w:rsidR="009D3ADB" w:rsidRPr="00EC3D47">
        <w:rPr>
          <w:rFonts w:ascii="Arial Narrow" w:hAnsi="Arial Narrow" w:cs="Times New Roman"/>
          <w:sz w:val="24"/>
          <w:szCs w:val="24"/>
          <w:lang w:eastAsia="es-CO"/>
        </w:rPr>
        <w:t xml:space="preserve"> datos)</w:t>
      </w:r>
      <w:r w:rsidR="00724D8C" w:rsidRPr="00EC3D47">
        <w:rPr>
          <w:rFonts w:ascii="Arial Narrow" w:hAnsi="Arial Narrow" w:cs="Times New Roman"/>
          <w:sz w:val="24"/>
          <w:szCs w:val="24"/>
          <w:lang w:eastAsia="es-CO"/>
        </w:rPr>
        <w:t xml:space="preserve">. Posteriormente se debe calcular el percentil 1 (en el caso en que se </w:t>
      </w:r>
      <w:r w:rsidR="00724D8C" w:rsidRPr="00EC3D47">
        <w:rPr>
          <w:rFonts w:ascii="Arial Narrow" w:hAnsi="Arial Narrow" w:cs="Times New Roman"/>
          <w:sz w:val="24"/>
          <w:szCs w:val="24"/>
          <w:lang w:eastAsia="es-CO"/>
        </w:rPr>
        <w:lastRenderedPageBreak/>
        <w:t xml:space="preserve">haya establecido un nivel de confianza del 99%) con base </w:t>
      </w:r>
      <w:r w:rsidR="00061A13" w:rsidRPr="00EC3D47">
        <w:rPr>
          <w:rFonts w:ascii="Arial Narrow" w:hAnsi="Arial Narrow" w:cs="Times New Roman"/>
          <w:sz w:val="24"/>
          <w:szCs w:val="24"/>
          <w:lang w:eastAsia="es-CO"/>
        </w:rPr>
        <w:t>en el histograma de frecuencias. El método para realizar la simulación de los retornos se basa en el crecimiento</w:t>
      </w:r>
      <w:r w:rsidR="00A24E96" w:rsidRPr="00EC3D47">
        <w:rPr>
          <w:rFonts w:ascii="Arial Narrow" w:hAnsi="Arial Narrow" w:cs="Times New Roman"/>
          <w:sz w:val="24"/>
          <w:szCs w:val="24"/>
          <w:lang w:eastAsia="es-CO"/>
        </w:rPr>
        <w:t xml:space="preserve"> logarítmico de la siguiente manera:</w:t>
      </w:r>
    </w:p>
    <w:p w:rsidR="00A24E96" w:rsidRPr="00EC3D47" w:rsidRDefault="00A24E96" w:rsidP="00A24E96">
      <w:pPr>
        <w:pStyle w:val="Prrafodelista"/>
        <w:spacing w:line="276" w:lineRule="auto"/>
        <w:jc w:val="both"/>
        <w:rPr>
          <w:rFonts w:ascii="Arial Narrow" w:hAnsi="Arial Narrow" w:cs="Times New Roman"/>
          <w:sz w:val="24"/>
          <w:szCs w:val="24"/>
          <w:lang w:eastAsia="es-CO"/>
        </w:rPr>
      </w:pPr>
    </w:p>
    <w:p w:rsidR="00A24E96" w:rsidRPr="00EC3D47" w:rsidRDefault="00A24E96" w:rsidP="00A24E96">
      <w:pPr>
        <w:pStyle w:val="Prrafodelista"/>
        <w:spacing w:line="276" w:lineRule="auto"/>
        <w:jc w:val="center"/>
        <w:rPr>
          <w:rFonts w:ascii="Arial Narrow" w:eastAsiaTheme="minorEastAsia" w:hAnsi="Arial Narrow" w:cs="Times New Roman"/>
          <w:sz w:val="24"/>
          <w:szCs w:val="24"/>
          <w:lang w:eastAsia="es-CO"/>
        </w:rPr>
      </w:pPr>
      <m:oMathPara>
        <m:oMath>
          <m:r>
            <w:rPr>
              <w:rFonts w:ascii="Cambria Math" w:hAnsi="Cambria Math" w:cs="Times New Roman"/>
              <w:sz w:val="24"/>
              <w:szCs w:val="24"/>
              <w:lang w:eastAsia="es-CO"/>
            </w:rPr>
            <m:t>Rend=Ln</m:t>
          </m:r>
          <m:d>
            <m:dPr>
              <m:ctrlPr>
                <w:rPr>
                  <w:rFonts w:ascii="Cambria Math" w:hAnsi="Cambria Math" w:cs="Times New Roman"/>
                  <w:i/>
                  <w:sz w:val="24"/>
                  <w:szCs w:val="24"/>
                  <w:lang w:eastAsia="es-CO"/>
                </w:rPr>
              </m:ctrlPr>
            </m:dPr>
            <m:e>
              <m:f>
                <m:fPr>
                  <m:ctrlPr>
                    <w:rPr>
                      <w:rFonts w:ascii="Cambria Math" w:hAnsi="Cambria Math" w:cs="Times New Roman"/>
                      <w:i/>
                      <w:sz w:val="24"/>
                      <w:szCs w:val="24"/>
                      <w:lang w:eastAsia="es-CO"/>
                    </w:rPr>
                  </m:ctrlPr>
                </m:fPr>
                <m:num>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P</m:t>
                      </m:r>
                    </m:e>
                    <m:sub>
                      <m:r>
                        <w:rPr>
                          <w:rFonts w:ascii="Cambria Math" w:hAnsi="Cambria Math" w:cs="Times New Roman"/>
                          <w:sz w:val="24"/>
                          <w:szCs w:val="24"/>
                          <w:lang w:eastAsia="es-CO"/>
                        </w:rPr>
                        <m:t>t</m:t>
                      </m:r>
                    </m:sub>
                  </m:sSub>
                </m:num>
                <m:den>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P</m:t>
                      </m:r>
                    </m:e>
                    <m:sub>
                      <m:r>
                        <w:rPr>
                          <w:rFonts w:ascii="Cambria Math" w:hAnsi="Cambria Math" w:cs="Times New Roman"/>
                          <w:sz w:val="24"/>
                          <w:szCs w:val="24"/>
                          <w:lang w:eastAsia="es-CO"/>
                        </w:rPr>
                        <m:t>t-1</m:t>
                      </m:r>
                    </m:sub>
                  </m:sSub>
                </m:den>
              </m:f>
            </m:e>
          </m:d>
        </m:oMath>
      </m:oMathPara>
    </w:p>
    <w:p w:rsidR="000A2A72" w:rsidRPr="00EC3D47" w:rsidRDefault="000A2A72" w:rsidP="00A24E96">
      <w:pPr>
        <w:pStyle w:val="Prrafodelista"/>
        <w:spacing w:line="276" w:lineRule="auto"/>
        <w:jc w:val="center"/>
        <w:rPr>
          <w:rFonts w:ascii="Arial Narrow" w:hAnsi="Arial Narrow" w:cs="Times New Roman"/>
          <w:sz w:val="24"/>
          <w:szCs w:val="24"/>
          <w:lang w:eastAsia="es-CO"/>
        </w:rPr>
      </w:pPr>
    </w:p>
    <w:p w:rsidR="000A06BB" w:rsidRPr="00EC3D47" w:rsidRDefault="000A06BB" w:rsidP="000A06BB">
      <w:pPr>
        <w:pStyle w:val="Prrafodelista"/>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cálculo de la simulación de los rendimientos se basa principalmente en el supuesto de que las condiciones del mercado hoy (</w:t>
      </w:r>
      <w:r w:rsidRPr="00EC3D47">
        <w:rPr>
          <w:rFonts w:ascii="Arial Narrow" w:hAnsi="Arial Narrow" w:cs="Times New Roman"/>
          <w:i/>
          <w:sz w:val="24"/>
          <w:szCs w:val="24"/>
          <w:lang w:eastAsia="es-CO"/>
        </w:rPr>
        <w:t>t</w:t>
      </w:r>
      <w:r w:rsidRPr="00EC3D47">
        <w:rPr>
          <w:rFonts w:ascii="Arial Narrow" w:hAnsi="Arial Narrow" w:cs="Times New Roman"/>
          <w:sz w:val="24"/>
          <w:szCs w:val="24"/>
          <w:lang w:eastAsia="es-CO"/>
        </w:rPr>
        <w:t>) son similares a las condiciones del mercado en el pasado (</w:t>
      </w:r>
      <w:r w:rsidRPr="00EC3D47">
        <w:rPr>
          <w:rFonts w:ascii="Arial Narrow" w:hAnsi="Arial Narrow" w:cs="Times New Roman"/>
          <w:i/>
          <w:sz w:val="24"/>
          <w:szCs w:val="24"/>
          <w:lang w:eastAsia="es-CO"/>
        </w:rPr>
        <w:t>t-1</w:t>
      </w:r>
      <w:r w:rsidRPr="00EC3D47">
        <w:rPr>
          <w:rFonts w:ascii="Arial Narrow" w:hAnsi="Arial Narrow" w:cs="Times New Roman"/>
          <w:sz w:val="24"/>
          <w:szCs w:val="24"/>
          <w:lang w:eastAsia="es-CO"/>
        </w:rPr>
        <w:t xml:space="preserve">). </w:t>
      </w:r>
    </w:p>
    <w:p w:rsidR="000A06BB" w:rsidRPr="00EC3D47" w:rsidRDefault="000A06BB" w:rsidP="000A06BB">
      <w:pPr>
        <w:pStyle w:val="Prrafodelista"/>
        <w:spacing w:line="276" w:lineRule="auto"/>
        <w:jc w:val="both"/>
        <w:rPr>
          <w:rFonts w:ascii="Arial Narrow" w:hAnsi="Arial Narrow" w:cs="Times New Roman"/>
          <w:sz w:val="24"/>
          <w:szCs w:val="24"/>
          <w:lang w:eastAsia="es-CO"/>
        </w:rPr>
      </w:pPr>
    </w:p>
    <w:p w:rsidR="00F219B2" w:rsidRPr="00EC3D47" w:rsidRDefault="00A24E96" w:rsidP="00A24E96">
      <w:pPr>
        <w:pStyle w:val="Prrafodelista"/>
        <w:numPr>
          <w:ilvl w:val="0"/>
          <w:numId w:val="2"/>
        </w:num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De esta forma se obtiene </w:t>
      </w:r>
      <w:r w:rsidR="000A2A72" w:rsidRPr="00EC3D47">
        <w:rPr>
          <w:rFonts w:ascii="Arial Narrow" w:hAnsi="Arial Narrow" w:cs="Times New Roman"/>
          <w:sz w:val="24"/>
          <w:szCs w:val="24"/>
          <w:lang w:eastAsia="es-CO"/>
        </w:rPr>
        <w:t>una serie de tiempo simulada para los precios, donde se incorpora la simulación del crecimiento de los rendimientos, definiendo un nuevo precio (</w:t>
      </w:r>
      <w:r w:rsidR="000A2A72" w:rsidRPr="00EC3D47">
        <w:rPr>
          <w:rFonts w:ascii="Arial Narrow" w:hAnsi="Arial Narrow" w:cs="Times New Roman"/>
          <w:i/>
          <w:sz w:val="24"/>
          <w:szCs w:val="24"/>
          <w:lang w:eastAsia="es-CO"/>
        </w:rPr>
        <w:t>P</w:t>
      </w:r>
      <w:r w:rsidR="000A2A72" w:rsidRPr="00EC3D47">
        <w:rPr>
          <w:rFonts w:ascii="Arial Narrow" w:hAnsi="Arial Narrow" w:cs="Times New Roman"/>
          <w:i/>
          <w:sz w:val="24"/>
          <w:szCs w:val="24"/>
          <w:vertAlign w:val="superscript"/>
          <w:lang w:eastAsia="es-CO"/>
        </w:rPr>
        <w:t>*</w:t>
      </w:r>
      <w:r w:rsidR="000A2A72" w:rsidRPr="00EC3D47">
        <w:rPr>
          <w:rFonts w:ascii="Arial Narrow" w:hAnsi="Arial Narrow" w:cs="Times New Roman"/>
          <w:sz w:val="24"/>
          <w:szCs w:val="24"/>
          <w:lang w:eastAsia="es-CO"/>
        </w:rPr>
        <w:t>) como se muestra a continuación:</w:t>
      </w:r>
    </w:p>
    <w:p w:rsidR="000A2A72" w:rsidRPr="00EC3D47" w:rsidRDefault="000A2A72" w:rsidP="000A2A72">
      <w:pPr>
        <w:pStyle w:val="Prrafodelista"/>
        <w:spacing w:line="276" w:lineRule="auto"/>
        <w:jc w:val="both"/>
        <w:rPr>
          <w:rFonts w:ascii="Arial Narrow" w:hAnsi="Arial Narrow" w:cs="Times New Roman"/>
          <w:sz w:val="24"/>
          <w:szCs w:val="24"/>
          <w:lang w:eastAsia="es-CO"/>
        </w:rPr>
      </w:pPr>
    </w:p>
    <w:p w:rsidR="000A2A72" w:rsidRPr="00EC3D47" w:rsidRDefault="00CD0557" w:rsidP="000A2A72">
      <w:pPr>
        <w:pStyle w:val="Prrafodelista"/>
        <w:spacing w:line="276" w:lineRule="auto"/>
        <w:jc w:val="center"/>
        <w:rPr>
          <w:rFonts w:ascii="Arial Narrow" w:eastAsiaTheme="minorEastAsia" w:hAnsi="Arial Narrow" w:cs="Times New Roman"/>
          <w:sz w:val="24"/>
          <w:szCs w:val="24"/>
          <w:lang w:eastAsia="es-CO"/>
        </w:rPr>
      </w:pPr>
      <m:oMathPara>
        <m:oMath>
          <m:sSup>
            <m:sSupPr>
              <m:ctrlPr>
                <w:rPr>
                  <w:rFonts w:ascii="Cambria Math" w:hAnsi="Cambria Math" w:cs="Times New Roman"/>
                  <w:i/>
                  <w:sz w:val="24"/>
                  <w:szCs w:val="24"/>
                  <w:lang w:eastAsia="es-CO"/>
                </w:rPr>
              </m:ctrlPr>
            </m:sSupPr>
            <m:e>
              <m:r>
                <w:rPr>
                  <w:rFonts w:ascii="Cambria Math" w:hAnsi="Cambria Math" w:cs="Times New Roman"/>
                  <w:sz w:val="24"/>
                  <w:szCs w:val="24"/>
                  <w:lang w:eastAsia="es-CO"/>
                </w:rPr>
                <m:t>P</m:t>
              </m:r>
            </m:e>
            <m:sup>
              <m:r>
                <w:rPr>
                  <w:rFonts w:ascii="Cambria Math" w:hAnsi="Cambria Math" w:cs="Times New Roman"/>
                  <w:sz w:val="24"/>
                  <w:szCs w:val="24"/>
                  <w:lang w:eastAsia="es-CO"/>
                </w:rPr>
                <m:t>*</m:t>
              </m:r>
            </m:sup>
          </m:sSup>
          <m:r>
            <w:rPr>
              <w:rFonts w:ascii="Cambria Math" w:eastAsiaTheme="minorEastAsia" w:hAnsi="Cambria Math" w:cs="Times New Roman"/>
              <w:sz w:val="24"/>
              <w:szCs w:val="24"/>
              <w:lang w:eastAsia="es-CO"/>
            </w:rPr>
            <m:t xml:space="preserve">= </m:t>
          </m:r>
          <m:sSub>
            <m:sSubPr>
              <m:ctrlPr>
                <w:rPr>
                  <w:rFonts w:ascii="Cambria Math" w:eastAsiaTheme="minorEastAsia" w:hAnsi="Cambria Math" w:cs="Times New Roman"/>
                  <w:i/>
                  <w:sz w:val="24"/>
                  <w:szCs w:val="24"/>
                  <w:lang w:eastAsia="es-CO"/>
                </w:rPr>
              </m:ctrlPr>
            </m:sSubPr>
            <m:e>
              <m:r>
                <w:rPr>
                  <w:rFonts w:ascii="Cambria Math" w:eastAsiaTheme="minorEastAsia" w:hAnsi="Cambria Math" w:cs="Times New Roman"/>
                  <w:sz w:val="24"/>
                  <w:szCs w:val="24"/>
                  <w:lang w:eastAsia="es-CO"/>
                </w:rPr>
                <m:t>P</m:t>
              </m:r>
            </m:e>
            <m:sub>
              <m:r>
                <w:rPr>
                  <w:rFonts w:ascii="Cambria Math" w:eastAsiaTheme="minorEastAsia" w:hAnsi="Cambria Math" w:cs="Times New Roman"/>
                  <w:sz w:val="24"/>
                  <w:szCs w:val="24"/>
                  <w:lang w:eastAsia="es-CO"/>
                </w:rPr>
                <m:t>0</m:t>
              </m:r>
            </m:sub>
          </m:sSub>
          <m:r>
            <w:rPr>
              <w:rFonts w:ascii="Cambria Math" w:eastAsiaTheme="minorEastAsia" w:hAnsi="Cambria Math" w:cs="Times New Roman"/>
              <w:sz w:val="24"/>
              <w:szCs w:val="24"/>
              <w:lang w:eastAsia="es-CO"/>
            </w:rPr>
            <m:t>(1+rend)</m:t>
          </m:r>
        </m:oMath>
      </m:oMathPara>
    </w:p>
    <w:p w:rsidR="000A2A72" w:rsidRPr="00EC3D47" w:rsidRDefault="000A2A72" w:rsidP="000A2A72">
      <w:pPr>
        <w:pStyle w:val="Prrafodelista"/>
        <w:spacing w:line="276" w:lineRule="auto"/>
        <w:jc w:val="center"/>
        <w:rPr>
          <w:rFonts w:ascii="Arial Narrow" w:hAnsi="Arial Narrow" w:cs="Times New Roman"/>
          <w:sz w:val="24"/>
          <w:szCs w:val="24"/>
          <w:lang w:eastAsia="es-CO"/>
        </w:rPr>
      </w:pPr>
    </w:p>
    <w:p w:rsidR="000A2A72" w:rsidRPr="00EC3D47" w:rsidRDefault="000A2A72" w:rsidP="000A2A72">
      <w:pPr>
        <w:pStyle w:val="Prrafodelista"/>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Donde </w:t>
      </w:r>
      <w:r w:rsidRPr="00EC3D47">
        <w:rPr>
          <w:rFonts w:ascii="Arial Narrow" w:hAnsi="Arial Narrow" w:cs="Times New Roman"/>
          <w:i/>
          <w:sz w:val="24"/>
          <w:szCs w:val="24"/>
          <w:lang w:eastAsia="es-CO"/>
        </w:rPr>
        <w:t>P</w:t>
      </w:r>
      <w:r w:rsidRPr="00EC3D47">
        <w:rPr>
          <w:rFonts w:ascii="Arial Narrow" w:hAnsi="Arial Narrow" w:cs="Times New Roman"/>
          <w:i/>
          <w:sz w:val="24"/>
          <w:szCs w:val="24"/>
          <w:vertAlign w:val="subscript"/>
          <w:lang w:eastAsia="es-CO"/>
        </w:rPr>
        <w:t xml:space="preserve">0 </w:t>
      </w:r>
      <w:r w:rsidR="000A06BB" w:rsidRPr="00EC3D47">
        <w:rPr>
          <w:rFonts w:ascii="Arial Narrow" w:hAnsi="Arial Narrow" w:cs="Times New Roman"/>
          <w:sz w:val="24"/>
          <w:szCs w:val="24"/>
          <w:lang w:eastAsia="es-CO"/>
        </w:rPr>
        <w:t xml:space="preserve">corresponde al valor de mercado, pues es necesario </w:t>
      </w:r>
      <w:r w:rsidR="00FF52BF" w:rsidRPr="00EC3D47">
        <w:rPr>
          <w:rFonts w:ascii="Arial Narrow" w:hAnsi="Arial Narrow" w:cs="Times New Roman"/>
          <w:sz w:val="24"/>
          <w:szCs w:val="24"/>
          <w:lang w:eastAsia="es-CO"/>
        </w:rPr>
        <w:t>comparar las simulaciones con el mercado actual</w:t>
      </w:r>
      <w:r w:rsidR="008C72E0" w:rsidRPr="00EC3D47">
        <w:rPr>
          <w:rFonts w:ascii="Arial Narrow" w:hAnsi="Arial Narrow" w:cs="Times New Roman"/>
          <w:sz w:val="24"/>
          <w:szCs w:val="24"/>
          <w:lang w:eastAsia="es-CO"/>
        </w:rPr>
        <w:t>.</w:t>
      </w:r>
    </w:p>
    <w:p w:rsidR="000A06BB" w:rsidRPr="00EC3D47" w:rsidRDefault="000A06BB" w:rsidP="000A2A72">
      <w:pPr>
        <w:pStyle w:val="Prrafodelista"/>
        <w:spacing w:line="276" w:lineRule="auto"/>
        <w:jc w:val="both"/>
        <w:rPr>
          <w:rFonts w:ascii="Arial Narrow" w:hAnsi="Arial Narrow" w:cs="Times New Roman"/>
          <w:sz w:val="24"/>
          <w:szCs w:val="24"/>
          <w:lang w:eastAsia="es-CO"/>
        </w:rPr>
      </w:pPr>
    </w:p>
    <w:p w:rsidR="000A2A72" w:rsidRPr="00EC3D47" w:rsidRDefault="000A2A72" w:rsidP="000A2A72">
      <w:pPr>
        <w:pStyle w:val="Prrafodelista"/>
        <w:numPr>
          <w:ilvl w:val="0"/>
          <w:numId w:val="2"/>
        </w:num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Con la simulación de los rendimientos y de los precios, se puede calcular una serie de tiempo de pérdidas y ganancias simulada que se basa en el precio de mercado y el precio que incorpora el </w:t>
      </w:r>
      <w:r w:rsidR="008C72E0" w:rsidRPr="00EC3D47">
        <w:rPr>
          <w:rFonts w:ascii="Arial Narrow" w:hAnsi="Arial Narrow" w:cs="Times New Roman"/>
          <w:sz w:val="24"/>
          <w:szCs w:val="24"/>
          <w:lang w:eastAsia="es-CO"/>
        </w:rPr>
        <w:t>crecimiento de los rendimientos.</w:t>
      </w:r>
    </w:p>
    <w:p w:rsidR="009D3ADB" w:rsidRPr="00EC3D47" w:rsidRDefault="009D3ADB" w:rsidP="009D3ADB">
      <w:pPr>
        <w:pStyle w:val="Prrafodelista"/>
        <w:spacing w:line="276" w:lineRule="auto"/>
        <w:jc w:val="both"/>
        <w:rPr>
          <w:rFonts w:ascii="Arial Narrow" w:hAnsi="Arial Narrow" w:cs="Times New Roman"/>
          <w:sz w:val="24"/>
          <w:szCs w:val="24"/>
          <w:lang w:eastAsia="es-CO"/>
        </w:rPr>
      </w:pPr>
    </w:p>
    <w:p w:rsidR="003463BD" w:rsidRPr="00EC3D47" w:rsidRDefault="003463BD" w:rsidP="003463BD">
      <w:pPr>
        <w:pStyle w:val="Prrafodelista"/>
        <w:spacing w:line="276" w:lineRule="auto"/>
        <w:jc w:val="center"/>
        <w:rPr>
          <w:rFonts w:ascii="Arial Narrow" w:eastAsiaTheme="minorEastAsia" w:hAnsi="Arial Narrow" w:cs="Times New Roman"/>
          <w:sz w:val="24"/>
          <w:szCs w:val="24"/>
          <w:lang w:eastAsia="es-CO"/>
        </w:rPr>
      </w:pPr>
      <m:oMathPara>
        <m:oMath>
          <m:r>
            <w:rPr>
              <w:rFonts w:ascii="Cambria Math" w:hAnsi="Cambria Math" w:cs="Times New Roman"/>
              <w:sz w:val="24"/>
              <w:szCs w:val="24"/>
              <w:lang w:eastAsia="es-CO"/>
            </w:rPr>
            <m:t>Serie de Perdidas y Ganancias=</m:t>
          </m:r>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P</m:t>
              </m:r>
            </m:e>
            <m:sub>
              <m:r>
                <w:rPr>
                  <w:rFonts w:ascii="Cambria Math" w:hAnsi="Cambria Math" w:cs="Times New Roman"/>
                  <w:sz w:val="24"/>
                  <w:szCs w:val="24"/>
                  <w:lang w:eastAsia="es-CO"/>
                </w:rPr>
                <m:t>0</m:t>
              </m:r>
            </m:sub>
          </m:sSub>
          <m:r>
            <w:rPr>
              <w:rFonts w:ascii="Cambria Math" w:hAnsi="Cambria Math" w:cs="Times New Roman"/>
              <w:sz w:val="24"/>
              <w:szCs w:val="24"/>
              <w:lang w:eastAsia="es-CO"/>
            </w:rPr>
            <m:t>-</m:t>
          </m:r>
          <m:sSup>
            <m:sSupPr>
              <m:ctrlPr>
                <w:rPr>
                  <w:rFonts w:ascii="Cambria Math" w:hAnsi="Cambria Math" w:cs="Times New Roman"/>
                  <w:i/>
                  <w:sz w:val="24"/>
                  <w:szCs w:val="24"/>
                  <w:lang w:eastAsia="es-CO"/>
                </w:rPr>
              </m:ctrlPr>
            </m:sSupPr>
            <m:e>
              <m:r>
                <w:rPr>
                  <w:rFonts w:ascii="Cambria Math" w:hAnsi="Cambria Math" w:cs="Times New Roman"/>
                  <w:sz w:val="24"/>
                  <w:szCs w:val="24"/>
                  <w:lang w:eastAsia="es-CO"/>
                </w:rPr>
                <m:t>P</m:t>
              </m:r>
            </m:e>
            <m:sup>
              <m:r>
                <w:rPr>
                  <w:rFonts w:ascii="Cambria Math" w:hAnsi="Cambria Math" w:cs="Times New Roman"/>
                  <w:sz w:val="24"/>
                  <w:szCs w:val="24"/>
                  <w:lang w:eastAsia="es-CO"/>
                </w:rPr>
                <m:t>*</m:t>
              </m:r>
            </m:sup>
          </m:sSup>
        </m:oMath>
      </m:oMathPara>
    </w:p>
    <w:p w:rsidR="003463BD" w:rsidRPr="00EC3D47" w:rsidRDefault="003463BD" w:rsidP="003463BD">
      <w:pPr>
        <w:pStyle w:val="Prrafodelista"/>
        <w:spacing w:line="276" w:lineRule="auto"/>
        <w:jc w:val="center"/>
        <w:rPr>
          <w:rFonts w:ascii="Arial Narrow" w:hAnsi="Arial Narrow" w:cs="Times New Roman"/>
          <w:sz w:val="24"/>
          <w:szCs w:val="24"/>
          <w:lang w:eastAsia="es-CO"/>
        </w:rPr>
      </w:pPr>
    </w:p>
    <w:p w:rsidR="003463BD" w:rsidRPr="00EC3D47" w:rsidRDefault="000C6E73" w:rsidP="000C6E73">
      <w:pPr>
        <w:pStyle w:val="Prrafodelista"/>
        <w:numPr>
          <w:ilvl w:val="0"/>
          <w:numId w:val="2"/>
        </w:num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Se calcula el valor en riesgo con base en la siguiente ecuación </w:t>
      </w:r>
    </w:p>
    <w:p w:rsidR="000C6E73" w:rsidRPr="00EC3D47" w:rsidRDefault="000C6E73" w:rsidP="00F219B2">
      <w:pPr>
        <w:spacing w:line="276" w:lineRule="auto"/>
        <w:jc w:val="center"/>
        <w:rPr>
          <w:rFonts w:ascii="Arial Narrow" w:eastAsiaTheme="minorEastAsia" w:hAnsi="Arial Narrow"/>
          <w:sz w:val="24"/>
          <w:szCs w:val="24"/>
          <w:lang w:eastAsia="es-CO"/>
        </w:rPr>
      </w:pPr>
      <m:oMathPara>
        <m:oMath>
          <m:r>
            <w:rPr>
              <w:rFonts w:ascii="Cambria Math" w:hAnsi="Cambria Math" w:cs="Times New Roman"/>
              <w:sz w:val="24"/>
              <w:szCs w:val="24"/>
              <w:lang w:eastAsia="es-CO"/>
            </w:rPr>
            <m:t xml:space="preserve">VaR=Percentil(Vector P y G </m:t>
          </m:r>
          <m:d>
            <m:dPr>
              <m:ctrlPr>
                <w:rPr>
                  <w:rFonts w:ascii="Cambria Math" w:hAnsi="Cambria Math" w:cs="Times New Roman"/>
                  <w:i/>
                  <w:sz w:val="24"/>
                  <w:szCs w:val="24"/>
                  <w:lang w:eastAsia="es-CO"/>
                </w:rPr>
              </m:ctrlPr>
            </m:dPr>
            <m:e>
              <m:r>
                <w:rPr>
                  <w:rFonts w:ascii="Cambria Math" w:hAnsi="Cambria Math" w:cs="Times New Roman"/>
                  <w:sz w:val="24"/>
                  <w:szCs w:val="24"/>
                  <w:lang w:eastAsia="es-CO"/>
                </w:rPr>
                <m:t>%</m:t>
              </m:r>
            </m:e>
          </m:d>
          <m:r>
            <w:rPr>
              <w:rFonts w:ascii="Cambria Math" w:hAnsi="Cambria Math" w:cs="Times New Roman"/>
              <w:sz w:val="24"/>
              <w:szCs w:val="24"/>
              <w:lang w:eastAsia="es-CO"/>
            </w:rPr>
            <m:t xml:space="preserve"> ;1-NC)</m:t>
          </m:r>
        </m:oMath>
      </m:oMathPara>
    </w:p>
    <w:p w:rsidR="008B56CA" w:rsidRPr="00EC3D47" w:rsidRDefault="00866183" w:rsidP="008B56CA">
      <w:pPr>
        <w:spacing w:line="276" w:lineRule="auto"/>
        <w:jc w:val="both"/>
        <w:rPr>
          <w:rFonts w:ascii="Arial Narrow" w:hAnsi="Arial Narrow" w:cs="Times New Roman"/>
          <w:sz w:val="24"/>
          <w:szCs w:val="24"/>
          <w:lang w:eastAsia="es-CO"/>
        </w:rPr>
      </w:pPr>
      <w:r w:rsidRPr="00EC3D47">
        <w:rPr>
          <w:rFonts w:ascii="Arial Narrow" w:eastAsiaTheme="minorEastAsia" w:hAnsi="Arial Narrow"/>
          <w:sz w:val="24"/>
          <w:szCs w:val="24"/>
          <w:lang w:eastAsia="es-CO"/>
        </w:rPr>
        <w:tab/>
      </w:r>
      <w:r w:rsidRPr="00EC3D47">
        <w:rPr>
          <w:rFonts w:ascii="Arial Narrow" w:eastAsiaTheme="minorEastAsia" w:hAnsi="Arial Narrow"/>
          <w:i/>
          <w:sz w:val="24"/>
          <w:szCs w:val="24"/>
          <w:lang w:eastAsia="es-CO"/>
        </w:rPr>
        <w:t>NC</w:t>
      </w:r>
      <w:r w:rsidRPr="00EC3D47">
        <w:rPr>
          <w:rFonts w:ascii="Arial Narrow" w:eastAsiaTheme="minorEastAsia" w:hAnsi="Arial Narrow"/>
          <w:sz w:val="24"/>
          <w:szCs w:val="24"/>
          <w:lang w:eastAsia="es-CO"/>
        </w:rPr>
        <w:t xml:space="preserve"> = Nivel de Confianza</w:t>
      </w:r>
    </w:p>
    <w:p w:rsidR="000C6E73" w:rsidRPr="00EC3D47" w:rsidRDefault="000C6E73" w:rsidP="008B56CA">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El nivel del percentil se establece de acuerdo al nivel de </w:t>
      </w:r>
      <w:r w:rsidR="00866183" w:rsidRPr="00EC3D47">
        <w:rPr>
          <w:rFonts w:ascii="Arial Narrow" w:hAnsi="Arial Narrow" w:cs="Times New Roman"/>
          <w:sz w:val="24"/>
          <w:szCs w:val="24"/>
          <w:lang w:eastAsia="es-CO"/>
        </w:rPr>
        <w:t>confianza</w:t>
      </w:r>
      <w:r w:rsidRPr="00EC3D47">
        <w:rPr>
          <w:rFonts w:ascii="Arial Narrow" w:hAnsi="Arial Narrow" w:cs="Times New Roman"/>
          <w:sz w:val="24"/>
          <w:szCs w:val="24"/>
          <w:lang w:eastAsia="es-CO"/>
        </w:rPr>
        <w:t xml:space="preserve"> deseado, es decir </w:t>
      </w:r>
      <w:r w:rsidR="000129F8" w:rsidRPr="00EC3D47">
        <w:rPr>
          <w:rFonts w:ascii="Arial Narrow" w:hAnsi="Arial Narrow" w:cs="Times New Roman"/>
          <w:sz w:val="24"/>
          <w:szCs w:val="24"/>
          <w:lang w:eastAsia="es-CO"/>
        </w:rPr>
        <w:t>que</w:t>
      </w:r>
      <w:r w:rsidRPr="00EC3D47">
        <w:rPr>
          <w:rFonts w:ascii="Arial Narrow" w:hAnsi="Arial Narrow" w:cs="Times New Roman"/>
          <w:sz w:val="24"/>
          <w:szCs w:val="24"/>
          <w:lang w:eastAsia="es-CO"/>
        </w:rPr>
        <w:t xml:space="preserve"> si se quiere un nivel de significancia del 99%, el percentil debe ser 0,01 del histograma de la simulación de la serie de </w:t>
      </w:r>
      <w:r w:rsidRPr="00EC3D47">
        <w:rPr>
          <w:rFonts w:ascii="Arial Narrow" w:hAnsi="Arial Narrow" w:cs="Times New Roman"/>
          <w:i/>
          <w:sz w:val="24"/>
          <w:szCs w:val="24"/>
          <w:lang w:eastAsia="es-CO"/>
        </w:rPr>
        <w:t>Pérdidas y Ganancias.</w:t>
      </w:r>
      <w:r w:rsidRPr="00EC3D47">
        <w:rPr>
          <w:rFonts w:ascii="Arial Narrow" w:hAnsi="Arial Narrow" w:cs="Times New Roman"/>
          <w:sz w:val="24"/>
          <w:szCs w:val="24"/>
          <w:lang w:eastAsia="es-CO"/>
        </w:rPr>
        <w:t xml:space="preserve"> </w:t>
      </w:r>
    </w:p>
    <w:p w:rsidR="008B56CA" w:rsidRPr="00EC3D47" w:rsidRDefault="008B56CA" w:rsidP="000129F8">
      <w:pPr>
        <w:spacing w:line="276" w:lineRule="auto"/>
        <w:jc w:val="both"/>
        <w:rPr>
          <w:rFonts w:ascii="Arial Narrow" w:hAnsi="Arial Narrow" w:cs="Times New Roman"/>
          <w:sz w:val="24"/>
          <w:szCs w:val="24"/>
          <w:lang w:eastAsia="es-CO"/>
        </w:rPr>
      </w:pPr>
    </w:p>
    <w:p w:rsidR="000129F8" w:rsidRPr="00EC3D47" w:rsidRDefault="000129F8" w:rsidP="000129F8">
      <w:pPr>
        <w:spacing w:line="276" w:lineRule="auto"/>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Las etapas de medición descritas anteriormente permiten cuantificar la máxima perdida probable a la que está expuesta el portafolio activo de la Nación, en un horizonte de tiempo determinado a un nivel de confianza </w:t>
      </w:r>
      <w:r w:rsidR="008C72E0" w:rsidRPr="00EC3D47">
        <w:rPr>
          <w:rFonts w:ascii="Arial Narrow" w:hAnsi="Arial Narrow" w:cs="Times New Roman"/>
          <w:sz w:val="24"/>
          <w:szCs w:val="24"/>
          <w:lang w:eastAsia="es-CO"/>
        </w:rPr>
        <w:t>establecido</w:t>
      </w:r>
      <w:r w:rsidR="00866183" w:rsidRPr="00EC3D47">
        <w:rPr>
          <w:rFonts w:ascii="Arial Narrow" w:hAnsi="Arial Narrow" w:cs="Times New Roman"/>
          <w:sz w:val="24"/>
          <w:szCs w:val="24"/>
          <w:lang w:eastAsia="es-CO"/>
        </w:rPr>
        <w:t xml:space="preserve">. </w:t>
      </w:r>
      <w:r w:rsidRPr="00EC3D47">
        <w:rPr>
          <w:rFonts w:ascii="Arial Narrow" w:hAnsi="Arial Narrow" w:cs="Times New Roman"/>
          <w:sz w:val="24"/>
          <w:szCs w:val="24"/>
          <w:lang w:eastAsia="es-CO"/>
        </w:rPr>
        <w:t xml:space="preserve">El </w:t>
      </w:r>
      <w:r w:rsidRPr="00EC3D47">
        <w:rPr>
          <w:rFonts w:ascii="Arial Narrow" w:hAnsi="Arial Narrow" w:cs="Times New Roman"/>
          <w:i/>
          <w:sz w:val="24"/>
          <w:szCs w:val="24"/>
          <w:lang w:eastAsia="es-CO"/>
        </w:rPr>
        <w:t xml:space="preserve">VaR </w:t>
      </w:r>
      <w:r w:rsidR="00866183" w:rsidRPr="00EC3D47">
        <w:rPr>
          <w:rFonts w:ascii="Arial Narrow" w:hAnsi="Arial Narrow" w:cs="Times New Roman"/>
          <w:i/>
          <w:sz w:val="24"/>
          <w:szCs w:val="24"/>
          <w:lang w:eastAsia="es-CO"/>
        </w:rPr>
        <w:t>Histórico</w:t>
      </w:r>
      <w:r w:rsidRPr="00EC3D47">
        <w:rPr>
          <w:rFonts w:ascii="Arial Narrow" w:hAnsi="Arial Narrow" w:cs="Times New Roman"/>
          <w:sz w:val="24"/>
          <w:szCs w:val="24"/>
          <w:lang w:eastAsia="es-CO"/>
        </w:rPr>
        <w:t xml:space="preserve"> incorpor</w:t>
      </w:r>
      <w:r w:rsidR="00866183" w:rsidRPr="00EC3D47">
        <w:rPr>
          <w:rFonts w:ascii="Arial Narrow" w:hAnsi="Arial Narrow" w:cs="Times New Roman"/>
          <w:sz w:val="24"/>
          <w:szCs w:val="24"/>
          <w:lang w:eastAsia="es-CO"/>
        </w:rPr>
        <w:t xml:space="preserve">a la volatilidad de los precios mediante las </w:t>
      </w:r>
      <w:r w:rsidR="00866183" w:rsidRPr="00EC3D47">
        <w:rPr>
          <w:rFonts w:ascii="Arial Narrow" w:hAnsi="Arial Narrow" w:cs="Times New Roman"/>
          <w:sz w:val="24"/>
          <w:szCs w:val="24"/>
          <w:lang w:eastAsia="es-CO"/>
        </w:rPr>
        <w:lastRenderedPageBreak/>
        <w:t xml:space="preserve">simulaciones históricas de los rendimientos y de la serie de pérdidas y ganancias calculada con base en los precios de mercado y los precios simulados. </w:t>
      </w:r>
    </w:p>
    <w:p w:rsidR="008B56CA" w:rsidRPr="00EC3D47" w:rsidRDefault="008B56CA" w:rsidP="000473C4">
      <w:pPr>
        <w:spacing w:after="0" w:line="276" w:lineRule="auto"/>
        <w:jc w:val="both"/>
        <w:rPr>
          <w:rFonts w:ascii="Arial Narrow" w:hAnsi="Arial Narrow" w:cs="Times New Roman"/>
          <w:sz w:val="24"/>
          <w:szCs w:val="24"/>
          <w:lang w:eastAsia="es-CO"/>
        </w:rPr>
      </w:pPr>
    </w:p>
    <w:p w:rsidR="00A904CD" w:rsidRPr="00EC3D47" w:rsidRDefault="0065001F" w:rsidP="0026447C">
      <w:pPr>
        <w:pStyle w:val="Ttulo2"/>
      </w:pPr>
      <w:bookmarkStart w:id="7" w:name="_Toc533665764"/>
      <w:r w:rsidRPr="00EC3D47">
        <w:t>Aplicació</w:t>
      </w:r>
      <w:r w:rsidR="00A904CD" w:rsidRPr="00EC3D47">
        <w:t>n</w:t>
      </w:r>
      <w:r w:rsidR="00374D12" w:rsidRPr="00EC3D47">
        <w:t xml:space="preserve"> de medición.</w:t>
      </w:r>
      <w:bookmarkEnd w:id="7"/>
    </w:p>
    <w:p w:rsidR="008B56CA" w:rsidRPr="00EC3D47" w:rsidRDefault="008B56CA" w:rsidP="000473C4">
      <w:pPr>
        <w:autoSpaceDE w:val="0"/>
        <w:autoSpaceDN w:val="0"/>
        <w:adjustRightInd w:val="0"/>
        <w:spacing w:after="0"/>
        <w:jc w:val="both"/>
        <w:rPr>
          <w:rFonts w:ascii="Arial Narrow" w:hAnsi="Arial Narrow" w:cs="Times New Roman"/>
          <w:sz w:val="24"/>
          <w:szCs w:val="24"/>
          <w:lang w:eastAsia="es-CO"/>
        </w:rPr>
      </w:pPr>
    </w:p>
    <w:p w:rsidR="00023D9F" w:rsidRPr="00EC3D47" w:rsidRDefault="00A904CD" w:rsidP="00023D9F">
      <w:pPr>
        <w:autoSpaceDE w:val="0"/>
        <w:autoSpaceDN w:val="0"/>
        <w:adjustRightInd w:val="0"/>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Con el fin de </w:t>
      </w:r>
      <w:r w:rsidR="0032629F" w:rsidRPr="00EC3D47">
        <w:rPr>
          <w:rFonts w:ascii="Arial Narrow" w:hAnsi="Arial Narrow" w:cs="Times New Roman"/>
          <w:sz w:val="24"/>
          <w:szCs w:val="24"/>
          <w:lang w:eastAsia="es-CO"/>
        </w:rPr>
        <w:t>realizar la medición del Valor en Riesgo de las inversiones que realiza la Tesorería, se toman diferentes insumos para la aplic</w:t>
      </w:r>
      <w:r w:rsidR="00253A4B" w:rsidRPr="00EC3D47">
        <w:rPr>
          <w:rFonts w:ascii="Arial Narrow" w:hAnsi="Arial Narrow" w:cs="Times New Roman"/>
          <w:sz w:val="24"/>
          <w:szCs w:val="24"/>
          <w:lang w:eastAsia="es-CO"/>
        </w:rPr>
        <w:t>ación del modelo VaR Histórico</w:t>
      </w:r>
      <w:r w:rsidR="00EC6A64" w:rsidRPr="00EC3D47">
        <w:rPr>
          <w:rFonts w:ascii="Arial Narrow" w:hAnsi="Arial Narrow" w:cs="Times New Roman"/>
          <w:sz w:val="24"/>
          <w:szCs w:val="24"/>
          <w:lang w:eastAsia="es-CO"/>
        </w:rPr>
        <w:t xml:space="preserve">. Vale la pena mencionar que la medición  del Valor en Riesgo se realiza todos los días, por lo que los resultados de la medición se interpretan como </w:t>
      </w:r>
      <w:r w:rsidR="00362127" w:rsidRPr="00EC3D47">
        <w:rPr>
          <w:rFonts w:ascii="Arial Narrow" w:hAnsi="Arial Narrow" w:cs="Times New Roman"/>
          <w:sz w:val="24"/>
          <w:szCs w:val="24"/>
          <w:lang w:eastAsia="es-CO"/>
        </w:rPr>
        <w:t xml:space="preserve">la </w:t>
      </w:r>
      <w:r w:rsidR="00EC6A64" w:rsidRPr="00EC3D47">
        <w:rPr>
          <w:rFonts w:ascii="Arial Narrow" w:hAnsi="Arial Narrow" w:cs="Times New Roman"/>
          <w:sz w:val="24"/>
          <w:szCs w:val="24"/>
          <w:lang w:eastAsia="es-CO"/>
        </w:rPr>
        <w:t xml:space="preserve">máxima </w:t>
      </w:r>
      <w:r w:rsidR="00362127" w:rsidRPr="00EC3D47">
        <w:rPr>
          <w:rFonts w:ascii="Arial Narrow" w:hAnsi="Arial Narrow" w:cs="Times New Roman"/>
          <w:sz w:val="24"/>
          <w:szCs w:val="24"/>
          <w:lang w:eastAsia="es-CO"/>
        </w:rPr>
        <w:t>pérdida</w:t>
      </w:r>
      <w:r w:rsidR="00EC6A64" w:rsidRPr="00EC3D47">
        <w:rPr>
          <w:rFonts w:ascii="Arial Narrow" w:hAnsi="Arial Narrow" w:cs="Times New Roman"/>
          <w:sz w:val="24"/>
          <w:szCs w:val="24"/>
          <w:lang w:eastAsia="es-CO"/>
        </w:rPr>
        <w:t xml:space="preserve"> esperada en un día con un nivel de confianza de</w:t>
      </w:r>
      <w:r w:rsidR="00362127" w:rsidRPr="00EC3D47">
        <w:rPr>
          <w:rFonts w:ascii="Arial Narrow" w:hAnsi="Arial Narrow" w:cs="Times New Roman"/>
          <w:sz w:val="24"/>
          <w:szCs w:val="24"/>
          <w:lang w:eastAsia="es-CO"/>
        </w:rPr>
        <w:t>l</w:t>
      </w:r>
      <w:r w:rsidR="00EC6A64" w:rsidRPr="00EC3D47">
        <w:rPr>
          <w:rFonts w:ascii="Arial Narrow" w:hAnsi="Arial Narrow" w:cs="Times New Roman"/>
          <w:sz w:val="24"/>
          <w:szCs w:val="24"/>
          <w:lang w:eastAsia="es-CO"/>
        </w:rPr>
        <w:t xml:space="preserve"> 99% bajo condiciones n</w:t>
      </w:r>
      <w:r w:rsidR="00362127" w:rsidRPr="00EC3D47">
        <w:rPr>
          <w:rFonts w:ascii="Arial Narrow" w:hAnsi="Arial Narrow" w:cs="Times New Roman"/>
          <w:sz w:val="24"/>
          <w:szCs w:val="24"/>
          <w:lang w:eastAsia="es-CO"/>
        </w:rPr>
        <w:t>ormales. Para la simulación de los rendimientos el modelo utiliza como insumo el va</w:t>
      </w:r>
      <w:r w:rsidR="006F76D1" w:rsidRPr="00EC3D47">
        <w:rPr>
          <w:rFonts w:ascii="Arial Narrow" w:hAnsi="Arial Narrow" w:cs="Times New Roman"/>
          <w:sz w:val="24"/>
          <w:szCs w:val="24"/>
          <w:lang w:eastAsia="es-CO"/>
        </w:rPr>
        <w:t>lor de los cupones, vencimiento de los títulos</w:t>
      </w:r>
      <w:r w:rsidR="00362127" w:rsidRPr="00EC3D47">
        <w:rPr>
          <w:rFonts w:ascii="Arial Narrow" w:hAnsi="Arial Narrow" w:cs="Times New Roman"/>
          <w:sz w:val="24"/>
          <w:szCs w:val="24"/>
          <w:lang w:eastAsia="es-CO"/>
        </w:rPr>
        <w:t xml:space="preserve"> y los betas de valoración tanto para los instrumentos denominados </w:t>
      </w:r>
      <w:r w:rsidR="004631AC" w:rsidRPr="00EC3D47">
        <w:rPr>
          <w:rFonts w:ascii="Arial Narrow" w:hAnsi="Arial Narrow" w:cs="Times New Roman"/>
          <w:sz w:val="24"/>
          <w:szCs w:val="24"/>
          <w:lang w:eastAsia="es-CO"/>
        </w:rPr>
        <w:t>en COP como en</w:t>
      </w:r>
      <w:r w:rsidR="00362127" w:rsidRPr="00EC3D47">
        <w:rPr>
          <w:rFonts w:ascii="Arial Narrow" w:hAnsi="Arial Narrow" w:cs="Times New Roman"/>
          <w:sz w:val="24"/>
          <w:szCs w:val="24"/>
          <w:lang w:eastAsia="es-CO"/>
        </w:rPr>
        <w:t xml:space="preserve"> UVR</w:t>
      </w:r>
      <w:r w:rsidR="006F76D1" w:rsidRPr="00EC3D47">
        <w:rPr>
          <w:rFonts w:ascii="Arial Narrow" w:hAnsi="Arial Narrow" w:cs="Times New Roman"/>
          <w:sz w:val="24"/>
          <w:szCs w:val="24"/>
          <w:lang w:eastAsia="es-CO"/>
        </w:rPr>
        <w:t>, y a partir de esta información el modelo valora cada uno de los instrumentos por medio de la siguiente formula</w:t>
      </w:r>
      <w:r w:rsidR="00240C25" w:rsidRPr="00EC3D47">
        <w:rPr>
          <w:rFonts w:ascii="Arial Narrow" w:hAnsi="Arial Narrow"/>
          <w:vertAlign w:val="superscript"/>
        </w:rPr>
        <w:footnoteReference w:id="1"/>
      </w:r>
      <w:r w:rsidR="006F76D1" w:rsidRPr="00EC3D47">
        <w:rPr>
          <w:rFonts w:ascii="Arial Narrow" w:hAnsi="Arial Narrow" w:cs="Times New Roman"/>
          <w:sz w:val="24"/>
          <w:szCs w:val="24"/>
          <w:lang w:eastAsia="es-CO"/>
        </w:rPr>
        <w:t xml:space="preserve"> la cual define la curva cero cupón gen</w:t>
      </w:r>
      <w:r w:rsidR="00ED3F5F" w:rsidRPr="00EC3D47">
        <w:rPr>
          <w:rFonts w:ascii="Arial Narrow" w:hAnsi="Arial Narrow" w:cs="Times New Roman"/>
          <w:sz w:val="24"/>
          <w:szCs w:val="24"/>
          <w:lang w:eastAsia="es-CO"/>
        </w:rPr>
        <w:t>erada por el modelo de Nelson-</w:t>
      </w:r>
      <w:r w:rsidR="008865ED" w:rsidRPr="00EC3D47">
        <w:rPr>
          <w:rFonts w:ascii="Arial Narrow" w:hAnsi="Arial Narrow" w:cs="Times New Roman"/>
          <w:sz w:val="24"/>
          <w:szCs w:val="24"/>
          <w:lang w:eastAsia="es-CO"/>
        </w:rPr>
        <w:t xml:space="preserve">Siegel que describe la trayectoria de las tasas de interés forward en función de un vector de cuatro parámetros  compuesto por los </w:t>
      </w:r>
      <w:r w:rsidR="00917D3A" w:rsidRPr="00EC3D47">
        <w:rPr>
          <w:rFonts w:ascii="Arial Narrow" w:hAnsi="Arial Narrow" w:cs="Times New Roman"/>
          <w:sz w:val="24"/>
          <w:szCs w:val="24"/>
          <w:lang w:eastAsia="es-CO"/>
        </w:rPr>
        <w:t>betas de valoración</w:t>
      </w:r>
      <w:r w:rsidR="008865ED" w:rsidRPr="00EC3D47">
        <w:rPr>
          <w:rFonts w:ascii="Arial Narrow" w:hAnsi="Arial Narrow" w:cs="Times New Roman"/>
          <w:sz w:val="24"/>
          <w:szCs w:val="24"/>
          <w:lang w:eastAsia="es-CO"/>
        </w:rPr>
        <w:t xml:space="preserve"> (B0, B1, B2, t) y del plazo de vencimiento m. </w:t>
      </w:r>
    </w:p>
    <w:p w:rsidR="00023D9F" w:rsidRPr="00EC3D47" w:rsidRDefault="008865ED" w:rsidP="00023D9F">
      <w:pPr>
        <w:autoSpaceDE w:val="0"/>
        <w:autoSpaceDN w:val="0"/>
        <w:adjustRightInd w:val="0"/>
        <w:jc w:val="both"/>
        <w:rPr>
          <w:rFonts w:ascii="Arial Narrow" w:hAnsi="Arial Narrow" w:cs="Times New Roman"/>
          <w:sz w:val="24"/>
          <w:szCs w:val="24"/>
          <w:vertAlign w:val="superscript"/>
          <w:lang w:eastAsia="es-CO"/>
        </w:rPr>
      </w:pPr>
      <m:oMathPara>
        <m:oMath>
          <m:r>
            <w:rPr>
              <w:rFonts w:ascii="Cambria Math" w:hAnsi="Cambria Math" w:cs="Times New Roman"/>
              <w:sz w:val="24"/>
              <w:szCs w:val="24"/>
              <w:lang w:eastAsia="es-CO"/>
            </w:rPr>
            <m:t>F</m:t>
          </m:r>
          <m:d>
            <m:dPr>
              <m:ctrlPr>
                <w:rPr>
                  <w:rFonts w:ascii="Cambria Math" w:hAnsi="Cambria Math" w:cs="Times New Roman"/>
                  <w:i/>
                  <w:sz w:val="24"/>
                  <w:szCs w:val="24"/>
                  <w:lang w:eastAsia="es-CO"/>
                </w:rPr>
              </m:ctrlPr>
            </m:dPr>
            <m:e>
              <m:r>
                <w:rPr>
                  <w:rFonts w:ascii="Cambria Math" w:hAnsi="Cambria Math" w:cs="Times New Roman"/>
                  <w:sz w:val="24"/>
                  <w:szCs w:val="24"/>
                  <w:lang w:eastAsia="es-CO"/>
                </w:rPr>
                <m:t>m</m:t>
              </m:r>
            </m:e>
          </m:d>
          <m:r>
            <w:rPr>
              <w:rFonts w:ascii="Cambria Math" w:hAnsi="Cambria Math" w:cs="Times New Roman"/>
              <w:sz w:val="24"/>
              <w:szCs w:val="24"/>
              <w:lang w:eastAsia="es-CO"/>
            </w:rPr>
            <m:t>=</m:t>
          </m:r>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β</m:t>
              </m:r>
            </m:e>
            <m:sub>
              <m:r>
                <w:rPr>
                  <w:rFonts w:ascii="Cambria Math" w:hAnsi="Cambria Math" w:cs="Times New Roman"/>
                  <w:sz w:val="24"/>
                  <w:szCs w:val="24"/>
                  <w:lang w:eastAsia="es-CO"/>
                </w:rPr>
                <m:t>0</m:t>
              </m:r>
            </m:sub>
          </m:sSub>
          <m:r>
            <w:rPr>
              <w:rFonts w:ascii="Cambria Math" w:hAnsi="Cambria Math" w:cs="Times New Roman"/>
              <w:sz w:val="24"/>
              <w:szCs w:val="24"/>
              <w:lang w:eastAsia="es-CO"/>
            </w:rPr>
            <m:t>+</m:t>
          </m:r>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β</m:t>
              </m:r>
            </m:e>
            <m:sub>
              <m:r>
                <w:rPr>
                  <w:rFonts w:ascii="Cambria Math" w:hAnsi="Cambria Math" w:cs="Times New Roman"/>
                  <w:sz w:val="24"/>
                  <w:szCs w:val="24"/>
                  <w:lang w:eastAsia="es-CO"/>
                </w:rPr>
                <m:t>1</m:t>
              </m:r>
            </m:sub>
          </m:sSub>
          <m:func>
            <m:funcPr>
              <m:ctrlPr>
                <w:rPr>
                  <w:rFonts w:ascii="Cambria Math" w:hAnsi="Cambria Math" w:cs="Times New Roman"/>
                  <w:i/>
                  <w:sz w:val="24"/>
                  <w:szCs w:val="24"/>
                  <w:lang w:eastAsia="es-CO"/>
                </w:rPr>
              </m:ctrlPr>
            </m:funcPr>
            <m:fName>
              <m:r>
                <m:rPr>
                  <m:sty m:val="p"/>
                </m:rPr>
                <w:rPr>
                  <w:rFonts w:ascii="Cambria Math" w:hAnsi="Cambria Math" w:cs="Times New Roman"/>
                  <w:sz w:val="24"/>
                  <w:szCs w:val="24"/>
                  <w:lang w:eastAsia="es-CO"/>
                </w:rPr>
                <m:t>exp</m:t>
              </m:r>
            </m:fName>
            <m:e>
              <m:d>
                <m:dPr>
                  <m:ctrlPr>
                    <w:rPr>
                      <w:rFonts w:ascii="Cambria Math" w:hAnsi="Cambria Math" w:cs="Times New Roman"/>
                      <w:i/>
                      <w:sz w:val="24"/>
                      <w:szCs w:val="24"/>
                      <w:lang w:eastAsia="es-CO"/>
                    </w:rPr>
                  </m:ctrlPr>
                </m:dPr>
                <m:e>
                  <m:r>
                    <w:rPr>
                      <w:rFonts w:ascii="Cambria Math" w:hAnsi="Cambria Math" w:cs="Times New Roman"/>
                      <w:sz w:val="24"/>
                      <w:szCs w:val="24"/>
                      <w:lang w:eastAsia="es-CO"/>
                    </w:rPr>
                    <m:t>-</m:t>
                  </m:r>
                  <m:f>
                    <m:fPr>
                      <m:ctrlPr>
                        <w:rPr>
                          <w:rFonts w:ascii="Cambria Math" w:hAnsi="Cambria Math" w:cs="Times New Roman"/>
                          <w:i/>
                          <w:sz w:val="24"/>
                          <w:szCs w:val="24"/>
                          <w:lang w:eastAsia="es-CO"/>
                        </w:rPr>
                      </m:ctrlPr>
                    </m:fPr>
                    <m:num>
                      <m:r>
                        <w:rPr>
                          <w:rFonts w:ascii="Cambria Math" w:hAnsi="Cambria Math" w:cs="Times New Roman"/>
                          <w:sz w:val="24"/>
                          <w:szCs w:val="24"/>
                          <w:lang w:eastAsia="es-CO"/>
                        </w:rPr>
                        <m:t>m</m:t>
                      </m:r>
                    </m:num>
                    <m:den>
                      <m:r>
                        <w:rPr>
                          <w:rFonts w:ascii="Cambria Math" w:hAnsi="Cambria Math" w:cs="Times New Roman"/>
                          <w:sz w:val="24"/>
                          <w:szCs w:val="24"/>
                          <w:lang w:eastAsia="es-CO"/>
                        </w:rPr>
                        <m:t>t</m:t>
                      </m:r>
                    </m:den>
                  </m:f>
                </m:e>
              </m:d>
              <m:r>
                <w:rPr>
                  <w:rFonts w:ascii="Cambria Math" w:hAnsi="Cambria Math" w:cs="Times New Roman"/>
                  <w:sz w:val="24"/>
                  <w:szCs w:val="24"/>
                  <w:lang w:eastAsia="es-CO"/>
                </w:rPr>
                <m:t>+</m:t>
              </m:r>
            </m:e>
          </m:func>
          <m:sSub>
            <m:sSubPr>
              <m:ctrlPr>
                <w:rPr>
                  <w:rFonts w:ascii="Cambria Math" w:hAnsi="Cambria Math" w:cs="Times New Roman"/>
                  <w:i/>
                  <w:sz w:val="24"/>
                  <w:szCs w:val="24"/>
                  <w:lang w:eastAsia="es-CO"/>
                </w:rPr>
              </m:ctrlPr>
            </m:sSubPr>
            <m:e>
              <m:r>
                <w:rPr>
                  <w:rFonts w:ascii="Cambria Math" w:hAnsi="Cambria Math" w:cs="Times New Roman"/>
                  <w:sz w:val="24"/>
                  <w:szCs w:val="24"/>
                  <w:lang w:eastAsia="es-CO"/>
                </w:rPr>
                <m:t>β</m:t>
              </m:r>
            </m:e>
            <m:sub>
              <m:r>
                <w:rPr>
                  <w:rFonts w:ascii="Cambria Math" w:hAnsi="Cambria Math" w:cs="Times New Roman"/>
                  <w:sz w:val="24"/>
                  <w:szCs w:val="24"/>
                  <w:lang w:eastAsia="es-CO"/>
                </w:rPr>
                <m:t>2</m:t>
              </m:r>
            </m:sub>
          </m:sSub>
          <m:f>
            <m:fPr>
              <m:ctrlPr>
                <w:rPr>
                  <w:rFonts w:ascii="Cambria Math" w:hAnsi="Cambria Math" w:cs="Times New Roman"/>
                  <w:i/>
                  <w:sz w:val="24"/>
                  <w:szCs w:val="24"/>
                  <w:lang w:eastAsia="es-CO"/>
                </w:rPr>
              </m:ctrlPr>
            </m:fPr>
            <m:num>
              <m:r>
                <w:rPr>
                  <w:rFonts w:ascii="Cambria Math" w:hAnsi="Cambria Math" w:cs="Times New Roman"/>
                  <w:sz w:val="24"/>
                  <w:szCs w:val="24"/>
                  <w:lang w:eastAsia="es-CO"/>
                </w:rPr>
                <m:t>m</m:t>
              </m:r>
            </m:num>
            <m:den>
              <m:r>
                <w:rPr>
                  <w:rFonts w:ascii="Cambria Math" w:hAnsi="Cambria Math" w:cs="Times New Roman"/>
                  <w:sz w:val="24"/>
                  <w:szCs w:val="24"/>
                  <w:lang w:eastAsia="es-CO"/>
                </w:rPr>
                <m:t>t</m:t>
              </m:r>
            </m:den>
          </m:f>
          <m:func>
            <m:funcPr>
              <m:ctrlPr>
                <w:rPr>
                  <w:rFonts w:ascii="Cambria Math" w:hAnsi="Cambria Math" w:cs="Times New Roman"/>
                  <w:i/>
                  <w:sz w:val="24"/>
                  <w:szCs w:val="24"/>
                  <w:lang w:eastAsia="es-CO"/>
                </w:rPr>
              </m:ctrlPr>
            </m:funcPr>
            <m:fName>
              <m:r>
                <m:rPr>
                  <m:sty m:val="p"/>
                </m:rPr>
                <w:rPr>
                  <w:rFonts w:ascii="Cambria Math" w:hAnsi="Cambria Math" w:cs="Times New Roman"/>
                  <w:sz w:val="24"/>
                  <w:szCs w:val="24"/>
                  <w:lang w:eastAsia="es-CO"/>
                </w:rPr>
                <m:t>exp</m:t>
              </m:r>
            </m:fName>
            <m:e>
              <m:d>
                <m:dPr>
                  <m:ctrlPr>
                    <w:rPr>
                      <w:rFonts w:ascii="Cambria Math" w:hAnsi="Cambria Math" w:cs="Times New Roman"/>
                      <w:i/>
                      <w:sz w:val="24"/>
                      <w:szCs w:val="24"/>
                      <w:lang w:eastAsia="es-CO"/>
                    </w:rPr>
                  </m:ctrlPr>
                </m:dPr>
                <m:e>
                  <m:r>
                    <w:rPr>
                      <w:rFonts w:ascii="Cambria Math" w:hAnsi="Cambria Math" w:cs="Times New Roman"/>
                      <w:sz w:val="24"/>
                      <w:szCs w:val="24"/>
                      <w:lang w:eastAsia="es-CO"/>
                    </w:rPr>
                    <m:t>-</m:t>
                  </m:r>
                  <m:f>
                    <m:fPr>
                      <m:ctrlPr>
                        <w:rPr>
                          <w:rFonts w:ascii="Cambria Math" w:hAnsi="Cambria Math" w:cs="Times New Roman"/>
                          <w:i/>
                          <w:sz w:val="24"/>
                          <w:szCs w:val="24"/>
                          <w:lang w:eastAsia="es-CO"/>
                        </w:rPr>
                      </m:ctrlPr>
                    </m:fPr>
                    <m:num>
                      <m:r>
                        <w:rPr>
                          <w:rFonts w:ascii="Cambria Math" w:hAnsi="Cambria Math" w:cs="Times New Roman"/>
                          <w:sz w:val="24"/>
                          <w:szCs w:val="24"/>
                          <w:lang w:eastAsia="es-CO"/>
                        </w:rPr>
                        <m:t>m</m:t>
                      </m:r>
                    </m:num>
                    <m:den>
                      <m:r>
                        <w:rPr>
                          <w:rFonts w:ascii="Cambria Math" w:hAnsi="Cambria Math" w:cs="Times New Roman"/>
                          <w:sz w:val="24"/>
                          <w:szCs w:val="24"/>
                          <w:lang w:eastAsia="es-CO"/>
                        </w:rPr>
                        <m:t>t</m:t>
                      </m:r>
                    </m:den>
                  </m:f>
                </m:e>
              </m:d>
            </m:e>
          </m:func>
        </m:oMath>
      </m:oMathPara>
    </w:p>
    <w:p w:rsidR="00023D9F" w:rsidRPr="00EC3D47" w:rsidRDefault="008865ED" w:rsidP="00F719FB">
      <w:pPr>
        <w:autoSpaceDE w:val="0"/>
        <w:autoSpaceDN w:val="0"/>
        <w:adjustRightInd w:val="0"/>
        <w:jc w:val="both"/>
        <w:rPr>
          <w:rFonts w:ascii="Arial Narrow" w:hAnsi="Arial Narrow" w:cs="Times New Roman"/>
          <w:sz w:val="24"/>
          <w:szCs w:val="24"/>
          <w:lang w:eastAsia="es-CO"/>
        </w:rPr>
      </w:pPr>
      <w:r w:rsidRPr="00EC3D47">
        <w:rPr>
          <w:rFonts w:ascii="Arial Narrow" w:hAnsi="Arial Narrow" w:cs="Times New Roman"/>
          <w:sz w:val="24"/>
          <w:szCs w:val="24"/>
          <w:lang w:eastAsia="es-CO"/>
        </w:rPr>
        <w:t>De esta forma se relaciona</w:t>
      </w:r>
      <w:r w:rsidR="00E80802" w:rsidRPr="00EC3D47">
        <w:rPr>
          <w:rFonts w:ascii="Arial Narrow" w:hAnsi="Arial Narrow" w:cs="Times New Roman"/>
          <w:sz w:val="24"/>
          <w:szCs w:val="24"/>
          <w:lang w:eastAsia="es-CO"/>
        </w:rPr>
        <w:t>n</w:t>
      </w:r>
      <w:r w:rsidRPr="00EC3D47">
        <w:rPr>
          <w:rFonts w:ascii="Arial Narrow" w:hAnsi="Arial Narrow" w:cs="Times New Roman"/>
          <w:sz w:val="24"/>
          <w:szCs w:val="24"/>
          <w:lang w:eastAsia="es-CO"/>
        </w:rPr>
        <w:t xml:space="preserve"> los rendimientos y los plazos de cada instrumento</w:t>
      </w:r>
      <w:r w:rsidR="00E80802" w:rsidRPr="00EC3D47">
        <w:rPr>
          <w:rFonts w:ascii="Arial Narrow" w:hAnsi="Arial Narrow" w:cs="Times New Roman"/>
          <w:sz w:val="24"/>
          <w:szCs w:val="24"/>
          <w:lang w:eastAsia="es-CO"/>
        </w:rPr>
        <w:t xml:space="preserve"> para su respectiva valoración</w:t>
      </w:r>
      <w:r w:rsidRPr="00EC3D47">
        <w:rPr>
          <w:rFonts w:ascii="Arial Narrow" w:hAnsi="Arial Narrow" w:cs="Times New Roman"/>
          <w:sz w:val="24"/>
          <w:szCs w:val="24"/>
          <w:lang w:eastAsia="es-CO"/>
        </w:rPr>
        <w:t>.</w:t>
      </w:r>
      <w:r w:rsidR="00023D9F" w:rsidRPr="00EC3D47">
        <w:rPr>
          <w:rFonts w:ascii="Arial Narrow" w:hAnsi="Arial Narrow" w:cs="Times New Roman"/>
          <w:sz w:val="24"/>
          <w:szCs w:val="24"/>
          <w:lang w:eastAsia="es-CO"/>
        </w:rPr>
        <w:t xml:space="preserve"> Adicionalmente, para el cálculo de los rendimientos de los instrumentos denominados en </w:t>
      </w:r>
      <w:r w:rsidR="00023D9F" w:rsidRPr="00EC3D47">
        <w:rPr>
          <w:rFonts w:ascii="Arial Narrow" w:hAnsi="Arial Narrow" w:cs="Times New Roman"/>
          <w:i/>
          <w:sz w:val="24"/>
          <w:szCs w:val="24"/>
          <w:lang w:eastAsia="es-CO"/>
        </w:rPr>
        <w:t>UVR</w:t>
      </w:r>
      <w:r w:rsidR="00023D9F" w:rsidRPr="00EC3D47">
        <w:rPr>
          <w:rFonts w:ascii="Arial Narrow" w:hAnsi="Arial Narrow" w:cs="Times New Roman"/>
          <w:sz w:val="24"/>
          <w:szCs w:val="24"/>
          <w:lang w:eastAsia="es-CO"/>
        </w:rPr>
        <w:t xml:space="preserve"> y en </w:t>
      </w:r>
      <w:r w:rsidR="00023D9F" w:rsidRPr="00EC3D47">
        <w:rPr>
          <w:rFonts w:ascii="Arial Narrow" w:hAnsi="Arial Narrow" w:cs="Times New Roman"/>
          <w:i/>
          <w:sz w:val="24"/>
          <w:szCs w:val="24"/>
          <w:lang w:eastAsia="es-CO"/>
        </w:rPr>
        <w:t>USD</w:t>
      </w:r>
      <w:r w:rsidR="00F719FB" w:rsidRPr="00EC3D47">
        <w:rPr>
          <w:rFonts w:ascii="Arial Narrow" w:hAnsi="Arial Narrow" w:cs="Times New Roman"/>
          <w:i/>
          <w:sz w:val="24"/>
          <w:szCs w:val="24"/>
          <w:lang w:eastAsia="es-CO"/>
        </w:rPr>
        <w:t xml:space="preserve"> </w:t>
      </w:r>
      <w:r w:rsidR="00F719FB" w:rsidRPr="00EC3D47">
        <w:rPr>
          <w:rFonts w:ascii="Arial Narrow" w:hAnsi="Arial Narrow" w:cs="Times New Roman"/>
          <w:sz w:val="24"/>
          <w:szCs w:val="24"/>
          <w:lang w:eastAsia="es-CO"/>
        </w:rPr>
        <w:t>se debe tener una serie d</w:t>
      </w:r>
      <w:r w:rsidR="00A95D8C" w:rsidRPr="00EC3D47">
        <w:rPr>
          <w:rFonts w:ascii="Arial Narrow" w:hAnsi="Arial Narrow" w:cs="Times New Roman"/>
          <w:sz w:val="24"/>
          <w:szCs w:val="24"/>
          <w:lang w:eastAsia="es-CO"/>
        </w:rPr>
        <w:t>e tiempo con el registro diario de los</w:t>
      </w:r>
      <w:r w:rsidR="00F719FB" w:rsidRPr="00EC3D47">
        <w:rPr>
          <w:rFonts w:ascii="Arial Narrow" w:hAnsi="Arial Narrow" w:cs="Times New Roman"/>
          <w:sz w:val="24"/>
          <w:szCs w:val="24"/>
          <w:lang w:eastAsia="es-CO"/>
        </w:rPr>
        <w:t xml:space="preserve"> mismos. </w:t>
      </w:r>
    </w:p>
    <w:p w:rsidR="0023320F" w:rsidRPr="00EC3D47" w:rsidRDefault="00E14E14" w:rsidP="00F003F5">
      <w:pPr>
        <w:autoSpaceDE w:val="0"/>
        <w:autoSpaceDN w:val="0"/>
        <w:adjustRightInd w:val="0"/>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Finalmente, con la simulación de los rendimientos se </w:t>
      </w:r>
      <w:r w:rsidR="00A30381" w:rsidRPr="00EC3D47">
        <w:rPr>
          <w:rFonts w:ascii="Arial Narrow" w:hAnsi="Arial Narrow" w:cs="Times New Roman"/>
          <w:sz w:val="24"/>
          <w:szCs w:val="24"/>
          <w:lang w:eastAsia="es-CO"/>
        </w:rPr>
        <w:t>identifica el Valor en Riesgo del portafolio</w:t>
      </w:r>
      <w:r w:rsidR="00B57842" w:rsidRPr="00EC3D47">
        <w:rPr>
          <w:rFonts w:ascii="Arial Narrow" w:hAnsi="Arial Narrow" w:cs="Times New Roman"/>
          <w:sz w:val="24"/>
          <w:szCs w:val="24"/>
          <w:lang w:eastAsia="es-CO"/>
        </w:rPr>
        <w:t xml:space="preserve"> (</w:t>
      </w:r>
      <w:r w:rsidR="00B57842" w:rsidRPr="00EC3D47">
        <w:rPr>
          <w:rFonts w:ascii="Arial Narrow" w:hAnsi="Arial Narrow" w:cs="Times New Roman"/>
          <w:i/>
          <w:sz w:val="24"/>
          <w:szCs w:val="24"/>
          <w:lang w:eastAsia="es-CO"/>
        </w:rPr>
        <w:t>VaR</w:t>
      </w:r>
      <w:r w:rsidR="00B57842" w:rsidRPr="00EC3D47">
        <w:rPr>
          <w:rFonts w:ascii="Arial Narrow" w:hAnsi="Arial Narrow" w:cs="Times New Roman"/>
          <w:sz w:val="24"/>
          <w:szCs w:val="24"/>
          <w:lang w:eastAsia="es-CO"/>
        </w:rPr>
        <w:t xml:space="preserve"> diversificado que tiene en cuenta el peso que tiene cada tipo de inversión para su medición)</w:t>
      </w:r>
      <w:r w:rsidR="00A30381" w:rsidRPr="00EC3D47">
        <w:rPr>
          <w:rFonts w:ascii="Arial Narrow" w:hAnsi="Arial Narrow" w:cs="Times New Roman"/>
          <w:sz w:val="24"/>
          <w:szCs w:val="24"/>
          <w:lang w:eastAsia="es-CO"/>
        </w:rPr>
        <w:t xml:space="preserve"> y se hace el cálculo individual tanto por factores de riesgo (COP, UVR y TRM) como pa</w:t>
      </w:r>
      <w:r w:rsidR="00F003F5" w:rsidRPr="00EC3D47">
        <w:rPr>
          <w:rFonts w:ascii="Arial Narrow" w:hAnsi="Arial Narrow" w:cs="Times New Roman"/>
          <w:sz w:val="24"/>
          <w:szCs w:val="24"/>
          <w:lang w:eastAsia="es-CO"/>
        </w:rPr>
        <w:t>ra cada uno de los TES.</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0473C4" w:rsidP="0026447C">
      <w:pPr>
        <w:pStyle w:val="Ttulo1"/>
      </w:pPr>
      <w:bookmarkStart w:id="8" w:name="_Toc533665765"/>
      <w:r w:rsidRPr="00EC3D47">
        <w:t>MODELO VAR DIVERSIFICADO CON VOLATILIDADES EWMA</w:t>
      </w:r>
      <w:bookmarkEnd w:id="8"/>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26447C">
      <w:pPr>
        <w:pStyle w:val="Ttulo2"/>
      </w:pPr>
      <w:bookmarkStart w:id="9" w:name="_Toc533665766"/>
      <w:r w:rsidRPr="00EC3D47">
        <w:t>Estimación de las volatilidades bajo la metodología EWMA</w:t>
      </w:r>
      <w:bookmarkEnd w:id="9"/>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En 1994 el Banco Estadounidense JP MORGAN publicó un documento técnico llamado Riskmetrics, en el cual propuso el VaR como base para medir cuantitativamente el riesgo de mercado de los instrumentos de deuda y también los portafolios de inversión.</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lastRenderedPageBreak/>
        <w:t xml:space="preserve">El modelo de JP MORGAN tiene bases estadísticas y probabilísticas que permiten pronosticar posiciones en riesgo sobre determinado activo, de forma que se volvió un estándar internacional. Una de las metodologías usadas por la DGCPTN para identificar, evaluar y monitorear el VaR es la metodología de volatilidades exponenciales conocida como Exponentially Weighted Moving Average (E.W.M.A), que es definido como Medias Móviles Ponderadas Exponencialmente. </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La ventaja de este modelo es que captura de forma eficiente las repentinas variaciones en los precios de los activos, los rendimientos determinados de un activo son ordenados en una serie de tiempo para poder asignar un factor de decaimiento llamado lambda (λ), este factor asigna una mayor ponderación a las observaciones más recientes, es decir los datos de una ventana de tiempo determinada que se van quedando rezagados, tienen una importancia menor. Esta metodología parte de observaciones históricas y le confiere mayor peso a las últimas o más recientes observaciones que a las primeras o más alejadas del tiempo y por ello es posible generar mejores pronósticos en épocas de alta volatilidad.</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26447C">
      <w:pPr>
        <w:pStyle w:val="Ttulo2"/>
      </w:pPr>
      <w:bookmarkStart w:id="10" w:name="_Toc533665767"/>
      <w:r w:rsidRPr="00EC3D47">
        <w:t>Parámetros del Modelo</w:t>
      </w:r>
      <w:bookmarkEnd w:id="10"/>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Factor de decaimiento: El factor de decaimiento (Decay Factor) llamado lambda (λ) busca  asignar una mayor ponderación en el cálculo a las observaciones más recientes.  Se utilizará un lambda de 90% atendiendo las recomendaciones sugeridas por el documento técnico para series diarias. </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Ventana de Tiempo: Corresponde al número de datos de la serie de tiempo para estimar la volatilidad.  Para el caso de la volatilidad EWMA, se tendrá en cuenta el valor del nivel de confianza </w:t>
      </w:r>
      <m:oMath>
        <m:r>
          <w:rPr>
            <w:rFonts w:ascii="Cambria Math" w:hAnsi="Cambria Math" w:cs="Times New Roman"/>
            <w:sz w:val="24"/>
            <w:szCs w:val="24"/>
            <w:lang w:eastAsia="es-CO"/>
          </w:rPr>
          <m:t>α</m:t>
        </m:r>
      </m:oMath>
      <w:r w:rsidRPr="00EC3D47">
        <w:rPr>
          <w:rFonts w:ascii="Arial Narrow" w:hAnsi="Arial Narrow" w:cs="Times New Roman"/>
          <w:sz w:val="24"/>
          <w:szCs w:val="24"/>
          <w:lang w:eastAsia="es-CO"/>
        </w:rPr>
        <w:t xml:space="preserve"> y el valor definido de </w:t>
      </w:r>
      <m:oMath>
        <m:r>
          <w:rPr>
            <w:rFonts w:ascii="Cambria Math" w:hAnsi="Cambria Math" w:cs="Times New Roman"/>
            <w:sz w:val="24"/>
            <w:szCs w:val="24"/>
            <w:lang w:eastAsia="es-CO"/>
          </w:rPr>
          <m:t>λ</m:t>
        </m:r>
      </m:oMath>
      <w:r w:rsidRPr="00EC3D47">
        <w:rPr>
          <w:rFonts w:ascii="Arial Narrow" w:hAnsi="Arial Narrow" w:cs="Times New Roman"/>
          <w:sz w:val="24"/>
          <w:szCs w:val="24"/>
          <w:lang w:eastAsia="es-CO"/>
        </w:rPr>
        <w:t xml:space="preserve">.  Para estimar la ventana de tiempo </w:t>
      </w:r>
      <m:oMath>
        <m:r>
          <w:rPr>
            <w:rFonts w:ascii="Cambria Math" w:hAnsi="Cambria Math" w:cs="Times New Roman"/>
            <w:sz w:val="24"/>
            <w:szCs w:val="24"/>
            <w:lang w:eastAsia="es-CO"/>
          </w:rPr>
          <m:t>n</m:t>
        </m:r>
      </m:oMath>
      <w:r w:rsidRPr="00EC3D47">
        <w:rPr>
          <w:rFonts w:ascii="Arial Narrow" w:hAnsi="Arial Narrow" w:cs="Times New Roman"/>
          <w:sz w:val="24"/>
          <w:szCs w:val="24"/>
          <w:lang w:eastAsia="es-CO"/>
        </w:rPr>
        <w:t xml:space="preserve"> se define la siguiente expresión:</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lang w:eastAsia="es-CO"/>
        </w:rPr>
      </w:pPr>
      <m:oMathPara>
        <m:oMath>
          <m:r>
            <m:rPr>
              <m:sty m:val="bi"/>
            </m:rPr>
            <w:rPr>
              <w:rFonts w:ascii="Cambria Math" w:hAnsi="Cambria Math"/>
              <w:lang w:eastAsia="es-CO"/>
            </w:rPr>
            <m:t>n</m:t>
          </m:r>
          <m:r>
            <w:rPr>
              <w:rFonts w:ascii="Cambria Math" w:hAnsi="Cambria Math"/>
              <w:lang w:eastAsia="es-CO"/>
            </w:rPr>
            <m:t>=ln</m:t>
          </m:r>
          <m:d>
            <m:dPr>
              <m:ctrlPr>
                <w:rPr>
                  <w:rFonts w:ascii="Cambria Math" w:hAnsi="Cambria Math" w:cs="Times New Roman"/>
                  <w:i/>
                  <w:sz w:val="24"/>
                  <w:szCs w:val="24"/>
                  <w:lang w:eastAsia="es-CO"/>
                </w:rPr>
              </m:ctrlPr>
            </m:dPr>
            <m:e>
              <m:r>
                <w:rPr>
                  <w:rFonts w:ascii="Cambria Math" w:hAnsi="Cambria Math"/>
                  <w:lang w:eastAsia="es-CO"/>
                </w:rPr>
                <m:t>1-α</m:t>
              </m:r>
            </m:e>
          </m:d>
          <m:r>
            <w:rPr>
              <w:rFonts w:ascii="Cambria Math" w:hAnsi="Cambria Math"/>
              <w:lang w:eastAsia="es-CO"/>
            </w:rPr>
            <m:t>/</m:t>
          </m:r>
          <m:r>
            <m:rPr>
              <m:sty m:val="p"/>
            </m:rPr>
            <w:rPr>
              <w:rFonts w:ascii="Cambria Math" w:hAnsi="Cambria Math"/>
              <w:lang w:eastAsia="es-CO"/>
            </w:rPr>
            <m:t>ln⁡</m:t>
          </m:r>
          <m:d>
            <m:dPr>
              <m:ctrlPr>
                <w:rPr>
                  <w:rFonts w:ascii="Cambria Math" w:hAnsi="Cambria Math" w:cs="Times New Roman"/>
                  <w:i/>
                  <w:sz w:val="24"/>
                  <w:szCs w:val="24"/>
                  <w:lang w:eastAsia="es-CO"/>
                </w:rPr>
              </m:ctrlPr>
            </m:dPr>
            <m:e>
              <m:r>
                <w:rPr>
                  <w:rFonts w:ascii="Cambria Math" w:hAnsi="Cambria Math"/>
                  <w:lang w:eastAsia="es-CO"/>
                </w:rPr>
                <m:t>λ</m:t>
              </m:r>
            </m:e>
          </m:d>
        </m:oMath>
      </m:oMathPara>
    </w:p>
    <w:p w:rsidR="008B56CA" w:rsidRPr="00EC3D47" w:rsidRDefault="008B56CA" w:rsidP="008B56CA">
      <w:pPr>
        <w:contextualSpacing/>
        <w:jc w:val="both"/>
        <w:rPr>
          <w:rFonts w:ascii="Arial Narrow" w:hAnsi="Arial Narrow"/>
          <w:lang w:eastAsia="es-CO"/>
        </w:rPr>
      </w:pPr>
    </w:p>
    <w:p w:rsidR="008B56CA" w:rsidRPr="00901DEC" w:rsidRDefault="008B56CA" w:rsidP="008B56CA">
      <w:pPr>
        <w:contextualSpacing/>
        <w:jc w:val="both"/>
        <w:rPr>
          <w:rFonts w:ascii="Arial Narrow" w:hAnsi="Arial Narrow" w:cs="Times New Roman"/>
          <w:sz w:val="24"/>
          <w:szCs w:val="24"/>
          <w:lang w:eastAsia="es-CO"/>
        </w:rPr>
      </w:pPr>
      <w:r w:rsidRPr="00901DEC">
        <w:rPr>
          <w:rFonts w:ascii="Arial Narrow" w:hAnsi="Arial Narrow" w:cs="Times New Roman"/>
          <w:sz w:val="24"/>
          <w:szCs w:val="24"/>
          <w:lang w:eastAsia="es-CO"/>
        </w:rPr>
        <w:t xml:space="preserve">Horizonte de Tiempo: 1 día, el cálculo, medición y monitoreo del riesgo de Mercado debe ser hecho diariamente. Por lo tanto el resultado de este cálculo, debe ser expresado en términos de tenencia diaria del portafolio de inversiones = </w:t>
      </w:r>
      <m:oMath>
        <m:r>
          <w:rPr>
            <w:rFonts w:ascii="Cambria Math" w:hAnsi="Cambria Math" w:cs="Times New Roman"/>
            <w:sz w:val="24"/>
            <w:szCs w:val="24"/>
            <w:lang w:eastAsia="es-CO"/>
          </w:rPr>
          <m:t>t</m:t>
        </m:r>
      </m:oMath>
      <w:r w:rsidRPr="00901DEC">
        <w:rPr>
          <w:rFonts w:ascii="Arial Narrow" w:hAnsi="Arial Narrow" w:cs="Times New Roman"/>
          <w:sz w:val="24"/>
          <w:szCs w:val="24"/>
          <w:lang w:eastAsia="es-CO"/>
        </w:rPr>
        <w:t>.</w:t>
      </w:r>
    </w:p>
    <w:p w:rsidR="008B56CA" w:rsidRPr="00901DEC" w:rsidRDefault="008B56CA" w:rsidP="008B56CA">
      <w:pPr>
        <w:contextualSpacing/>
        <w:jc w:val="both"/>
        <w:rPr>
          <w:rFonts w:ascii="Arial Narrow" w:hAnsi="Arial Narrow" w:cs="Times New Roman"/>
          <w:sz w:val="24"/>
          <w:szCs w:val="24"/>
          <w:lang w:eastAsia="es-CO"/>
        </w:rPr>
      </w:pPr>
    </w:p>
    <w:p w:rsidR="008B56CA" w:rsidRPr="00901DEC" w:rsidRDefault="008B56CA" w:rsidP="008B56CA">
      <w:pPr>
        <w:contextualSpacing/>
        <w:jc w:val="both"/>
        <w:rPr>
          <w:rFonts w:ascii="Arial Narrow" w:hAnsi="Arial Narrow" w:cs="Times New Roman"/>
          <w:sz w:val="24"/>
          <w:szCs w:val="24"/>
          <w:lang w:eastAsia="es-CO"/>
        </w:rPr>
      </w:pPr>
      <w:r w:rsidRPr="00901DEC">
        <w:rPr>
          <w:rFonts w:ascii="Arial Narrow" w:hAnsi="Arial Narrow" w:cs="Times New Roman"/>
          <w:sz w:val="24"/>
          <w:szCs w:val="24"/>
          <w:lang w:eastAsia="es-CO"/>
        </w:rPr>
        <w:t>Nivel de Confianza: La probabilidad asignada para el cálculo del VaR es del 99%, es decir para una distribución normal el numero desviaciones estándar alrededor de la media cubren aproximadamente el 99% de los rendimientos financieros posibles, en este caso el área bajo la curva corresponde a 2.33 desviaciones estándar de la media. En otras palabras, existe una probabilidad del 99% de que ocurra una observación diste (positiva o negativamente) 2.33 veces de la media.</w:t>
      </w:r>
    </w:p>
    <w:p w:rsidR="008B56CA" w:rsidRDefault="008B56CA" w:rsidP="008B56CA">
      <w:pPr>
        <w:contextualSpacing/>
        <w:jc w:val="both"/>
        <w:rPr>
          <w:rFonts w:ascii="Arial Narrow" w:hAnsi="Arial Narrow" w:cs="Times New Roman"/>
          <w:sz w:val="24"/>
          <w:szCs w:val="24"/>
          <w:lang w:eastAsia="es-CO"/>
        </w:rPr>
      </w:pPr>
    </w:p>
    <w:p w:rsidR="000473C4" w:rsidRDefault="000473C4" w:rsidP="008B56CA">
      <w:pPr>
        <w:contextualSpacing/>
        <w:jc w:val="both"/>
        <w:rPr>
          <w:rFonts w:ascii="Arial Narrow" w:hAnsi="Arial Narrow" w:cs="Times New Roman"/>
          <w:sz w:val="24"/>
          <w:szCs w:val="24"/>
          <w:lang w:eastAsia="es-CO"/>
        </w:rPr>
      </w:pPr>
    </w:p>
    <w:p w:rsidR="000473C4" w:rsidRDefault="000473C4" w:rsidP="008B56CA">
      <w:pPr>
        <w:contextualSpacing/>
        <w:jc w:val="both"/>
        <w:rPr>
          <w:rFonts w:ascii="Arial Narrow" w:hAnsi="Arial Narrow" w:cs="Times New Roman"/>
          <w:sz w:val="24"/>
          <w:szCs w:val="24"/>
          <w:lang w:eastAsia="es-CO"/>
        </w:rPr>
      </w:pPr>
    </w:p>
    <w:p w:rsidR="000473C4" w:rsidRPr="00EC3D47" w:rsidRDefault="000473C4" w:rsidP="008B56CA">
      <w:pPr>
        <w:contextualSpacing/>
        <w:jc w:val="both"/>
        <w:rPr>
          <w:rFonts w:ascii="Arial Narrow" w:hAnsi="Arial Narrow" w:cs="Times New Roman"/>
          <w:sz w:val="24"/>
          <w:szCs w:val="24"/>
          <w:lang w:eastAsia="es-CO"/>
        </w:rPr>
      </w:pPr>
    </w:p>
    <w:p w:rsidR="008B56CA" w:rsidRPr="00EC3D47" w:rsidRDefault="008B56CA" w:rsidP="0026447C">
      <w:pPr>
        <w:pStyle w:val="Ttulo2"/>
      </w:pPr>
      <w:bookmarkStart w:id="11" w:name="_Toc533665768"/>
      <w:r w:rsidRPr="00EC3D47">
        <w:lastRenderedPageBreak/>
        <w:t>Factores de Riesgo</w:t>
      </w:r>
      <w:bookmarkEnd w:id="11"/>
    </w:p>
    <w:p w:rsidR="008B56CA" w:rsidRPr="00EC3D47" w:rsidRDefault="008B56CA" w:rsidP="000473C4">
      <w:pPr>
        <w:spacing w:after="0"/>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Un factor de riesgo de mercado es una variable financiera básica, determinada por el mercado de valores, cuyo comportamiento tiene un impacto en el precio de un activo financiero. Los factores del riesgo del modelo incluyen tasas de cambio y tasas de interés. </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26447C">
      <w:pPr>
        <w:pStyle w:val="Ttulo2"/>
      </w:pPr>
      <w:bookmarkStart w:id="12" w:name="_Toc533665769"/>
      <w:r w:rsidRPr="00EC3D47">
        <w:t>Cálculo de las volatilidades</w:t>
      </w:r>
      <w:bookmarkEnd w:id="12"/>
    </w:p>
    <w:p w:rsidR="008B56CA" w:rsidRPr="00EC3D47" w:rsidRDefault="008B56CA" w:rsidP="000473C4">
      <w:pPr>
        <w:spacing w:after="0"/>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La volatilidad es la desviación estándar de los rendimientos de un activo.  El rendimiento de un activo es el cambio de valor que registra en un periodo respecto al periodo inicial.  La volatilidad es un indiciador fundamental para la cuantificación de riesgos de mercado porque representa una medida de dispersión de los rendimientos con respecto a la media de los mismos en un horizonte de tiempo definido.</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Para obtener el cálculo las volatilidades de los activos se requiere, en primer lugar, estimar los rendimientos de los precios de la siguiente manera:</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CD0557" w:rsidP="008B56CA">
      <w:pPr>
        <w:contextualSpacing/>
        <w:jc w:val="both"/>
        <w:rPr>
          <w:rFonts w:ascii="Arial Narrow" w:hAnsi="Arial Narrow"/>
          <w:sz w:val="18"/>
          <w:lang w:eastAsia="es-CO"/>
        </w:rP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i</m:t>
              </m:r>
            </m:sub>
          </m:sSub>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P</m:t>
                      </m:r>
                    </m:e>
                    <m:sub>
                      <m:r>
                        <w:rPr>
                          <w:rFonts w:ascii="Cambria Math" w:hAnsi="Cambria Math"/>
                        </w:rPr>
                        <m:t>t-1</m:t>
                      </m:r>
                    </m:sub>
                  </m:sSub>
                </m:den>
              </m:f>
            </m:e>
          </m:d>
        </m:oMath>
      </m:oMathPara>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Donde:</w:t>
      </w:r>
    </w:p>
    <w:p w:rsidR="008B56CA" w:rsidRPr="00EC3D47" w:rsidRDefault="008B56CA" w:rsidP="008B56CA">
      <w:pPr>
        <w:jc w:val="both"/>
        <w:rPr>
          <w:rFonts w:ascii="Arial Narrow" w:hAnsi="Arial Narrow" w:cs="Times New Roman"/>
          <w:sz w:val="24"/>
          <w:szCs w:val="24"/>
          <w:lang w:eastAsia="es-CO"/>
        </w:rPr>
      </w:pPr>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R</m:t>
            </m:r>
          </m:e>
          <m:sub>
            <m:r>
              <m:rPr>
                <m:sty m:val="bi"/>
              </m:rPr>
              <w:rPr>
                <w:rFonts w:ascii="Cambria Math" w:hAnsi="Cambria Math" w:cs="Times New Roman"/>
                <w:sz w:val="24"/>
                <w:szCs w:val="24"/>
                <w:lang w:eastAsia="es-CO"/>
              </w:rPr>
              <m:t>i</m:t>
            </m:r>
          </m:sub>
        </m:sSub>
      </m:oMath>
      <w:r w:rsidR="008B56CA" w:rsidRPr="00EC3D47">
        <w:rPr>
          <w:rFonts w:ascii="Arial Narrow" w:hAnsi="Arial Narrow" w:cs="Times New Roman"/>
          <w:sz w:val="24"/>
          <w:szCs w:val="24"/>
          <w:lang w:eastAsia="es-CO"/>
        </w:rPr>
        <w:t>= Rendimiento</w:t>
      </w:r>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P</m:t>
            </m:r>
          </m:e>
          <m:sub>
            <m:r>
              <m:rPr>
                <m:sty m:val="bi"/>
              </m:rPr>
              <w:rPr>
                <w:rFonts w:ascii="Cambria Math" w:hAnsi="Cambria Math" w:cs="Times New Roman"/>
                <w:sz w:val="24"/>
                <w:szCs w:val="24"/>
                <w:lang w:eastAsia="es-CO"/>
              </w:rPr>
              <m:t>t</m:t>
            </m:r>
          </m:sub>
        </m:sSub>
      </m:oMath>
      <w:r w:rsidR="008B56CA" w:rsidRPr="00EC3D47">
        <w:rPr>
          <w:rFonts w:ascii="Arial Narrow" w:hAnsi="Arial Narrow" w:cs="Times New Roman"/>
          <w:sz w:val="24"/>
          <w:szCs w:val="24"/>
          <w:lang w:eastAsia="es-CO"/>
        </w:rPr>
        <w:t xml:space="preserve">  = Valor más reciente del activo</w:t>
      </w:r>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P</m:t>
            </m:r>
          </m:e>
          <m:sub>
            <m:r>
              <m:rPr>
                <m:sty m:val="bi"/>
              </m:rPr>
              <w:rPr>
                <w:rFonts w:ascii="Cambria Math" w:hAnsi="Cambria Math" w:cs="Times New Roman"/>
                <w:sz w:val="24"/>
                <w:szCs w:val="24"/>
                <w:lang w:eastAsia="es-CO"/>
              </w:rPr>
              <m:t>t</m:t>
            </m:r>
            <m:r>
              <m:rPr>
                <m:sty m:val="p"/>
              </m:rPr>
              <w:rPr>
                <w:rFonts w:ascii="Cambria Math" w:hAnsi="Cambria Math" w:cs="Times New Roman"/>
                <w:sz w:val="24"/>
                <w:szCs w:val="24"/>
                <w:lang w:eastAsia="es-CO"/>
              </w:rPr>
              <m:t>-</m:t>
            </m:r>
            <m:r>
              <m:rPr>
                <m:sty m:val="b"/>
              </m:rPr>
              <w:rPr>
                <w:rFonts w:ascii="Cambria Math" w:hAnsi="Cambria Math" w:cs="Times New Roman"/>
                <w:sz w:val="24"/>
                <w:szCs w:val="24"/>
                <w:lang w:eastAsia="es-CO"/>
              </w:rPr>
              <m:t>1</m:t>
            </m:r>
          </m:sub>
        </m:sSub>
      </m:oMath>
      <w:r w:rsidR="008B56CA" w:rsidRPr="00EC3D47">
        <w:rPr>
          <w:rFonts w:ascii="Arial Narrow" w:hAnsi="Arial Narrow" w:cs="Times New Roman"/>
          <w:sz w:val="24"/>
          <w:szCs w:val="24"/>
          <w:lang w:eastAsia="es-CO"/>
        </w:rPr>
        <w:t xml:space="preserve"> = Valor anterior del activo </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8B56CA" w:rsidP="008B56CA">
      <w:pPr>
        <w:contextualSpacing/>
        <w:jc w:val="both"/>
        <w:rPr>
          <w:rFonts w:ascii="Arial Narrow" w:hAnsi="Arial Narrow" w:cs="Times New Roman"/>
          <w:sz w:val="24"/>
          <w:szCs w:val="24"/>
          <w:lang w:eastAsia="es-CO"/>
        </w:rPr>
      </w:pPr>
      <w:r w:rsidRPr="00EC3D47">
        <w:rPr>
          <w:rFonts w:ascii="Arial Narrow" w:hAnsi="Arial Narrow" w:cs="Times New Roman"/>
          <w:sz w:val="24"/>
          <w:szCs w:val="24"/>
          <w:lang w:eastAsia="es-CO"/>
        </w:rPr>
        <w:t>De la serie de tiempo determinada a partir del cálculo de los rendimientos se requiere, antes de estimar la volatilidad EWMA, definir el nivel de ponderación.  Para esto se define la varianza de los rendimientos por su peso específico de la siguiente manera:</w:t>
      </w:r>
    </w:p>
    <w:p w:rsidR="008B56CA" w:rsidRPr="00EC3D47" w:rsidRDefault="008B56CA" w:rsidP="008B56CA">
      <w:pPr>
        <w:contextualSpacing/>
        <w:jc w:val="both"/>
        <w:rPr>
          <w:rFonts w:ascii="Arial Narrow" w:hAnsi="Arial Narrow" w:cs="Times New Roman"/>
          <w:sz w:val="24"/>
          <w:szCs w:val="24"/>
          <w:lang w:eastAsia="es-CO"/>
        </w:rPr>
      </w:pPr>
    </w:p>
    <w:p w:rsidR="008B56CA" w:rsidRPr="00EC3D47" w:rsidRDefault="00CD0557" w:rsidP="008B56CA">
      <w:pPr>
        <w:contextualSpacing/>
        <w:jc w:val="both"/>
        <w:rPr>
          <w:rFonts w:ascii="Arial Narrow" w:hAnsi="Arial Narrow"/>
          <w:lang w:eastAsia="es-CO"/>
        </w:rPr>
      </w:pPr>
      <m:oMathPara>
        <m:oMath>
          <m:sSubSup>
            <m:sSubSupPr>
              <m:ctrlPr>
                <w:rPr>
                  <w:rFonts w:ascii="Cambria Math" w:hAnsi="Cambria Math"/>
                  <w:b/>
                  <w:i/>
                </w:rPr>
              </m:ctrlPr>
            </m:sSubSupPr>
            <m:e>
              <m:r>
                <m:rPr>
                  <m:sty m:val="bi"/>
                </m:rPr>
                <w:rPr>
                  <w:rFonts w:ascii="Cambria Math" w:hAnsi="Cambria Math"/>
                </w:rPr>
                <m:t>σ</m:t>
              </m:r>
            </m:e>
            <m:sub>
              <m:r>
                <m:rPr>
                  <m:sty m:val="bi"/>
                </m:rPr>
                <w:rPr>
                  <w:rFonts w:ascii="Cambria Math" w:hAnsi="Cambria Math"/>
                </w:rPr>
                <m:t>i</m:t>
              </m:r>
            </m:sub>
            <m:sup>
              <m:r>
                <m:rPr>
                  <m:sty m:val="bi"/>
                </m:rPr>
                <w:rPr>
                  <w:rFonts w:ascii="Cambria Math" w:hAnsi="Cambria Math"/>
                </w:rPr>
                <m:t>2</m:t>
              </m:r>
            </m:sup>
          </m:sSub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e>
          </m:nary>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Donde </w:t>
      </w:r>
      <m:oMath>
        <m:sSub>
          <m:sSubPr>
            <m:ctrlPr>
              <w:rPr>
                <w:rFonts w:ascii="Cambria Math" w:hAnsi="Cambria Math" w:cs="Times New Roman"/>
                <w:sz w:val="24"/>
                <w:szCs w:val="24"/>
                <w:lang w:eastAsia="es-CO"/>
              </w:rPr>
            </m:ctrlPr>
          </m:sSubPr>
          <m:e>
            <m:r>
              <w:rPr>
                <w:rFonts w:ascii="Cambria Math" w:hAnsi="Cambria Math" w:cs="Times New Roman"/>
                <w:sz w:val="24"/>
                <w:szCs w:val="24"/>
                <w:lang w:eastAsia="es-CO"/>
              </w:rPr>
              <m:t>ω</m:t>
            </m:r>
          </m:e>
          <m:sub>
            <m:r>
              <w:rPr>
                <w:rFonts w:ascii="Cambria Math" w:hAnsi="Cambria Math" w:cs="Times New Roman"/>
                <w:sz w:val="24"/>
                <w:szCs w:val="24"/>
                <w:lang w:eastAsia="es-CO"/>
              </w:rPr>
              <m:t>i</m:t>
            </m:r>
          </m:sub>
        </m:sSub>
      </m:oMath>
      <w:r w:rsidRPr="00EC3D47">
        <w:rPr>
          <w:rFonts w:ascii="Arial Narrow" w:hAnsi="Arial Narrow" w:cs="Times New Roman"/>
          <w:sz w:val="24"/>
          <w:szCs w:val="24"/>
          <w:lang w:eastAsia="es-CO"/>
        </w:rPr>
        <w:t xml:space="preserve"> es el factor de decaimiento o de ponderación para cada uno de los rendimientos de la serie, en el cual asigna mayor ponderación a los datos más recientes. Este factor se estima de la siguiente manera:</w:t>
      </w:r>
    </w:p>
    <w:p w:rsidR="008B56CA" w:rsidRPr="00EC3D47" w:rsidRDefault="00CD0557" w:rsidP="008B56CA">
      <w:pPr>
        <w:contextualSpacing/>
        <w:jc w:val="both"/>
        <w:rPr>
          <w:rFonts w:ascii="Arial Narrow" w:hAnsi="Arial Narrow"/>
          <w:lang w:eastAsia="es-CO"/>
        </w:rPr>
      </w:pPr>
      <m:oMathPara>
        <m:oMath>
          <m:sSub>
            <m:sSubPr>
              <m:ctrlPr>
                <w:rPr>
                  <w:rFonts w:ascii="Cambria Math" w:hAnsi="Cambria Math"/>
                  <w:b/>
                  <w:i/>
                </w:rPr>
              </m:ctrlPr>
            </m:sSubPr>
            <m:e>
              <m:r>
                <m:rPr>
                  <m:sty m:val="bi"/>
                </m:rPr>
                <w:rPr>
                  <w:rFonts w:ascii="Cambria Math" w:hAnsi="Cambria Math"/>
                </w:rPr>
                <m:t>ω</m:t>
              </m:r>
            </m:e>
            <m:sub>
              <m:r>
                <m:rPr>
                  <m:sty m:val="bi"/>
                </m:rP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λ</m:t>
              </m:r>
            </m:e>
            <m:sup>
              <m:r>
                <w:rPr>
                  <w:rFonts w:ascii="Cambria Math" w:hAnsi="Cambria Math"/>
                </w:rPr>
                <m:t>i-1</m:t>
              </m:r>
            </m:sup>
          </m:sSup>
          <m:d>
            <m:dPr>
              <m:ctrlPr>
                <w:rPr>
                  <w:rFonts w:ascii="Cambria Math" w:hAnsi="Cambria Math"/>
                  <w:i/>
                </w:rPr>
              </m:ctrlPr>
            </m:dPr>
            <m:e>
              <m:r>
                <w:rPr>
                  <w:rFonts w:ascii="Cambria Math" w:hAnsi="Cambria Math"/>
                </w:rPr>
                <m:t>1-λ</m:t>
              </m:r>
            </m:e>
          </m:d>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De manera que la varianza de los rendimientos por su factor de ponderación se puede expresar de la siguiente manera:</w:t>
      </w:r>
    </w:p>
    <w:p w:rsidR="008B56CA" w:rsidRPr="00EC3D47" w:rsidRDefault="00CD0557" w:rsidP="008B56CA">
      <w:pPr>
        <w:contextualSpacing/>
        <w:jc w:val="both"/>
        <w:rPr>
          <w:rFonts w:ascii="Arial Narrow" w:hAnsi="Arial Narrow"/>
          <w:lang w:eastAsia="es-CO"/>
        </w:rPr>
      </w:pPr>
      <m:oMathPara>
        <m:oMath>
          <m:sSubSup>
            <m:sSubSupPr>
              <m:ctrlPr>
                <w:rPr>
                  <w:rFonts w:ascii="Cambria Math" w:hAnsi="Cambria Math"/>
                  <w:b/>
                  <w:i/>
                </w:rPr>
              </m:ctrlPr>
            </m:sSubSupPr>
            <m:e>
              <m:r>
                <m:rPr>
                  <m:sty m:val="bi"/>
                </m:rPr>
                <w:rPr>
                  <w:rFonts w:ascii="Cambria Math" w:hAnsi="Cambria Math"/>
                </w:rPr>
                <m:t>σ</m:t>
              </m:r>
            </m:e>
            <m:sub>
              <m:r>
                <m:rPr>
                  <m:sty m:val="bi"/>
                </m:rPr>
                <w:rPr>
                  <w:rFonts w:ascii="Cambria Math" w:hAnsi="Cambria Math"/>
                </w:rPr>
                <m:t>t</m:t>
              </m:r>
            </m:sub>
            <m:sup>
              <m:r>
                <m:rPr>
                  <m:sty m:val="bi"/>
                </m:rPr>
                <w:rPr>
                  <w:rFonts w:ascii="Cambria Math" w:hAnsi="Cambria Math"/>
                </w:rPr>
                <m:t>2</m:t>
              </m:r>
            </m:sup>
          </m:sSubSup>
          <m:r>
            <w:rPr>
              <w:rFonts w:ascii="Cambria Math" w:hAnsi="Cambria Math"/>
            </w:rPr>
            <m:t xml:space="preserve">= </m:t>
          </m:r>
          <m:d>
            <m:dPr>
              <m:ctrlPr>
                <w:rPr>
                  <w:rFonts w:ascii="Cambria Math" w:hAnsi="Cambria Math"/>
                  <w:i/>
                </w:rPr>
              </m:ctrlPr>
            </m:dPr>
            <m:e>
              <m:r>
                <w:rPr>
                  <w:rFonts w:ascii="Cambria Math" w:hAnsi="Cambria Math"/>
                </w:rPr>
                <m:t>1-λ</m:t>
              </m:r>
            </m:e>
          </m:d>
          <m:nary>
            <m:naryPr>
              <m:chr m:val="∑"/>
              <m:limLoc m:val="undOvr"/>
              <m:ctrlPr>
                <w:rPr>
                  <w:rFonts w:ascii="Cambria Math" w:hAnsi="Cambria Math"/>
                  <w:i/>
                </w:rPr>
              </m:ctrlPr>
            </m:naryPr>
            <m:sub>
              <m:r>
                <w:rPr>
                  <w:rFonts w:ascii="Cambria Math" w:hAnsi="Cambria Math"/>
                </w:rPr>
                <m:t>i=1</m:t>
              </m:r>
            </m:sub>
            <m:sup>
              <m:r>
                <w:rPr>
                  <w:rFonts w:ascii="Cambria Math" w:hAnsi="Cambria Math"/>
                </w:rPr>
                <m:t>T</m:t>
              </m:r>
            </m:sup>
            <m:e>
              <m:sSup>
                <m:sSupPr>
                  <m:ctrlPr>
                    <w:rPr>
                      <w:rFonts w:ascii="Cambria Math" w:hAnsi="Cambria Math"/>
                      <w:i/>
                    </w:rPr>
                  </m:ctrlPr>
                </m:sSupPr>
                <m:e>
                  <m:r>
                    <w:rPr>
                      <w:rFonts w:ascii="Cambria Math" w:hAnsi="Cambria Math"/>
                    </w:rPr>
                    <m:t>λ</m:t>
                  </m:r>
                </m:e>
                <m:sup>
                  <m:r>
                    <w:rPr>
                      <w:rFonts w:ascii="Cambria Math" w:hAnsi="Cambria Math"/>
                    </w:rPr>
                    <m:t>i-1</m:t>
                  </m:r>
                </m:sup>
              </m:sSup>
            </m:e>
          </m:nary>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t-i</m:t>
              </m:r>
            </m:sub>
            <m:sup>
              <m:r>
                <w:rPr>
                  <w:rFonts w:ascii="Cambria Math" w:hAnsi="Cambria Math"/>
                </w:rPr>
                <m:t>2</m:t>
              </m:r>
            </m:sup>
          </m:sSubSup>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Posteriormente, se define la volatilidad como la desviación estándar de los rendimientos, para las volatilidades EWMA se toma la expresión anterior y se estima su raíz cuadrada de la siguiente manera:</w:t>
      </w:r>
    </w:p>
    <w:p w:rsidR="008B56CA" w:rsidRPr="00EC3D47" w:rsidRDefault="00CD0557" w:rsidP="008B56CA">
      <w:pPr>
        <w:spacing w:line="360" w:lineRule="auto"/>
        <w:jc w:val="both"/>
        <w:rPr>
          <w:rFonts w:ascii="Arial Narrow" w:hAnsi="Arial Narrow" w:cs="Arial"/>
        </w:rPr>
      </w:pPr>
      <m:oMathPara>
        <m:oMath>
          <m:sSub>
            <m:sSubPr>
              <m:ctrlPr>
                <w:rPr>
                  <w:rFonts w:ascii="Cambria Math" w:hAnsi="Cambria Math"/>
                  <w:b/>
                  <w:i/>
                </w:rPr>
              </m:ctrlPr>
            </m:sSubPr>
            <m:e>
              <m:r>
                <m:rPr>
                  <m:sty m:val="bi"/>
                </m:rPr>
                <w:rPr>
                  <w:rFonts w:ascii="Cambria Math" w:hAnsi="Cambria Math"/>
                </w:rPr>
                <m:t>σ</m:t>
              </m:r>
            </m:e>
            <m:sub>
              <m:r>
                <m:rPr>
                  <m:sty m:val="bi"/>
                </m:rPr>
                <w:rPr>
                  <w:rFonts w:ascii="Cambria Math" w:hAnsi="Cambria Math"/>
                </w:rPr>
                <m:t>t</m:t>
              </m:r>
            </m:sub>
          </m:sSub>
          <m:r>
            <w:rPr>
              <w:rFonts w:ascii="Cambria Math" w:hAnsi="Cambria Math"/>
            </w:rPr>
            <m:t xml:space="preserve">= </m:t>
          </m:r>
          <m:rad>
            <m:radPr>
              <m:degHide m:val="1"/>
              <m:ctrlPr>
                <w:rPr>
                  <w:rFonts w:ascii="Cambria Math" w:hAnsi="Cambria Math"/>
                  <w:i/>
                </w:rPr>
              </m:ctrlPr>
            </m:radPr>
            <m:deg/>
            <m:e>
              <m:d>
                <m:dPr>
                  <m:ctrlPr>
                    <w:rPr>
                      <w:rFonts w:ascii="Cambria Math" w:hAnsi="Cambria Math"/>
                      <w:i/>
                    </w:rPr>
                  </m:ctrlPr>
                </m:dPr>
                <m:e>
                  <m:r>
                    <w:rPr>
                      <w:rFonts w:ascii="Cambria Math" w:hAnsi="Cambria Math"/>
                    </w:rPr>
                    <m:t>1-λ</m:t>
                  </m:r>
                </m:e>
              </m:d>
              <m:nary>
                <m:naryPr>
                  <m:chr m:val="∑"/>
                  <m:limLoc m:val="undOvr"/>
                  <m:ctrlPr>
                    <w:rPr>
                      <w:rFonts w:ascii="Cambria Math" w:hAnsi="Cambria Math"/>
                      <w:i/>
                    </w:rPr>
                  </m:ctrlPr>
                </m:naryPr>
                <m:sub>
                  <m:r>
                    <w:rPr>
                      <w:rFonts w:ascii="Cambria Math" w:hAnsi="Cambria Math"/>
                    </w:rPr>
                    <m:t>i=1</m:t>
                  </m:r>
                </m:sub>
                <m:sup>
                  <m:r>
                    <w:rPr>
                      <w:rFonts w:ascii="Cambria Math" w:hAnsi="Cambria Math"/>
                    </w:rPr>
                    <m:t>T</m:t>
                  </m:r>
                </m:sup>
                <m:e>
                  <m:sSup>
                    <m:sSupPr>
                      <m:ctrlPr>
                        <w:rPr>
                          <w:rFonts w:ascii="Cambria Math" w:hAnsi="Cambria Math"/>
                          <w:i/>
                        </w:rPr>
                      </m:ctrlPr>
                    </m:sSupPr>
                    <m:e>
                      <m:r>
                        <w:rPr>
                          <w:rFonts w:ascii="Cambria Math" w:hAnsi="Cambria Math"/>
                        </w:rPr>
                        <m:t>λ</m:t>
                      </m:r>
                    </m:e>
                    <m:sup>
                      <m:r>
                        <w:rPr>
                          <w:rFonts w:ascii="Cambria Math" w:hAnsi="Cambria Math"/>
                        </w:rPr>
                        <m:t>i-1</m:t>
                      </m:r>
                    </m:sup>
                  </m:sSup>
                </m:e>
              </m:nary>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t-i</m:t>
                  </m:r>
                </m:sub>
                <m:sup>
                  <m:r>
                    <w:rPr>
                      <w:rFonts w:ascii="Cambria Math" w:hAnsi="Cambria Math"/>
                    </w:rPr>
                    <m:t>2</m:t>
                  </m:r>
                </m:sup>
              </m:sSubSup>
            </m:e>
          </m:rad>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26447C">
      <w:pPr>
        <w:pStyle w:val="Ttulo2"/>
      </w:pPr>
      <w:bookmarkStart w:id="13" w:name="_Toc533665770"/>
      <w:r w:rsidRPr="00EC3D47">
        <w:t>Cálculo del VaR Diversificado</w:t>
      </w:r>
      <w:bookmarkEnd w:id="13"/>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26447C">
      <w:pPr>
        <w:pStyle w:val="Ttulo3"/>
      </w:pPr>
      <w:bookmarkStart w:id="14" w:name="_Toc533665771"/>
      <w:r w:rsidRPr="00EC3D47">
        <w:t>VaR Individual</w:t>
      </w:r>
      <w:bookmarkEnd w:id="14"/>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Para el cálculo para cada uno de los activos que conforman el portafolio de la nación, se presenta la siguiente ecuación:</w:t>
      </w:r>
    </w:p>
    <w:p w:rsidR="008B56CA" w:rsidRPr="00EC3D47" w:rsidRDefault="008B56CA" w:rsidP="008B56CA">
      <w:pPr>
        <w:rPr>
          <w:rFonts w:ascii="Arial Narrow" w:hAnsi="Arial Narrow"/>
          <w:sz w:val="36"/>
        </w:rPr>
      </w:pPr>
      <m:oMathPara>
        <m:oMath>
          <m:r>
            <m:rPr>
              <m:sty m:val="bi"/>
            </m:rPr>
            <w:rPr>
              <w:rFonts w:ascii="Cambria Math" w:hAnsi="Cambria Math"/>
            </w:rPr>
            <m:t>VaR</m:t>
          </m:r>
          <m:r>
            <w:rPr>
              <w:rFonts w:ascii="Cambria Math" w:hAnsi="Cambria Math"/>
            </w:rPr>
            <m:t xml:space="preserve"> = F ×S × σ × </m:t>
          </m:r>
          <m:rad>
            <m:radPr>
              <m:degHide m:val="1"/>
              <m:ctrlPr>
                <w:rPr>
                  <w:rFonts w:ascii="Cambria Math" w:hAnsi="Cambria Math"/>
                  <w:i/>
                </w:rPr>
              </m:ctrlPr>
            </m:radPr>
            <m:deg/>
            <m:e>
              <m:r>
                <w:rPr>
                  <w:rFonts w:ascii="Cambria Math" w:hAnsi="Cambria Math"/>
                </w:rPr>
                <m:t>t</m:t>
              </m:r>
            </m:e>
          </m:rad>
        </m:oMath>
      </m:oMathPara>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Donde:</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m:oMath>
        <m:r>
          <m:rPr>
            <m:sty m:val="bi"/>
          </m:rPr>
          <w:rPr>
            <w:rFonts w:ascii="Cambria Math" w:hAnsi="Cambria Math" w:cs="Times New Roman"/>
            <w:sz w:val="24"/>
            <w:szCs w:val="24"/>
            <w:lang w:eastAsia="es-CO"/>
          </w:rPr>
          <m:t>F</m:t>
        </m:r>
      </m:oMath>
      <w:r w:rsidRPr="00EC3D47">
        <w:rPr>
          <w:rFonts w:ascii="Arial Narrow" w:hAnsi="Arial Narrow" w:cs="Times New Roman"/>
          <w:sz w:val="24"/>
          <w:szCs w:val="24"/>
          <w:lang w:eastAsia="es-CO"/>
        </w:rPr>
        <w:t xml:space="preserve"> = Factor que determina el nivel de confianza.  Para un nivel de confianza </w:t>
      </w:r>
      <m:oMath>
        <m:r>
          <w:rPr>
            <w:rFonts w:ascii="Cambria Math" w:hAnsi="Cambria Math" w:cs="Times New Roman"/>
            <w:sz w:val="24"/>
            <w:szCs w:val="24"/>
            <w:lang w:eastAsia="es-CO"/>
          </w:rPr>
          <m:t>α</m:t>
        </m:r>
      </m:oMath>
      <w:r w:rsidRPr="00EC3D47">
        <w:rPr>
          <w:rFonts w:ascii="Arial Narrow" w:hAnsi="Arial Narrow" w:cs="Times New Roman"/>
          <w:sz w:val="24"/>
          <w:szCs w:val="24"/>
          <w:lang w:eastAsia="es-CO"/>
        </w:rPr>
        <w:t xml:space="preserve"> del 99%, </w:t>
      </w:r>
      <m:oMath>
        <m:r>
          <w:rPr>
            <w:rFonts w:ascii="Cambria Math" w:hAnsi="Cambria Math" w:cs="Times New Roman"/>
            <w:sz w:val="24"/>
            <w:szCs w:val="24"/>
            <w:lang w:eastAsia="es-CO"/>
          </w:rPr>
          <m:t>F</m:t>
        </m:r>
      </m:oMath>
      <w:r w:rsidRPr="00EC3D47">
        <w:rPr>
          <w:rFonts w:ascii="Arial Narrow" w:hAnsi="Arial Narrow" w:cs="Times New Roman"/>
          <w:sz w:val="24"/>
          <w:szCs w:val="24"/>
          <w:lang w:eastAsia="es-CO"/>
        </w:rPr>
        <w:t xml:space="preserve"> = 2.33.</w:t>
      </w:r>
    </w:p>
    <w:p w:rsidR="008B56CA" w:rsidRPr="00EC3D47" w:rsidRDefault="008B56CA" w:rsidP="008B56CA">
      <w:pPr>
        <w:jc w:val="both"/>
        <w:rPr>
          <w:rFonts w:ascii="Arial Narrow" w:hAnsi="Arial Narrow" w:cs="Times New Roman"/>
          <w:sz w:val="24"/>
          <w:szCs w:val="24"/>
          <w:lang w:eastAsia="es-CO"/>
        </w:rPr>
      </w:pPr>
      <m:oMath>
        <m:r>
          <m:rPr>
            <m:sty m:val="bi"/>
          </m:rPr>
          <w:rPr>
            <w:rFonts w:ascii="Cambria Math" w:hAnsi="Cambria Math" w:cs="Times New Roman"/>
            <w:sz w:val="24"/>
            <w:szCs w:val="24"/>
            <w:lang w:eastAsia="es-CO"/>
          </w:rPr>
          <m:t>S</m:t>
        </m:r>
      </m:oMath>
      <w:r w:rsidRPr="00EC3D47">
        <w:rPr>
          <w:rFonts w:ascii="Arial Narrow" w:hAnsi="Arial Narrow" w:cs="Times New Roman"/>
          <w:sz w:val="24"/>
          <w:szCs w:val="24"/>
          <w:lang w:eastAsia="es-CO"/>
        </w:rPr>
        <w:t xml:space="preserve"> = Monto de la inversión que presenta exposición de riesgo.</w:t>
      </w:r>
    </w:p>
    <w:p w:rsidR="008B56CA" w:rsidRPr="00EC3D47" w:rsidRDefault="008B56CA" w:rsidP="008B56CA">
      <w:pPr>
        <w:jc w:val="both"/>
        <w:rPr>
          <w:rFonts w:ascii="Arial Narrow" w:hAnsi="Arial Narrow" w:cs="Times New Roman"/>
          <w:sz w:val="24"/>
          <w:szCs w:val="24"/>
          <w:lang w:eastAsia="es-CO"/>
        </w:rPr>
      </w:pPr>
      <m:oMath>
        <m:r>
          <m:rPr>
            <m:sty m:val="bi"/>
          </m:rPr>
          <w:rPr>
            <w:rFonts w:ascii="Cambria Math" w:hAnsi="Cambria Math" w:cs="Times New Roman"/>
            <w:sz w:val="24"/>
            <w:szCs w:val="24"/>
            <w:lang w:eastAsia="es-CO"/>
          </w:rPr>
          <m:t>σ</m:t>
        </m:r>
      </m:oMath>
      <w:r w:rsidRPr="00EC3D47">
        <w:rPr>
          <w:rFonts w:ascii="Arial Narrow" w:hAnsi="Arial Narrow" w:cs="Times New Roman"/>
          <w:sz w:val="24"/>
          <w:szCs w:val="24"/>
          <w:lang w:eastAsia="es-CO"/>
        </w:rPr>
        <w:t xml:space="preserve"> = Volatilidad EWMA del activo.</w:t>
      </w:r>
    </w:p>
    <w:p w:rsidR="008B56CA" w:rsidRPr="00EC3D47" w:rsidRDefault="008B56CA" w:rsidP="008B56CA">
      <w:pPr>
        <w:jc w:val="both"/>
        <w:rPr>
          <w:rFonts w:ascii="Arial Narrow" w:hAnsi="Arial Narrow" w:cs="Times New Roman"/>
          <w:sz w:val="24"/>
          <w:szCs w:val="24"/>
          <w:lang w:eastAsia="es-CO"/>
        </w:rPr>
      </w:pPr>
      <m:oMath>
        <m:r>
          <m:rPr>
            <m:sty m:val="bi"/>
          </m:rPr>
          <w:rPr>
            <w:rFonts w:ascii="Cambria Math" w:hAnsi="Cambria Math" w:cs="Times New Roman"/>
            <w:sz w:val="24"/>
            <w:szCs w:val="24"/>
            <w:lang w:eastAsia="es-CO"/>
          </w:rPr>
          <m:t>t</m:t>
        </m:r>
      </m:oMath>
      <w:r w:rsidRPr="00EC3D47">
        <w:rPr>
          <w:rFonts w:ascii="Arial Narrow" w:hAnsi="Arial Narrow" w:cs="Times New Roman"/>
          <w:sz w:val="24"/>
          <w:szCs w:val="24"/>
          <w:lang w:eastAsia="es-CO"/>
        </w:rPr>
        <w:t xml:space="preserve"> = Horizonte de tiempo en que se desea calcular el VaR.</w:t>
      </w:r>
    </w:p>
    <w:p w:rsidR="008B56CA" w:rsidRDefault="008B56CA" w:rsidP="008B56CA">
      <w:pPr>
        <w:jc w:val="both"/>
        <w:rPr>
          <w:rFonts w:ascii="Arial Narrow" w:hAnsi="Arial Narrow" w:cs="Times New Roman"/>
          <w:sz w:val="24"/>
          <w:szCs w:val="24"/>
          <w:lang w:eastAsia="es-CO"/>
        </w:rPr>
      </w:pPr>
    </w:p>
    <w:p w:rsidR="000473C4" w:rsidRDefault="000473C4" w:rsidP="008B56CA">
      <w:pPr>
        <w:jc w:val="both"/>
        <w:rPr>
          <w:rFonts w:ascii="Arial Narrow" w:hAnsi="Arial Narrow" w:cs="Times New Roman"/>
          <w:sz w:val="24"/>
          <w:szCs w:val="24"/>
          <w:lang w:eastAsia="es-CO"/>
        </w:rPr>
      </w:pPr>
    </w:p>
    <w:p w:rsidR="000473C4" w:rsidRDefault="000473C4" w:rsidP="008B56CA">
      <w:pPr>
        <w:jc w:val="both"/>
        <w:rPr>
          <w:rFonts w:ascii="Arial Narrow" w:hAnsi="Arial Narrow" w:cs="Times New Roman"/>
          <w:sz w:val="24"/>
          <w:szCs w:val="24"/>
          <w:lang w:eastAsia="es-CO"/>
        </w:rPr>
      </w:pPr>
    </w:p>
    <w:p w:rsidR="000473C4" w:rsidRPr="00EC3D47" w:rsidRDefault="000473C4" w:rsidP="000473C4">
      <w:pPr>
        <w:rPr>
          <w:rFonts w:ascii="Arial Narrow" w:hAnsi="Arial Narrow" w:cs="Times New Roman"/>
          <w:sz w:val="24"/>
          <w:szCs w:val="24"/>
          <w:lang w:eastAsia="es-CO"/>
        </w:rPr>
      </w:pPr>
    </w:p>
    <w:p w:rsidR="008B56CA" w:rsidRPr="00EC3D47" w:rsidRDefault="008B56CA" w:rsidP="0026447C">
      <w:pPr>
        <w:pStyle w:val="Ttulo3"/>
      </w:pPr>
      <w:bookmarkStart w:id="15" w:name="_Toc533665772"/>
      <w:r w:rsidRPr="00EC3D47">
        <w:t>Uso de la Matriz de Correlación para el cálculo del VaR Diversificado</w:t>
      </w:r>
      <w:bookmarkEnd w:id="15"/>
    </w:p>
    <w:p w:rsidR="008B56CA" w:rsidRPr="00EC3D47" w:rsidRDefault="008B56CA" w:rsidP="000473C4">
      <w:pPr>
        <w:spacing w:after="0"/>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VaR diversificado toma en cuenta las correlaciones de los rendimientos entre instrumentos.  Hay correlación entre dos instrumentos cuando la variación de una de ellas explica la variación de la otra. No hay correlación, cuando la variación de una no explica el comportamiento de la otra variable. Se mide a través del coeficiente de correlación:</w:t>
      </w:r>
    </w:p>
    <w:p w:rsidR="008B56CA" w:rsidRPr="00EC3D47" w:rsidRDefault="00CD0557" w:rsidP="008B56CA">
      <w:pPr>
        <w:rPr>
          <w:rFonts w:ascii="Arial Narrow" w:hAnsi="Arial Narrow"/>
          <w:lang w:eastAsia="es-CO"/>
        </w:rPr>
      </w:pPr>
      <m:oMathPara>
        <m:oMath>
          <m:sSub>
            <m:sSubPr>
              <m:ctrlPr>
                <w:rPr>
                  <w:rFonts w:ascii="Cambria Math" w:hAnsi="Cambria Math"/>
                  <w:b/>
                  <w:i/>
                </w:rPr>
              </m:ctrlPr>
            </m:sSubPr>
            <m:e>
              <m:r>
                <m:rPr>
                  <m:sty m:val="bi"/>
                </m:rPr>
                <w:rPr>
                  <w:rFonts w:ascii="Cambria Math" w:hAnsi="Cambria Math"/>
                </w:rPr>
                <m:t>ρ</m:t>
              </m:r>
            </m:e>
            <m:sub>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j</m:t>
                  </m:r>
                </m:sub>
              </m:sSub>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COV</m:t>
                  </m:r>
                </m:e>
                <m:sub>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j</m:t>
                      </m:r>
                    </m:sub>
                  </m:sSub>
                </m:sub>
              </m:sSub>
            </m:num>
            <m:den>
              <m:sSub>
                <m:sSubPr>
                  <m:ctrlPr>
                    <w:rPr>
                      <w:rFonts w:ascii="Cambria Math" w:hAnsi="Cambria Math"/>
                      <w:i/>
                    </w:rPr>
                  </m:ctrlPr>
                </m:sSubPr>
                <m:e>
                  <m:r>
                    <w:rPr>
                      <w:rFonts w:ascii="Cambria Math" w:hAnsi="Cambria Math"/>
                    </w:rPr>
                    <m:t>σ</m:t>
                  </m:r>
                </m:e>
                <m:sub>
                  <m:r>
                    <w:rPr>
                      <w:rFonts w:ascii="Cambria Math" w:hAnsi="Cambria Math"/>
                    </w:rPr>
                    <m:t>i</m:t>
                  </m:r>
                </m:sub>
              </m:sSub>
              <m:sSub>
                <m:sSubPr>
                  <m:ctrlPr>
                    <w:rPr>
                      <w:rFonts w:ascii="Cambria Math" w:hAnsi="Cambria Math"/>
                      <w:i/>
                    </w:rPr>
                  </m:ctrlPr>
                </m:sSubPr>
                <m:e>
                  <m:r>
                    <w:rPr>
                      <w:rFonts w:ascii="Cambria Math" w:hAnsi="Cambria Math"/>
                    </w:rPr>
                    <m:t>σ</m:t>
                  </m:r>
                </m:e>
                <m:sub>
                  <m:r>
                    <w:rPr>
                      <w:rFonts w:ascii="Cambria Math" w:hAnsi="Cambria Math"/>
                    </w:rPr>
                    <m:t>j</m:t>
                  </m:r>
                </m:sub>
              </m:sSub>
            </m:den>
          </m:f>
        </m:oMath>
      </m:oMathPara>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Dónde: </w:t>
      </w:r>
    </w:p>
    <w:p w:rsidR="008B56CA" w:rsidRPr="00EC3D47" w:rsidRDefault="008B56CA" w:rsidP="008B56CA">
      <w:pPr>
        <w:jc w:val="both"/>
        <w:rPr>
          <w:rFonts w:ascii="Arial Narrow" w:hAnsi="Arial Narrow" w:cs="Times New Roman"/>
          <w:sz w:val="24"/>
          <w:szCs w:val="24"/>
          <w:lang w:eastAsia="es-CO"/>
        </w:rPr>
      </w:pPr>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COV</m:t>
            </m:r>
          </m:e>
          <m:sub>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R</m:t>
                </m:r>
              </m:e>
              <m:sub>
                <m:r>
                  <m:rPr>
                    <m:sty m:val="bi"/>
                  </m:rPr>
                  <w:rPr>
                    <w:rFonts w:ascii="Cambria Math" w:hAnsi="Cambria Math" w:cs="Times New Roman"/>
                    <w:sz w:val="24"/>
                    <w:szCs w:val="24"/>
                    <w:lang w:eastAsia="es-CO"/>
                  </w:rPr>
                  <m:t>i</m:t>
                </m:r>
              </m:sub>
            </m:sSub>
            <m:r>
              <m:rPr>
                <m:sty m:val="p"/>
              </m:rPr>
              <w:rPr>
                <w:rFonts w:ascii="Cambria Math" w:hAnsi="Cambria Math" w:cs="Times New Roman"/>
                <w:sz w:val="24"/>
                <w:szCs w:val="24"/>
                <w:lang w:eastAsia="es-CO"/>
              </w:rPr>
              <m:t>,</m:t>
            </m:r>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R</m:t>
                </m:r>
              </m:e>
              <m:sub>
                <m:r>
                  <m:rPr>
                    <m:sty m:val="bi"/>
                  </m:rPr>
                  <w:rPr>
                    <w:rFonts w:ascii="Cambria Math" w:hAnsi="Cambria Math" w:cs="Times New Roman"/>
                    <w:sz w:val="24"/>
                    <w:szCs w:val="24"/>
                    <w:lang w:eastAsia="es-CO"/>
                  </w:rPr>
                  <m:t>j</m:t>
                </m:r>
              </m:sub>
            </m:sSub>
          </m:sub>
        </m:sSub>
      </m:oMath>
      <w:r w:rsidR="008B56CA" w:rsidRPr="00EC3D47">
        <w:rPr>
          <w:rFonts w:ascii="Arial Narrow" w:hAnsi="Arial Narrow" w:cs="Times New Roman"/>
          <w:sz w:val="24"/>
          <w:szCs w:val="24"/>
          <w:lang w:eastAsia="es-CO"/>
        </w:rPr>
        <w:t xml:space="preserve"> = Covarianza de </w:t>
      </w:r>
      <m:oMath>
        <m:sSub>
          <m:sSubPr>
            <m:ctrlPr>
              <w:rPr>
                <w:rFonts w:ascii="Cambria Math" w:hAnsi="Cambria Math" w:cs="Times New Roman"/>
                <w:sz w:val="24"/>
                <w:szCs w:val="24"/>
                <w:lang w:eastAsia="es-CO"/>
              </w:rPr>
            </m:ctrlPr>
          </m:sSubPr>
          <m:e>
            <m:r>
              <w:rPr>
                <w:rFonts w:ascii="Cambria Math" w:hAnsi="Cambria Math" w:cs="Times New Roman"/>
                <w:sz w:val="24"/>
                <w:szCs w:val="24"/>
                <w:lang w:eastAsia="es-CO"/>
              </w:rPr>
              <m:t>R</m:t>
            </m:r>
          </m:e>
          <m:sub>
            <m:r>
              <w:rPr>
                <w:rFonts w:ascii="Cambria Math" w:hAnsi="Cambria Math" w:cs="Times New Roman"/>
                <w:sz w:val="24"/>
                <w:szCs w:val="24"/>
                <w:lang w:eastAsia="es-CO"/>
              </w:rPr>
              <m:t>i</m:t>
            </m:r>
          </m:sub>
        </m:sSub>
      </m:oMath>
      <w:r w:rsidR="008B56CA" w:rsidRPr="00EC3D47">
        <w:rPr>
          <w:rFonts w:ascii="Arial Narrow" w:hAnsi="Arial Narrow" w:cs="Times New Roman"/>
          <w:sz w:val="24"/>
          <w:szCs w:val="24"/>
          <w:lang w:eastAsia="es-CO"/>
        </w:rPr>
        <w:t xml:space="preserve"> y </w:t>
      </w:r>
      <m:oMath>
        <m:sSub>
          <m:sSubPr>
            <m:ctrlPr>
              <w:rPr>
                <w:rFonts w:ascii="Cambria Math" w:hAnsi="Cambria Math" w:cs="Times New Roman"/>
                <w:sz w:val="24"/>
                <w:szCs w:val="24"/>
                <w:lang w:eastAsia="es-CO"/>
              </w:rPr>
            </m:ctrlPr>
          </m:sSubPr>
          <m:e>
            <m:r>
              <w:rPr>
                <w:rFonts w:ascii="Cambria Math" w:hAnsi="Cambria Math" w:cs="Times New Roman"/>
                <w:sz w:val="24"/>
                <w:szCs w:val="24"/>
                <w:lang w:eastAsia="es-CO"/>
              </w:rPr>
              <m:t>R</m:t>
            </m:r>
          </m:e>
          <m:sub>
            <m:r>
              <w:rPr>
                <w:rFonts w:ascii="Cambria Math" w:hAnsi="Cambria Math" w:cs="Times New Roman"/>
                <w:sz w:val="24"/>
                <w:szCs w:val="24"/>
                <w:lang w:eastAsia="es-CO"/>
              </w:rPr>
              <m:t>j</m:t>
            </m:r>
          </m:sub>
        </m:sSub>
      </m:oMath>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σ</m:t>
            </m:r>
          </m:e>
          <m:sub>
            <m:r>
              <m:rPr>
                <m:sty m:val="bi"/>
              </m:rPr>
              <w:rPr>
                <w:rFonts w:ascii="Cambria Math" w:hAnsi="Cambria Math" w:cs="Times New Roman"/>
                <w:sz w:val="24"/>
                <w:szCs w:val="24"/>
                <w:lang w:eastAsia="es-CO"/>
              </w:rPr>
              <m:t>i</m:t>
            </m:r>
          </m:sub>
        </m:sSub>
      </m:oMath>
      <w:r w:rsidR="008B56CA" w:rsidRPr="00EC3D47">
        <w:rPr>
          <w:rFonts w:ascii="Arial Narrow" w:hAnsi="Arial Narrow" w:cs="Times New Roman"/>
          <w:sz w:val="24"/>
          <w:szCs w:val="24"/>
          <w:lang w:eastAsia="es-CO"/>
        </w:rPr>
        <w:t xml:space="preserve"> = Desviación estándar de la serie de tiempo del instrumento </w:t>
      </w:r>
      <m:oMath>
        <m:r>
          <w:rPr>
            <w:rFonts w:ascii="Cambria Math" w:hAnsi="Cambria Math" w:cs="Times New Roman"/>
            <w:sz w:val="24"/>
            <w:szCs w:val="24"/>
            <w:lang w:eastAsia="es-CO"/>
          </w:rPr>
          <m:t>i</m:t>
        </m:r>
      </m:oMath>
    </w:p>
    <w:p w:rsidR="008B56CA" w:rsidRPr="00EC3D47" w:rsidRDefault="00CD0557" w:rsidP="008B56CA">
      <w:pPr>
        <w:jc w:val="both"/>
        <w:rPr>
          <w:rFonts w:ascii="Arial Narrow" w:hAnsi="Arial Narrow" w:cs="Times New Roman"/>
          <w:sz w:val="24"/>
          <w:szCs w:val="24"/>
          <w:lang w:eastAsia="es-CO"/>
        </w:rPr>
      </w:pPr>
      <m:oMath>
        <m:sSub>
          <m:sSubPr>
            <m:ctrlPr>
              <w:rPr>
                <w:rFonts w:ascii="Cambria Math" w:hAnsi="Cambria Math" w:cs="Times New Roman"/>
                <w:sz w:val="24"/>
                <w:szCs w:val="24"/>
                <w:lang w:eastAsia="es-CO"/>
              </w:rPr>
            </m:ctrlPr>
          </m:sSubPr>
          <m:e>
            <m:r>
              <m:rPr>
                <m:sty m:val="bi"/>
              </m:rPr>
              <w:rPr>
                <w:rFonts w:ascii="Cambria Math" w:hAnsi="Cambria Math" w:cs="Times New Roman"/>
                <w:sz w:val="24"/>
                <w:szCs w:val="24"/>
                <w:lang w:eastAsia="es-CO"/>
              </w:rPr>
              <m:t>σ</m:t>
            </m:r>
          </m:e>
          <m:sub>
            <m:r>
              <m:rPr>
                <m:sty m:val="bi"/>
              </m:rPr>
              <w:rPr>
                <w:rFonts w:ascii="Cambria Math" w:hAnsi="Cambria Math" w:cs="Times New Roman"/>
                <w:sz w:val="24"/>
                <w:szCs w:val="24"/>
                <w:lang w:eastAsia="es-CO"/>
              </w:rPr>
              <m:t>j</m:t>
            </m:r>
          </m:sub>
        </m:sSub>
      </m:oMath>
      <w:r w:rsidR="008B56CA" w:rsidRPr="00EC3D47">
        <w:rPr>
          <w:rFonts w:ascii="Arial Narrow" w:hAnsi="Arial Narrow" w:cs="Times New Roman"/>
          <w:sz w:val="24"/>
          <w:szCs w:val="24"/>
          <w:lang w:eastAsia="es-CO"/>
        </w:rPr>
        <w:t xml:space="preserve"> = Desviación estándar de la serie de tiempo del instrumento </w:t>
      </w:r>
      <m:oMath>
        <m:r>
          <w:rPr>
            <w:rFonts w:ascii="Cambria Math" w:hAnsi="Cambria Math" w:cs="Times New Roman"/>
            <w:sz w:val="24"/>
            <w:szCs w:val="24"/>
            <w:lang w:eastAsia="es-CO"/>
          </w:rPr>
          <m:t>i</m:t>
        </m:r>
      </m:oMath>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valor del coeficiente fluctúa entre -1 y 1. Correlación = 1 significa correlación positiva, es decir, cuando una variable cambia, la otra también cambia en el mismo sentido. Correlación = -1 significa correlación negativa es decir cuando una variable cambia en sentido positivo la otra lo hace en sentido negativo o viceversa. Si la correlación es 0, se dice que son variables independientes y que una variable no depende de la otra.</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La matriz de correlaciones usada para estimar el modelo de Var diversificado se puede expresar de la siguiente manera:</w:t>
      </w:r>
    </w:p>
    <w:p w:rsidR="008B56CA" w:rsidRPr="00EC3D47" w:rsidRDefault="00CD0557" w:rsidP="008B56CA">
      <w:pPr>
        <w:rPr>
          <w:rFonts w:ascii="Arial Narrow" w:hAnsi="Arial Narrow"/>
        </w:rPr>
      </w:pPr>
      <m:oMathPara>
        <m:oMath>
          <m:d>
            <m:dPr>
              <m:begChr m:val="["/>
              <m:endChr m:val="]"/>
              <m:ctrlPr>
                <w:rPr>
                  <w:rFonts w:ascii="Cambria Math" w:hAnsi="Cambria Math"/>
                  <w:i/>
                </w:rPr>
              </m:ctrlPr>
            </m:dPr>
            <m:e>
              <m:r>
                <w:rPr>
                  <w:rFonts w:ascii="Cambria Math" w:hAnsi="Cambria Math"/>
                </w:rPr>
                <m:t xml:space="preserve"> </m:t>
              </m:r>
              <m:r>
                <m:rPr>
                  <m:sty m:val="bi"/>
                </m:rPr>
                <w:rPr>
                  <w:rFonts w:ascii="Cambria Math" w:hAnsi="Cambria Math"/>
                </w:rPr>
                <m:t xml:space="preserve">∁ </m:t>
              </m:r>
            </m:e>
          </m:d>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1</m:t>
                    </m:r>
                  </m:e>
                  <m:e>
                    <m:sSub>
                      <m:sSubPr>
                        <m:ctrlPr>
                          <w:rPr>
                            <w:rFonts w:ascii="Cambria Math" w:hAnsi="Cambria Math"/>
                            <w:i/>
                          </w:rPr>
                        </m:ctrlPr>
                      </m:sSubPr>
                      <m:e>
                        <m:r>
                          <w:rPr>
                            <w:rFonts w:ascii="Cambria Math" w:hAnsi="Cambria Math"/>
                          </w:rPr>
                          <m:t>ρ</m:t>
                        </m:r>
                      </m:e>
                      <m:sub>
                        <m:r>
                          <w:rPr>
                            <w:rFonts w:ascii="Cambria Math" w:hAnsi="Cambria Math"/>
                          </w:rPr>
                          <m:t>1, 2</m:t>
                        </m:r>
                      </m:sub>
                    </m:sSub>
                  </m:e>
                  <m:e>
                    <m:sSub>
                      <m:sSubPr>
                        <m:ctrlPr>
                          <w:rPr>
                            <w:rFonts w:ascii="Cambria Math" w:hAnsi="Cambria Math"/>
                            <w:i/>
                          </w:rPr>
                        </m:ctrlPr>
                      </m:sSubPr>
                      <m:e>
                        <m:r>
                          <w:rPr>
                            <w:rFonts w:ascii="Cambria Math" w:hAnsi="Cambria Math"/>
                          </w:rPr>
                          <m:t>ρ</m:t>
                        </m:r>
                      </m:e>
                      <m:sub>
                        <m:r>
                          <w:rPr>
                            <w:rFonts w:ascii="Cambria Math" w:hAnsi="Cambria Math"/>
                          </w:rPr>
                          <m:t>1, 3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ρ</m:t>
                        </m:r>
                      </m:e>
                      <m:sub>
                        <m:r>
                          <w:rPr>
                            <w:rFonts w:ascii="Cambria Math" w:hAnsi="Cambria Math"/>
                          </w:rPr>
                          <m:t>1, 4</m:t>
                        </m:r>
                      </m:sub>
                    </m:sSub>
                  </m:e>
                </m:mr>
                <m:mr>
                  <m:e>
                    <m:sSub>
                      <m:sSubPr>
                        <m:ctrlPr>
                          <w:rPr>
                            <w:rFonts w:ascii="Cambria Math" w:hAnsi="Cambria Math"/>
                            <w:i/>
                          </w:rPr>
                        </m:ctrlPr>
                      </m:sSubPr>
                      <m:e>
                        <m:r>
                          <w:rPr>
                            <w:rFonts w:ascii="Cambria Math" w:hAnsi="Cambria Math"/>
                          </w:rPr>
                          <m:t>ρ</m:t>
                        </m:r>
                      </m:e>
                      <m:sub>
                        <m:r>
                          <w:rPr>
                            <w:rFonts w:ascii="Cambria Math" w:hAnsi="Cambria Math"/>
                          </w:rPr>
                          <m:t>2, 1</m:t>
                        </m:r>
                      </m:sub>
                    </m:sSub>
                  </m:e>
                  <m:e>
                    <m:r>
                      <w:rPr>
                        <w:rFonts w:ascii="Cambria Math" w:hAnsi="Cambria Math"/>
                      </w:rPr>
                      <m:t>1</m:t>
                    </m:r>
                  </m:e>
                  <m:e>
                    <m:sSub>
                      <m:sSubPr>
                        <m:ctrlPr>
                          <w:rPr>
                            <w:rFonts w:ascii="Cambria Math" w:hAnsi="Cambria Math"/>
                            <w:i/>
                          </w:rPr>
                        </m:ctrlPr>
                      </m:sSubPr>
                      <m:e>
                        <m:r>
                          <w:rPr>
                            <w:rFonts w:ascii="Cambria Math" w:hAnsi="Cambria Math"/>
                          </w:rPr>
                          <m:t>ρ</m:t>
                        </m:r>
                      </m:e>
                      <m:sub>
                        <m:r>
                          <w:rPr>
                            <w:rFonts w:ascii="Cambria Math" w:hAnsi="Cambria Math"/>
                          </w:rPr>
                          <m:t>2, 3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ρ</m:t>
                        </m:r>
                      </m:e>
                      <m:sub>
                        <m:r>
                          <w:rPr>
                            <w:rFonts w:ascii="Cambria Math" w:hAnsi="Cambria Math"/>
                          </w:rPr>
                          <m:t>2, 4</m:t>
                        </m:r>
                      </m:sub>
                    </m:sSub>
                  </m:e>
                </m:mr>
                <m:mr>
                  <m:e>
                    <m:sSub>
                      <m:sSubPr>
                        <m:ctrlPr>
                          <w:rPr>
                            <w:rFonts w:ascii="Cambria Math" w:hAnsi="Cambria Math"/>
                            <w:i/>
                          </w:rPr>
                        </m:ctrlPr>
                      </m:sSubPr>
                      <m:e>
                        <m:r>
                          <w:rPr>
                            <w:rFonts w:ascii="Cambria Math" w:hAnsi="Cambria Math"/>
                          </w:rPr>
                          <m:t>ρ</m:t>
                        </m:r>
                      </m:e>
                      <m:sub>
                        <m:r>
                          <w:rPr>
                            <w:rFonts w:ascii="Cambria Math" w:hAnsi="Cambria Math"/>
                          </w:rPr>
                          <m:t>3, 1</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ρ</m:t>
                        </m:r>
                      </m:e>
                      <m:sub>
                        <m:r>
                          <w:rPr>
                            <w:rFonts w:ascii="Cambria Math" w:hAnsi="Cambria Math"/>
                          </w:rPr>
                          <m:t>3, 2</m:t>
                        </m:r>
                      </m:sub>
                    </m:sSub>
                    <m:ctrlPr>
                      <w:rPr>
                        <w:rFonts w:ascii="Cambria Math" w:eastAsia="Cambria Math" w:hAnsi="Cambria Math" w:cs="Cambria Math"/>
                        <w:i/>
                      </w:rPr>
                    </m:ctrlPr>
                  </m:e>
                  <m:e>
                    <m:r>
                      <w:rPr>
                        <w:rFonts w:ascii="Cambria Math" w:hAnsi="Cambria Math"/>
                      </w:rPr>
                      <m:t>1</m:t>
                    </m:r>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ρ</m:t>
                        </m:r>
                      </m:e>
                      <m:sub>
                        <m:r>
                          <w:rPr>
                            <w:rFonts w:ascii="Cambria Math" w:hAnsi="Cambria Math"/>
                          </w:rPr>
                          <m:t>3, 4</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ρ</m:t>
                        </m:r>
                      </m:e>
                      <m:sub>
                        <m:r>
                          <w:rPr>
                            <w:rFonts w:ascii="Cambria Math" w:hAnsi="Cambria Math"/>
                          </w:rPr>
                          <m:t>4, 1</m:t>
                        </m:r>
                      </m:sub>
                    </m:sSub>
                  </m:e>
                  <m:e>
                    <m:sSub>
                      <m:sSubPr>
                        <m:ctrlPr>
                          <w:rPr>
                            <w:rFonts w:ascii="Cambria Math" w:hAnsi="Cambria Math"/>
                            <w:i/>
                          </w:rPr>
                        </m:ctrlPr>
                      </m:sSubPr>
                      <m:e>
                        <m:r>
                          <w:rPr>
                            <w:rFonts w:ascii="Cambria Math" w:hAnsi="Cambria Math"/>
                          </w:rPr>
                          <m:t>ρ</m:t>
                        </m:r>
                      </m:e>
                      <m:sub>
                        <m:r>
                          <w:rPr>
                            <w:rFonts w:ascii="Cambria Math" w:hAnsi="Cambria Math"/>
                          </w:rPr>
                          <m:t>4, 2</m:t>
                        </m:r>
                      </m:sub>
                    </m:sSub>
                  </m:e>
                  <m:e>
                    <m:sSub>
                      <m:sSubPr>
                        <m:ctrlPr>
                          <w:rPr>
                            <w:rFonts w:ascii="Cambria Math" w:hAnsi="Cambria Math"/>
                            <w:i/>
                          </w:rPr>
                        </m:ctrlPr>
                      </m:sSubPr>
                      <m:e>
                        <m:r>
                          <w:rPr>
                            <w:rFonts w:ascii="Cambria Math" w:hAnsi="Cambria Math"/>
                          </w:rPr>
                          <m:t>ρ</m:t>
                        </m:r>
                      </m:e>
                      <m:sub>
                        <m:r>
                          <w:rPr>
                            <w:rFonts w:ascii="Cambria Math" w:hAnsi="Cambria Math"/>
                          </w:rPr>
                          <m:t>4, 3</m:t>
                        </m:r>
                      </m:sub>
                    </m:sSub>
                    <m:ctrlPr>
                      <w:rPr>
                        <w:rFonts w:ascii="Cambria Math" w:eastAsia="Cambria Math" w:hAnsi="Cambria Math" w:cs="Cambria Math"/>
                        <w:i/>
                      </w:rPr>
                    </m:ctrlPr>
                  </m:e>
                  <m:e>
                    <m:r>
                      <w:rPr>
                        <w:rFonts w:ascii="Cambria Math" w:hAnsi="Cambria Math"/>
                      </w:rPr>
                      <m:t>1</m:t>
                    </m:r>
                  </m:e>
                </m:mr>
              </m:m>
            </m:e>
          </m:d>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En el entendido que los precios de los activos no presentan movimientos paralelos o directamente correlacionados, la agregación de los valores en riesgo de las diferentes posiciones puede sobreestimar el riesgo que se está asumiendo. En este sentido la agregación de los diversos factores de riesgo debe considerar las correlaciones entre ellos, para esto, se calcula la matriz de correlación </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Partiendo del valor en riesgo calculado y teniendo en cuenta que cada título tiene asociado un factor de riesgo, entonces se puede realizar una agregación del valor en riesgo por factor sumando el VaR de los títulos que se vean afectados por idéntico factor de riesgo. De esta forma se van a tener tantos VaR agregados como factores de riesgo se hayan definido.</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Una vez sumados los VaR por cada factor de riesgo se puede construir una matriz de 1 x m (m: número de factores de riesgo definido).</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La notación vectorial de los VaR agregados por factor se presenta a continuación:</w:t>
      </w:r>
    </w:p>
    <w:p w:rsidR="008B56CA" w:rsidRPr="00EC3D47" w:rsidRDefault="008B56CA" w:rsidP="008B56CA">
      <w:pPr>
        <w:rPr>
          <w:rFonts w:ascii="Arial Narrow" w:hAnsi="Arial Narrow"/>
        </w:rPr>
      </w:pPr>
      <m:oMathPara>
        <m:oMath>
          <m:r>
            <w:rPr>
              <w:rFonts w:ascii="Cambria Math" w:hAnsi="Cambria Math"/>
            </w:rPr>
            <m:t xml:space="preserve">VaR= </m:t>
          </m:r>
          <m:d>
            <m:dPr>
              <m:begChr m:val="["/>
              <m:endChr m:val="]"/>
              <m:ctrlPr>
                <w:rPr>
                  <w:rFonts w:ascii="Cambria Math" w:eastAsia="Times New Roman" w:hAnsi="Cambria Math" w:cs="Times New Roman"/>
                  <w:i/>
                  <w:sz w:val="24"/>
                  <w:szCs w:val="24"/>
                  <w:lang w:val="es-ES" w:eastAsia="es-ES"/>
                </w:rPr>
              </m:ctrlPr>
            </m:dPr>
            <m:e>
              <m:sSub>
                <m:sSubPr>
                  <m:ctrlPr>
                    <w:rPr>
                      <w:rFonts w:ascii="Cambria Math" w:eastAsia="Times New Roman" w:hAnsi="Cambria Math" w:cs="Times New Roman"/>
                      <w:i/>
                      <w:sz w:val="24"/>
                      <w:szCs w:val="24"/>
                      <w:lang w:val="es-ES" w:eastAsia="es-ES"/>
                    </w:rPr>
                  </m:ctrlPr>
                </m:sSubPr>
                <m:e>
                  <m:r>
                    <w:rPr>
                      <w:rFonts w:ascii="Cambria Math" w:hAnsi="Cambria Math"/>
                    </w:rPr>
                    <m:t>VaR</m:t>
                  </m:r>
                </m:e>
                <m:sub>
                  <m:r>
                    <w:rPr>
                      <w:rFonts w:ascii="Cambria Math" w:hAnsi="Cambria Math"/>
                    </w:rPr>
                    <m:t xml:space="preserve">1 </m:t>
                  </m:r>
                </m:sub>
              </m:sSub>
              <m:r>
                <w:rPr>
                  <w:rFonts w:ascii="Cambria Math" w:hAnsi="Cambria Math"/>
                </w:rPr>
                <m:t xml:space="preserve"> </m:t>
              </m:r>
              <m:sSub>
                <m:sSubPr>
                  <m:ctrlPr>
                    <w:rPr>
                      <w:rFonts w:ascii="Cambria Math" w:eastAsia="Times New Roman" w:hAnsi="Cambria Math" w:cs="Times New Roman"/>
                      <w:i/>
                      <w:sz w:val="24"/>
                      <w:szCs w:val="24"/>
                      <w:lang w:val="es-ES" w:eastAsia="es-ES"/>
                    </w:rPr>
                  </m:ctrlPr>
                </m:sSubPr>
                <m:e>
                  <m:r>
                    <w:rPr>
                      <w:rFonts w:ascii="Cambria Math" w:hAnsi="Cambria Math"/>
                    </w:rPr>
                    <m:t>VaR</m:t>
                  </m:r>
                </m:e>
                <m:sub>
                  <m:r>
                    <w:rPr>
                      <w:rFonts w:ascii="Cambria Math" w:hAnsi="Cambria Math"/>
                    </w:rPr>
                    <m:t>2</m:t>
                  </m:r>
                </m:sub>
              </m:sSub>
              <m:r>
                <w:rPr>
                  <w:rFonts w:ascii="Cambria Math" w:hAnsi="Cambria Math"/>
                </w:rPr>
                <m:t xml:space="preserve">  </m:t>
              </m:r>
              <m:r>
                <m:rPr>
                  <m:sty m:val="p"/>
                </m:rPr>
                <w:rPr>
                  <w:rFonts w:ascii="Cambria Math" w:hAnsi="Cambria Math"/>
                </w:rPr>
                <m:t>Λ</m:t>
              </m:r>
              <m:r>
                <w:rPr>
                  <w:rFonts w:ascii="Cambria Math" w:hAnsi="Cambria Math"/>
                </w:rPr>
                <m:t xml:space="preserve"> </m:t>
              </m:r>
              <m:sSub>
                <m:sSubPr>
                  <m:ctrlPr>
                    <w:rPr>
                      <w:rFonts w:ascii="Cambria Math" w:eastAsia="Times New Roman" w:hAnsi="Cambria Math" w:cs="Times New Roman"/>
                      <w:i/>
                      <w:sz w:val="24"/>
                      <w:szCs w:val="24"/>
                      <w:lang w:val="es-ES" w:eastAsia="es-ES"/>
                    </w:rPr>
                  </m:ctrlPr>
                </m:sSubPr>
                <m:e>
                  <m:r>
                    <w:rPr>
                      <w:rFonts w:ascii="Cambria Math" w:hAnsi="Cambria Math"/>
                    </w:rPr>
                    <m:t xml:space="preserve"> VaR</m:t>
                  </m:r>
                </m:e>
                <m:sub>
                  <m:r>
                    <w:rPr>
                      <w:rFonts w:ascii="Cambria Math" w:hAnsi="Cambria Math"/>
                    </w:rPr>
                    <m:t>n</m:t>
                  </m:r>
                </m:sub>
              </m:sSub>
            </m:e>
          </m:d>
        </m:oMath>
      </m:oMathPara>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orden de los componentes  de la matriz anterior  debe ser consistente con el orden de los factores de riesgo en la matriz de correlación.</w:t>
      </w:r>
    </w:p>
    <w:p w:rsidR="008B56CA" w:rsidRPr="00EC3D47" w:rsidRDefault="008B56CA" w:rsidP="008B56CA">
      <w:pPr>
        <w:jc w:val="both"/>
        <w:rPr>
          <w:rFonts w:ascii="Arial Narrow" w:hAnsi="Arial Narrow" w:cs="Times New Roman"/>
          <w:sz w:val="24"/>
          <w:szCs w:val="24"/>
          <w:lang w:eastAsia="es-CO"/>
        </w:rPr>
      </w:pPr>
    </w:p>
    <w:p w:rsidR="008B56CA" w:rsidRPr="00EC3D47" w:rsidRDefault="008B56CA" w:rsidP="008B56CA">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El VaR correlacionado resulta de la raíz cuadrada de la multiplicación matricial entre el vector de VaR agregado por factor, la matriz de correlación y el vector transpuesto de VaR agregado por factor, como se muestra a continuación:</w:t>
      </w:r>
    </w:p>
    <w:p w:rsidR="00C23D4F" w:rsidRPr="00EC3D47" w:rsidRDefault="00CD0557" w:rsidP="008B56CA">
      <w:pPr>
        <w:rPr>
          <w:rFonts w:ascii="Arial Narrow" w:eastAsiaTheme="minorEastAsia" w:hAnsi="Arial Narrow"/>
        </w:rPr>
      </w:pPr>
      <m:oMathPara>
        <m:oMath>
          <m:sSub>
            <m:sSubPr>
              <m:ctrlPr>
                <w:rPr>
                  <w:rFonts w:ascii="Cambria Math" w:hAnsi="Cambria Math"/>
                  <w:b/>
                  <w:i/>
                </w:rPr>
              </m:ctrlPr>
            </m:sSubPr>
            <m:e>
              <m:r>
                <m:rPr>
                  <m:sty m:val="bi"/>
                </m:rPr>
                <w:rPr>
                  <w:rFonts w:ascii="Cambria Math" w:hAnsi="Cambria Math"/>
                </w:rPr>
                <m:t>VaR</m:t>
              </m:r>
            </m:e>
            <m:sub>
              <m:r>
                <m:rPr>
                  <m:sty m:val="bi"/>
                </m:rPr>
                <w:rPr>
                  <w:rFonts w:ascii="Cambria Math" w:hAnsi="Cambria Math"/>
                </w:rPr>
                <m:t>D</m:t>
              </m:r>
            </m:sub>
          </m:sSub>
          <m:r>
            <w:rPr>
              <w:rFonts w:ascii="Cambria Math" w:hAnsi="Cambria Math"/>
            </w:rPr>
            <m:t xml:space="preserve">= </m:t>
          </m:r>
          <m:rad>
            <m:radPr>
              <m:degHide m:val="1"/>
              <m:ctrlPr>
                <w:rPr>
                  <w:rFonts w:ascii="Cambria Math" w:hAnsi="Cambria Math"/>
                  <w:i/>
                </w:rPr>
              </m:ctrlPr>
            </m:radPr>
            <m:deg/>
            <m:e>
              <m:r>
                <w:rPr>
                  <w:rFonts w:ascii="Cambria Math" w:hAnsi="Cambria Math"/>
                </w:rPr>
                <m:t xml:space="preserve">VaR × ∁ × </m:t>
              </m:r>
              <m:sSup>
                <m:sSupPr>
                  <m:ctrlPr>
                    <w:rPr>
                      <w:rFonts w:ascii="Cambria Math" w:hAnsi="Cambria Math"/>
                      <w:i/>
                    </w:rPr>
                  </m:ctrlPr>
                </m:sSupPr>
                <m:e>
                  <m:r>
                    <w:rPr>
                      <w:rFonts w:ascii="Cambria Math" w:hAnsi="Cambria Math"/>
                    </w:rPr>
                    <m:t>VaR</m:t>
                  </m:r>
                </m:e>
                <m:sup>
                  <m:r>
                    <w:rPr>
                      <w:rFonts w:ascii="Cambria Math" w:hAnsi="Cambria Math"/>
                    </w:rPr>
                    <m:t>T</m:t>
                  </m:r>
                </m:sup>
              </m:sSup>
            </m:e>
          </m:rad>
        </m:oMath>
      </m:oMathPara>
    </w:p>
    <w:p w:rsidR="000540A7" w:rsidRPr="00EC3D47" w:rsidRDefault="000540A7" w:rsidP="00C23D4F">
      <w:pPr>
        <w:jc w:val="both"/>
        <w:rPr>
          <w:rFonts w:ascii="Arial Narrow" w:hAnsi="Arial Narrow" w:cs="Times New Roman"/>
          <w:sz w:val="24"/>
          <w:szCs w:val="24"/>
          <w:lang w:eastAsia="es-CO"/>
        </w:rPr>
      </w:pPr>
    </w:p>
    <w:p w:rsidR="007E21C9" w:rsidRPr="00EC3D47" w:rsidRDefault="000473C4" w:rsidP="0026447C">
      <w:pPr>
        <w:pStyle w:val="Ttulo1"/>
      </w:pPr>
      <w:bookmarkStart w:id="16" w:name="_Toc533665773"/>
      <w:r w:rsidRPr="00EC3D47">
        <w:t>CONCLUSIÓN</w:t>
      </w:r>
      <w:bookmarkEnd w:id="16"/>
    </w:p>
    <w:p w:rsidR="007E21C9" w:rsidRPr="00EC3D47" w:rsidRDefault="007E21C9" w:rsidP="007E21C9">
      <w:pPr>
        <w:jc w:val="both"/>
        <w:rPr>
          <w:rFonts w:ascii="Arial Narrow" w:hAnsi="Arial Narrow" w:cs="Times New Roman"/>
          <w:b/>
          <w:sz w:val="24"/>
          <w:szCs w:val="24"/>
          <w:lang w:eastAsia="es-CO"/>
        </w:rPr>
      </w:pPr>
    </w:p>
    <w:p w:rsidR="007E21C9" w:rsidRPr="00EC3D47" w:rsidRDefault="00122363" w:rsidP="007E21C9">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 xml:space="preserve">Mediante la aplicación de la metodología del </w:t>
      </w:r>
      <w:r w:rsidRPr="00EC3D47">
        <w:rPr>
          <w:rFonts w:ascii="Arial Narrow" w:hAnsi="Arial Narrow" w:cs="Times New Roman"/>
          <w:i/>
          <w:sz w:val="24"/>
          <w:szCs w:val="24"/>
          <w:lang w:eastAsia="es-CO"/>
        </w:rPr>
        <w:t>VaR</w:t>
      </w:r>
      <w:r w:rsidRPr="00EC3D47">
        <w:rPr>
          <w:rFonts w:ascii="Arial Narrow" w:hAnsi="Arial Narrow" w:cs="Times New Roman"/>
          <w:sz w:val="24"/>
          <w:szCs w:val="24"/>
          <w:lang w:eastAsia="es-CO"/>
        </w:rPr>
        <w:t xml:space="preserve">, se logra conocer la exposición de las inversiones ante volatilidades de los precios de los instrumentos, identificando riesgo de pérdidas del portafolio. De esta manera, el </w:t>
      </w:r>
      <w:r w:rsidRPr="00EC3D47">
        <w:rPr>
          <w:rFonts w:ascii="Arial Narrow" w:hAnsi="Arial Narrow" w:cs="Times New Roman"/>
          <w:i/>
          <w:sz w:val="24"/>
          <w:szCs w:val="24"/>
          <w:lang w:eastAsia="es-CO"/>
        </w:rPr>
        <w:t>VaR</w:t>
      </w:r>
      <w:r w:rsidRPr="00EC3D47">
        <w:rPr>
          <w:rFonts w:ascii="Arial Narrow" w:hAnsi="Arial Narrow" w:cs="Times New Roman"/>
          <w:sz w:val="24"/>
          <w:szCs w:val="24"/>
          <w:lang w:eastAsia="es-CO"/>
        </w:rPr>
        <w:t xml:space="preserve"> es una herr</w:t>
      </w:r>
      <w:r w:rsidR="000540A7" w:rsidRPr="00EC3D47">
        <w:rPr>
          <w:rFonts w:ascii="Arial Narrow" w:hAnsi="Arial Narrow" w:cs="Times New Roman"/>
          <w:sz w:val="24"/>
          <w:szCs w:val="24"/>
          <w:lang w:eastAsia="es-CO"/>
        </w:rPr>
        <w:t>amienta que permite</w:t>
      </w:r>
      <w:r w:rsidRPr="00EC3D47">
        <w:rPr>
          <w:rFonts w:ascii="Arial Narrow" w:hAnsi="Arial Narrow" w:cs="Times New Roman"/>
          <w:sz w:val="24"/>
          <w:szCs w:val="24"/>
          <w:lang w:eastAsia="es-CO"/>
        </w:rPr>
        <w:t xml:space="preserve"> una correcta administración del riesgo de mercado identificando periodos de alta volatilidad y el efecto que se tiene sobre los precios de las inversiones. Adicionalmente, permite reconocer las posiciones más expuestas a pérdidas potenciales causadas por movimientos en los mercados. </w:t>
      </w:r>
    </w:p>
    <w:p w:rsidR="0068057D" w:rsidRDefault="00122363" w:rsidP="0026447C">
      <w:pPr>
        <w:jc w:val="both"/>
        <w:rPr>
          <w:rFonts w:ascii="Arial Narrow" w:hAnsi="Arial Narrow" w:cs="Times New Roman"/>
          <w:sz w:val="24"/>
          <w:szCs w:val="24"/>
          <w:lang w:eastAsia="es-CO"/>
        </w:rPr>
      </w:pPr>
      <w:r w:rsidRPr="00EC3D47">
        <w:rPr>
          <w:rFonts w:ascii="Arial Narrow" w:hAnsi="Arial Narrow" w:cs="Times New Roman"/>
          <w:sz w:val="24"/>
          <w:szCs w:val="24"/>
          <w:lang w:eastAsia="es-CO"/>
        </w:rPr>
        <w:t>Con la aplicación de la metodología la Subdirección de Riesgo tiene la posibilidad de monitorear y controlar los riesgos potenciales que asume el portafolio activo de la Nación.</w:t>
      </w:r>
    </w:p>
    <w:p w:rsidR="000473C4" w:rsidRDefault="000473C4" w:rsidP="0026447C">
      <w:pPr>
        <w:jc w:val="both"/>
        <w:rPr>
          <w:rFonts w:ascii="Arial Narrow" w:hAnsi="Arial Narrow" w:cs="Times New Roman"/>
          <w:sz w:val="24"/>
          <w:szCs w:val="24"/>
          <w:lang w:eastAsia="es-CO"/>
        </w:rPr>
      </w:pPr>
    </w:p>
    <w:p w:rsidR="000473C4" w:rsidRDefault="000473C4" w:rsidP="0026447C">
      <w:pPr>
        <w:jc w:val="both"/>
        <w:rPr>
          <w:rFonts w:ascii="Arial Narrow" w:hAnsi="Arial Narrow" w:cs="Times New Roman"/>
          <w:sz w:val="24"/>
          <w:szCs w:val="24"/>
          <w:lang w:eastAsia="es-CO"/>
        </w:rPr>
      </w:pPr>
    </w:p>
    <w:p w:rsidR="00253A6A" w:rsidRDefault="000473C4" w:rsidP="00253A6A">
      <w:pPr>
        <w:pStyle w:val="Ttulo1"/>
      </w:pPr>
      <w:bookmarkStart w:id="17" w:name="_Toc533665774"/>
      <w:r>
        <w:t>BIBLIOGRAFÍA</w:t>
      </w:r>
      <w:bookmarkEnd w:id="17"/>
    </w:p>
    <w:p w:rsidR="00253A6A" w:rsidRPr="00253A6A" w:rsidRDefault="00253A6A" w:rsidP="00253A6A">
      <w:pPr>
        <w:pStyle w:val="Prrafodelista"/>
        <w:numPr>
          <w:ilvl w:val="0"/>
          <w:numId w:val="2"/>
        </w:numPr>
        <w:jc w:val="both"/>
        <w:rPr>
          <w:rFonts w:ascii="Arial Narrow" w:hAnsi="Arial Narrow"/>
          <w:sz w:val="24"/>
          <w:szCs w:val="24"/>
          <w:lang w:val="en-US" w:eastAsia="es-CO"/>
        </w:rPr>
      </w:pPr>
      <w:r w:rsidRPr="00253A6A">
        <w:rPr>
          <w:rFonts w:ascii="Arial Narrow" w:hAnsi="Arial Narrow"/>
          <w:sz w:val="24"/>
          <w:szCs w:val="24"/>
          <w:lang w:val="en-US" w:eastAsia="es-CO"/>
        </w:rPr>
        <w:t xml:space="preserve">Jorion, P, (2001), </w:t>
      </w:r>
      <w:r w:rsidRPr="00253A6A">
        <w:rPr>
          <w:rFonts w:ascii="Arial Narrow" w:hAnsi="Arial Narrow"/>
          <w:i/>
          <w:iCs/>
          <w:sz w:val="24"/>
          <w:szCs w:val="24"/>
          <w:lang w:val="en-US" w:eastAsia="es-CO"/>
        </w:rPr>
        <w:t>“Value at Risk”</w:t>
      </w:r>
      <w:r w:rsidRPr="00253A6A">
        <w:rPr>
          <w:rFonts w:ascii="Arial Narrow" w:hAnsi="Arial Narrow"/>
          <w:sz w:val="24"/>
          <w:szCs w:val="24"/>
          <w:lang w:val="en-US" w:eastAsia="es-CO"/>
        </w:rPr>
        <w:t>, Estados Unidos New York, McGraw-Hill.</w:t>
      </w:r>
    </w:p>
    <w:p w:rsidR="00253A6A" w:rsidRPr="00253A6A" w:rsidRDefault="00253A6A" w:rsidP="00253A6A">
      <w:pPr>
        <w:pStyle w:val="Prrafodelista"/>
        <w:numPr>
          <w:ilvl w:val="0"/>
          <w:numId w:val="2"/>
        </w:numPr>
        <w:autoSpaceDE w:val="0"/>
        <w:autoSpaceDN w:val="0"/>
        <w:jc w:val="both"/>
        <w:rPr>
          <w:rFonts w:ascii="Arial Narrow" w:hAnsi="Arial Narrow"/>
          <w:sz w:val="24"/>
          <w:szCs w:val="24"/>
          <w:lang w:val="es-ES" w:eastAsia="es-CO"/>
        </w:rPr>
      </w:pPr>
      <w:r w:rsidRPr="00253A6A">
        <w:rPr>
          <w:rFonts w:ascii="Arial Narrow" w:hAnsi="Arial Narrow"/>
          <w:sz w:val="24"/>
          <w:szCs w:val="24"/>
          <w:lang w:val="es-ES" w:eastAsia="es-CO"/>
        </w:rPr>
        <w:t xml:space="preserve">De Lara, A, (2011), </w:t>
      </w:r>
      <w:r w:rsidRPr="00253A6A">
        <w:rPr>
          <w:rFonts w:ascii="Arial Narrow" w:hAnsi="Arial Narrow"/>
          <w:i/>
          <w:iCs/>
          <w:sz w:val="24"/>
          <w:szCs w:val="24"/>
          <w:lang w:val="es-ES" w:eastAsia="es-CO"/>
        </w:rPr>
        <w:t xml:space="preserve">“Medición y control de riesgos financieros”, </w:t>
      </w:r>
      <w:r w:rsidRPr="00253A6A">
        <w:rPr>
          <w:rFonts w:ascii="Arial Narrow" w:hAnsi="Arial Narrow"/>
          <w:sz w:val="24"/>
          <w:szCs w:val="24"/>
          <w:lang w:val="es-ES" w:eastAsia="es-CO"/>
        </w:rPr>
        <w:t>México, México D.F, Limusa Noriega Editores.</w:t>
      </w:r>
    </w:p>
    <w:p w:rsidR="00253A6A" w:rsidRDefault="00253A6A" w:rsidP="00253A6A">
      <w:pPr>
        <w:rPr>
          <w:lang w:eastAsia="es-CO"/>
        </w:rPr>
      </w:pPr>
    </w:p>
    <w:p w:rsidR="00901DEC" w:rsidRDefault="000473C4" w:rsidP="00901DEC">
      <w:pPr>
        <w:pStyle w:val="Ttulo1"/>
        <w:rPr>
          <w:rFonts w:cs="Arial"/>
          <w:b w:val="0"/>
          <w:i/>
          <w:color w:val="C00000"/>
          <w:lang w:eastAsia="en-US"/>
        </w:rPr>
      </w:pPr>
      <w:bookmarkStart w:id="18" w:name="_Toc528661830"/>
      <w:bookmarkStart w:id="19" w:name="_Toc533665775"/>
      <w:r w:rsidRPr="00CC12BC">
        <w:t>HISTORIAL DE CAMBIOS</w:t>
      </w:r>
      <w:bookmarkEnd w:id="18"/>
      <w:bookmarkEnd w:id="19"/>
    </w:p>
    <w:p w:rsidR="00901DEC" w:rsidRPr="00901DEC" w:rsidRDefault="00901DEC" w:rsidP="00901DEC"/>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901DEC" w:rsidRPr="00CB26AD" w:rsidTr="00901DEC">
        <w:trPr>
          <w:trHeight w:val="359"/>
          <w:tblHeader/>
        </w:trPr>
        <w:tc>
          <w:tcPr>
            <w:tcW w:w="1701" w:type="dxa"/>
            <w:shd w:val="clear" w:color="auto" w:fill="D9D9D9"/>
            <w:tcMar>
              <w:top w:w="57" w:type="dxa"/>
              <w:left w:w="113" w:type="dxa"/>
              <w:bottom w:w="57" w:type="dxa"/>
            </w:tcMar>
            <w:vAlign w:val="center"/>
          </w:tcPr>
          <w:p w:rsidR="00901DEC" w:rsidRPr="00CB26AD" w:rsidRDefault="00901DEC" w:rsidP="00901DEC">
            <w:pPr>
              <w:jc w:val="center"/>
              <w:rPr>
                <w:rFonts w:ascii="Arial Narrow" w:hAnsi="Arial Narrow" w:cs="Arial"/>
                <w:b/>
                <w:sz w:val="24"/>
                <w:szCs w:val="24"/>
              </w:rPr>
            </w:pPr>
            <w:r w:rsidRPr="00CB26AD">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rsidR="00901DEC" w:rsidRPr="00CB26AD" w:rsidRDefault="00901DEC" w:rsidP="00901DEC">
            <w:pPr>
              <w:jc w:val="center"/>
              <w:rPr>
                <w:rFonts w:ascii="Arial Narrow" w:hAnsi="Arial Narrow" w:cs="Arial"/>
                <w:b/>
                <w:sz w:val="24"/>
                <w:szCs w:val="24"/>
              </w:rPr>
            </w:pPr>
            <w:r w:rsidRPr="00CB26AD">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rsidR="00901DEC" w:rsidRPr="00CB26AD" w:rsidRDefault="00901DEC" w:rsidP="00901DEC">
            <w:pPr>
              <w:jc w:val="center"/>
              <w:rPr>
                <w:rFonts w:ascii="Arial Narrow" w:hAnsi="Arial Narrow" w:cs="Arial"/>
                <w:b/>
                <w:sz w:val="24"/>
                <w:szCs w:val="24"/>
              </w:rPr>
            </w:pPr>
            <w:r w:rsidRPr="00CB26AD">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rsidR="00901DEC" w:rsidRPr="00CB26AD" w:rsidRDefault="00901DEC" w:rsidP="00901DEC">
            <w:pPr>
              <w:jc w:val="center"/>
              <w:rPr>
                <w:rFonts w:ascii="Arial Narrow" w:hAnsi="Arial Narrow" w:cs="Arial"/>
                <w:b/>
                <w:sz w:val="24"/>
                <w:szCs w:val="24"/>
              </w:rPr>
            </w:pPr>
            <w:r w:rsidRPr="00CB26AD">
              <w:rPr>
                <w:rFonts w:ascii="Arial Narrow" w:hAnsi="Arial Narrow" w:cs="Arial"/>
                <w:b/>
                <w:sz w:val="24"/>
                <w:szCs w:val="24"/>
              </w:rPr>
              <w:t>ASESOR SUG</w:t>
            </w:r>
          </w:p>
        </w:tc>
      </w:tr>
      <w:tr w:rsidR="00901DEC" w:rsidRPr="00CB26AD" w:rsidTr="000473C4">
        <w:trPr>
          <w:trHeight w:val="390"/>
        </w:trPr>
        <w:tc>
          <w:tcPr>
            <w:tcW w:w="1701" w:type="dxa"/>
            <w:shd w:val="clear" w:color="auto" w:fill="auto"/>
            <w:tcMar>
              <w:top w:w="57" w:type="dxa"/>
              <w:left w:w="113" w:type="dxa"/>
              <w:bottom w:w="57" w:type="dxa"/>
            </w:tcMar>
            <w:vAlign w:val="center"/>
          </w:tcPr>
          <w:p w:rsidR="00901DEC" w:rsidRPr="008B4895" w:rsidRDefault="000473C4" w:rsidP="000473C4">
            <w:pPr>
              <w:jc w:val="center"/>
              <w:rPr>
                <w:rFonts w:ascii="Arial Narrow" w:hAnsi="Arial Narrow" w:cs="Arial"/>
              </w:rPr>
            </w:pPr>
            <w:r>
              <w:rPr>
                <w:rFonts w:ascii="Arial Narrow" w:hAnsi="Arial Narrow" w:cs="Arial"/>
              </w:rPr>
              <w:t>20-12-2018</w:t>
            </w:r>
          </w:p>
        </w:tc>
        <w:tc>
          <w:tcPr>
            <w:tcW w:w="1560" w:type="dxa"/>
            <w:shd w:val="clear" w:color="auto" w:fill="auto"/>
            <w:tcMar>
              <w:top w:w="57" w:type="dxa"/>
              <w:left w:w="113" w:type="dxa"/>
              <w:bottom w:w="57" w:type="dxa"/>
            </w:tcMar>
            <w:vAlign w:val="center"/>
          </w:tcPr>
          <w:p w:rsidR="00901DEC" w:rsidRPr="008B4895" w:rsidRDefault="000473C4" w:rsidP="000473C4">
            <w:pPr>
              <w:jc w:val="center"/>
              <w:rPr>
                <w:rFonts w:ascii="Arial Narrow" w:hAnsi="Arial Narrow" w:cs="Arial"/>
              </w:rPr>
            </w:pPr>
            <w:r>
              <w:rPr>
                <w:rFonts w:ascii="Arial Narrow" w:hAnsi="Arial Narrow" w:cs="Arial"/>
              </w:rPr>
              <w:t>1</w:t>
            </w:r>
          </w:p>
        </w:tc>
        <w:tc>
          <w:tcPr>
            <w:tcW w:w="3260" w:type="dxa"/>
            <w:tcMar>
              <w:top w:w="57" w:type="dxa"/>
              <w:left w:w="113" w:type="dxa"/>
              <w:bottom w:w="57" w:type="dxa"/>
            </w:tcMar>
            <w:vAlign w:val="center"/>
          </w:tcPr>
          <w:p w:rsidR="00901DEC" w:rsidRPr="008B4895" w:rsidRDefault="000473C4" w:rsidP="000473C4">
            <w:pPr>
              <w:jc w:val="center"/>
              <w:rPr>
                <w:rFonts w:ascii="Arial Narrow" w:hAnsi="Arial Narrow" w:cs="Arial"/>
              </w:rPr>
            </w:pPr>
            <w:r>
              <w:rPr>
                <w:rFonts w:ascii="Arial Narrow" w:hAnsi="Arial Narrow" w:cs="Arial"/>
              </w:rPr>
              <w:t>Creación del documento</w:t>
            </w:r>
          </w:p>
        </w:tc>
        <w:tc>
          <w:tcPr>
            <w:tcW w:w="2253" w:type="dxa"/>
            <w:tcMar>
              <w:top w:w="57" w:type="dxa"/>
              <w:left w:w="113" w:type="dxa"/>
              <w:bottom w:w="57" w:type="dxa"/>
            </w:tcMar>
            <w:vAlign w:val="center"/>
          </w:tcPr>
          <w:p w:rsidR="00901DEC" w:rsidRPr="008B4895" w:rsidRDefault="000473C4" w:rsidP="000473C4">
            <w:pPr>
              <w:jc w:val="center"/>
              <w:rPr>
                <w:rFonts w:ascii="Arial Narrow" w:hAnsi="Arial Narrow" w:cs="Arial"/>
              </w:rPr>
            </w:pPr>
            <w:r>
              <w:rPr>
                <w:rFonts w:ascii="Arial Narrow" w:hAnsi="Arial Narrow" w:cs="Arial"/>
              </w:rPr>
              <w:t>Tatiana Santos Yate</w:t>
            </w:r>
          </w:p>
        </w:tc>
      </w:tr>
    </w:tbl>
    <w:p w:rsidR="00901DEC" w:rsidRPr="00CB26AD" w:rsidRDefault="00901DEC" w:rsidP="00901DEC">
      <w:pPr>
        <w:jc w:val="both"/>
        <w:rPr>
          <w:rFonts w:ascii="Arial Narrow" w:hAnsi="Arial Narrow" w:cs="Arial"/>
          <w:b/>
          <w:sz w:val="24"/>
          <w:szCs w:val="24"/>
        </w:rPr>
      </w:pPr>
    </w:p>
    <w:p w:rsidR="00901DEC" w:rsidRDefault="000473C4" w:rsidP="00901DEC">
      <w:pPr>
        <w:pStyle w:val="Ttulo1"/>
      </w:pPr>
      <w:bookmarkStart w:id="20" w:name="_Toc528661831"/>
      <w:bookmarkStart w:id="21" w:name="_Toc533665776"/>
      <w:r w:rsidRPr="00CC12BC">
        <w:t>APROBACIÓN</w:t>
      </w:r>
      <w:bookmarkEnd w:id="20"/>
      <w:bookmarkEnd w:id="21"/>
    </w:p>
    <w:p w:rsidR="00901DEC" w:rsidRPr="00901DEC" w:rsidRDefault="00901DEC" w:rsidP="00901DEC">
      <w:pPr>
        <w:rPr>
          <w:lang w:eastAsia="es-CO"/>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901DEC" w:rsidRPr="00CB26AD" w:rsidTr="00901DEC">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901DEC" w:rsidRPr="00CB26AD" w:rsidRDefault="00901DEC" w:rsidP="00901DEC">
            <w:pPr>
              <w:pStyle w:val="Piedepgina"/>
              <w:ind w:right="360"/>
              <w:jc w:val="both"/>
              <w:rPr>
                <w:rFonts w:ascii="Arial Narrow" w:hAnsi="Arial Narrow" w:cs="Arial"/>
                <w:b/>
                <w:sz w:val="24"/>
                <w:szCs w:val="24"/>
              </w:rPr>
            </w:pPr>
            <w:r w:rsidRPr="00CB26AD">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901DEC" w:rsidRPr="00901DEC" w:rsidRDefault="00901DEC" w:rsidP="00901DEC">
            <w:pPr>
              <w:pStyle w:val="Piedepgina"/>
              <w:ind w:right="360"/>
              <w:jc w:val="both"/>
              <w:rPr>
                <w:rFonts w:ascii="Arial Narrow" w:hAnsi="Arial Narrow" w:cs="Arial"/>
                <w:b/>
                <w:i/>
                <w:color w:val="C00000"/>
                <w:sz w:val="20"/>
              </w:rPr>
            </w:pPr>
            <w:r w:rsidRPr="008B4895">
              <w:rPr>
                <w:rFonts w:ascii="Arial Narrow" w:hAnsi="Arial Narrow" w:cs="Arial"/>
                <w:b/>
              </w:rPr>
              <w:t xml:space="preserve">Nombre: </w:t>
            </w:r>
            <w:r w:rsidRPr="00901DEC">
              <w:rPr>
                <w:rFonts w:ascii="Arial Narrow" w:hAnsi="Arial Narrow"/>
                <w:szCs w:val="24"/>
                <w:lang w:val="es-ES" w:eastAsia="es-CO"/>
              </w:rPr>
              <w:t>María Catalina Cano Ramos</w:t>
            </w:r>
          </w:p>
          <w:p w:rsidR="00901DEC" w:rsidRPr="008B4895" w:rsidRDefault="00901DEC" w:rsidP="00901DEC">
            <w:pPr>
              <w:pStyle w:val="Piedepgina"/>
              <w:tabs>
                <w:tab w:val="left" w:pos="4536"/>
              </w:tabs>
              <w:ind w:right="71"/>
              <w:jc w:val="both"/>
              <w:rPr>
                <w:rFonts w:ascii="Arial Narrow" w:hAnsi="Arial Narrow" w:cs="Arial"/>
                <w:b/>
              </w:rPr>
            </w:pPr>
            <w:r w:rsidRPr="008B4895">
              <w:rPr>
                <w:rFonts w:ascii="Arial Narrow" w:hAnsi="Arial Narrow" w:cs="Arial"/>
                <w:b/>
              </w:rPr>
              <w:t>Cargo</w:t>
            </w:r>
            <w:r w:rsidRPr="00901DEC">
              <w:rPr>
                <w:rFonts w:ascii="Arial Narrow" w:hAnsi="Arial Narrow" w:cs="Arial"/>
                <w:b/>
                <w:sz w:val="20"/>
              </w:rPr>
              <w:t xml:space="preserve">:    </w:t>
            </w:r>
            <w:r>
              <w:rPr>
                <w:rFonts w:ascii="Arial Narrow" w:hAnsi="Arial Narrow"/>
                <w:szCs w:val="24"/>
                <w:lang w:val="es-ES" w:eastAsia="es-CO"/>
              </w:rPr>
              <w:t>Contratista</w:t>
            </w:r>
          </w:p>
          <w:p w:rsidR="00901DEC" w:rsidRPr="008B4895" w:rsidRDefault="00901DEC" w:rsidP="00901DEC">
            <w:pPr>
              <w:pStyle w:val="Piedepgina"/>
              <w:ind w:right="360"/>
              <w:jc w:val="both"/>
              <w:rPr>
                <w:rFonts w:ascii="Arial Narrow" w:hAnsi="Arial Narrow" w:cs="Arial"/>
                <w:b/>
              </w:rPr>
            </w:pPr>
            <w:r w:rsidRPr="008B4895">
              <w:rPr>
                <w:rFonts w:ascii="Arial Narrow" w:hAnsi="Arial Narrow" w:cs="Arial"/>
                <w:b/>
              </w:rPr>
              <w:t xml:space="preserve">Fecha:    </w:t>
            </w:r>
            <w:r>
              <w:rPr>
                <w:rFonts w:ascii="Arial Narrow" w:hAnsi="Arial Narrow"/>
                <w:szCs w:val="24"/>
                <w:lang w:val="es-ES" w:eastAsia="es-CO"/>
              </w:rPr>
              <w:t>Mayo de 2018</w:t>
            </w:r>
          </w:p>
        </w:tc>
      </w:tr>
      <w:tr w:rsidR="00901DEC" w:rsidRPr="00CB26AD" w:rsidTr="00901DEC">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901DEC" w:rsidRPr="00CB26AD" w:rsidRDefault="00901DEC" w:rsidP="00901DEC">
            <w:pPr>
              <w:pStyle w:val="Piedepgina"/>
              <w:ind w:right="360"/>
              <w:jc w:val="both"/>
              <w:rPr>
                <w:rFonts w:ascii="Arial Narrow" w:hAnsi="Arial Narrow" w:cs="Arial"/>
                <w:b/>
                <w:sz w:val="24"/>
                <w:szCs w:val="24"/>
              </w:rPr>
            </w:pPr>
            <w:r w:rsidRPr="00CB26AD">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901DEC" w:rsidRPr="008B4895" w:rsidRDefault="00901DEC" w:rsidP="00901DEC">
            <w:pPr>
              <w:pStyle w:val="Piedepgina"/>
              <w:ind w:right="360"/>
              <w:jc w:val="both"/>
              <w:rPr>
                <w:rFonts w:ascii="Arial Narrow" w:hAnsi="Arial Narrow" w:cs="Arial"/>
                <w:b/>
              </w:rPr>
            </w:pPr>
            <w:r w:rsidRPr="008B4895">
              <w:rPr>
                <w:rFonts w:ascii="Arial Narrow" w:hAnsi="Arial Narrow" w:cs="Arial"/>
                <w:b/>
              </w:rPr>
              <w:t xml:space="preserve">Nombre: </w:t>
            </w:r>
            <w:r w:rsidR="00B3163D" w:rsidRPr="00901DEC">
              <w:rPr>
                <w:rFonts w:ascii="Arial Narrow" w:hAnsi="Arial Narrow"/>
                <w:szCs w:val="24"/>
                <w:lang w:val="es-ES" w:eastAsia="es-CO"/>
              </w:rPr>
              <w:t>Jesus David Rincon Coral</w:t>
            </w:r>
          </w:p>
          <w:p w:rsidR="00901DEC" w:rsidRPr="00901DEC" w:rsidRDefault="00901DEC" w:rsidP="00901DEC">
            <w:pPr>
              <w:pStyle w:val="Piedepgina"/>
              <w:tabs>
                <w:tab w:val="left" w:pos="4536"/>
              </w:tabs>
              <w:ind w:right="71"/>
              <w:jc w:val="both"/>
              <w:rPr>
                <w:rFonts w:ascii="Arial Narrow" w:hAnsi="Arial Narrow"/>
                <w:szCs w:val="24"/>
                <w:lang w:val="es-ES" w:eastAsia="es-CO"/>
              </w:rPr>
            </w:pPr>
            <w:r w:rsidRPr="008B4895">
              <w:rPr>
                <w:rFonts w:ascii="Arial Narrow" w:hAnsi="Arial Narrow" w:cs="Arial"/>
                <w:b/>
              </w:rPr>
              <w:t xml:space="preserve">Cargo: </w:t>
            </w:r>
            <w:r w:rsidR="00B3163D" w:rsidRPr="00901DEC">
              <w:rPr>
                <w:rFonts w:ascii="Arial Narrow" w:hAnsi="Arial Narrow"/>
                <w:szCs w:val="24"/>
                <w:lang w:val="es-ES" w:eastAsia="es-CO"/>
              </w:rPr>
              <w:t>Profesional Especializado</w:t>
            </w:r>
          </w:p>
          <w:p w:rsidR="00901DEC" w:rsidRPr="008B4895" w:rsidRDefault="00901DEC" w:rsidP="00901DEC">
            <w:pPr>
              <w:pStyle w:val="Piedepgina"/>
              <w:ind w:right="360"/>
              <w:jc w:val="both"/>
              <w:rPr>
                <w:rFonts w:ascii="Arial Narrow" w:hAnsi="Arial Narrow" w:cs="Arial"/>
                <w:b/>
              </w:rPr>
            </w:pPr>
            <w:r w:rsidRPr="008B4895">
              <w:rPr>
                <w:rFonts w:ascii="Arial Narrow" w:hAnsi="Arial Narrow" w:cs="Arial"/>
                <w:b/>
              </w:rPr>
              <w:t xml:space="preserve">Fecha: </w:t>
            </w:r>
            <w:r w:rsidRPr="00901DEC">
              <w:rPr>
                <w:rFonts w:ascii="Arial Narrow" w:hAnsi="Arial Narrow"/>
                <w:szCs w:val="24"/>
                <w:lang w:val="es-ES" w:eastAsia="es-CO"/>
              </w:rPr>
              <w:t>Mayo de 2018</w:t>
            </w:r>
            <w:r w:rsidRPr="008B4895">
              <w:rPr>
                <w:rFonts w:ascii="Arial Narrow" w:hAnsi="Arial Narrow" w:cs="Arial"/>
                <w:b/>
              </w:rPr>
              <w:t xml:space="preserve">  </w:t>
            </w:r>
          </w:p>
        </w:tc>
      </w:tr>
      <w:tr w:rsidR="00901DEC" w:rsidRPr="00CB26AD" w:rsidTr="00901DEC">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901DEC" w:rsidRPr="00CB26AD" w:rsidRDefault="00901DEC" w:rsidP="00901DEC">
            <w:pPr>
              <w:pStyle w:val="Piedepgina"/>
              <w:ind w:right="360"/>
              <w:jc w:val="both"/>
              <w:rPr>
                <w:rFonts w:ascii="Arial Narrow" w:hAnsi="Arial Narrow" w:cs="Arial"/>
                <w:b/>
                <w:sz w:val="24"/>
                <w:szCs w:val="24"/>
              </w:rPr>
            </w:pPr>
            <w:r w:rsidRPr="00CB26AD">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901DEC" w:rsidRPr="008B4895" w:rsidRDefault="00901DEC" w:rsidP="00901DEC">
            <w:pPr>
              <w:pStyle w:val="Piedepgina"/>
              <w:ind w:right="360"/>
              <w:jc w:val="both"/>
              <w:rPr>
                <w:rFonts w:ascii="Arial Narrow" w:hAnsi="Arial Narrow" w:cs="Arial"/>
                <w:b/>
              </w:rPr>
            </w:pPr>
            <w:r w:rsidRPr="008B4895">
              <w:rPr>
                <w:rFonts w:ascii="Arial Narrow" w:hAnsi="Arial Narrow" w:cs="Arial"/>
                <w:b/>
              </w:rPr>
              <w:t xml:space="preserve">Nombre: </w:t>
            </w:r>
            <w:r w:rsidRPr="00901DEC">
              <w:rPr>
                <w:rFonts w:ascii="Arial Narrow" w:hAnsi="Arial Narrow"/>
                <w:szCs w:val="24"/>
                <w:lang w:val="es-ES" w:eastAsia="es-CO"/>
              </w:rPr>
              <w:t>Javier Andrés Cuellar Sánchez</w:t>
            </w:r>
          </w:p>
          <w:p w:rsidR="00901DEC" w:rsidRPr="00901DEC" w:rsidRDefault="00901DEC" w:rsidP="00901DEC">
            <w:pPr>
              <w:pStyle w:val="Piedepgina"/>
              <w:tabs>
                <w:tab w:val="left" w:pos="4536"/>
              </w:tabs>
              <w:ind w:right="71"/>
              <w:jc w:val="both"/>
              <w:rPr>
                <w:rFonts w:ascii="Arial Narrow" w:hAnsi="Arial Narrow"/>
                <w:szCs w:val="24"/>
                <w:lang w:val="es-ES" w:eastAsia="es-CO"/>
              </w:rPr>
            </w:pPr>
            <w:r w:rsidRPr="008B4895">
              <w:rPr>
                <w:rFonts w:ascii="Arial Narrow" w:hAnsi="Arial Narrow" w:cs="Arial"/>
                <w:b/>
              </w:rPr>
              <w:t>Cargo:</w:t>
            </w:r>
            <w:r w:rsidRPr="009E0FDB">
              <w:rPr>
                <w:rFonts w:ascii="Arial Narrow" w:hAnsi="Arial Narrow" w:cs="Arial"/>
                <w:b/>
                <w:i/>
                <w:color w:val="C00000"/>
              </w:rPr>
              <w:t xml:space="preserve"> </w:t>
            </w:r>
            <w:r w:rsidRPr="00901DEC">
              <w:rPr>
                <w:rFonts w:ascii="Arial Narrow" w:hAnsi="Arial Narrow"/>
                <w:szCs w:val="24"/>
                <w:lang w:val="es-ES" w:eastAsia="es-CO"/>
              </w:rPr>
              <w:t>Subdirector de Riesgo</w:t>
            </w:r>
            <w:r>
              <w:rPr>
                <w:rFonts w:ascii="Arial Narrow" w:hAnsi="Arial Narrow"/>
                <w:szCs w:val="24"/>
                <w:lang w:val="es-ES" w:eastAsia="es-CO"/>
              </w:rPr>
              <w:t xml:space="preserve"> </w:t>
            </w:r>
          </w:p>
          <w:p w:rsidR="00901DEC" w:rsidRPr="008B4895" w:rsidRDefault="00901DEC" w:rsidP="000473C4">
            <w:pPr>
              <w:pStyle w:val="Piedepgina"/>
              <w:ind w:right="360"/>
              <w:jc w:val="both"/>
              <w:rPr>
                <w:rFonts w:ascii="Arial Narrow" w:hAnsi="Arial Narrow" w:cs="Arial"/>
                <w:b/>
              </w:rPr>
            </w:pPr>
            <w:r w:rsidRPr="008B4895">
              <w:rPr>
                <w:rFonts w:ascii="Arial Narrow" w:hAnsi="Arial Narrow" w:cs="Arial"/>
                <w:b/>
              </w:rPr>
              <w:t>Fecha</w:t>
            </w:r>
            <w:r w:rsidRPr="000473C4">
              <w:rPr>
                <w:rFonts w:ascii="Arial Narrow" w:hAnsi="Arial Narrow" w:cs="Arial"/>
              </w:rPr>
              <w:t>:</w:t>
            </w:r>
            <w:r w:rsidR="000473C4" w:rsidRPr="000473C4">
              <w:rPr>
                <w:rFonts w:ascii="Arial Narrow" w:hAnsi="Arial Narrow" w:cs="Arial"/>
              </w:rPr>
              <w:t xml:space="preserve"> 20 de diciembre de </w:t>
            </w:r>
            <w:r w:rsidRPr="000473C4">
              <w:rPr>
                <w:rFonts w:ascii="Arial Narrow" w:hAnsi="Arial Narrow"/>
                <w:szCs w:val="24"/>
                <w:lang w:val="es-ES" w:eastAsia="es-CO"/>
              </w:rPr>
              <w:t>2018</w:t>
            </w:r>
            <w:r w:rsidRPr="008B4895">
              <w:rPr>
                <w:rFonts w:ascii="Arial Narrow" w:hAnsi="Arial Narrow" w:cs="Arial"/>
                <w:b/>
              </w:rPr>
              <w:t xml:space="preserve">  </w:t>
            </w:r>
          </w:p>
        </w:tc>
      </w:tr>
    </w:tbl>
    <w:p w:rsidR="00901DEC" w:rsidRPr="00CB26AD" w:rsidRDefault="00901DEC" w:rsidP="00901DEC">
      <w:pPr>
        <w:jc w:val="both"/>
        <w:rPr>
          <w:rFonts w:ascii="Arial Narrow" w:hAnsi="Arial Narrow" w:cs="Arial"/>
          <w:b/>
          <w:sz w:val="24"/>
          <w:szCs w:val="24"/>
        </w:rPr>
      </w:pPr>
    </w:p>
    <w:p w:rsidR="00901DEC" w:rsidRPr="00253A6A" w:rsidRDefault="00901DEC" w:rsidP="00253A6A">
      <w:pPr>
        <w:rPr>
          <w:lang w:eastAsia="es-CO"/>
        </w:rPr>
      </w:pPr>
    </w:p>
    <w:sectPr w:rsidR="00901DEC" w:rsidRPr="00253A6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EC" w:rsidRDefault="00901DEC" w:rsidP="00752215">
      <w:pPr>
        <w:spacing w:after="0" w:line="240" w:lineRule="auto"/>
      </w:pPr>
      <w:r>
        <w:separator/>
      </w:r>
    </w:p>
  </w:endnote>
  <w:endnote w:type="continuationSeparator" w:id="0">
    <w:p w:rsidR="00901DEC" w:rsidRDefault="00901DEC" w:rsidP="0075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EC" w:rsidRDefault="00901DEC" w:rsidP="00752215">
      <w:pPr>
        <w:spacing w:after="0" w:line="240" w:lineRule="auto"/>
      </w:pPr>
      <w:r>
        <w:separator/>
      </w:r>
    </w:p>
  </w:footnote>
  <w:footnote w:type="continuationSeparator" w:id="0">
    <w:p w:rsidR="00901DEC" w:rsidRDefault="00901DEC" w:rsidP="00752215">
      <w:pPr>
        <w:spacing w:after="0" w:line="240" w:lineRule="auto"/>
      </w:pPr>
      <w:r>
        <w:continuationSeparator/>
      </w:r>
    </w:p>
  </w:footnote>
  <w:footnote w:id="1">
    <w:p w:rsidR="00901DEC" w:rsidRPr="008B56CA" w:rsidRDefault="00901DEC" w:rsidP="00240C25">
      <w:pPr>
        <w:pStyle w:val="Piedepgina"/>
        <w:rPr>
          <w:rFonts w:ascii="Arial Narrow" w:hAnsi="Arial Narrow"/>
          <w:sz w:val="18"/>
          <w:szCs w:val="18"/>
        </w:rPr>
      </w:pPr>
      <w:r w:rsidRPr="008B56CA">
        <w:rPr>
          <w:rStyle w:val="Refdenotaalpie"/>
          <w:rFonts w:ascii="Arial Narrow" w:hAnsi="Arial Narrow"/>
          <w:sz w:val="18"/>
          <w:szCs w:val="18"/>
        </w:rPr>
        <w:footnoteRef/>
      </w:r>
      <w:r w:rsidRPr="008B56CA">
        <w:rPr>
          <w:rFonts w:ascii="Arial Narrow" w:hAnsi="Arial Narrow"/>
          <w:sz w:val="18"/>
          <w:szCs w:val="18"/>
        </w:rPr>
        <w:t xml:space="preserve"> Curva cero cupón con tasa continua, para la transformación a tasa discreta se realiza el cálculo </w:t>
      </w:r>
      <m:oMath>
        <m:r>
          <w:rPr>
            <w:rFonts w:ascii="Cambria Math" w:hAnsi="Cambria Math"/>
            <w:sz w:val="18"/>
            <w:szCs w:val="18"/>
          </w:rPr>
          <m:t>Z=</m:t>
        </m:r>
        <m:func>
          <m:funcPr>
            <m:ctrlPr>
              <w:rPr>
                <w:rFonts w:ascii="Cambria Math" w:hAnsi="Cambria Math"/>
                <w:i/>
                <w:sz w:val="18"/>
                <w:szCs w:val="18"/>
              </w:rPr>
            </m:ctrlPr>
          </m:funcPr>
          <m:fName>
            <m:r>
              <m:rPr>
                <m:sty m:val="p"/>
              </m:rPr>
              <w:rPr>
                <w:rFonts w:ascii="Cambria Math" w:hAnsi="Cambria Math"/>
                <w:sz w:val="18"/>
                <w:szCs w:val="18"/>
              </w:rPr>
              <m:t>exp</m:t>
            </m:r>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F(m)</m:t>
                    </m:r>
                  </m:num>
                  <m:den>
                    <m:r>
                      <w:rPr>
                        <w:rFonts w:ascii="Cambria Math" w:hAnsi="Cambria Math"/>
                        <w:sz w:val="18"/>
                        <w:szCs w:val="18"/>
                      </w:rPr>
                      <m:t>100</m:t>
                    </m:r>
                  </m:den>
                </m:f>
              </m:e>
            </m:d>
            <m:r>
              <w:rPr>
                <w:rFonts w:ascii="Cambria Math" w:hAnsi="Cambria Math"/>
                <w:sz w:val="18"/>
                <w:szCs w:val="18"/>
              </w:rPr>
              <m:t>-1</m:t>
            </m:r>
          </m:e>
        </m:func>
      </m:oMath>
    </w:p>
    <w:p w:rsidR="00901DEC" w:rsidRDefault="00901DE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9"/>
      <w:gridCol w:w="4253"/>
      <w:gridCol w:w="1134"/>
      <w:gridCol w:w="1709"/>
    </w:tblGrid>
    <w:tr w:rsidR="00901DEC" w:rsidTr="00253A6A">
      <w:trPr>
        <w:cantSplit/>
        <w:trHeight w:val="276"/>
        <w:jc w:val="center"/>
      </w:trPr>
      <w:tc>
        <w:tcPr>
          <w:tcW w:w="2969" w:type="dxa"/>
          <w:vMerge w:val="restart"/>
          <w:vAlign w:val="center"/>
        </w:tcPr>
        <w:p w:rsidR="00901DEC" w:rsidRDefault="00901DEC" w:rsidP="00253A6A">
          <w:pPr>
            <w:pStyle w:val="Encabezado"/>
            <w:jc w:val="center"/>
            <w:rPr>
              <w:rFonts w:ascii="Arial" w:hAnsi="Arial"/>
            </w:rPr>
          </w:pPr>
          <w:r w:rsidRPr="008E6BEC">
            <w:rPr>
              <w:rFonts w:ascii="Arial" w:hAnsi="Arial" w:cs="Arial"/>
              <w:b/>
              <w:caps/>
              <w:noProof/>
              <w:sz w:val="14"/>
              <w:szCs w:val="14"/>
              <w:lang w:val="en-US"/>
            </w:rPr>
            <w:drawing>
              <wp:inline distT="0" distB="0" distL="0" distR="0">
                <wp:extent cx="1697355" cy="402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253" w:type="dxa"/>
          <w:vMerge w:val="restart"/>
          <w:vAlign w:val="center"/>
        </w:tcPr>
        <w:p w:rsidR="00901DEC" w:rsidRPr="009A37A7" w:rsidRDefault="00901DEC" w:rsidP="00253A6A">
          <w:pPr>
            <w:jc w:val="center"/>
            <w:rPr>
              <w:rFonts w:ascii="Arial" w:hAnsi="Arial" w:cs="Arial"/>
              <w:b/>
              <w:sz w:val="24"/>
              <w:szCs w:val="24"/>
            </w:rPr>
          </w:pPr>
          <w:r>
            <w:rPr>
              <w:rFonts w:ascii="Arial" w:hAnsi="Arial" w:cs="Arial"/>
              <w:b/>
              <w:sz w:val="24"/>
              <w:szCs w:val="24"/>
            </w:rPr>
            <w:t>Metodología del cálculo de Valor en Riesgo de Mercado (VaR)</w:t>
          </w:r>
        </w:p>
      </w:tc>
      <w:tc>
        <w:tcPr>
          <w:tcW w:w="1134" w:type="dxa"/>
          <w:vAlign w:val="center"/>
        </w:tcPr>
        <w:p w:rsidR="00901DEC" w:rsidRDefault="00901DEC" w:rsidP="00253A6A">
          <w:pPr>
            <w:pStyle w:val="Encabezado"/>
            <w:rPr>
              <w:rFonts w:ascii="Arial" w:hAnsi="Arial" w:cs="Arial"/>
              <w:b/>
            </w:rPr>
          </w:pPr>
          <w:r>
            <w:rPr>
              <w:rFonts w:ascii="Arial" w:hAnsi="Arial"/>
              <w:b/>
            </w:rPr>
            <w:t>Código:</w:t>
          </w:r>
          <w:r>
            <w:t xml:space="preserve"> </w:t>
          </w:r>
        </w:p>
      </w:tc>
      <w:tc>
        <w:tcPr>
          <w:tcW w:w="1709" w:type="dxa"/>
          <w:vAlign w:val="center"/>
        </w:tcPr>
        <w:p w:rsidR="00901DEC" w:rsidRPr="000473C4" w:rsidRDefault="000473C4" w:rsidP="00253A6A">
          <w:pPr>
            <w:pStyle w:val="Encabezado"/>
            <w:jc w:val="center"/>
            <w:rPr>
              <w:rFonts w:ascii="Arial Narrow" w:hAnsi="Arial Narrow" w:cs="Arial"/>
            </w:rPr>
          </w:pPr>
          <w:r w:rsidRPr="000473C4">
            <w:rPr>
              <w:rFonts w:ascii="Arial Narrow" w:hAnsi="Arial Narrow" w:cs="Arial"/>
            </w:rPr>
            <w:t>Mis.3.10 Man7</w:t>
          </w:r>
        </w:p>
      </w:tc>
    </w:tr>
    <w:tr w:rsidR="00901DEC" w:rsidTr="00253A6A">
      <w:trPr>
        <w:cantSplit/>
        <w:trHeight w:val="147"/>
        <w:jc w:val="center"/>
      </w:trPr>
      <w:tc>
        <w:tcPr>
          <w:tcW w:w="2969" w:type="dxa"/>
          <w:vMerge/>
        </w:tcPr>
        <w:p w:rsidR="00901DEC" w:rsidRDefault="00901DEC" w:rsidP="00253A6A">
          <w:pPr>
            <w:pStyle w:val="Encabezado"/>
            <w:jc w:val="center"/>
            <w:rPr>
              <w:rFonts w:ascii="Arial" w:hAnsi="Arial"/>
            </w:rPr>
          </w:pPr>
        </w:p>
      </w:tc>
      <w:tc>
        <w:tcPr>
          <w:tcW w:w="4253" w:type="dxa"/>
          <w:vMerge/>
        </w:tcPr>
        <w:p w:rsidR="00901DEC" w:rsidRDefault="00901DEC" w:rsidP="00253A6A">
          <w:pPr>
            <w:pStyle w:val="Encabezado"/>
            <w:jc w:val="center"/>
            <w:rPr>
              <w:rFonts w:ascii="Arial" w:hAnsi="Arial"/>
              <w:b/>
            </w:rPr>
          </w:pPr>
        </w:p>
      </w:tc>
      <w:tc>
        <w:tcPr>
          <w:tcW w:w="1134" w:type="dxa"/>
          <w:vAlign w:val="center"/>
        </w:tcPr>
        <w:p w:rsidR="00901DEC" w:rsidRDefault="00901DEC" w:rsidP="00253A6A">
          <w:pPr>
            <w:pStyle w:val="Encabezado"/>
            <w:rPr>
              <w:rFonts w:ascii="Arial" w:hAnsi="Arial"/>
              <w:b/>
            </w:rPr>
          </w:pPr>
          <w:r>
            <w:rPr>
              <w:rFonts w:ascii="Arial" w:hAnsi="Arial"/>
              <w:b/>
            </w:rPr>
            <w:t>Fecha:</w:t>
          </w:r>
        </w:p>
      </w:tc>
      <w:tc>
        <w:tcPr>
          <w:tcW w:w="1709" w:type="dxa"/>
          <w:vAlign w:val="center"/>
        </w:tcPr>
        <w:p w:rsidR="00901DEC" w:rsidRPr="000473C4" w:rsidRDefault="000473C4" w:rsidP="00253A6A">
          <w:pPr>
            <w:pStyle w:val="Encabezado"/>
            <w:jc w:val="center"/>
            <w:rPr>
              <w:rFonts w:ascii="Arial Narrow" w:hAnsi="Arial Narrow"/>
            </w:rPr>
          </w:pPr>
          <w:r w:rsidRPr="000473C4">
            <w:rPr>
              <w:rFonts w:ascii="Arial Narrow" w:hAnsi="Arial Narrow"/>
            </w:rPr>
            <w:t>20-12-2018</w:t>
          </w:r>
        </w:p>
      </w:tc>
    </w:tr>
    <w:tr w:rsidR="00901DEC" w:rsidTr="00253A6A">
      <w:trPr>
        <w:cantSplit/>
        <w:trHeight w:val="147"/>
        <w:jc w:val="center"/>
      </w:trPr>
      <w:tc>
        <w:tcPr>
          <w:tcW w:w="2969" w:type="dxa"/>
          <w:vMerge/>
        </w:tcPr>
        <w:p w:rsidR="00901DEC" w:rsidRDefault="00901DEC" w:rsidP="00253A6A">
          <w:pPr>
            <w:pStyle w:val="Encabezado"/>
            <w:jc w:val="center"/>
            <w:rPr>
              <w:rFonts w:ascii="Arial" w:hAnsi="Arial"/>
            </w:rPr>
          </w:pPr>
        </w:p>
      </w:tc>
      <w:tc>
        <w:tcPr>
          <w:tcW w:w="4253" w:type="dxa"/>
          <w:vMerge/>
        </w:tcPr>
        <w:p w:rsidR="00901DEC" w:rsidRDefault="00901DEC" w:rsidP="00253A6A">
          <w:pPr>
            <w:pStyle w:val="Encabezado"/>
            <w:jc w:val="center"/>
            <w:rPr>
              <w:rFonts w:ascii="Arial" w:hAnsi="Arial"/>
              <w:b/>
            </w:rPr>
          </w:pPr>
        </w:p>
      </w:tc>
      <w:tc>
        <w:tcPr>
          <w:tcW w:w="1134" w:type="dxa"/>
          <w:vAlign w:val="center"/>
        </w:tcPr>
        <w:p w:rsidR="00901DEC" w:rsidRDefault="00901DEC" w:rsidP="00253A6A">
          <w:pPr>
            <w:pStyle w:val="Encabezado"/>
            <w:rPr>
              <w:rFonts w:ascii="Arial" w:hAnsi="Arial"/>
              <w:b/>
            </w:rPr>
          </w:pPr>
          <w:r>
            <w:rPr>
              <w:rFonts w:ascii="Arial" w:hAnsi="Arial"/>
              <w:b/>
            </w:rPr>
            <w:t xml:space="preserve">Versión: </w:t>
          </w:r>
        </w:p>
      </w:tc>
      <w:tc>
        <w:tcPr>
          <w:tcW w:w="1709" w:type="dxa"/>
          <w:vAlign w:val="center"/>
        </w:tcPr>
        <w:p w:rsidR="00901DEC" w:rsidRPr="000473C4" w:rsidRDefault="000473C4" w:rsidP="00253A6A">
          <w:pPr>
            <w:pStyle w:val="Encabezado"/>
            <w:jc w:val="center"/>
            <w:rPr>
              <w:rFonts w:ascii="Arial Narrow" w:hAnsi="Arial Narrow"/>
            </w:rPr>
          </w:pPr>
          <w:r w:rsidRPr="000473C4">
            <w:rPr>
              <w:rFonts w:ascii="Arial Narrow" w:hAnsi="Arial Narrow"/>
            </w:rPr>
            <w:t>1</w:t>
          </w:r>
        </w:p>
      </w:tc>
    </w:tr>
    <w:tr w:rsidR="00901DEC" w:rsidTr="00253A6A">
      <w:trPr>
        <w:cantSplit/>
        <w:trHeight w:val="148"/>
        <w:jc w:val="center"/>
      </w:trPr>
      <w:tc>
        <w:tcPr>
          <w:tcW w:w="2969" w:type="dxa"/>
          <w:vMerge/>
          <w:tcBorders>
            <w:bottom w:val="single" w:sz="4" w:space="0" w:color="auto"/>
          </w:tcBorders>
        </w:tcPr>
        <w:p w:rsidR="00901DEC" w:rsidRDefault="00901DEC" w:rsidP="00253A6A">
          <w:pPr>
            <w:pStyle w:val="Encabezado"/>
            <w:jc w:val="center"/>
            <w:rPr>
              <w:rFonts w:ascii="Arial" w:hAnsi="Arial"/>
              <w:b/>
            </w:rPr>
          </w:pPr>
        </w:p>
      </w:tc>
      <w:tc>
        <w:tcPr>
          <w:tcW w:w="4253" w:type="dxa"/>
          <w:vMerge/>
          <w:tcBorders>
            <w:bottom w:val="single" w:sz="4" w:space="0" w:color="auto"/>
          </w:tcBorders>
        </w:tcPr>
        <w:p w:rsidR="00901DEC" w:rsidRDefault="00901DEC" w:rsidP="00253A6A">
          <w:pPr>
            <w:pStyle w:val="Encabezado"/>
            <w:jc w:val="center"/>
            <w:rPr>
              <w:rFonts w:ascii="Arial" w:hAnsi="Arial"/>
              <w:b/>
            </w:rPr>
          </w:pPr>
        </w:p>
      </w:tc>
      <w:tc>
        <w:tcPr>
          <w:tcW w:w="1134" w:type="dxa"/>
          <w:vAlign w:val="center"/>
        </w:tcPr>
        <w:p w:rsidR="00901DEC" w:rsidRDefault="00901DEC" w:rsidP="00253A6A">
          <w:pPr>
            <w:pStyle w:val="Encabezado"/>
            <w:rPr>
              <w:rFonts w:ascii="Arial" w:hAnsi="Arial"/>
              <w:b/>
            </w:rPr>
          </w:pPr>
          <w:r>
            <w:rPr>
              <w:rFonts w:ascii="Arial" w:hAnsi="Arial"/>
              <w:b/>
            </w:rPr>
            <w:t xml:space="preserve">Página: </w:t>
          </w:r>
        </w:p>
      </w:tc>
      <w:tc>
        <w:tcPr>
          <w:tcW w:w="1709" w:type="dxa"/>
          <w:vAlign w:val="center"/>
        </w:tcPr>
        <w:p w:rsidR="00901DEC" w:rsidRPr="000473C4" w:rsidRDefault="00901DEC" w:rsidP="00253A6A">
          <w:pPr>
            <w:pStyle w:val="Encabezado"/>
            <w:jc w:val="center"/>
            <w:rPr>
              <w:rFonts w:ascii="Arial Narrow" w:hAnsi="Arial Narrow"/>
            </w:rPr>
          </w:pPr>
          <w:r w:rsidRPr="000473C4">
            <w:rPr>
              <w:rFonts w:ascii="Arial Narrow" w:hAnsi="Arial Narrow"/>
            </w:rPr>
            <w:t xml:space="preserve">  </w:t>
          </w:r>
          <w:r w:rsidRPr="000473C4">
            <w:rPr>
              <w:rFonts w:ascii="Arial Narrow" w:hAnsi="Arial Narrow" w:cs="Arial"/>
            </w:rPr>
            <w:fldChar w:fldCharType="begin"/>
          </w:r>
          <w:r w:rsidRPr="000473C4">
            <w:rPr>
              <w:rFonts w:ascii="Arial Narrow" w:hAnsi="Arial Narrow" w:cs="Arial"/>
            </w:rPr>
            <w:instrText>PAGE  \* Arabic  \* MERGEFORMAT</w:instrText>
          </w:r>
          <w:r w:rsidRPr="000473C4">
            <w:rPr>
              <w:rFonts w:ascii="Arial Narrow" w:hAnsi="Arial Narrow" w:cs="Arial"/>
            </w:rPr>
            <w:fldChar w:fldCharType="separate"/>
          </w:r>
          <w:r w:rsidR="00CD0557">
            <w:rPr>
              <w:rFonts w:ascii="Arial Narrow" w:hAnsi="Arial Narrow" w:cs="Arial"/>
              <w:noProof/>
            </w:rPr>
            <w:t>4</w:t>
          </w:r>
          <w:r w:rsidRPr="000473C4">
            <w:rPr>
              <w:rFonts w:ascii="Arial Narrow" w:hAnsi="Arial Narrow" w:cs="Arial"/>
            </w:rPr>
            <w:fldChar w:fldCharType="end"/>
          </w:r>
          <w:r w:rsidRPr="000473C4">
            <w:rPr>
              <w:rFonts w:ascii="Arial Narrow" w:hAnsi="Arial Narrow" w:cs="Arial"/>
            </w:rPr>
            <w:t xml:space="preserve"> de </w:t>
          </w:r>
          <w:r w:rsidRPr="000473C4">
            <w:rPr>
              <w:rFonts w:ascii="Arial Narrow" w:hAnsi="Arial Narrow" w:cs="Arial"/>
            </w:rPr>
            <w:fldChar w:fldCharType="begin"/>
          </w:r>
          <w:r w:rsidRPr="000473C4">
            <w:rPr>
              <w:rFonts w:ascii="Arial Narrow" w:hAnsi="Arial Narrow" w:cs="Arial"/>
            </w:rPr>
            <w:instrText>NUMPAGES  \* Arabic  \* MERGEFORMAT</w:instrText>
          </w:r>
          <w:r w:rsidRPr="000473C4">
            <w:rPr>
              <w:rFonts w:ascii="Arial Narrow" w:hAnsi="Arial Narrow" w:cs="Arial"/>
            </w:rPr>
            <w:fldChar w:fldCharType="separate"/>
          </w:r>
          <w:r w:rsidR="00CD0557">
            <w:rPr>
              <w:rFonts w:ascii="Arial Narrow" w:hAnsi="Arial Narrow" w:cs="Arial"/>
              <w:noProof/>
            </w:rPr>
            <w:t>12</w:t>
          </w:r>
          <w:r w:rsidRPr="000473C4">
            <w:rPr>
              <w:rFonts w:ascii="Arial Narrow" w:hAnsi="Arial Narrow" w:cs="Arial"/>
            </w:rPr>
            <w:fldChar w:fldCharType="end"/>
          </w:r>
        </w:p>
      </w:tc>
    </w:tr>
  </w:tbl>
  <w:p w:rsidR="00901DEC" w:rsidRDefault="00901D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944"/>
    <w:multiLevelType w:val="multilevel"/>
    <w:tmpl w:val="796A76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910598"/>
    <w:multiLevelType w:val="multilevel"/>
    <w:tmpl w:val="14F08AF0"/>
    <w:lvl w:ilvl="0">
      <w:start w:val="1"/>
      <w:numFmt w:val="decimal"/>
      <w:pStyle w:val="Ttulo1"/>
      <w:lvlText w:val="%1."/>
      <w:lvlJc w:val="left"/>
      <w:pPr>
        <w:ind w:left="720" w:hanging="360"/>
      </w:pPr>
      <w:rPr>
        <w:rFonts w:hint="default"/>
        <w:b/>
        <w:i w:val="0"/>
        <w:color w:val="auto"/>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E5009D"/>
    <w:multiLevelType w:val="hybridMultilevel"/>
    <w:tmpl w:val="52E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97E6C"/>
    <w:multiLevelType w:val="hybridMultilevel"/>
    <w:tmpl w:val="697A0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66B75155"/>
    <w:multiLevelType w:val="hybridMultilevel"/>
    <w:tmpl w:val="7E1C9B3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6" w15:restartNumberingAfterBreak="0">
    <w:nsid w:val="72D94D41"/>
    <w:multiLevelType w:val="hybridMultilevel"/>
    <w:tmpl w:val="6C383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66"/>
    <w:rsid w:val="0001265D"/>
    <w:rsid w:val="000129F8"/>
    <w:rsid w:val="00023D9F"/>
    <w:rsid w:val="000473C4"/>
    <w:rsid w:val="000540A7"/>
    <w:rsid w:val="00061A13"/>
    <w:rsid w:val="00083AEA"/>
    <w:rsid w:val="00095D5B"/>
    <w:rsid w:val="000A06BB"/>
    <w:rsid w:val="000A2A72"/>
    <w:rsid w:val="000C6E73"/>
    <w:rsid w:val="000D2FCB"/>
    <w:rsid w:val="000D523F"/>
    <w:rsid w:val="000F2580"/>
    <w:rsid w:val="000F2A7F"/>
    <w:rsid w:val="000F3727"/>
    <w:rsid w:val="0010374A"/>
    <w:rsid w:val="00122363"/>
    <w:rsid w:val="001B34A8"/>
    <w:rsid w:val="001E6EB4"/>
    <w:rsid w:val="00201034"/>
    <w:rsid w:val="0023320F"/>
    <w:rsid w:val="00240C25"/>
    <w:rsid w:val="00253A4B"/>
    <w:rsid w:val="00253A6A"/>
    <w:rsid w:val="0026447C"/>
    <w:rsid w:val="002737C0"/>
    <w:rsid w:val="002B6352"/>
    <w:rsid w:val="0032629F"/>
    <w:rsid w:val="00332504"/>
    <w:rsid w:val="00341428"/>
    <w:rsid w:val="003463BD"/>
    <w:rsid w:val="0035489F"/>
    <w:rsid w:val="00362127"/>
    <w:rsid w:val="00374D12"/>
    <w:rsid w:val="00375402"/>
    <w:rsid w:val="003800FF"/>
    <w:rsid w:val="003D33FC"/>
    <w:rsid w:val="003D3FF2"/>
    <w:rsid w:val="003E7A89"/>
    <w:rsid w:val="003F75E2"/>
    <w:rsid w:val="0044095B"/>
    <w:rsid w:val="004631AC"/>
    <w:rsid w:val="004C42C2"/>
    <w:rsid w:val="004D2C69"/>
    <w:rsid w:val="00516425"/>
    <w:rsid w:val="00585AB6"/>
    <w:rsid w:val="005E431C"/>
    <w:rsid w:val="00623E89"/>
    <w:rsid w:val="00637317"/>
    <w:rsid w:val="0065001F"/>
    <w:rsid w:val="0068057D"/>
    <w:rsid w:val="006B40E2"/>
    <w:rsid w:val="006D25AA"/>
    <w:rsid w:val="006F76D1"/>
    <w:rsid w:val="00711A2B"/>
    <w:rsid w:val="00724D8C"/>
    <w:rsid w:val="00743547"/>
    <w:rsid w:val="007501F6"/>
    <w:rsid w:val="00752215"/>
    <w:rsid w:val="00756566"/>
    <w:rsid w:val="0078031E"/>
    <w:rsid w:val="007C4004"/>
    <w:rsid w:val="007E21C9"/>
    <w:rsid w:val="00832F0E"/>
    <w:rsid w:val="00866183"/>
    <w:rsid w:val="00873DCC"/>
    <w:rsid w:val="008865ED"/>
    <w:rsid w:val="00886CA8"/>
    <w:rsid w:val="008B56CA"/>
    <w:rsid w:val="008C72E0"/>
    <w:rsid w:val="008D2263"/>
    <w:rsid w:val="008D6304"/>
    <w:rsid w:val="00901DEC"/>
    <w:rsid w:val="0091416C"/>
    <w:rsid w:val="00917D3A"/>
    <w:rsid w:val="00925C53"/>
    <w:rsid w:val="009932A4"/>
    <w:rsid w:val="009B316A"/>
    <w:rsid w:val="009C0749"/>
    <w:rsid w:val="009C25DB"/>
    <w:rsid w:val="009C657A"/>
    <w:rsid w:val="009D3ADB"/>
    <w:rsid w:val="00A06BE9"/>
    <w:rsid w:val="00A24E96"/>
    <w:rsid w:val="00A30381"/>
    <w:rsid w:val="00A904CD"/>
    <w:rsid w:val="00A95D8C"/>
    <w:rsid w:val="00B11770"/>
    <w:rsid w:val="00B3163D"/>
    <w:rsid w:val="00B35E77"/>
    <w:rsid w:val="00B45A2C"/>
    <w:rsid w:val="00B514B4"/>
    <w:rsid w:val="00B57842"/>
    <w:rsid w:val="00B812D1"/>
    <w:rsid w:val="00B970E0"/>
    <w:rsid w:val="00BB7347"/>
    <w:rsid w:val="00BC2F08"/>
    <w:rsid w:val="00BD247D"/>
    <w:rsid w:val="00BF7562"/>
    <w:rsid w:val="00C2359C"/>
    <w:rsid w:val="00C23D4F"/>
    <w:rsid w:val="00C33D5A"/>
    <w:rsid w:val="00C35DC3"/>
    <w:rsid w:val="00C50B6D"/>
    <w:rsid w:val="00CD0557"/>
    <w:rsid w:val="00CE7DF7"/>
    <w:rsid w:val="00D369FA"/>
    <w:rsid w:val="00D63248"/>
    <w:rsid w:val="00D67E34"/>
    <w:rsid w:val="00D76535"/>
    <w:rsid w:val="00D83C27"/>
    <w:rsid w:val="00DE4F22"/>
    <w:rsid w:val="00DF4B45"/>
    <w:rsid w:val="00E028A5"/>
    <w:rsid w:val="00E14E14"/>
    <w:rsid w:val="00E66E0E"/>
    <w:rsid w:val="00E80802"/>
    <w:rsid w:val="00EB1AAA"/>
    <w:rsid w:val="00EC3D47"/>
    <w:rsid w:val="00EC6A64"/>
    <w:rsid w:val="00ED16E5"/>
    <w:rsid w:val="00ED3F5F"/>
    <w:rsid w:val="00F003F5"/>
    <w:rsid w:val="00F20795"/>
    <w:rsid w:val="00F219B2"/>
    <w:rsid w:val="00F56316"/>
    <w:rsid w:val="00F711F2"/>
    <w:rsid w:val="00F719FB"/>
    <w:rsid w:val="00F72FCC"/>
    <w:rsid w:val="00F81069"/>
    <w:rsid w:val="00F86991"/>
    <w:rsid w:val="00FF52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3001A"/>
  <w15:chartTrackingRefBased/>
  <w15:docId w15:val="{183462FD-5750-4825-975C-3A7CC49E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rrafodelista"/>
    <w:next w:val="Normal"/>
    <w:link w:val="Ttulo1Car"/>
    <w:uiPriority w:val="9"/>
    <w:qFormat/>
    <w:rsid w:val="0026447C"/>
    <w:pPr>
      <w:numPr>
        <w:numId w:val="1"/>
      </w:numPr>
      <w:spacing w:line="276" w:lineRule="auto"/>
      <w:jc w:val="both"/>
      <w:outlineLvl w:val="0"/>
    </w:pPr>
    <w:rPr>
      <w:rFonts w:ascii="Arial Narrow" w:hAnsi="Arial Narrow" w:cs="Times New Roman"/>
      <w:b/>
      <w:sz w:val="24"/>
      <w:szCs w:val="24"/>
      <w:lang w:eastAsia="es-CO"/>
    </w:rPr>
  </w:style>
  <w:style w:type="paragraph" w:styleId="Ttulo2">
    <w:name w:val="heading 2"/>
    <w:basedOn w:val="Prrafodelista"/>
    <w:next w:val="Normal"/>
    <w:link w:val="Ttulo2Car"/>
    <w:uiPriority w:val="9"/>
    <w:unhideWhenUsed/>
    <w:qFormat/>
    <w:rsid w:val="0026447C"/>
    <w:pPr>
      <w:numPr>
        <w:ilvl w:val="1"/>
        <w:numId w:val="1"/>
      </w:numPr>
      <w:spacing w:line="276" w:lineRule="auto"/>
      <w:jc w:val="both"/>
      <w:outlineLvl w:val="1"/>
    </w:pPr>
    <w:rPr>
      <w:rFonts w:ascii="Arial Narrow" w:hAnsi="Arial Narrow" w:cs="Times New Roman"/>
      <w:b/>
      <w:sz w:val="24"/>
      <w:szCs w:val="24"/>
      <w:lang w:eastAsia="es-CO"/>
    </w:rPr>
  </w:style>
  <w:style w:type="paragraph" w:styleId="Ttulo3">
    <w:name w:val="heading 3"/>
    <w:basedOn w:val="Prrafodelista"/>
    <w:next w:val="Normal"/>
    <w:link w:val="Ttulo3Car"/>
    <w:uiPriority w:val="9"/>
    <w:unhideWhenUsed/>
    <w:qFormat/>
    <w:rsid w:val="0026447C"/>
    <w:pPr>
      <w:numPr>
        <w:ilvl w:val="2"/>
        <w:numId w:val="1"/>
      </w:numPr>
      <w:jc w:val="both"/>
      <w:outlineLvl w:val="2"/>
    </w:pPr>
    <w:rPr>
      <w:rFonts w:ascii="Arial Narrow" w:hAnsi="Arial Narrow" w:cs="Times New Roman"/>
      <w:b/>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770"/>
    <w:pPr>
      <w:ind w:left="720"/>
      <w:contextualSpacing/>
    </w:pPr>
  </w:style>
  <w:style w:type="paragraph" w:styleId="NormalWeb">
    <w:name w:val="Normal (Web)"/>
    <w:basedOn w:val="Normal"/>
    <w:uiPriority w:val="99"/>
    <w:semiHidden/>
    <w:unhideWhenUsed/>
    <w:rsid w:val="00D632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63248"/>
    <w:rPr>
      <w:b/>
      <w:bCs/>
    </w:rPr>
  </w:style>
  <w:style w:type="character" w:styleId="Hipervnculo">
    <w:name w:val="Hyperlink"/>
    <w:basedOn w:val="Fuentedeprrafopredeter"/>
    <w:uiPriority w:val="99"/>
    <w:unhideWhenUsed/>
    <w:rsid w:val="00D63248"/>
    <w:rPr>
      <w:color w:val="0000FF"/>
      <w:u w:val="single"/>
    </w:rPr>
  </w:style>
  <w:style w:type="character" w:styleId="Textodelmarcadordeposicin">
    <w:name w:val="Placeholder Text"/>
    <w:basedOn w:val="Fuentedeprrafopredeter"/>
    <w:uiPriority w:val="99"/>
    <w:semiHidden/>
    <w:rsid w:val="00F86991"/>
    <w:rPr>
      <w:color w:val="808080"/>
    </w:rPr>
  </w:style>
  <w:style w:type="paragraph" w:styleId="Encabezado">
    <w:name w:val="header"/>
    <w:basedOn w:val="Normal"/>
    <w:link w:val="EncabezadoCar"/>
    <w:uiPriority w:val="99"/>
    <w:unhideWhenUsed/>
    <w:rsid w:val="00752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215"/>
  </w:style>
  <w:style w:type="paragraph" w:styleId="Piedepgina">
    <w:name w:val="footer"/>
    <w:basedOn w:val="Normal"/>
    <w:link w:val="PiedepginaCar"/>
    <w:unhideWhenUsed/>
    <w:rsid w:val="00752215"/>
    <w:pPr>
      <w:tabs>
        <w:tab w:val="center" w:pos="4419"/>
        <w:tab w:val="right" w:pos="8838"/>
      </w:tabs>
      <w:spacing w:after="0" w:line="240" w:lineRule="auto"/>
    </w:pPr>
  </w:style>
  <w:style w:type="character" w:customStyle="1" w:styleId="PiedepginaCar">
    <w:name w:val="Pie de página Car"/>
    <w:basedOn w:val="Fuentedeprrafopredeter"/>
    <w:link w:val="Piedepgina"/>
    <w:rsid w:val="00752215"/>
  </w:style>
  <w:style w:type="paragraph" w:styleId="Textonotaalfinal">
    <w:name w:val="endnote text"/>
    <w:basedOn w:val="Normal"/>
    <w:link w:val="TextonotaalfinalCar"/>
    <w:uiPriority w:val="99"/>
    <w:semiHidden/>
    <w:unhideWhenUsed/>
    <w:rsid w:val="00240C2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40C25"/>
    <w:rPr>
      <w:sz w:val="20"/>
      <w:szCs w:val="20"/>
    </w:rPr>
  </w:style>
  <w:style w:type="character" w:styleId="Refdenotaalfinal">
    <w:name w:val="endnote reference"/>
    <w:basedOn w:val="Fuentedeprrafopredeter"/>
    <w:uiPriority w:val="99"/>
    <w:semiHidden/>
    <w:unhideWhenUsed/>
    <w:rsid w:val="00240C25"/>
    <w:rPr>
      <w:vertAlign w:val="superscript"/>
    </w:rPr>
  </w:style>
  <w:style w:type="paragraph" w:styleId="Textonotapie">
    <w:name w:val="footnote text"/>
    <w:basedOn w:val="Normal"/>
    <w:link w:val="TextonotapieCar"/>
    <w:uiPriority w:val="99"/>
    <w:semiHidden/>
    <w:unhideWhenUsed/>
    <w:rsid w:val="00240C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0C25"/>
    <w:rPr>
      <w:sz w:val="20"/>
      <w:szCs w:val="20"/>
    </w:rPr>
  </w:style>
  <w:style w:type="character" w:styleId="Refdenotaalpie">
    <w:name w:val="footnote reference"/>
    <w:basedOn w:val="Fuentedeprrafopredeter"/>
    <w:uiPriority w:val="99"/>
    <w:semiHidden/>
    <w:unhideWhenUsed/>
    <w:rsid w:val="00240C25"/>
    <w:rPr>
      <w:vertAlign w:val="superscript"/>
    </w:rPr>
  </w:style>
  <w:style w:type="character" w:customStyle="1" w:styleId="Ttulo1Car">
    <w:name w:val="Título 1 Car"/>
    <w:basedOn w:val="Fuentedeprrafopredeter"/>
    <w:link w:val="Ttulo1"/>
    <w:uiPriority w:val="9"/>
    <w:rsid w:val="0026447C"/>
    <w:rPr>
      <w:rFonts w:ascii="Arial Narrow" w:hAnsi="Arial Narrow" w:cs="Times New Roman"/>
      <w:b/>
      <w:sz w:val="24"/>
      <w:szCs w:val="24"/>
      <w:lang w:eastAsia="es-CO"/>
    </w:rPr>
  </w:style>
  <w:style w:type="character" w:customStyle="1" w:styleId="Ttulo2Car">
    <w:name w:val="Título 2 Car"/>
    <w:basedOn w:val="Fuentedeprrafopredeter"/>
    <w:link w:val="Ttulo2"/>
    <w:uiPriority w:val="9"/>
    <w:rsid w:val="0026447C"/>
    <w:rPr>
      <w:rFonts w:ascii="Arial Narrow" w:hAnsi="Arial Narrow" w:cs="Times New Roman"/>
      <w:b/>
      <w:sz w:val="24"/>
      <w:szCs w:val="24"/>
      <w:lang w:eastAsia="es-CO"/>
    </w:rPr>
  </w:style>
  <w:style w:type="character" w:customStyle="1" w:styleId="Ttulo3Car">
    <w:name w:val="Título 3 Car"/>
    <w:basedOn w:val="Fuentedeprrafopredeter"/>
    <w:link w:val="Ttulo3"/>
    <w:uiPriority w:val="9"/>
    <w:rsid w:val="0026447C"/>
    <w:rPr>
      <w:rFonts w:ascii="Arial Narrow" w:hAnsi="Arial Narrow" w:cs="Times New Roman"/>
      <w:b/>
      <w:sz w:val="24"/>
      <w:szCs w:val="24"/>
      <w:lang w:eastAsia="es-CO"/>
    </w:rPr>
  </w:style>
  <w:style w:type="paragraph" w:styleId="TtuloTDC">
    <w:name w:val="TOC Heading"/>
    <w:basedOn w:val="Ttulo1"/>
    <w:next w:val="Normal"/>
    <w:uiPriority w:val="39"/>
    <w:unhideWhenUsed/>
    <w:qFormat/>
    <w:rsid w:val="0026447C"/>
    <w:pPr>
      <w:keepNext/>
      <w:keepLines/>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26447C"/>
    <w:pPr>
      <w:spacing w:after="100"/>
    </w:pPr>
  </w:style>
  <w:style w:type="paragraph" w:styleId="TDC2">
    <w:name w:val="toc 2"/>
    <w:basedOn w:val="Normal"/>
    <w:next w:val="Normal"/>
    <w:autoRedefine/>
    <w:uiPriority w:val="39"/>
    <w:unhideWhenUsed/>
    <w:rsid w:val="0026447C"/>
    <w:pPr>
      <w:spacing w:after="100"/>
      <w:ind w:left="220"/>
    </w:pPr>
  </w:style>
  <w:style w:type="paragraph" w:styleId="TDC3">
    <w:name w:val="toc 3"/>
    <w:basedOn w:val="Normal"/>
    <w:next w:val="Normal"/>
    <w:autoRedefine/>
    <w:uiPriority w:val="39"/>
    <w:unhideWhenUsed/>
    <w:rsid w:val="002644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1826">
      <w:bodyDiv w:val="1"/>
      <w:marLeft w:val="0"/>
      <w:marRight w:val="0"/>
      <w:marTop w:val="0"/>
      <w:marBottom w:val="0"/>
      <w:divBdr>
        <w:top w:val="none" w:sz="0" w:space="0" w:color="auto"/>
        <w:left w:val="none" w:sz="0" w:space="0" w:color="auto"/>
        <w:bottom w:val="none" w:sz="0" w:space="0" w:color="auto"/>
        <w:right w:val="none" w:sz="0" w:space="0" w:color="auto"/>
      </w:divBdr>
    </w:div>
    <w:div w:id="1317801193">
      <w:bodyDiv w:val="1"/>
      <w:marLeft w:val="0"/>
      <w:marRight w:val="0"/>
      <w:marTop w:val="0"/>
      <w:marBottom w:val="0"/>
      <w:divBdr>
        <w:top w:val="none" w:sz="0" w:space="0" w:color="auto"/>
        <w:left w:val="none" w:sz="0" w:space="0" w:color="auto"/>
        <w:bottom w:val="none" w:sz="0" w:space="0" w:color="auto"/>
        <w:right w:val="none" w:sz="0" w:space="0" w:color="auto"/>
      </w:divBdr>
    </w:div>
    <w:div w:id="1450784834">
      <w:bodyDiv w:val="1"/>
      <w:marLeft w:val="0"/>
      <w:marRight w:val="0"/>
      <w:marTop w:val="0"/>
      <w:marBottom w:val="0"/>
      <w:divBdr>
        <w:top w:val="none" w:sz="0" w:space="0" w:color="auto"/>
        <w:left w:val="none" w:sz="0" w:space="0" w:color="auto"/>
        <w:bottom w:val="none" w:sz="0" w:space="0" w:color="auto"/>
        <w:right w:val="none" w:sz="0" w:space="0" w:color="auto"/>
      </w:divBdr>
    </w:div>
    <w:div w:id="19710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E9F3-2DA0-4098-A1C8-6849F24D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3151</Words>
  <Characters>17964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Catalina Cano Ramos</dc:creator>
  <cp:keywords/>
  <dc:description/>
  <cp:lastModifiedBy>Daissy Tatiana Santos Yate</cp:lastModifiedBy>
  <cp:revision>2</cp:revision>
  <dcterms:created xsi:type="dcterms:W3CDTF">2018-12-27T14:21:00Z</dcterms:created>
  <dcterms:modified xsi:type="dcterms:W3CDTF">2018-12-27T14:21:00Z</dcterms:modified>
</cp:coreProperties>
</file>