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FFA7A" w14:textId="77777777" w:rsidR="00932B30" w:rsidRPr="009A53B7" w:rsidRDefault="00932B30" w:rsidP="00932B30">
      <w:pPr>
        <w:jc w:val="both"/>
        <w:rPr>
          <w:rFonts w:ascii="Arial Narrow" w:hAnsi="Arial Narrow" w:cs="Arial"/>
          <w:i/>
          <w:color w:val="C00000"/>
          <w:sz w:val="24"/>
          <w:szCs w:val="24"/>
        </w:rPr>
      </w:pPr>
      <w:bookmarkStart w:id="0" w:name="_Toc126147374"/>
      <w:bookmarkStart w:id="1" w:name="_Toc126301040"/>
    </w:p>
    <w:p w14:paraId="51B8DB48" w14:textId="77777777" w:rsidR="00FE52EC" w:rsidRPr="009A53B7" w:rsidRDefault="00932B30" w:rsidP="00932B30">
      <w:pPr>
        <w:jc w:val="center"/>
        <w:rPr>
          <w:rFonts w:ascii="Arial Narrow" w:hAnsi="Arial Narrow" w:cs="Arial"/>
          <w:b/>
          <w:i/>
          <w:color w:val="C00000"/>
          <w:sz w:val="24"/>
          <w:szCs w:val="24"/>
        </w:rPr>
      </w:pPr>
      <w:r w:rsidRPr="009A53B7">
        <w:rPr>
          <w:rFonts w:ascii="Arial Narrow" w:hAnsi="Arial Narrow"/>
          <w:b/>
          <w:sz w:val="24"/>
          <w:szCs w:val="24"/>
        </w:rPr>
        <w:t>TA</w:t>
      </w:r>
      <w:r w:rsidR="00FE52EC" w:rsidRPr="009A53B7">
        <w:rPr>
          <w:rFonts w:ascii="Arial Narrow" w:hAnsi="Arial Narrow"/>
          <w:b/>
          <w:sz w:val="24"/>
          <w:szCs w:val="24"/>
        </w:rPr>
        <w:t>BLA DE CONTENIDO</w:t>
      </w:r>
    </w:p>
    <w:p w14:paraId="3BC14581" w14:textId="77777777" w:rsidR="00FE52EC" w:rsidRPr="009A53B7" w:rsidRDefault="00FE52EC" w:rsidP="00CB26AD">
      <w:pPr>
        <w:ind w:left="360"/>
        <w:jc w:val="both"/>
        <w:rPr>
          <w:rFonts w:ascii="Arial Narrow" w:hAnsi="Arial Narrow" w:cs="Arial"/>
          <w:b/>
          <w:sz w:val="24"/>
          <w:szCs w:val="24"/>
        </w:rPr>
      </w:pPr>
    </w:p>
    <w:p w14:paraId="0094325F" w14:textId="77777777" w:rsidR="008636B6" w:rsidRPr="009A53B7" w:rsidRDefault="008636B6" w:rsidP="00CB26AD">
      <w:pPr>
        <w:jc w:val="both"/>
        <w:rPr>
          <w:rFonts w:ascii="Arial Narrow" w:hAnsi="Arial Narrow" w:cs="Arial"/>
          <w:sz w:val="24"/>
          <w:szCs w:val="24"/>
        </w:rPr>
      </w:pPr>
    </w:p>
    <w:p w14:paraId="505D0515" w14:textId="77777777" w:rsidR="00AD5429" w:rsidRDefault="0094407F" w:rsidP="001823B9">
      <w:pPr>
        <w:pStyle w:val="TDC1"/>
        <w:rPr>
          <w:rFonts w:cs="Times New Roman"/>
          <w:color w:val="000000"/>
          <w:sz w:val="22"/>
          <w:szCs w:val="22"/>
          <w:lang w:val="es-CO" w:eastAsia="es-CO"/>
        </w:rPr>
      </w:pPr>
      <w:r>
        <w:rPr>
          <w:color w:val="000000"/>
          <w:szCs w:val="24"/>
        </w:rPr>
        <w:fldChar w:fldCharType="begin"/>
      </w:r>
      <w:r>
        <w:rPr>
          <w:color w:val="000000"/>
          <w:szCs w:val="24"/>
        </w:rPr>
        <w:instrText xml:space="preserve"> TOC \o "1-3" \h \z \u </w:instrText>
      </w:r>
      <w:r>
        <w:rPr>
          <w:color w:val="000000"/>
          <w:szCs w:val="24"/>
        </w:rPr>
        <w:fldChar w:fldCharType="separate"/>
      </w:r>
      <w:hyperlink w:anchor="_Toc10047328" w:history="1">
        <w:r w:rsidR="00AD5429">
          <w:rPr>
            <w:rStyle w:val="Hipervnculo"/>
            <w:color w:val="000000"/>
          </w:rPr>
          <w:t>1.</w:t>
        </w:r>
        <w:r w:rsidR="00AD5429">
          <w:rPr>
            <w:rFonts w:cs="Times New Roman"/>
            <w:color w:val="000000"/>
            <w:sz w:val="22"/>
            <w:szCs w:val="22"/>
            <w:lang w:val="es-CO" w:eastAsia="es-CO"/>
          </w:rPr>
          <w:tab/>
        </w:r>
        <w:r w:rsidR="00AD5429">
          <w:rPr>
            <w:rStyle w:val="Hipervnculo"/>
            <w:color w:val="000000"/>
          </w:rPr>
          <w:t>INTRODUCCIÓN</w:t>
        </w:r>
        <w:r w:rsidR="00AD5429">
          <w:rPr>
            <w:webHidden/>
            <w:color w:val="000000"/>
          </w:rPr>
          <w:tab/>
        </w:r>
        <w:r w:rsidR="00AD5429">
          <w:rPr>
            <w:webHidden/>
            <w:color w:val="000000"/>
          </w:rPr>
          <w:fldChar w:fldCharType="begin"/>
        </w:r>
        <w:r w:rsidR="00AD5429">
          <w:rPr>
            <w:webHidden/>
            <w:color w:val="000000"/>
          </w:rPr>
          <w:instrText xml:space="preserve"> PAGEREF _Toc10047328 \h </w:instrText>
        </w:r>
        <w:r w:rsidR="00AD5429">
          <w:rPr>
            <w:webHidden/>
            <w:color w:val="000000"/>
          </w:rPr>
        </w:r>
        <w:r w:rsidR="00AD5429">
          <w:rPr>
            <w:webHidden/>
            <w:color w:val="000000"/>
          </w:rPr>
          <w:fldChar w:fldCharType="separate"/>
        </w:r>
        <w:r w:rsidR="00CB443D">
          <w:rPr>
            <w:webHidden/>
            <w:color w:val="000000"/>
          </w:rPr>
          <w:t>2</w:t>
        </w:r>
        <w:r w:rsidR="00AD5429">
          <w:rPr>
            <w:webHidden/>
            <w:color w:val="000000"/>
          </w:rPr>
          <w:fldChar w:fldCharType="end"/>
        </w:r>
      </w:hyperlink>
    </w:p>
    <w:p w14:paraId="1B98D4AB" w14:textId="77777777" w:rsidR="00AD5429" w:rsidRDefault="00602D86" w:rsidP="001823B9">
      <w:pPr>
        <w:pStyle w:val="TDC1"/>
        <w:rPr>
          <w:rFonts w:cs="Times New Roman"/>
          <w:color w:val="000000"/>
          <w:sz w:val="22"/>
          <w:szCs w:val="22"/>
          <w:lang w:val="es-CO" w:eastAsia="es-CO"/>
        </w:rPr>
      </w:pPr>
      <w:hyperlink w:anchor="_Toc10047329" w:history="1">
        <w:r w:rsidR="00AD5429">
          <w:rPr>
            <w:rStyle w:val="Hipervnculo"/>
            <w:color w:val="000000"/>
          </w:rPr>
          <w:t>2.</w:t>
        </w:r>
        <w:r w:rsidR="00AD5429">
          <w:rPr>
            <w:rFonts w:cs="Times New Roman"/>
            <w:color w:val="000000"/>
            <w:sz w:val="22"/>
            <w:szCs w:val="22"/>
            <w:lang w:val="es-CO" w:eastAsia="es-CO"/>
          </w:rPr>
          <w:tab/>
        </w:r>
        <w:r w:rsidR="00AD5429">
          <w:rPr>
            <w:rStyle w:val="Hipervnculo"/>
            <w:color w:val="000000"/>
          </w:rPr>
          <w:t>OBJETIVO</w:t>
        </w:r>
        <w:r w:rsidR="00AD5429">
          <w:rPr>
            <w:webHidden/>
            <w:color w:val="000000"/>
          </w:rPr>
          <w:tab/>
        </w:r>
        <w:r w:rsidR="00AD5429">
          <w:rPr>
            <w:webHidden/>
            <w:color w:val="000000"/>
          </w:rPr>
          <w:fldChar w:fldCharType="begin"/>
        </w:r>
        <w:r w:rsidR="00AD5429">
          <w:rPr>
            <w:webHidden/>
            <w:color w:val="000000"/>
          </w:rPr>
          <w:instrText xml:space="preserve"> PAGEREF _Toc10047329 \h </w:instrText>
        </w:r>
        <w:r w:rsidR="00AD5429">
          <w:rPr>
            <w:webHidden/>
            <w:color w:val="000000"/>
          </w:rPr>
        </w:r>
        <w:r w:rsidR="00AD5429">
          <w:rPr>
            <w:webHidden/>
            <w:color w:val="000000"/>
          </w:rPr>
          <w:fldChar w:fldCharType="separate"/>
        </w:r>
        <w:r w:rsidR="00CB443D">
          <w:rPr>
            <w:webHidden/>
            <w:color w:val="000000"/>
          </w:rPr>
          <w:t>3</w:t>
        </w:r>
        <w:r w:rsidR="00AD5429">
          <w:rPr>
            <w:webHidden/>
            <w:color w:val="000000"/>
          </w:rPr>
          <w:fldChar w:fldCharType="end"/>
        </w:r>
      </w:hyperlink>
    </w:p>
    <w:p w14:paraId="5123617D" w14:textId="77777777" w:rsidR="00AD5429" w:rsidRDefault="00602D86">
      <w:pPr>
        <w:pStyle w:val="TDC2"/>
        <w:rPr>
          <w:rFonts w:ascii="Arial Narrow" w:hAnsi="Arial Narrow"/>
          <w:noProof/>
          <w:color w:val="000000"/>
          <w:sz w:val="22"/>
          <w:szCs w:val="22"/>
          <w:lang w:val="es-CO" w:eastAsia="es-CO"/>
        </w:rPr>
      </w:pPr>
      <w:hyperlink w:anchor="_Toc10047330" w:history="1">
        <w:r w:rsidR="00AD5429">
          <w:rPr>
            <w:rStyle w:val="Hipervnculo"/>
            <w:rFonts w:ascii="Arial Narrow" w:hAnsi="Arial Narrow"/>
            <w:noProof/>
            <w:color w:val="000000"/>
          </w:rPr>
          <w:t>2.1.</w:t>
        </w:r>
        <w:r w:rsidR="00AD5429">
          <w:rPr>
            <w:rFonts w:ascii="Arial Narrow" w:hAnsi="Arial Narrow"/>
            <w:noProof/>
            <w:color w:val="000000"/>
            <w:sz w:val="22"/>
            <w:szCs w:val="22"/>
            <w:lang w:val="es-CO" w:eastAsia="es-CO"/>
          </w:rPr>
          <w:tab/>
        </w:r>
        <w:r w:rsidR="00AD5429">
          <w:rPr>
            <w:rStyle w:val="Hipervnculo"/>
            <w:rFonts w:ascii="Arial Narrow" w:hAnsi="Arial Narrow"/>
            <w:noProof/>
            <w:color w:val="000000"/>
          </w:rPr>
          <w:t>Objetivos Específicos</w:t>
        </w:r>
        <w:r w:rsidR="00AD5429">
          <w:rPr>
            <w:rFonts w:ascii="Arial Narrow" w:hAnsi="Arial Narrow"/>
            <w:noProof/>
            <w:webHidden/>
            <w:color w:val="000000"/>
          </w:rPr>
          <w:tab/>
        </w:r>
        <w:r w:rsidR="00AD5429">
          <w:rPr>
            <w:rFonts w:ascii="Arial Narrow" w:hAnsi="Arial Narrow"/>
            <w:noProof/>
            <w:webHidden/>
            <w:color w:val="000000"/>
          </w:rPr>
          <w:fldChar w:fldCharType="begin"/>
        </w:r>
        <w:r w:rsidR="00AD5429">
          <w:rPr>
            <w:rFonts w:ascii="Arial Narrow" w:hAnsi="Arial Narrow"/>
            <w:noProof/>
            <w:webHidden/>
            <w:color w:val="000000"/>
          </w:rPr>
          <w:instrText xml:space="preserve"> PAGEREF _Toc10047330 \h </w:instrText>
        </w:r>
        <w:r w:rsidR="00AD5429">
          <w:rPr>
            <w:rFonts w:ascii="Arial Narrow" w:hAnsi="Arial Narrow"/>
            <w:noProof/>
            <w:webHidden/>
            <w:color w:val="000000"/>
          </w:rPr>
        </w:r>
        <w:r w:rsidR="00AD5429">
          <w:rPr>
            <w:rFonts w:ascii="Arial Narrow" w:hAnsi="Arial Narrow"/>
            <w:noProof/>
            <w:webHidden/>
            <w:color w:val="000000"/>
          </w:rPr>
          <w:fldChar w:fldCharType="separate"/>
        </w:r>
        <w:r w:rsidR="00CB443D">
          <w:rPr>
            <w:rFonts w:ascii="Arial Narrow" w:hAnsi="Arial Narrow"/>
            <w:noProof/>
            <w:webHidden/>
            <w:color w:val="000000"/>
          </w:rPr>
          <w:t>3</w:t>
        </w:r>
        <w:r w:rsidR="00AD5429">
          <w:rPr>
            <w:rFonts w:ascii="Arial Narrow" w:hAnsi="Arial Narrow"/>
            <w:noProof/>
            <w:webHidden/>
            <w:color w:val="000000"/>
          </w:rPr>
          <w:fldChar w:fldCharType="end"/>
        </w:r>
      </w:hyperlink>
    </w:p>
    <w:p w14:paraId="555FC92F" w14:textId="77777777" w:rsidR="00AD5429" w:rsidRDefault="00602D86" w:rsidP="001823B9">
      <w:pPr>
        <w:pStyle w:val="TDC1"/>
        <w:rPr>
          <w:rFonts w:cs="Times New Roman"/>
          <w:color w:val="000000"/>
          <w:sz w:val="22"/>
          <w:szCs w:val="22"/>
          <w:lang w:val="es-CO" w:eastAsia="es-CO"/>
        </w:rPr>
      </w:pPr>
      <w:hyperlink w:anchor="_Toc10047331" w:history="1">
        <w:r w:rsidR="00AD5429">
          <w:rPr>
            <w:rStyle w:val="Hipervnculo"/>
            <w:color w:val="000000"/>
          </w:rPr>
          <w:t>3.</w:t>
        </w:r>
        <w:r w:rsidR="00AD5429">
          <w:rPr>
            <w:rFonts w:cs="Times New Roman"/>
            <w:color w:val="000000"/>
            <w:sz w:val="22"/>
            <w:szCs w:val="22"/>
            <w:lang w:val="es-CO" w:eastAsia="es-CO"/>
          </w:rPr>
          <w:tab/>
        </w:r>
        <w:r w:rsidR="00AD5429">
          <w:rPr>
            <w:rStyle w:val="Hipervnculo"/>
            <w:color w:val="000000"/>
          </w:rPr>
          <w:t>ALCANCE</w:t>
        </w:r>
        <w:r w:rsidR="00AD5429">
          <w:rPr>
            <w:webHidden/>
            <w:color w:val="000000"/>
          </w:rPr>
          <w:tab/>
        </w:r>
        <w:r w:rsidR="00AD5429">
          <w:rPr>
            <w:webHidden/>
            <w:color w:val="000000"/>
          </w:rPr>
          <w:fldChar w:fldCharType="begin"/>
        </w:r>
        <w:r w:rsidR="00AD5429">
          <w:rPr>
            <w:webHidden/>
            <w:color w:val="000000"/>
          </w:rPr>
          <w:instrText xml:space="preserve"> PAGEREF _Toc10047331 \h </w:instrText>
        </w:r>
        <w:r w:rsidR="00AD5429">
          <w:rPr>
            <w:webHidden/>
            <w:color w:val="000000"/>
          </w:rPr>
        </w:r>
        <w:r w:rsidR="00AD5429">
          <w:rPr>
            <w:webHidden/>
            <w:color w:val="000000"/>
          </w:rPr>
          <w:fldChar w:fldCharType="separate"/>
        </w:r>
        <w:r w:rsidR="00CB443D">
          <w:rPr>
            <w:webHidden/>
            <w:color w:val="000000"/>
          </w:rPr>
          <w:t>3</w:t>
        </w:r>
        <w:r w:rsidR="00AD5429">
          <w:rPr>
            <w:webHidden/>
            <w:color w:val="000000"/>
          </w:rPr>
          <w:fldChar w:fldCharType="end"/>
        </w:r>
      </w:hyperlink>
    </w:p>
    <w:p w14:paraId="56B5E292" w14:textId="77777777" w:rsidR="00AD5429" w:rsidRDefault="00602D86" w:rsidP="001823B9">
      <w:pPr>
        <w:pStyle w:val="TDC1"/>
        <w:rPr>
          <w:rFonts w:cs="Times New Roman"/>
          <w:color w:val="000000"/>
          <w:sz w:val="22"/>
          <w:szCs w:val="22"/>
          <w:lang w:val="es-CO" w:eastAsia="es-CO"/>
        </w:rPr>
      </w:pPr>
      <w:hyperlink w:anchor="_Toc10047332" w:history="1">
        <w:r w:rsidR="00AD5429">
          <w:rPr>
            <w:rStyle w:val="Hipervnculo"/>
            <w:color w:val="000000"/>
          </w:rPr>
          <w:t>4.</w:t>
        </w:r>
        <w:r w:rsidR="00AD5429">
          <w:rPr>
            <w:rFonts w:cs="Times New Roman"/>
            <w:color w:val="000000"/>
            <w:sz w:val="22"/>
            <w:szCs w:val="22"/>
            <w:lang w:val="es-CO" w:eastAsia="es-CO"/>
          </w:rPr>
          <w:tab/>
        </w:r>
        <w:r w:rsidR="00AD5429">
          <w:rPr>
            <w:rStyle w:val="Hipervnculo"/>
            <w:color w:val="000000"/>
          </w:rPr>
          <w:t>PRODUCTOS ESPERADOS</w:t>
        </w:r>
        <w:r w:rsidR="00AD5429">
          <w:rPr>
            <w:webHidden/>
            <w:color w:val="000000"/>
          </w:rPr>
          <w:tab/>
        </w:r>
        <w:r w:rsidR="00AD5429">
          <w:rPr>
            <w:webHidden/>
            <w:color w:val="000000"/>
          </w:rPr>
          <w:fldChar w:fldCharType="begin"/>
        </w:r>
        <w:r w:rsidR="00AD5429">
          <w:rPr>
            <w:webHidden/>
            <w:color w:val="000000"/>
          </w:rPr>
          <w:instrText xml:space="preserve"> PAGEREF _Toc10047332 \h </w:instrText>
        </w:r>
        <w:r w:rsidR="00AD5429">
          <w:rPr>
            <w:webHidden/>
            <w:color w:val="000000"/>
          </w:rPr>
        </w:r>
        <w:r w:rsidR="00AD5429">
          <w:rPr>
            <w:webHidden/>
            <w:color w:val="000000"/>
          </w:rPr>
          <w:fldChar w:fldCharType="separate"/>
        </w:r>
        <w:r w:rsidR="00CB443D">
          <w:rPr>
            <w:webHidden/>
            <w:color w:val="000000"/>
          </w:rPr>
          <w:t>3</w:t>
        </w:r>
        <w:r w:rsidR="00AD5429">
          <w:rPr>
            <w:webHidden/>
            <w:color w:val="000000"/>
          </w:rPr>
          <w:fldChar w:fldCharType="end"/>
        </w:r>
      </w:hyperlink>
    </w:p>
    <w:p w14:paraId="1AC1D45B" w14:textId="77777777" w:rsidR="00AD5429" w:rsidRDefault="00602D86" w:rsidP="001823B9">
      <w:pPr>
        <w:pStyle w:val="TDC1"/>
        <w:rPr>
          <w:rFonts w:cs="Times New Roman"/>
          <w:color w:val="000000"/>
          <w:sz w:val="22"/>
          <w:szCs w:val="22"/>
          <w:lang w:val="es-CO" w:eastAsia="es-CO"/>
        </w:rPr>
      </w:pPr>
      <w:hyperlink w:anchor="_Toc10047333" w:history="1">
        <w:r w:rsidR="00AD5429">
          <w:rPr>
            <w:rStyle w:val="Hipervnculo"/>
            <w:color w:val="000000"/>
          </w:rPr>
          <w:t>5.</w:t>
        </w:r>
        <w:r w:rsidR="00AD5429">
          <w:rPr>
            <w:rFonts w:cs="Times New Roman"/>
            <w:color w:val="000000"/>
            <w:sz w:val="22"/>
            <w:szCs w:val="22"/>
            <w:lang w:val="es-CO" w:eastAsia="es-CO"/>
          </w:rPr>
          <w:tab/>
        </w:r>
        <w:r w:rsidR="00AD5429">
          <w:rPr>
            <w:rStyle w:val="Hipervnculo"/>
            <w:color w:val="000000"/>
          </w:rPr>
          <w:t>TÉRMINOS Y DEFINICIONES</w:t>
        </w:r>
        <w:r w:rsidR="00AD5429">
          <w:rPr>
            <w:webHidden/>
            <w:color w:val="000000"/>
          </w:rPr>
          <w:tab/>
        </w:r>
        <w:r w:rsidR="00AD5429">
          <w:rPr>
            <w:webHidden/>
            <w:color w:val="000000"/>
          </w:rPr>
          <w:fldChar w:fldCharType="begin"/>
        </w:r>
        <w:r w:rsidR="00AD5429">
          <w:rPr>
            <w:webHidden/>
            <w:color w:val="000000"/>
          </w:rPr>
          <w:instrText xml:space="preserve"> PAGEREF _Toc10047333 \h </w:instrText>
        </w:r>
        <w:r w:rsidR="00AD5429">
          <w:rPr>
            <w:webHidden/>
            <w:color w:val="000000"/>
          </w:rPr>
        </w:r>
        <w:r w:rsidR="00AD5429">
          <w:rPr>
            <w:webHidden/>
            <w:color w:val="000000"/>
          </w:rPr>
          <w:fldChar w:fldCharType="separate"/>
        </w:r>
        <w:r w:rsidR="00CB443D">
          <w:rPr>
            <w:webHidden/>
            <w:color w:val="000000"/>
          </w:rPr>
          <w:t>4</w:t>
        </w:r>
        <w:r w:rsidR="00AD5429">
          <w:rPr>
            <w:webHidden/>
            <w:color w:val="000000"/>
          </w:rPr>
          <w:fldChar w:fldCharType="end"/>
        </w:r>
      </w:hyperlink>
    </w:p>
    <w:p w14:paraId="18FC6E51" w14:textId="77777777" w:rsidR="00AD5429" w:rsidRDefault="00602D86" w:rsidP="001823B9">
      <w:pPr>
        <w:pStyle w:val="TDC1"/>
        <w:rPr>
          <w:rFonts w:cs="Times New Roman"/>
          <w:color w:val="000000"/>
          <w:sz w:val="22"/>
          <w:szCs w:val="22"/>
          <w:lang w:val="es-CO" w:eastAsia="es-CO"/>
        </w:rPr>
      </w:pPr>
      <w:hyperlink w:anchor="_Toc10047334" w:history="1">
        <w:r w:rsidR="00AD5429">
          <w:rPr>
            <w:rStyle w:val="Hipervnculo"/>
            <w:color w:val="000000"/>
          </w:rPr>
          <w:t>6.</w:t>
        </w:r>
        <w:r w:rsidR="00AD5429">
          <w:rPr>
            <w:rFonts w:cs="Times New Roman"/>
            <w:color w:val="000000"/>
            <w:sz w:val="22"/>
            <w:szCs w:val="22"/>
            <w:lang w:val="es-CO" w:eastAsia="es-CO"/>
          </w:rPr>
          <w:tab/>
        </w:r>
        <w:r w:rsidR="00AD5429">
          <w:rPr>
            <w:rStyle w:val="Hipervnculo"/>
            <w:color w:val="000000"/>
          </w:rPr>
          <w:t>DESARROLLO TÉCNICO DEL DOCUMENTO</w:t>
        </w:r>
        <w:r w:rsidR="00AD5429">
          <w:rPr>
            <w:webHidden/>
            <w:color w:val="000000"/>
          </w:rPr>
          <w:tab/>
        </w:r>
        <w:r w:rsidR="00AD5429">
          <w:rPr>
            <w:webHidden/>
            <w:color w:val="000000"/>
          </w:rPr>
          <w:fldChar w:fldCharType="begin"/>
        </w:r>
        <w:r w:rsidR="00AD5429">
          <w:rPr>
            <w:webHidden/>
            <w:color w:val="000000"/>
          </w:rPr>
          <w:instrText xml:space="preserve"> PAGEREF _Toc10047334 \h </w:instrText>
        </w:r>
        <w:r w:rsidR="00AD5429">
          <w:rPr>
            <w:webHidden/>
            <w:color w:val="000000"/>
          </w:rPr>
        </w:r>
        <w:r w:rsidR="00AD5429">
          <w:rPr>
            <w:webHidden/>
            <w:color w:val="000000"/>
          </w:rPr>
          <w:fldChar w:fldCharType="separate"/>
        </w:r>
        <w:r w:rsidR="00CB443D">
          <w:rPr>
            <w:webHidden/>
            <w:color w:val="000000"/>
          </w:rPr>
          <w:t>5</w:t>
        </w:r>
        <w:r w:rsidR="00AD5429">
          <w:rPr>
            <w:webHidden/>
            <w:color w:val="000000"/>
          </w:rPr>
          <w:fldChar w:fldCharType="end"/>
        </w:r>
      </w:hyperlink>
    </w:p>
    <w:p w14:paraId="2720E94D" w14:textId="77777777" w:rsidR="00AD5429" w:rsidRDefault="00602D86">
      <w:pPr>
        <w:pStyle w:val="TDC2"/>
        <w:rPr>
          <w:rFonts w:ascii="Arial Narrow" w:hAnsi="Arial Narrow"/>
          <w:noProof/>
          <w:color w:val="000000"/>
          <w:sz w:val="22"/>
          <w:szCs w:val="22"/>
          <w:lang w:val="es-CO" w:eastAsia="es-CO"/>
        </w:rPr>
      </w:pPr>
      <w:hyperlink w:anchor="_Toc10047335" w:history="1">
        <w:r w:rsidR="00AD5429">
          <w:rPr>
            <w:rStyle w:val="Hipervnculo"/>
            <w:rFonts w:ascii="Arial Narrow" w:hAnsi="Arial Narrow"/>
            <w:noProof/>
            <w:color w:val="000000"/>
          </w:rPr>
          <w:t>6.1.</w:t>
        </w:r>
        <w:r w:rsidR="00AD5429">
          <w:rPr>
            <w:rFonts w:ascii="Arial Narrow" w:hAnsi="Arial Narrow"/>
            <w:noProof/>
            <w:color w:val="000000"/>
            <w:sz w:val="22"/>
            <w:szCs w:val="22"/>
            <w:lang w:val="es-CO" w:eastAsia="es-CO"/>
          </w:rPr>
          <w:tab/>
        </w:r>
        <w:r w:rsidR="00AD5429">
          <w:rPr>
            <w:rStyle w:val="Hipervnculo"/>
            <w:rFonts w:ascii="Arial Narrow" w:hAnsi="Arial Narrow"/>
            <w:noProof/>
            <w:color w:val="000000"/>
          </w:rPr>
          <w:t>Procesos de enajenación enmarcados en los dispuesto en la Ley 226 de 1995</w:t>
        </w:r>
        <w:r w:rsidR="00AD5429">
          <w:rPr>
            <w:rFonts w:ascii="Arial Narrow" w:hAnsi="Arial Narrow"/>
            <w:noProof/>
            <w:webHidden/>
            <w:color w:val="000000"/>
          </w:rPr>
          <w:tab/>
        </w:r>
        <w:r w:rsidR="00AD5429">
          <w:rPr>
            <w:rFonts w:ascii="Arial Narrow" w:hAnsi="Arial Narrow"/>
            <w:noProof/>
            <w:webHidden/>
            <w:color w:val="000000"/>
          </w:rPr>
          <w:fldChar w:fldCharType="begin"/>
        </w:r>
        <w:r w:rsidR="00AD5429">
          <w:rPr>
            <w:rFonts w:ascii="Arial Narrow" w:hAnsi="Arial Narrow"/>
            <w:noProof/>
            <w:webHidden/>
            <w:color w:val="000000"/>
          </w:rPr>
          <w:instrText xml:space="preserve"> PAGEREF _Toc10047335 \h </w:instrText>
        </w:r>
        <w:r w:rsidR="00AD5429">
          <w:rPr>
            <w:rFonts w:ascii="Arial Narrow" w:hAnsi="Arial Narrow"/>
            <w:noProof/>
            <w:webHidden/>
            <w:color w:val="000000"/>
          </w:rPr>
        </w:r>
        <w:r w:rsidR="00AD5429">
          <w:rPr>
            <w:rFonts w:ascii="Arial Narrow" w:hAnsi="Arial Narrow"/>
            <w:noProof/>
            <w:webHidden/>
            <w:color w:val="000000"/>
          </w:rPr>
          <w:fldChar w:fldCharType="separate"/>
        </w:r>
        <w:r w:rsidR="00CB443D">
          <w:rPr>
            <w:rFonts w:ascii="Arial Narrow" w:hAnsi="Arial Narrow"/>
            <w:noProof/>
            <w:webHidden/>
            <w:color w:val="000000"/>
          </w:rPr>
          <w:t>6</w:t>
        </w:r>
        <w:r w:rsidR="00AD5429">
          <w:rPr>
            <w:rFonts w:ascii="Arial Narrow" w:hAnsi="Arial Narrow"/>
            <w:noProof/>
            <w:webHidden/>
            <w:color w:val="000000"/>
          </w:rPr>
          <w:fldChar w:fldCharType="end"/>
        </w:r>
      </w:hyperlink>
    </w:p>
    <w:p w14:paraId="34A2FA94" w14:textId="77777777" w:rsidR="00AD5429" w:rsidRDefault="00602D86">
      <w:pPr>
        <w:pStyle w:val="TDC3"/>
        <w:tabs>
          <w:tab w:val="left" w:pos="1100"/>
          <w:tab w:val="right" w:leader="dot" w:pos="8830"/>
        </w:tabs>
        <w:rPr>
          <w:rFonts w:ascii="Arial Narrow" w:hAnsi="Arial Narrow"/>
          <w:noProof/>
          <w:color w:val="000000"/>
          <w:sz w:val="22"/>
          <w:szCs w:val="22"/>
          <w:lang w:val="es-CO" w:eastAsia="es-CO"/>
        </w:rPr>
      </w:pPr>
      <w:hyperlink w:anchor="_Toc10047336" w:history="1">
        <w:r w:rsidR="00AD5429">
          <w:rPr>
            <w:rStyle w:val="Hipervnculo"/>
            <w:rFonts w:ascii="Arial Narrow" w:hAnsi="Arial Narrow"/>
            <w:b/>
            <w:noProof/>
            <w:color w:val="000000"/>
          </w:rPr>
          <w:t>6.1.1.</w:t>
        </w:r>
        <w:r w:rsidR="00AD5429">
          <w:rPr>
            <w:rFonts w:ascii="Arial Narrow" w:hAnsi="Arial Narrow"/>
            <w:noProof/>
            <w:color w:val="000000"/>
            <w:sz w:val="22"/>
            <w:szCs w:val="22"/>
            <w:lang w:val="es-CO" w:eastAsia="es-CO"/>
          </w:rPr>
          <w:tab/>
        </w:r>
        <w:r w:rsidR="00AD5429">
          <w:rPr>
            <w:rStyle w:val="Hipervnculo"/>
            <w:rFonts w:ascii="Arial Narrow" w:hAnsi="Arial Narrow"/>
            <w:b/>
            <w:noProof/>
            <w:color w:val="000000"/>
          </w:rPr>
          <w:t>Preparación y estructuración del programa de enajenación:</w:t>
        </w:r>
        <w:r w:rsidR="00AD5429">
          <w:rPr>
            <w:rFonts w:ascii="Arial Narrow" w:hAnsi="Arial Narrow"/>
            <w:noProof/>
            <w:webHidden/>
            <w:color w:val="000000"/>
          </w:rPr>
          <w:tab/>
        </w:r>
        <w:r w:rsidR="00AD5429">
          <w:rPr>
            <w:rFonts w:ascii="Arial Narrow" w:hAnsi="Arial Narrow"/>
            <w:noProof/>
            <w:webHidden/>
            <w:color w:val="000000"/>
          </w:rPr>
          <w:fldChar w:fldCharType="begin"/>
        </w:r>
        <w:r w:rsidR="00AD5429">
          <w:rPr>
            <w:rFonts w:ascii="Arial Narrow" w:hAnsi="Arial Narrow"/>
            <w:noProof/>
            <w:webHidden/>
            <w:color w:val="000000"/>
          </w:rPr>
          <w:instrText xml:space="preserve"> PAGEREF _Toc10047336 \h </w:instrText>
        </w:r>
        <w:r w:rsidR="00AD5429">
          <w:rPr>
            <w:rFonts w:ascii="Arial Narrow" w:hAnsi="Arial Narrow"/>
            <w:noProof/>
            <w:webHidden/>
            <w:color w:val="000000"/>
          </w:rPr>
        </w:r>
        <w:r w:rsidR="00AD5429">
          <w:rPr>
            <w:rFonts w:ascii="Arial Narrow" w:hAnsi="Arial Narrow"/>
            <w:noProof/>
            <w:webHidden/>
            <w:color w:val="000000"/>
          </w:rPr>
          <w:fldChar w:fldCharType="separate"/>
        </w:r>
        <w:r w:rsidR="00CB443D">
          <w:rPr>
            <w:rFonts w:ascii="Arial Narrow" w:hAnsi="Arial Narrow"/>
            <w:noProof/>
            <w:webHidden/>
            <w:color w:val="000000"/>
          </w:rPr>
          <w:t>6</w:t>
        </w:r>
        <w:r w:rsidR="00AD5429">
          <w:rPr>
            <w:rFonts w:ascii="Arial Narrow" w:hAnsi="Arial Narrow"/>
            <w:noProof/>
            <w:webHidden/>
            <w:color w:val="000000"/>
          </w:rPr>
          <w:fldChar w:fldCharType="end"/>
        </w:r>
      </w:hyperlink>
    </w:p>
    <w:p w14:paraId="6B73BDCE" w14:textId="77777777" w:rsidR="00AD5429" w:rsidRDefault="00602D86">
      <w:pPr>
        <w:pStyle w:val="TDC3"/>
        <w:tabs>
          <w:tab w:val="left" w:pos="1100"/>
          <w:tab w:val="right" w:leader="dot" w:pos="8830"/>
        </w:tabs>
        <w:rPr>
          <w:rFonts w:ascii="Arial Narrow" w:hAnsi="Arial Narrow"/>
          <w:noProof/>
          <w:color w:val="000000"/>
          <w:sz w:val="22"/>
          <w:szCs w:val="22"/>
          <w:lang w:val="es-CO" w:eastAsia="es-CO"/>
        </w:rPr>
      </w:pPr>
      <w:hyperlink w:anchor="_Toc10047337" w:history="1">
        <w:r w:rsidR="00AD5429">
          <w:rPr>
            <w:rStyle w:val="Hipervnculo"/>
            <w:rFonts w:ascii="Arial Narrow" w:hAnsi="Arial Narrow"/>
            <w:b/>
            <w:noProof/>
            <w:color w:val="000000"/>
          </w:rPr>
          <w:t>6.1.2.</w:t>
        </w:r>
        <w:r w:rsidR="00AD5429">
          <w:rPr>
            <w:rFonts w:ascii="Arial Narrow" w:hAnsi="Arial Narrow"/>
            <w:noProof/>
            <w:color w:val="000000"/>
            <w:sz w:val="22"/>
            <w:szCs w:val="22"/>
            <w:lang w:val="es-CO" w:eastAsia="es-CO"/>
          </w:rPr>
          <w:tab/>
        </w:r>
        <w:r w:rsidR="00AD5429">
          <w:rPr>
            <w:rStyle w:val="Hipervnculo"/>
            <w:rFonts w:ascii="Arial Narrow" w:hAnsi="Arial Narrow"/>
            <w:b/>
            <w:noProof/>
            <w:color w:val="000000"/>
          </w:rPr>
          <w:t>Recomendaciones generales para la preparación del programa de enajenación:</w:t>
        </w:r>
        <w:r w:rsidR="00AD5429">
          <w:rPr>
            <w:rFonts w:ascii="Arial Narrow" w:hAnsi="Arial Narrow"/>
            <w:noProof/>
            <w:webHidden/>
            <w:color w:val="000000"/>
          </w:rPr>
          <w:tab/>
        </w:r>
        <w:r w:rsidR="00AD5429">
          <w:rPr>
            <w:rFonts w:ascii="Arial Narrow" w:hAnsi="Arial Narrow"/>
            <w:noProof/>
            <w:webHidden/>
            <w:color w:val="000000"/>
          </w:rPr>
          <w:fldChar w:fldCharType="begin"/>
        </w:r>
        <w:r w:rsidR="00AD5429">
          <w:rPr>
            <w:rFonts w:ascii="Arial Narrow" w:hAnsi="Arial Narrow"/>
            <w:noProof/>
            <w:webHidden/>
            <w:color w:val="000000"/>
          </w:rPr>
          <w:instrText xml:space="preserve"> PAGEREF _Toc10047337 \h </w:instrText>
        </w:r>
        <w:r w:rsidR="00AD5429">
          <w:rPr>
            <w:rFonts w:ascii="Arial Narrow" w:hAnsi="Arial Narrow"/>
            <w:noProof/>
            <w:webHidden/>
            <w:color w:val="000000"/>
          </w:rPr>
        </w:r>
        <w:r w:rsidR="00AD5429">
          <w:rPr>
            <w:rFonts w:ascii="Arial Narrow" w:hAnsi="Arial Narrow"/>
            <w:noProof/>
            <w:webHidden/>
            <w:color w:val="000000"/>
          </w:rPr>
          <w:fldChar w:fldCharType="separate"/>
        </w:r>
        <w:r w:rsidR="00CB443D">
          <w:rPr>
            <w:rFonts w:ascii="Arial Narrow" w:hAnsi="Arial Narrow"/>
            <w:noProof/>
            <w:webHidden/>
            <w:color w:val="000000"/>
          </w:rPr>
          <w:t>10</w:t>
        </w:r>
        <w:r w:rsidR="00AD5429">
          <w:rPr>
            <w:rFonts w:ascii="Arial Narrow" w:hAnsi="Arial Narrow"/>
            <w:noProof/>
            <w:webHidden/>
            <w:color w:val="000000"/>
          </w:rPr>
          <w:fldChar w:fldCharType="end"/>
        </w:r>
      </w:hyperlink>
    </w:p>
    <w:p w14:paraId="524570F6" w14:textId="77777777" w:rsidR="00AD5429" w:rsidRDefault="00602D86">
      <w:pPr>
        <w:pStyle w:val="TDC2"/>
        <w:rPr>
          <w:rFonts w:ascii="Arial Narrow" w:hAnsi="Arial Narrow"/>
          <w:noProof/>
          <w:color w:val="000000"/>
          <w:sz w:val="22"/>
          <w:szCs w:val="22"/>
          <w:lang w:val="es-CO" w:eastAsia="es-CO"/>
        </w:rPr>
      </w:pPr>
      <w:hyperlink w:anchor="_Toc10047338" w:history="1">
        <w:r w:rsidR="00AD5429">
          <w:rPr>
            <w:rStyle w:val="Hipervnculo"/>
            <w:rFonts w:ascii="Arial Narrow" w:hAnsi="Arial Narrow"/>
            <w:noProof/>
            <w:color w:val="000000"/>
          </w:rPr>
          <w:t>6.2.</w:t>
        </w:r>
        <w:r w:rsidR="00AD5429">
          <w:rPr>
            <w:rFonts w:ascii="Arial Narrow" w:hAnsi="Arial Narrow"/>
            <w:noProof/>
            <w:color w:val="000000"/>
            <w:sz w:val="22"/>
            <w:szCs w:val="22"/>
            <w:lang w:val="es-CO" w:eastAsia="es-CO"/>
          </w:rPr>
          <w:tab/>
        </w:r>
        <w:r w:rsidR="00AD5429">
          <w:rPr>
            <w:rStyle w:val="Hipervnculo"/>
            <w:rFonts w:ascii="Arial Narrow" w:hAnsi="Arial Narrow"/>
            <w:noProof/>
            <w:color w:val="000000"/>
          </w:rPr>
          <w:t xml:space="preserve">Procesos de enajenación </w:t>
        </w:r>
        <w:r w:rsidR="00AD5429">
          <w:rPr>
            <w:rStyle w:val="Hipervnculo"/>
            <w:rFonts w:ascii="Arial Narrow" w:hAnsi="Arial Narrow" w:cs="Arial"/>
            <w:noProof/>
            <w:color w:val="000000"/>
          </w:rPr>
          <w:t>enmarcados en lo dispuesto en el artículo 162 de la Ley 1753 de 2015, modificado por el artículo 45 de la Ley del Plan Nacional de Desarrollo 2018-2022:</w:t>
        </w:r>
        <w:r w:rsidR="00AD5429">
          <w:rPr>
            <w:rFonts w:ascii="Arial Narrow" w:hAnsi="Arial Narrow"/>
            <w:noProof/>
            <w:webHidden/>
            <w:color w:val="000000"/>
          </w:rPr>
          <w:tab/>
        </w:r>
        <w:r w:rsidR="00AD5429">
          <w:rPr>
            <w:rFonts w:ascii="Arial Narrow" w:hAnsi="Arial Narrow"/>
            <w:noProof/>
            <w:webHidden/>
            <w:color w:val="000000"/>
          </w:rPr>
          <w:fldChar w:fldCharType="begin"/>
        </w:r>
        <w:r w:rsidR="00AD5429">
          <w:rPr>
            <w:rFonts w:ascii="Arial Narrow" w:hAnsi="Arial Narrow"/>
            <w:noProof/>
            <w:webHidden/>
            <w:color w:val="000000"/>
          </w:rPr>
          <w:instrText xml:space="preserve"> PAGEREF _Toc10047338 \h </w:instrText>
        </w:r>
        <w:r w:rsidR="00AD5429">
          <w:rPr>
            <w:rFonts w:ascii="Arial Narrow" w:hAnsi="Arial Narrow"/>
            <w:noProof/>
            <w:webHidden/>
            <w:color w:val="000000"/>
          </w:rPr>
        </w:r>
        <w:r w:rsidR="00AD5429">
          <w:rPr>
            <w:rFonts w:ascii="Arial Narrow" w:hAnsi="Arial Narrow"/>
            <w:noProof/>
            <w:webHidden/>
            <w:color w:val="000000"/>
          </w:rPr>
          <w:fldChar w:fldCharType="separate"/>
        </w:r>
        <w:r w:rsidR="00CB443D">
          <w:rPr>
            <w:rFonts w:ascii="Arial Narrow" w:hAnsi="Arial Narrow"/>
            <w:noProof/>
            <w:webHidden/>
            <w:color w:val="000000"/>
          </w:rPr>
          <w:t>11</w:t>
        </w:r>
        <w:r w:rsidR="00AD5429">
          <w:rPr>
            <w:rFonts w:ascii="Arial Narrow" w:hAnsi="Arial Narrow"/>
            <w:noProof/>
            <w:webHidden/>
            <w:color w:val="000000"/>
          </w:rPr>
          <w:fldChar w:fldCharType="end"/>
        </w:r>
      </w:hyperlink>
    </w:p>
    <w:p w14:paraId="4D0B6136" w14:textId="77777777" w:rsidR="00AD5429" w:rsidRDefault="00602D86">
      <w:pPr>
        <w:pStyle w:val="TDC3"/>
        <w:tabs>
          <w:tab w:val="left" w:pos="1100"/>
          <w:tab w:val="right" w:leader="dot" w:pos="8830"/>
        </w:tabs>
        <w:rPr>
          <w:rFonts w:ascii="Arial Narrow" w:hAnsi="Arial Narrow"/>
          <w:noProof/>
          <w:color w:val="000000"/>
          <w:sz w:val="22"/>
          <w:szCs w:val="22"/>
          <w:lang w:val="es-CO" w:eastAsia="es-CO"/>
        </w:rPr>
      </w:pPr>
      <w:hyperlink w:anchor="_Toc10047339" w:history="1">
        <w:r w:rsidR="00AD5429">
          <w:rPr>
            <w:rStyle w:val="Hipervnculo"/>
            <w:rFonts w:ascii="Arial Narrow" w:hAnsi="Arial Narrow"/>
            <w:b/>
            <w:noProof/>
            <w:color w:val="000000"/>
          </w:rPr>
          <w:t>6.2.1.</w:t>
        </w:r>
        <w:r w:rsidR="00AD5429">
          <w:rPr>
            <w:rFonts w:ascii="Arial Narrow" w:hAnsi="Arial Narrow"/>
            <w:noProof/>
            <w:color w:val="000000"/>
            <w:sz w:val="22"/>
            <w:szCs w:val="22"/>
            <w:lang w:val="es-CO" w:eastAsia="es-CO"/>
          </w:rPr>
          <w:tab/>
        </w:r>
        <w:r w:rsidR="00AD5429">
          <w:rPr>
            <w:rStyle w:val="Hipervnculo"/>
            <w:rFonts w:ascii="Arial Narrow" w:hAnsi="Arial Narrow" w:cs="Calibri"/>
            <w:b/>
            <w:noProof/>
            <w:color w:val="000000"/>
            <w:lang w:val="es-CO"/>
          </w:rPr>
          <w:t>Enajenación directa por parte de la entidad propietaria</w:t>
        </w:r>
        <w:r w:rsidR="00AD5429">
          <w:rPr>
            <w:rFonts w:ascii="Arial Narrow" w:hAnsi="Arial Narrow"/>
            <w:noProof/>
            <w:webHidden/>
            <w:color w:val="000000"/>
          </w:rPr>
          <w:tab/>
        </w:r>
        <w:r w:rsidR="00AD5429">
          <w:rPr>
            <w:rFonts w:ascii="Arial Narrow" w:hAnsi="Arial Narrow"/>
            <w:noProof/>
            <w:webHidden/>
            <w:color w:val="000000"/>
          </w:rPr>
          <w:fldChar w:fldCharType="begin"/>
        </w:r>
        <w:r w:rsidR="00AD5429">
          <w:rPr>
            <w:rFonts w:ascii="Arial Narrow" w:hAnsi="Arial Narrow"/>
            <w:noProof/>
            <w:webHidden/>
            <w:color w:val="000000"/>
          </w:rPr>
          <w:instrText xml:space="preserve"> PAGEREF _Toc10047339 \h </w:instrText>
        </w:r>
        <w:r w:rsidR="00AD5429">
          <w:rPr>
            <w:rFonts w:ascii="Arial Narrow" w:hAnsi="Arial Narrow"/>
            <w:noProof/>
            <w:webHidden/>
            <w:color w:val="000000"/>
          </w:rPr>
        </w:r>
        <w:r w:rsidR="00AD5429">
          <w:rPr>
            <w:rFonts w:ascii="Arial Narrow" w:hAnsi="Arial Narrow"/>
            <w:noProof/>
            <w:webHidden/>
            <w:color w:val="000000"/>
          </w:rPr>
          <w:fldChar w:fldCharType="separate"/>
        </w:r>
        <w:r w:rsidR="00CB443D">
          <w:rPr>
            <w:rFonts w:ascii="Arial Narrow" w:hAnsi="Arial Narrow"/>
            <w:noProof/>
            <w:webHidden/>
            <w:color w:val="000000"/>
          </w:rPr>
          <w:t>12</w:t>
        </w:r>
        <w:r w:rsidR="00AD5429">
          <w:rPr>
            <w:rFonts w:ascii="Arial Narrow" w:hAnsi="Arial Narrow"/>
            <w:noProof/>
            <w:webHidden/>
            <w:color w:val="000000"/>
          </w:rPr>
          <w:fldChar w:fldCharType="end"/>
        </w:r>
      </w:hyperlink>
    </w:p>
    <w:p w14:paraId="489D3846" w14:textId="77777777" w:rsidR="00AD5429" w:rsidRDefault="00602D86">
      <w:pPr>
        <w:pStyle w:val="TDC3"/>
        <w:tabs>
          <w:tab w:val="left" w:pos="1100"/>
          <w:tab w:val="right" w:leader="dot" w:pos="8830"/>
        </w:tabs>
        <w:rPr>
          <w:rFonts w:ascii="Arial Narrow" w:hAnsi="Arial Narrow"/>
          <w:noProof/>
          <w:color w:val="000000"/>
          <w:sz w:val="22"/>
          <w:szCs w:val="22"/>
          <w:lang w:val="es-CO" w:eastAsia="es-CO"/>
        </w:rPr>
      </w:pPr>
      <w:hyperlink w:anchor="_Toc10047340" w:history="1">
        <w:r w:rsidR="00AD5429">
          <w:rPr>
            <w:rStyle w:val="Hipervnculo"/>
            <w:rFonts w:ascii="Arial Narrow" w:hAnsi="Arial Narrow"/>
            <w:b/>
            <w:noProof/>
            <w:color w:val="000000"/>
          </w:rPr>
          <w:t>6.2.2.</w:t>
        </w:r>
        <w:r w:rsidR="00AD5429">
          <w:rPr>
            <w:rFonts w:ascii="Arial Narrow" w:hAnsi="Arial Narrow"/>
            <w:noProof/>
            <w:color w:val="000000"/>
            <w:sz w:val="22"/>
            <w:szCs w:val="22"/>
            <w:lang w:val="es-CO" w:eastAsia="es-CO"/>
          </w:rPr>
          <w:tab/>
        </w:r>
        <w:r w:rsidR="00AD5429">
          <w:rPr>
            <w:rStyle w:val="Hipervnculo"/>
            <w:rFonts w:ascii="Arial Narrow" w:hAnsi="Arial Narrow" w:cs="Calibri"/>
            <w:b/>
            <w:noProof/>
            <w:color w:val="000000"/>
            <w:lang w:val="es-CO"/>
          </w:rPr>
          <w:t>Enajenación a través del Colector Activos de la Nación (CISA)</w:t>
        </w:r>
        <w:r w:rsidR="00AD5429">
          <w:rPr>
            <w:rFonts w:ascii="Arial Narrow" w:hAnsi="Arial Narrow"/>
            <w:noProof/>
            <w:webHidden/>
            <w:color w:val="000000"/>
          </w:rPr>
          <w:tab/>
        </w:r>
        <w:r w:rsidR="00AD5429">
          <w:rPr>
            <w:rFonts w:ascii="Arial Narrow" w:hAnsi="Arial Narrow"/>
            <w:noProof/>
            <w:webHidden/>
            <w:color w:val="000000"/>
          </w:rPr>
          <w:fldChar w:fldCharType="begin"/>
        </w:r>
        <w:r w:rsidR="00AD5429">
          <w:rPr>
            <w:rFonts w:ascii="Arial Narrow" w:hAnsi="Arial Narrow"/>
            <w:noProof/>
            <w:webHidden/>
            <w:color w:val="000000"/>
          </w:rPr>
          <w:instrText xml:space="preserve"> PAGEREF _Toc10047340 \h </w:instrText>
        </w:r>
        <w:r w:rsidR="00AD5429">
          <w:rPr>
            <w:rFonts w:ascii="Arial Narrow" w:hAnsi="Arial Narrow"/>
            <w:noProof/>
            <w:webHidden/>
            <w:color w:val="000000"/>
          </w:rPr>
        </w:r>
        <w:r w:rsidR="00AD5429">
          <w:rPr>
            <w:rFonts w:ascii="Arial Narrow" w:hAnsi="Arial Narrow"/>
            <w:noProof/>
            <w:webHidden/>
            <w:color w:val="000000"/>
          </w:rPr>
          <w:fldChar w:fldCharType="separate"/>
        </w:r>
        <w:r w:rsidR="00CB443D">
          <w:rPr>
            <w:rFonts w:ascii="Arial Narrow" w:hAnsi="Arial Narrow"/>
            <w:noProof/>
            <w:webHidden/>
            <w:color w:val="000000"/>
          </w:rPr>
          <w:t>13</w:t>
        </w:r>
        <w:r w:rsidR="00AD5429">
          <w:rPr>
            <w:rFonts w:ascii="Arial Narrow" w:hAnsi="Arial Narrow"/>
            <w:noProof/>
            <w:webHidden/>
            <w:color w:val="000000"/>
          </w:rPr>
          <w:fldChar w:fldCharType="end"/>
        </w:r>
      </w:hyperlink>
    </w:p>
    <w:p w14:paraId="52849F3C" w14:textId="77777777" w:rsidR="00AD5429" w:rsidRDefault="00602D86">
      <w:pPr>
        <w:pStyle w:val="TDC2"/>
        <w:rPr>
          <w:rFonts w:ascii="Arial Narrow" w:hAnsi="Arial Narrow"/>
          <w:noProof/>
          <w:color w:val="000000"/>
          <w:sz w:val="22"/>
          <w:szCs w:val="22"/>
          <w:lang w:val="es-CO" w:eastAsia="es-CO"/>
        </w:rPr>
      </w:pPr>
      <w:hyperlink w:anchor="_Toc10047341" w:history="1">
        <w:r w:rsidR="00AD5429">
          <w:rPr>
            <w:rStyle w:val="Hipervnculo"/>
            <w:rFonts w:ascii="Arial Narrow" w:hAnsi="Arial Narrow"/>
            <w:noProof/>
            <w:color w:val="000000"/>
          </w:rPr>
          <w:t>6.3.</w:t>
        </w:r>
        <w:r w:rsidR="00AD5429">
          <w:rPr>
            <w:rFonts w:ascii="Arial Narrow" w:hAnsi="Arial Narrow"/>
            <w:noProof/>
            <w:color w:val="000000"/>
            <w:sz w:val="22"/>
            <w:szCs w:val="22"/>
            <w:lang w:val="es-CO" w:eastAsia="es-CO"/>
          </w:rPr>
          <w:tab/>
        </w:r>
        <w:r w:rsidR="00AD5429">
          <w:rPr>
            <w:rStyle w:val="Hipervnculo"/>
            <w:rFonts w:ascii="Arial Narrow" w:hAnsi="Arial Narrow"/>
            <w:noProof/>
            <w:color w:val="000000"/>
          </w:rPr>
          <w:t>Conclusiones</w:t>
        </w:r>
        <w:r w:rsidR="00AD5429">
          <w:rPr>
            <w:rFonts w:ascii="Arial Narrow" w:hAnsi="Arial Narrow"/>
            <w:noProof/>
            <w:webHidden/>
            <w:color w:val="000000"/>
          </w:rPr>
          <w:tab/>
        </w:r>
        <w:r w:rsidR="00AD5429">
          <w:rPr>
            <w:rFonts w:ascii="Arial Narrow" w:hAnsi="Arial Narrow"/>
            <w:noProof/>
            <w:webHidden/>
            <w:color w:val="000000"/>
          </w:rPr>
          <w:fldChar w:fldCharType="begin"/>
        </w:r>
        <w:r w:rsidR="00AD5429">
          <w:rPr>
            <w:rFonts w:ascii="Arial Narrow" w:hAnsi="Arial Narrow"/>
            <w:noProof/>
            <w:webHidden/>
            <w:color w:val="000000"/>
          </w:rPr>
          <w:instrText xml:space="preserve"> PAGEREF _Toc10047341 \h </w:instrText>
        </w:r>
        <w:r w:rsidR="00AD5429">
          <w:rPr>
            <w:rFonts w:ascii="Arial Narrow" w:hAnsi="Arial Narrow"/>
            <w:noProof/>
            <w:webHidden/>
            <w:color w:val="000000"/>
          </w:rPr>
        </w:r>
        <w:r w:rsidR="00AD5429">
          <w:rPr>
            <w:rFonts w:ascii="Arial Narrow" w:hAnsi="Arial Narrow"/>
            <w:noProof/>
            <w:webHidden/>
            <w:color w:val="000000"/>
          </w:rPr>
          <w:fldChar w:fldCharType="separate"/>
        </w:r>
        <w:r w:rsidR="00CB443D">
          <w:rPr>
            <w:rFonts w:ascii="Arial Narrow" w:hAnsi="Arial Narrow"/>
            <w:noProof/>
            <w:webHidden/>
            <w:color w:val="000000"/>
          </w:rPr>
          <w:t>14</w:t>
        </w:r>
        <w:r w:rsidR="00AD5429">
          <w:rPr>
            <w:rFonts w:ascii="Arial Narrow" w:hAnsi="Arial Narrow"/>
            <w:noProof/>
            <w:webHidden/>
            <w:color w:val="000000"/>
          </w:rPr>
          <w:fldChar w:fldCharType="end"/>
        </w:r>
      </w:hyperlink>
    </w:p>
    <w:p w14:paraId="44DD976A" w14:textId="77777777" w:rsidR="00AD5429" w:rsidRDefault="00602D86" w:rsidP="001823B9">
      <w:pPr>
        <w:pStyle w:val="TDC1"/>
        <w:rPr>
          <w:rFonts w:cs="Times New Roman"/>
          <w:color w:val="000000"/>
          <w:sz w:val="22"/>
          <w:szCs w:val="22"/>
          <w:lang w:val="es-CO" w:eastAsia="es-CO"/>
        </w:rPr>
      </w:pPr>
      <w:hyperlink w:anchor="_Toc10047342" w:history="1">
        <w:r w:rsidR="00AD5429">
          <w:rPr>
            <w:rStyle w:val="Hipervnculo"/>
            <w:color w:val="000000"/>
          </w:rPr>
          <w:t>7.</w:t>
        </w:r>
        <w:r w:rsidR="00AD5429">
          <w:rPr>
            <w:rFonts w:cs="Times New Roman"/>
            <w:color w:val="000000"/>
            <w:sz w:val="22"/>
            <w:szCs w:val="22"/>
            <w:lang w:val="es-CO" w:eastAsia="es-CO"/>
          </w:rPr>
          <w:tab/>
        </w:r>
        <w:r w:rsidR="00AD5429">
          <w:rPr>
            <w:rStyle w:val="Hipervnculo"/>
            <w:color w:val="000000"/>
          </w:rPr>
          <w:t>HISTORIAL DE CAMBIOS</w:t>
        </w:r>
        <w:r w:rsidR="00AD5429">
          <w:rPr>
            <w:webHidden/>
            <w:color w:val="000000"/>
          </w:rPr>
          <w:tab/>
        </w:r>
        <w:r w:rsidR="00AD5429">
          <w:rPr>
            <w:webHidden/>
            <w:color w:val="000000"/>
          </w:rPr>
          <w:fldChar w:fldCharType="begin"/>
        </w:r>
        <w:r w:rsidR="00AD5429">
          <w:rPr>
            <w:webHidden/>
            <w:color w:val="000000"/>
          </w:rPr>
          <w:instrText xml:space="preserve"> PAGEREF _Toc10047342 \h </w:instrText>
        </w:r>
        <w:r w:rsidR="00AD5429">
          <w:rPr>
            <w:webHidden/>
            <w:color w:val="000000"/>
          </w:rPr>
        </w:r>
        <w:r w:rsidR="00AD5429">
          <w:rPr>
            <w:webHidden/>
            <w:color w:val="000000"/>
          </w:rPr>
          <w:fldChar w:fldCharType="separate"/>
        </w:r>
        <w:r w:rsidR="00CB443D">
          <w:rPr>
            <w:webHidden/>
            <w:color w:val="000000"/>
          </w:rPr>
          <w:t>14</w:t>
        </w:r>
        <w:r w:rsidR="00AD5429">
          <w:rPr>
            <w:webHidden/>
            <w:color w:val="000000"/>
          </w:rPr>
          <w:fldChar w:fldCharType="end"/>
        </w:r>
      </w:hyperlink>
    </w:p>
    <w:p w14:paraId="04069674" w14:textId="77777777" w:rsidR="00AD5429" w:rsidRDefault="00602D86" w:rsidP="001823B9">
      <w:pPr>
        <w:pStyle w:val="TDC1"/>
        <w:rPr>
          <w:rFonts w:cs="Times New Roman"/>
          <w:color w:val="000000"/>
          <w:sz w:val="22"/>
          <w:szCs w:val="22"/>
          <w:lang w:val="es-CO" w:eastAsia="es-CO"/>
        </w:rPr>
      </w:pPr>
      <w:hyperlink w:anchor="_Toc10047343" w:history="1">
        <w:r w:rsidR="00AD5429">
          <w:rPr>
            <w:rStyle w:val="Hipervnculo"/>
            <w:color w:val="000000"/>
          </w:rPr>
          <w:t>8.</w:t>
        </w:r>
        <w:r w:rsidR="00AD5429">
          <w:rPr>
            <w:rFonts w:cs="Times New Roman"/>
            <w:color w:val="000000"/>
            <w:sz w:val="22"/>
            <w:szCs w:val="22"/>
            <w:lang w:val="es-CO" w:eastAsia="es-CO"/>
          </w:rPr>
          <w:tab/>
        </w:r>
        <w:r w:rsidR="00AD5429">
          <w:rPr>
            <w:rStyle w:val="Hipervnculo"/>
            <w:color w:val="000000"/>
          </w:rPr>
          <w:t>APROBACIÓN</w:t>
        </w:r>
        <w:r w:rsidR="00AD5429">
          <w:rPr>
            <w:webHidden/>
            <w:color w:val="000000"/>
          </w:rPr>
          <w:tab/>
        </w:r>
        <w:r w:rsidR="00AD5429">
          <w:rPr>
            <w:webHidden/>
            <w:color w:val="000000"/>
          </w:rPr>
          <w:fldChar w:fldCharType="begin"/>
        </w:r>
        <w:r w:rsidR="00AD5429">
          <w:rPr>
            <w:webHidden/>
            <w:color w:val="000000"/>
          </w:rPr>
          <w:instrText xml:space="preserve"> PAGEREF _Toc10047343 \h </w:instrText>
        </w:r>
        <w:r w:rsidR="00AD5429">
          <w:rPr>
            <w:webHidden/>
            <w:color w:val="000000"/>
          </w:rPr>
        </w:r>
        <w:r w:rsidR="00AD5429">
          <w:rPr>
            <w:webHidden/>
            <w:color w:val="000000"/>
          </w:rPr>
          <w:fldChar w:fldCharType="separate"/>
        </w:r>
        <w:r w:rsidR="00CB443D">
          <w:rPr>
            <w:webHidden/>
            <w:color w:val="000000"/>
          </w:rPr>
          <w:t>15</w:t>
        </w:r>
        <w:r w:rsidR="00AD5429">
          <w:rPr>
            <w:webHidden/>
            <w:color w:val="000000"/>
          </w:rPr>
          <w:fldChar w:fldCharType="end"/>
        </w:r>
      </w:hyperlink>
    </w:p>
    <w:p w14:paraId="0BC6848F" w14:textId="77777777" w:rsidR="0094407F" w:rsidRPr="009A53B7" w:rsidRDefault="0094407F">
      <w:pPr>
        <w:rPr>
          <w:rFonts w:ascii="Arial Narrow" w:hAnsi="Arial Narrow"/>
        </w:rPr>
      </w:pPr>
      <w:r>
        <w:rPr>
          <w:rFonts w:ascii="Arial Narrow" w:hAnsi="Arial Narrow"/>
          <w:b/>
          <w:bCs/>
          <w:color w:val="000000"/>
          <w:sz w:val="24"/>
          <w:szCs w:val="24"/>
        </w:rPr>
        <w:fldChar w:fldCharType="end"/>
      </w:r>
    </w:p>
    <w:p w14:paraId="59D82010" w14:textId="77777777" w:rsidR="00CC12BC" w:rsidRPr="009A53B7" w:rsidRDefault="00CC12BC" w:rsidP="00CB26AD">
      <w:pPr>
        <w:jc w:val="both"/>
        <w:rPr>
          <w:rFonts w:ascii="Arial Narrow" w:hAnsi="Arial Narrow" w:cs="Arial"/>
          <w:sz w:val="24"/>
          <w:szCs w:val="24"/>
        </w:rPr>
      </w:pPr>
    </w:p>
    <w:p w14:paraId="5352F5E8" w14:textId="77777777" w:rsidR="0094407F" w:rsidRPr="009A53B7" w:rsidRDefault="0094407F" w:rsidP="00CB26AD">
      <w:pPr>
        <w:ind w:left="360"/>
        <w:jc w:val="both"/>
        <w:rPr>
          <w:rFonts w:ascii="Arial Narrow" w:hAnsi="Arial Narrow" w:cs="Arial"/>
          <w:b/>
          <w:sz w:val="24"/>
          <w:szCs w:val="24"/>
        </w:rPr>
      </w:pPr>
    </w:p>
    <w:p w14:paraId="30B094EE" w14:textId="77777777" w:rsidR="003E450F" w:rsidRPr="009A53B7" w:rsidRDefault="003E450F" w:rsidP="00CB26AD">
      <w:pPr>
        <w:ind w:left="360"/>
        <w:jc w:val="both"/>
        <w:rPr>
          <w:rFonts w:ascii="Arial Narrow" w:hAnsi="Arial Narrow" w:cs="Arial"/>
          <w:b/>
          <w:sz w:val="24"/>
          <w:szCs w:val="24"/>
        </w:rPr>
      </w:pPr>
    </w:p>
    <w:p w14:paraId="014E4B87" w14:textId="77777777" w:rsidR="003E450F" w:rsidRPr="009A53B7" w:rsidRDefault="003E450F" w:rsidP="00CB26AD">
      <w:pPr>
        <w:ind w:left="360"/>
        <w:jc w:val="both"/>
        <w:rPr>
          <w:rFonts w:ascii="Arial Narrow" w:hAnsi="Arial Narrow" w:cs="Arial"/>
          <w:b/>
          <w:sz w:val="24"/>
          <w:szCs w:val="24"/>
        </w:rPr>
      </w:pPr>
    </w:p>
    <w:p w14:paraId="33B41E16" w14:textId="77777777" w:rsidR="003E450F" w:rsidRPr="009A53B7" w:rsidRDefault="003E450F" w:rsidP="00CB26AD">
      <w:pPr>
        <w:ind w:left="360"/>
        <w:jc w:val="both"/>
        <w:rPr>
          <w:rFonts w:ascii="Arial Narrow" w:hAnsi="Arial Narrow" w:cs="Arial"/>
          <w:b/>
          <w:sz w:val="24"/>
          <w:szCs w:val="24"/>
        </w:rPr>
      </w:pPr>
    </w:p>
    <w:p w14:paraId="1FF2F3A2" w14:textId="77777777" w:rsidR="00845423" w:rsidRPr="009A53B7" w:rsidRDefault="00845423" w:rsidP="00CB26AD">
      <w:pPr>
        <w:ind w:left="360"/>
        <w:jc w:val="both"/>
        <w:rPr>
          <w:rFonts w:ascii="Arial Narrow" w:hAnsi="Arial Narrow" w:cs="Arial"/>
          <w:b/>
          <w:sz w:val="24"/>
          <w:szCs w:val="24"/>
        </w:rPr>
      </w:pPr>
    </w:p>
    <w:p w14:paraId="46795153" w14:textId="77777777" w:rsidR="00845423" w:rsidRPr="009A53B7" w:rsidRDefault="00845423" w:rsidP="00CB26AD">
      <w:pPr>
        <w:ind w:left="360"/>
        <w:jc w:val="both"/>
        <w:rPr>
          <w:rFonts w:ascii="Arial Narrow" w:hAnsi="Arial Narrow" w:cs="Arial"/>
          <w:b/>
          <w:sz w:val="24"/>
          <w:szCs w:val="24"/>
        </w:rPr>
      </w:pPr>
    </w:p>
    <w:p w14:paraId="3731B994" w14:textId="77777777" w:rsidR="00845423" w:rsidRPr="009A53B7" w:rsidRDefault="00845423" w:rsidP="00CB26AD">
      <w:pPr>
        <w:ind w:left="360"/>
        <w:jc w:val="both"/>
        <w:rPr>
          <w:rFonts w:ascii="Arial Narrow" w:hAnsi="Arial Narrow" w:cs="Arial"/>
          <w:b/>
          <w:sz w:val="24"/>
          <w:szCs w:val="24"/>
        </w:rPr>
      </w:pPr>
    </w:p>
    <w:p w14:paraId="09A92B73" w14:textId="77777777" w:rsidR="00845423" w:rsidRPr="009A53B7" w:rsidRDefault="00845423" w:rsidP="00CB26AD">
      <w:pPr>
        <w:ind w:left="360"/>
        <w:jc w:val="both"/>
        <w:rPr>
          <w:rFonts w:ascii="Arial Narrow" w:hAnsi="Arial Narrow" w:cs="Arial"/>
          <w:b/>
          <w:sz w:val="24"/>
          <w:szCs w:val="24"/>
        </w:rPr>
      </w:pPr>
    </w:p>
    <w:p w14:paraId="39F49599" w14:textId="77777777" w:rsidR="00845423" w:rsidRPr="009A53B7" w:rsidRDefault="00845423" w:rsidP="00CB26AD">
      <w:pPr>
        <w:ind w:left="360"/>
        <w:jc w:val="both"/>
        <w:rPr>
          <w:rFonts w:ascii="Arial Narrow" w:hAnsi="Arial Narrow" w:cs="Arial"/>
          <w:b/>
          <w:sz w:val="24"/>
          <w:szCs w:val="24"/>
        </w:rPr>
      </w:pPr>
    </w:p>
    <w:p w14:paraId="771BD89C" w14:textId="77777777" w:rsidR="00845423" w:rsidRPr="009A53B7" w:rsidRDefault="00845423" w:rsidP="00CB26AD">
      <w:pPr>
        <w:ind w:left="360"/>
        <w:jc w:val="both"/>
        <w:rPr>
          <w:rFonts w:ascii="Arial Narrow" w:hAnsi="Arial Narrow" w:cs="Arial"/>
          <w:b/>
          <w:sz w:val="24"/>
          <w:szCs w:val="24"/>
        </w:rPr>
      </w:pPr>
    </w:p>
    <w:p w14:paraId="0251C433" w14:textId="77777777" w:rsidR="00845423" w:rsidRPr="009A53B7" w:rsidRDefault="00845423" w:rsidP="00CB26AD">
      <w:pPr>
        <w:ind w:left="360"/>
        <w:jc w:val="both"/>
        <w:rPr>
          <w:rFonts w:ascii="Arial Narrow" w:hAnsi="Arial Narrow" w:cs="Arial"/>
          <w:b/>
          <w:sz w:val="24"/>
          <w:szCs w:val="24"/>
        </w:rPr>
      </w:pPr>
    </w:p>
    <w:p w14:paraId="15E07ED2" w14:textId="77777777" w:rsidR="00845423" w:rsidRPr="009A53B7" w:rsidRDefault="00845423" w:rsidP="00CB26AD">
      <w:pPr>
        <w:ind w:left="360"/>
        <w:jc w:val="both"/>
        <w:rPr>
          <w:rFonts w:ascii="Arial Narrow" w:hAnsi="Arial Narrow" w:cs="Arial"/>
          <w:b/>
          <w:sz w:val="24"/>
          <w:szCs w:val="24"/>
        </w:rPr>
      </w:pPr>
    </w:p>
    <w:p w14:paraId="606DEACC" w14:textId="77777777" w:rsidR="00845423" w:rsidRPr="009A53B7" w:rsidRDefault="00845423" w:rsidP="00CB26AD">
      <w:pPr>
        <w:ind w:left="360"/>
        <w:jc w:val="both"/>
        <w:rPr>
          <w:rFonts w:ascii="Arial Narrow" w:hAnsi="Arial Narrow" w:cs="Arial"/>
          <w:b/>
          <w:sz w:val="24"/>
          <w:szCs w:val="24"/>
        </w:rPr>
      </w:pPr>
    </w:p>
    <w:p w14:paraId="73D580E7" w14:textId="77777777" w:rsidR="00845423" w:rsidRPr="009A53B7" w:rsidRDefault="00845423" w:rsidP="00CB26AD">
      <w:pPr>
        <w:ind w:left="360"/>
        <w:jc w:val="both"/>
        <w:rPr>
          <w:rFonts w:ascii="Arial Narrow" w:hAnsi="Arial Narrow" w:cs="Arial"/>
          <w:b/>
          <w:sz w:val="24"/>
          <w:szCs w:val="24"/>
        </w:rPr>
      </w:pPr>
    </w:p>
    <w:p w14:paraId="60BF143A" w14:textId="77777777" w:rsidR="00AD5429" w:rsidRPr="009A53B7" w:rsidRDefault="00AD5429" w:rsidP="00CB26AD">
      <w:pPr>
        <w:ind w:left="360"/>
        <w:jc w:val="both"/>
        <w:rPr>
          <w:rFonts w:ascii="Arial Narrow" w:hAnsi="Arial Narrow" w:cs="Arial"/>
          <w:b/>
          <w:sz w:val="24"/>
          <w:szCs w:val="24"/>
        </w:rPr>
      </w:pPr>
    </w:p>
    <w:p w14:paraId="1D77EE15" w14:textId="77777777" w:rsidR="00AD5429" w:rsidRPr="009A53B7" w:rsidRDefault="00AD5429" w:rsidP="00CB26AD">
      <w:pPr>
        <w:ind w:left="360"/>
        <w:jc w:val="both"/>
        <w:rPr>
          <w:rFonts w:ascii="Arial Narrow" w:hAnsi="Arial Narrow" w:cs="Arial"/>
          <w:b/>
          <w:sz w:val="24"/>
          <w:szCs w:val="24"/>
        </w:rPr>
      </w:pPr>
    </w:p>
    <w:p w14:paraId="1CF55C85" w14:textId="77777777" w:rsidR="00AD5429" w:rsidRPr="009A53B7" w:rsidRDefault="00AD5429" w:rsidP="00CB26AD">
      <w:pPr>
        <w:ind w:left="360"/>
        <w:jc w:val="both"/>
        <w:rPr>
          <w:rFonts w:ascii="Arial Narrow" w:hAnsi="Arial Narrow" w:cs="Arial"/>
          <w:b/>
          <w:sz w:val="24"/>
          <w:szCs w:val="24"/>
        </w:rPr>
      </w:pPr>
    </w:p>
    <w:p w14:paraId="0BEB1956" w14:textId="77777777" w:rsidR="00845423" w:rsidRPr="009A53B7" w:rsidRDefault="00845423" w:rsidP="00CB26AD">
      <w:pPr>
        <w:ind w:left="360"/>
        <w:jc w:val="both"/>
        <w:rPr>
          <w:rFonts w:ascii="Arial Narrow" w:hAnsi="Arial Narrow" w:cs="Arial"/>
          <w:b/>
          <w:sz w:val="24"/>
          <w:szCs w:val="24"/>
        </w:rPr>
      </w:pPr>
    </w:p>
    <w:p w14:paraId="5537A280" w14:textId="77777777" w:rsidR="00386147" w:rsidRPr="009A53B7" w:rsidRDefault="00386147" w:rsidP="00CB26AD">
      <w:pPr>
        <w:ind w:left="360"/>
        <w:jc w:val="both"/>
        <w:rPr>
          <w:rFonts w:ascii="Arial Narrow" w:hAnsi="Arial Narrow" w:cs="Arial"/>
          <w:b/>
          <w:sz w:val="24"/>
          <w:szCs w:val="24"/>
        </w:rPr>
      </w:pPr>
    </w:p>
    <w:p w14:paraId="5261F36C" w14:textId="77777777" w:rsidR="00596AB0" w:rsidRPr="009A53B7" w:rsidRDefault="00596AB0" w:rsidP="00CB26AD">
      <w:pPr>
        <w:ind w:left="360"/>
        <w:jc w:val="both"/>
        <w:rPr>
          <w:rFonts w:ascii="Arial Narrow" w:hAnsi="Arial Narrow" w:cs="Arial"/>
          <w:b/>
          <w:sz w:val="24"/>
          <w:szCs w:val="24"/>
        </w:rPr>
      </w:pPr>
    </w:p>
    <w:p w14:paraId="12C457CB" w14:textId="77777777" w:rsidR="00596AB0" w:rsidRPr="009A53B7" w:rsidRDefault="00596AB0" w:rsidP="00CB26AD">
      <w:pPr>
        <w:ind w:left="360"/>
        <w:jc w:val="both"/>
        <w:rPr>
          <w:rFonts w:ascii="Arial Narrow" w:hAnsi="Arial Narrow" w:cs="Arial"/>
          <w:b/>
          <w:sz w:val="24"/>
          <w:szCs w:val="24"/>
        </w:rPr>
      </w:pPr>
    </w:p>
    <w:p w14:paraId="1168CD42" w14:textId="77777777" w:rsidR="00596AB0" w:rsidRPr="009A53B7" w:rsidRDefault="00596AB0" w:rsidP="00CB26AD">
      <w:pPr>
        <w:ind w:left="360"/>
        <w:jc w:val="both"/>
        <w:rPr>
          <w:rFonts w:ascii="Arial Narrow" w:hAnsi="Arial Narrow" w:cs="Arial"/>
          <w:b/>
          <w:sz w:val="24"/>
          <w:szCs w:val="24"/>
        </w:rPr>
      </w:pPr>
    </w:p>
    <w:p w14:paraId="7C970D87" w14:textId="77777777" w:rsidR="00A23D16" w:rsidRPr="009A53B7" w:rsidRDefault="00E00CE9" w:rsidP="00CB26AD">
      <w:pPr>
        <w:pStyle w:val="Ttulo1"/>
        <w:numPr>
          <w:ilvl w:val="0"/>
          <w:numId w:val="20"/>
        </w:numPr>
        <w:rPr>
          <w:rFonts w:ascii="Arial Narrow" w:hAnsi="Arial Narrow"/>
          <w:sz w:val="24"/>
          <w:szCs w:val="24"/>
        </w:rPr>
      </w:pPr>
      <w:r w:rsidRPr="009A53B7">
        <w:rPr>
          <w:rFonts w:ascii="Arial Narrow" w:hAnsi="Arial Narrow"/>
          <w:sz w:val="24"/>
          <w:szCs w:val="24"/>
        </w:rPr>
        <w:lastRenderedPageBreak/>
        <w:t xml:space="preserve"> </w:t>
      </w:r>
      <w:bookmarkStart w:id="2" w:name="_Toc10047328"/>
      <w:bookmarkStart w:id="3" w:name="_Toc181004292"/>
      <w:r w:rsidR="00A23D16" w:rsidRPr="009A53B7">
        <w:rPr>
          <w:rFonts w:ascii="Arial Narrow" w:hAnsi="Arial Narrow"/>
          <w:sz w:val="24"/>
          <w:szCs w:val="24"/>
        </w:rPr>
        <w:t>INTRODUCCIÓN</w:t>
      </w:r>
      <w:bookmarkEnd w:id="2"/>
      <w:r w:rsidR="00CB26AD" w:rsidRPr="009A53B7">
        <w:rPr>
          <w:rFonts w:ascii="Arial Narrow" w:hAnsi="Arial Narrow"/>
          <w:sz w:val="24"/>
          <w:szCs w:val="24"/>
        </w:rPr>
        <w:t xml:space="preserve"> </w:t>
      </w:r>
    </w:p>
    <w:p w14:paraId="49EEE8DB" w14:textId="77777777" w:rsidR="00386147" w:rsidRPr="009A53B7" w:rsidRDefault="00386147" w:rsidP="00386147">
      <w:pPr>
        <w:rPr>
          <w:rFonts w:ascii="Arial Narrow" w:hAnsi="Arial Narrow"/>
        </w:rPr>
      </w:pPr>
    </w:p>
    <w:p w14:paraId="6D67FA4A" w14:textId="77777777" w:rsidR="00144730" w:rsidRPr="009A53B7" w:rsidRDefault="00144730" w:rsidP="00144730">
      <w:pPr>
        <w:pStyle w:val="Default"/>
        <w:rPr>
          <w:rFonts w:ascii="Arial Narrow" w:hAnsi="Arial Narrow"/>
        </w:rPr>
      </w:pPr>
    </w:p>
    <w:p w14:paraId="48F9D5D4" w14:textId="77777777" w:rsidR="0094407F" w:rsidRPr="009A53B7" w:rsidRDefault="00144730" w:rsidP="00144730">
      <w:pPr>
        <w:jc w:val="both"/>
        <w:rPr>
          <w:rFonts w:ascii="Arial Narrow" w:hAnsi="Arial Narrow" w:cs="Arial"/>
          <w:sz w:val="24"/>
          <w:szCs w:val="24"/>
          <w:lang w:val="es-CO"/>
        </w:rPr>
      </w:pPr>
      <w:r w:rsidRPr="009A53B7">
        <w:rPr>
          <w:rFonts w:ascii="Arial Narrow" w:hAnsi="Arial Narrow" w:cs="Arial"/>
          <w:sz w:val="24"/>
          <w:szCs w:val="24"/>
        </w:rPr>
        <w:t xml:space="preserve">El presente documento resume los principales aspectos a considerar y tener presente dentro de los procesos de venta de participación estatal </w:t>
      </w:r>
      <w:r w:rsidR="00676237" w:rsidRPr="009A53B7">
        <w:rPr>
          <w:rFonts w:ascii="Arial Narrow" w:hAnsi="Arial Narrow" w:cs="Arial"/>
          <w:sz w:val="24"/>
          <w:szCs w:val="24"/>
        </w:rPr>
        <w:t xml:space="preserve">tanto i) </w:t>
      </w:r>
      <w:r w:rsidRPr="009A53B7">
        <w:rPr>
          <w:rFonts w:ascii="Arial Narrow" w:hAnsi="Arial Narrow" w:cs="Arial"/>
          <w:sz w:val="24"/>
          <w:szCs w:val="24"/>
        </w:rPr>
        <w:t>bajo el procedimiento establecido en la Ley 226 de 1995</w:t>
      </w:r>
      <w:r w:rsidR="00676237" w:rsidRPr="009A53B7">
        <w:rPr>
          <w:rFonts w:ascii="Arial Narrow" w:hAnsi="Arial Narrow" w:cs="Arial"/>
          <w:sz w:val="24"/>
          <w:szCs w:val="24"/>
        </w:rPr>
        <w:t xml:space="preserve">, y </w:t>
      </w:r>
      <w:proofErr w:type="spellStart"/>
      <w:r w:rsidR="00676237" w:rsidRPr="009A53B7">
        <w:rPr>
          <w:rFonts w:ascii="Arial Narrow" w:hAnsi="Arial Narrow" w:cs="Arial"/>
          <w:sz w:val="24"/>
          <w:szCs w:val="24"/>
        </w:rPr>
        <w:t>ii</w:t>
      </w:r>
      <w:proofErr w:type="spellEnd"/>
      <w:r w:rsidR="00676237" w:rsidRPr="009A53B7">
        <w:rPr>
          <w:rFonts w:ascii="Arial Narrow" w:hAnsi="Arial Narrow" w:cs="Arial"/>
          <w:sz w:val="24"/>
          <w:szCs w:val="24"/>
        </w:rPr>
        <w:t xml:space="preserve">) aquellos que aplican </w:t>
      </w:r>
      <w:r w:rsidR="00EB02D0" w:rsidRPr="009A53B7">
        <w:rPr>
          <w:rFonts w:ascii="Arial Narrow" w:hAnsi="Arial Narrow" w:cs="Arial"/>
          <w:sz w:val="24"/>
          <w:szCs w:val="24"/>
        </w:rPr>
        <w:t xml:space="preserve">el régimen </w:t>
      </w:r>
      <w:r w:rsidR="00335F03" w:rsidRPr="009A53B7">
        <w:rPr>
          <w:rFonts w:ascii="Arial Narrow" w:hAnsi="Arial Narrow" w:cs="Arial"/>
          <w:sz w:val="24"/>
          <w:szCs w:val="24"/>
        </w:rPr>
        <w:t xml:space="preserve">de venta establecido en el artículo 162 de la Ley 1753 de 2015, modificado por el artículo 45 de la Ley del Plan Nacional de Desarrollo 2018-2022. </w:t>
      </w:r>
      <w:r w:rsidRPr="009A53B7">
        <w:rPr>
          <w:rFonts w:ascii="Arial Narrow" w:hAnsi="Arial Narrow" w:cs="Arial"/>
          <w:sz w:val="24"/>
          <w:szCs w:val="24"/>
        </w:rPr>
        <w:t>Lo anterior, conforme los antecedentes y la experiencia de procesos de enajenación que se han adelantado en coordinación con el Ministerio de Hacienda y Crédito Público</w:t>
      </w:r>
    </w:p>
    <w:p w14:paraId="338D040D" w14:textId="77777777" w:rsidR="00335F03" w:rsidRPr="009A53B7" w:rsidRDefault="00335F03" w:rsidP="00144730">
      <w:pPr>
        <w:pStyle w:val="Default"/>
        <w:rPr>
          <w:rFonts w:ascii="Arial Narrow" w:hAnsi="Arial Narrow"/>
        </w:rPr>
      </w:pPr>
    </w:p>
    <w:p w14:paraId="43E13EFD" w14:textId="77777777" w:rsidR="00323E77" w:rsidRPr="009A53B7" w:rsidRDefault="00323E77" w:rsidP="00323E77">
      <w:pPr>
        <w:jc w:val="both"/>
        <w:rPr>
          <w:rFonts w:ascii="Arial Narrow" w:eastAsia="Calibri" w:hAnsi="Arial Narrow" w:cs="Arial"/>
          <w:sz w:val="24"/>
          <w:szCs w:val="24"/>
          <w:lang w:val="es-CO" w:eastAsia="es-CO"/>
        </w:rPr>
      </w:pPr>
      <w:r w:rsidRPr="009A53B7">
        <w:rPr>
          <w:rFonts w:ascii="Arial Narrow" w:eastAsia="Calibri" w:hAnsi="Arial Narrow" w:cs="Arial"/>
          <w:sz w:val="24"/>
          <w:szCs w:val="24"/>
          <w:lang w:val="es-CO" w:eastAsia="es-CO"/>
        </w:rPr>
        <w:t xml:space="preserve">El documento contempla recomendaciones de planes de mejoramiento adoptados en procesos precedentes, enseñanzas de las experiencias en el desarrollo y acompañamiento de enajenaciones y mejores prácticas para adelantar los procedimientos internos administrativos y operativos de las entidades que participan en la expedición del programa. Debe mencionarse que cada proceso específico puede presentar particularidades, que conlleven a que la aplicación de los elementos que a continuación se presentan, no se haga de manera uniforme necesariamente. </w:t>
      </w:r>
    </w:p>
    <w:p w14:paraId="333A48B4" w14:textId="77777777" w:rsidR="00323E77" w:rsidRPr="009A53B7" w:rsidRDefault="00323E77" w:rsidP="00335F03">
      <w:pPr>
        <w:jc w:val="both"/>
        <w:rPr>
          <w:rFonts w:ascii="Arial Narrow" w:hAnsi="Arial Narrow" w:cs="Arial"/>
          <w:sz w:val="24"/>
          <w:szCs w:val="24"/>
          <w:lang w:val="es-CO"/>
        </w:rPr>
      </w:pPr>
    </w:p>
    <w:p w14:paraId="5E03DE3B" w14:textId="77777777" w:rsidR="00C330E4" w:rsidRPr="009A53B7" w:rsidRDefault="00C330E4" w:rsidP="00C330E4">
      <w:pPr>
        <w:jc w:val="both"/>
        <w:rPr>
          <w:rFonts w:ascii="Arial Narrow" w:hAnsi="Arial Narrow" w:cs="Arial"/>
          <w:sz w:val="24"/>
          <w:szCs w:val="24"/>
          <w:lang w:val="es-CO"/>
        </w:rPr>
      </w:pPr>
      <w:r w:rsidRPr="009A53B7">
        <w:rPr>
          <w:rFonts w:ascii="Arial Narrow" w:hAnsi="Arial Narrow" w:cs="Arial"/>
          <w:sz w:val="24"/>
          <w:szCs w:val="24"/>
        </w:rPr>
        <w:t>Las pautas descritas a continuación aplicarán a la enajenación, total o parcial a favor de particulares, de acciones o bonos obligatoriamente convertibles en acciones, de propiedad del Estado y, en general, a su participación en el capital social de cualquier empresa.</w:t>
      </w:r>
    </w:p>
    <w:p w14:paraId="55716A27" w14:textId="77777777" w:rsidR="00335F03" w:rsidRPr="009A53B7" w:rsidRDefault="00335F03" w:rsidP="00335F03">
      <w:pPr>
        <w:jc w:val="both"/>
        <w:rPr>
          <w:rFonts w:ascii="Arial Narrow" w:hAnsi="Arial Narrow" w:cs="Arial"/>
          <w:sz w:val="24"/>
          <w:szCs w:val="24"/>
          <w:lang w:val="es-CO"/>
        </w:rPr>
      </w:pPr>
    </w:p>
    <w:p w14:paraId="7B024982" w14:textId="77777777" w:rsidR="00335F03" w:rsidRPr="009A53B7" w:rsidRDefault="00335F03" w:rsidP="00CB26AD">
      <w:pPr>
        <w:jc w:val="both"/>
        <w:rPr>
          <w:rFonts w:ascii="Arial Narrow" w:hAnsi="Arial Narrow" w:cs="Arial"/>
          <w:sz w:val="24"/>
          <w:szCs w:val="24"/>
          <w:lang w:val="es-CO"/>
        </w:rPr>
      </w:pPr>
    </w:p>
    <w:p w14:paraId="21CAFD49" w14:textId="77777777" w:rsidR="0094407F" w:rsidRPr="009A53B7" w:rsidRDefault="0094407F" w:rsidP="00CB26AD">
      <w:pPr>
        <w:jc w:val="both"/>
        <w:rPr>
          <w:rFonts w:ascii="Arial Narrow" w:hAnsi="Arial Narrow" w:cs="Arial"/>
          <w:sz w:val="24"/>
          <w:szCs w:val="24"/>
          <w:lang w:val="es-CO"/>
        </w:rPr>
      </w:pPr>
    </w:p>
    <w:p w14:paraId="03639325" w14:textId="77777777" w:rsidR="0094407F" w:rsidRPr="009A53B7" w:rsidRDefault="0094407F" w:rsidP="00CB26AD">
      <w:pPr>
        <w:jc w:val="both"/>
        <w:rPr>
          <w:rFonts w:ascii="Arial Narrow" w:hAnsi="Arial Narrow" w:cs="Arial"/>
          <w:sz w:val="24"/>
          <w:szCs w:val="24"/>
          <w:lang w:val="es-CO"/>
        </w:rPr>
      </w:pPr>
    </w:p>
    <w:p w14:paraId="1E1099B5" w14:textId="77777777" w:rsidR="0094407F" w:rsidRPr="009A53B7" w:rsidRDefault="0094407F" w:rsidP="00CB26AD">
      <w:pPr>
        <w:jc w:val="both"/>
        <w:rPr>
          <w:rFonts w:ascii="Arial Narrow" w:hAnsi="Arial Narrow" w:cs="Arial"/>
          <w:sz w:val="24"/>
          <w:szCs w:val="24"/>
          <w:lang w:val="es-CO"/>
        </w:rPr>
      </w:pPr>
    </w:p>
    <w:p w14:paraId="7DE56F1F" w14:textId="77777777" w:rsidR="00335F03" w:rsidRPr="009A53B7" w:rsidRDefault="00335F03" w:rsidP="00335F03">
      <w:pPr>
        <w:jc w:val="both"/>
        <w:rPr>
          <w:rFonts w:ascii="Arial Narrow" w:eastAsia="Calibri" w:hAnsi="Arial Narrow" w:cs="Arial"/>
          <w:sz w:val="22"/>
          <w:szCs w:val="22"/>
          <w:lang w:val="es-CO" w:eastAsia="es-CO"/>
        </w:rPr>
      </w:pPr>
    </w:p>
    <w:p w14:paraId="65E4E535" w14:textId="77777777" w:rsidR="00AD5429" w:rsidRPr="009A53B7" w:rsidRDefault="00AD5429" w:rsidP="00335F03">
      <w:pPr>
        <w:jc w:val="both"/>
        <w:rPr>
          <w:rFonts w:ascii="Arial Narrow" w:eastAsia="Calibri" w:hAnsi="Arial Narrow" w:cs="Arial"/>
          <w:sz w:val="22"/>
          <w:szCs w:val="22"/>
          <w:lang w:val="es-CO" w:eastAsia="es-CO"/>
        </w:rPr>
      </w:pPr>
    </w:p>
    <w:p w14:paraId="193A004B" w14:textId="77777777" w:rsidR="00AD5429" w:rsidRPr="009A53B7" w:rsidRDefault="00AD5429" w:rsidP="00335F03">
      <w:pPr>
        <w:jc w:val="both"/>
        <w:rPr>
          <w:rFonts w:ascii="Arial Narrow" w:eastAsia="Calibri" w:hAnsi="Arial Narrow" w:cs="Arial"/>
          <w:sz w:val="22"/>
          <w:szCs w:val="22"/>
          <w:lang w:val="es-CO" w:eastAsia="es-CO"/>
        </w:rPr>
      </w:pPr>
    </w:p>
    <w:p w14:paraId="6129EF26" w14:textId="77777777" w:rsidR="00AD5429" w:rsidRPr="009A53B7" w:rsidRDefault="00AD5429" w:rsidP="00335F03">
      <w:pPr>
        <w:jc w:val="both"/>
        <w:rPr>
          <w:rFonts w:ascii="Arial Narrow" w:eastAsia="Calibri" w:hAnsi="Arial Narrow" w:cs="Arial"/>
          <w:sz w:val="22"/>
          <w:szCs w:val="22"/>
          <w:lang w:val="es-CO" w:eastAsia="es-CO"/>
        </w:rPr>
      </w:pPr>
    </w:p>
    <w:p w14:paraId="20C85D99" w14:textId="77777777" w:rsidR="00AD5429" w:rsidRPr="009A53B7" w:rsidRDefault="00AD5429" w:rsidP="00335F03">
      <w:pPr>
        <w:jc w:val="both"/>
        <w:rPr>
          <w:rFonts w:ascii="Arial Narrow" w:eastAsia="Calibri" w:hAnsi="Arial Narrow" w:cs="Arial"/>
          <w:sz w:val="22"/>
          <w:szCs w:val="22"/>
          <w:lang w:val="es-CO" w:eastAsia="es-CO"/>
        </w:rPr>
      </w:pPr>
    </w:p>
    <w:p w14:paraId="41BB736D" w14:textId="77777777" w:rsidR="00AD5429" w:rsidRPr="009A53B7" w:rsidRDefault="00AD5429" w:rsidP="00335F03">
      <w:pPr>
        <w:jc w:val="both"/>
        <w:rPr>
          <w:rFonts w:ascii="Arial Narrow" w:eastAsia="Calibri" w:hAnsi="Arial Narrow" w:cs="Arial"/>
          <w:sz w:val="22"/>
          <w:szCs w:val="22"/>
          <w:lang w:val="es-CO" w:eastAsia="es-CO"/>
        </w:rPr>
      </w:pPr>
    </w:p>
    <w:p w14:paraId="4F47E2F4" w14:textId="77777777" w:rsidR="00AD5429" w:rsidRPr="009A53B7" w:rsidRDefault="00AD5429" w:rsidP="00335F03">
      <w:pPr>
        <w:jc w:val="both"/>
        <w:rPr>
          <w:rFonts w:ascii="Arial Narrow" w:eastAsia="Calibri" w:hAnsi="Arial Narrow" w:cs="Arial"/>
          <w:sz w:val="22"/>
          <w:szCs w:val="22"/>
          <w:lang w:val="es-CO" w:eastAsia="es-CO"/>
        </w:rPr>
      </w:pPr>
    </w:p>
    <w:p w14:paraId="13DA99FD" w14:textId="77777777" w:rsidR="00AD5429" w:rsidRPr="009A53B7" w:rsidRDefault="00AD5429" w:rsidP="00335F03">
      <w:pPr>
        <w:jc w:val="both"/>
        <w:rPr>
          <w:rFonts w:ascii="Arial Narrow" w:eastAsia="Calibri" w:hAnsi="Arial Narrow" w:cs="Arial"/>
          <w:sz w:val="22"/>
          <w:szCs w:val="22"/>
          <w:lang w:val="es-CO" w:eastAsia="es-CO"/>
        </w:rPr>
      </w:pPr>
    </w:p>
    <w:p w14:paraId="44522F3D" w14:textId="77777777" w:rsidR="00AD5429" w:rsidRPr="009A53B7" w:rsidRDefault="00AD5429" w:rsidP="00335F03">
      <w:pPr>
        <w:jc w:val="both"/>
        <w:rPr>
          <w:rFonts w:ascii="Arial Narrow" w:eastAsia="Calibri" w:hAnsi="Arial Narrow" w:cs="Arial"/>
          <w:sz w:val="22"/>
          <w:szCs w:val="22"/>
          <w:lang w:val="es-CO" w:eastAsia="es-CO"/>
        </w:rPr>
      </w:pPr>
    </w:p>
    <w:p w14:paraId="1FEB1712" w14:textId="77777777" w:rsidR="00AD5429" w:rsidRPr="009A53B7" w:rsidRDefault="00AD5429" w:rsidP="00335F03">
      <w:pPr>
        <w:jc w:val="both"/>
        <w:rPr>
          <w:rFonts w:ascii="Arial Narrow" w:eastAsia="Calibri" w:hAnsi="Arial Narrow" w:cs="Arial"/>
          <w:sz w:val="22"/>
          <w:szCs w:val="22"/>
          <w:lang w:val="es-CO" w:eastAsia="es-CO"/>
        </w:rPr>
      </w:pPr>
    </w:p>
    <w:p w14:paraId="18E0D433" w14:textId="77777777" w:rsidR="0094407F" w:rsidRPr="009A53B7" w:rsidRDefault="0094407F" w:rsidP="00CB26AD">
      <w:pPr>
        <w:jc w:val="both"/>
        <w:rPr>
          <w:rFonts w:ascii="Arial Narrow" w:hAnsi="Arial Narrow" w:cs="Arial"/>
          <w:sz w:val="24"/>
          <w:szCs w:val="24"/>
          <w:lang w:val="es-CO"/>
        </w:rPr>
      </w:pPr>
    </w:p>
    <w:p w14:paraId="04396706" w14:textId="77777777" w:rsidR="0094407F" w:rsidRPr="009A53B7" w:rsidRDefault="0094407F" w:rsidP="00CB26AD">
      <w:pPr>
        <w:jc w:val="both"/>
        <w:rPr>
          <w:rFonts w:ascii="Arial Narrow" w:hAnsi="Arial Narrow" w:cs="Arial"/>
          <w:sz w:val="24"/>
          <w:szCs w:val="24"/>
          <w:lang w:val="es-CO"/>
        </w:rPr>
      </w:pPr>
    </w:p>
    <w:p w14:paraId="2931F107" w14:textId="77777777" w:rsidR="0094407F" w:rsidRPr="009A53B7" w:rsidRDefault="0094407F" w:rsidP="00CB26AD">
      <w:pPr>
        <w:jc w:val="both"/>
        <w:rPr>
          <w:rFonts w:ascii="Arial Narrow" w:hAnsi="Arial Narrow" w:cs="Arial"/>
          <w:sz w:val="24"/>
          <w:szCs w:val="24"/>
          <w:lang w:val="es-CO"/>
        </w:rPr>
      </w:pPr>
    </w:p>
    <w:p w14:paraId="7BF85495" w14:textId="77777777" w:rsidR="0094407F" w:rsidRPr="009A53B7" w:rsidRDefault="0094407F" w:rsidP="00CB26AD">
      <w:pPr>
        <w:jc w:val="both"/>
        <w:rPr>
          <w:rFonts w:ascii="Arial Narrow" w:hAnsi="Arial Narrow" w:cs="Arial"/>
          <w:sz w:val="24"/>
          <w:szCs w:val="24"/>
          <w:lang w:val="es-CO"/>
        </w:rPr>
      </w:pPr>
    </w:p>
    <w:p w14:paraId="00D1DD6E" w14:textId="77777777" w:rsidR="0094407F" w:rsidRPr="009A53B7" w:rsidRDefault="0094407F" w:rsidP="00CB26AD">
      <w:pPr>
        <w:jc w:val="both"/>
        <w:rPr>
          <w:rFonts w:ascii="Arial Narrow" w:hAnsi="Arial Narrow" w:cs="Arial"/>
          <w:sz w:val="24"/>
          <w:szCs w:val="24"/>
          <w:lang w:val="es-CO"/>
        </w:rPr>
      </w:pPr>
    </w:p>
    <w:p w14:paraId="0E287DD6" w14:textId="77777777" w:rsidR="0094407F" w:rsidRPr="009A53B7" w:rsidRDefault="0094407F" w:rsidP="00CB26AD">
      <w:pPr>
        <w:jc w:val="both"/>
        <w:rPr>
          <w:rFonts w:ascii="Arial Narrow" w:hAnsi="Arial Narrow" w:cs="Arial"/>
          <w:sz w:val="24"/>
          <w:szCs w:val="24"/>
          <w:lang w:val="es-CO"/>
        </w:rPr>
      </w:pPr>
    </w:p>
    <w:p w14:paraId="4270290D" w14:textId="77777777" w:rsidR="0094407F" w:rsidRPr="009A53B7" w:rsidRDefault="0094407F" w:rsidP="00CB26AD">
      <w:pPr>
        <w:jc w:val="both"/>
        <w:rPr>
          <w:rFonts w:ascii="Arial Narrow" w:hAnsi="Arial Narrow" w:cs="Arial"/>
          <w:sz w:val="24"/>
          <w:szCs w:val="24"/>
          <w:lang w:val="es-CO"/>
        </w:rPr>
      </w:pPr>
    </w:p>
    <w:p w14:paraId="63E3A070" w14:textId="77777777" w:rsidR="00596AB0" w:rsidRPr="009A53B7" w:rsidRDefault="00596AB0" w:rsidP="00CB26AD">
      <w:pPr>
        <w:jc w:val="both"/>
        <w:rPr>
          <w:rFonts w:ascii="Arial Narrow" w:hAnsi="Arial Narrow" w:cs="Arial"/>
          <w:sz w:val="24"/>
          <w:szCs w:val="24"/>
          <w:lang w:val="es-CO"/>
        </w:rPr>
      </w:pPr>
    </w:p>
    <w:p w14:paraId="2E8EE093" w14:textId="77777777" w:rsidR="00596AB0" w:rsidRPr="009A53B7" w:rsidRDefault="00596AB0" w:rsidP="00CB26AD">
      <w:pPr>
        <w:jc w:val="both"/>
        <w:rPr>
          <w:rFonts w:ascii="Arial Narrow" w:hAnsi="Arial Narrow" w:cs="Arial"/>
          <w:sz w:val="24"/>
          <w:szCs w:val="24"/>
          <w:lang w:val="es-CO"/>
        </w:rPr>
      </w:pPr>
    </w:p>
    <w:p w14:paraId="3A4A32DB" w14:textId="77777777" w:rsidR="0094407F" w:rsidRPr="009A53B7" w:rsidRDefault="0094407F" w:rsidP="00CB26AD">
      <w:pPr>
        <w:jc w:val="both"/>
        <w:rPr>
          <w:rFonts w:ascii="Arial Narrow" w:hAnsi="Arial Narrow" w:cs="Arial"/>
          <w:sz w:val="24"/>
          <w:szCs w:val="24"/>
          <w:lang w:val="es-CO"/>
        </w:rPr>
      </w:pPr>
    </w:p>
    <w:p w14:paraId="4B8DD207" w14:textId="77777777" w:rsidR="00FE52EC" w:rsidRPr="009A53B7" w:rsidRDefault="00E00CE9" w:rsidP="00CC12BC">
      <w:pPr>
        <w:pStyle w:val="Ttulo1"/>
        <w:numPr>
          <w:ilvl w:val="0"/>
          <w:numId w:val="20"/>
        </w:numPr>
        <w:rPr>
          <w:rFonts w:ascii="Arial Narrow" w:hAnsi="Arial Narrow"/>
          <w:sz w:val="24"/>
          <w:szCs w:val="24"/>
        </w:rPr>
      </w:pPr>
      <w:bookmarkStart w:id="4" w:name="_Toc10047329"/>
      <w:r w:rsidRPr="009A53B7">
        <w:rPr>
          <w:rFonts w:ascii="Arial Narrow" w:hAnsi="Arial Narrow"/>
          <w:sz w:val="24"/>
          <w:szCs w:val="24"/>
        </w:rPr>
        <w:lastRenderedPageBreak/>
        <w:t>OBJETIVO</w:t>
      </w:r>
      <w:bookmarkEnd w:id="0"/>
      <w:bookmarkEnd w:id="1"/>
      <w:bookmarkEnd w:id="3"/>
      <w:bookmarkEnd w:id="4"/>
      <w:r w:rsidRPr="009A53B7">
        <w:rPr>
          <w:rFonts w:ascii="Arial Narrow" w:hAnsi="Arial Narrow"/>
          <w:sz w:val="24"/>
          <w:szCs w:val="24"/>
        </w:rPr>
        <w:t xml:space="preserve"> </w:t>
      </w:r>
    </w:p>
    <w:p w14:paraId="1ABF218C" w14:textId="77777777" w:rsidR="00FE52EC" w:rsidRPr="009A53B7" w:rsidRDefault="00FE52EC" w:rsidP="00CB26AD">
      <w:pPr>
        <w:ind w:left="360"/>
        <w:jc w:val="both"/>
        <w:rPr>
          <w:rFonts w:ascii="Arial Narrow" w:hAnsi="Arial Narrow" w:cs="Arial"/>
          <w:b/>
          <w:sz w:val="24"/>
          <w:szCs w:val="24"/>
        </w:rPr>
      </w:pPr>
    </w:p>
    <w:p w14:paraId="3176CAE2" w14:textId="77777777" w:rsidR="008E72B0" w:rsidRPr="009A53B7" w:rsidRDefault="008E72B0" w:rsidP="008E72B0">
      <w:pPr>
        <w:jc w:val="both"/>
        <w:rPr>
          <w:rFonts w:ascii="Arial Narrow" w:eastAsia="Calibri" w:hAnsi="Arial Narrow" w:cs="Arial"/>
          <w:sz w:val="24"/>
          <w:szCs w:val="24"/>
          <w:lang w:val="es-CO" w:eastAsia="es-CO"/>
        </w:rPr>
      </w:pPr>
      <w:r w:rsidRPr="009A53B7">
        <w:rPr>
          <w:rFonts w:ascii="Arial Narrow" w:eastAsia="Calibri" w:hAnsi="Arial Narrow" w:cs="Arial"/>
          <w:sz w:val="24"/>
          <w:szCs w:val="24"/>
          <w:lang w:val="es-CO" w:eastAsia="es-CO"/>
        </w:rPr>
        <w:t>Ejecu</w:t>
      </w:r>
      <w:r w:rsidR="009563BE" w:rsidRPr="009A53B7">
        <w:rPr>
          <w:rFonts w:ascii="Arial Narrow" w:eastAsia="Calibri" w:hAnsi="Arial Narrow" w:cs="Arial"/>
          <w:sz w:val="24"/>
          <w:szCs w:val="24"/>
          <w:lang w:val="es-CO" w:eastAsia="es-CO"/>
        </w:rPr>
        <w:t>tar las actividades aplicables a</w:t>
      </w:r>
      <w:r w:rsidRPr="009A53B7">
        <w:rPr>
          <w:rFonts w:ascii="Arial Narrow" w:eastAsia="Calibri" w:hAnsi="Arial Narrow" w:cs="Arial"/>
          <w:sz w:val="24"/>
          <w:szCs w:val="24"/>
          <w:lang w:val="es-CO" w:eastAsia="es-CO"/>
        </w:rPr>
        <w:t xml:space="preserve"> los procesos de enajenación de la participación accionaria estatal </w:t>
      </w:r>
      <w:r w:rsidR="00106593" w:rsidRPr="009A53B7">
        <w:rPr>
          <w:rFonts w:ascii="Arial Narrow" w:eastAsia="Calibri" w:hAnsi="Arial Narrow" w:cs="Arial"/>
          <w:sz w:val="24"/>
          <w:szCs w:val="24"/>
          <w:lang w:val="es-CO" w:eastAsia="es-CO"/>
        </w:rPr>
        <w:t>a</w:t>
      </w:r>
      <w:r w:rsidRPr="009A53B7">
        <w:rPr>
          <w:rFonts w:ascii="Arial Narrow" w:eastAsia="Calibri" w:hAnsi="Arial Narrow" w:cs="Arial"/>
          <w:sz w:val="24"/>
          <w:szCs w:val="24"/>
          <w:lang w:val="es-CO" w:eastAsia="es-CO"/>
        </w:rPr>
        <w:t xml:space="preserve"> través de la coordinación integral de </w:t>
      </w:r>
      <w:r w:rsidR="00106593" w:rsidRPr="009A53B7">
        <w:rPr>
          <w:rFonts w:ascii="Arial Narrow" w:eastAsia="Calibri" w:hAnsi="Arial Narrow" w:cs="Arial"/>
          <w:sz w:val="24"/>
          <w:szCs w:val="24"/>
          <w:lang w:val="es-CO" w:eastAsia="es-CO"/>
        </w:rPr>
        <w:t>dichas</w:t>
      </w:r>
      <w:r w:rsidRPr="009A53B7">
        <w:rPr>
          <w:rFonts w:ascii="Arial Narrow" w:eastAsia="Calibri" w:hAnsi="Arial Narrow" w:cs="Arial"/>
          <w:sz w:val="24"/>
          <w:szCs w:val="24"/>
          <w:lang w:val="es-CO" w:eastAsia="es-CO"/>
        </w:rPr>
        <w:t xml:space="preserve"> actividades entre las distintas entidades que participan en </w:t>
      </w:r>
      <w:r w:rsidR="009563BE" w:rsidRPr="009A53B7">
        <w:rPr>
          <w:rFonts w:ascii="Arial Narrow" w:eastAsia="Calibri" w:hAnsi="Arial Narrow" w:cs="Arial"/>
          <w:sz w:val="24"/>
          <w:szCs w:val="24"/>
          <w:lang w:val="es-CO" w:eastAsia="es-CO"/>
        </w:rPr>
        <w:t>determinado proceso de venta. Lo anterior, en el marco de un programa de enajenación estructurado de forma idónea y que propenda por el perfeccionamiento efectivo de la desinversión de aquellas participaciones accionarias que no cumplen con los objetivos de propiedad estatal.</w:t>
      </w:r>
    </w:p>
    <w:p w14:paraId="3551FD78" w14:textId="77777777" w:rsidR="008E72B0" w:rsidRPr="009A53B7" w:rsidRDefault="008E72B0" w:rsidP="009563BE">
      <w:pPr>
        <w:jc w:val="both"/>
        <w:rPr>
          <w:rFonts w:ascii="Arial Narrow" w:eastAsia="Calibri" w:hAnsi="Arial Narrow" w:cs="Arial"/>
          <w:sz w:val="24"/>
          <w:szCs w:val="24"/>
          <w:lang w:val="es-CO" w:eastAsia="es-CO"/>
        </w:rPr>
      </w:pPr>
    </w:p>
    <w:p w14:paraId="2575B55E" w14:textId="77777777" w:rsidR="008E72B0" w:rsidRPr="009A53B7" w:rsidRDefault="008E72B0" w:rsidP="00CC12BC">
      <w:pPr>
        <w:jc w:val="both"/>
        <w:rPr>
          <w:rFonts w:ascii="Arial Narrow" w:hAnsi="Arial Narrow" w:cs="Arial"/>
          <w:i/>
          <w:color w:val="C00000"/>
          <w:sz w:val="24"/>
          <w:szCs w:val="24"/>
          <w:lang w:val="es-CO"/>
        </w:rPr>
      </w:pPr>
    </w:p>
    <w:p w14:paraId="2FBBA9A5" w14:textId="77777777" w:rsidR="00CC12BC" w:rsidRPr="009A53B7" w:rsidRDefault="00CC12BC" w:rsidP="00CC12BC">
      <w:pPr>
        <w:pStyle w:val="Ttulo2"/>
        <w:numPr>
          <w:ilvl w:val="1"/>
          <w:numId w:val="20"/>
        </w:numPr>
        <w:rPr>
          <w:rFonts w:ascii="Arial Narrow" w:hAnsi="Arial Narrow"/>
          <w:sz w:val="24"/>
          <w:szCs w:val="24"/>
        </w:rPr>
      </w:pPr>
      <w:bookmarkStart w:id="5" w:name="_Toc10047330"/>
      <w:r w:rsidRPr="009A53B7">
        <w:rPr>
          <w:rFonts w:ascii="Arial Narrow" w:hAnsi="Arial Narrow"/>
          <w:sz w:val="24"/>
          <w:szCs w:val="24"/>
        </w:rPr>
        <w:t>Objetivos Específicos</w:t>
      </w:r>
      <w:bookmarkEnd w:id="5"/>
      <w:r w:rsidRPr="009A53B7">
        <w:rPr>
          <w:rFonts w:ascii="Arial Narrow" w:hAnsi="Arial Narrow"/>
          <w:sz w:val="24"/>
          <w:szCs w:val="24"/>
        </w:rPr>
        <w:t xml:space="preserve"> </w:t>
      </w:r>
    </w:p>
    <w:p w14:paraId="4D67F841" w14:textId="77777777" w:rsidR="00CC12BC" w:rsidRPr="009A53B7" w:rsidRDefault="00CC12BC" w:rsidP="00CC12BC">
      <w:pPr>
        <w:rPr>
          <w:rFonts w:ascii="Arial Narrow" w:hAnsi="Arial Narrow"/>
        </w:rPr>
      </w:pPr>
    </w:p>
    <w:p w14:paraId="28ABC33C" w14:textId="77777777" w:rsidR="009B243E" w:rsidRPr="009A53B7" w:rsidRDefault="00C50116" w:rsidP="009B243E">
      <w:pPr>
        <w:numPr>
          <w:ilvl w:val="0"/>
          <w:numId w:val="28"/>
        </w:numPr>
        <w:jc w:val="both"/>
        <w:rPr>
          <w:rFonts w:ascii="Arial Narrow" w:eastAsia="Calibri" w:hAnsi="Arial Narrow" w:cs="Arial"/>
          <w:sz w:val="24"/>
          <w:szCs w:val="24"/>
          <w:lang w:val="es-CO" w:eastAsia="es-CO"/>
        </w:rPr>
      </w:pPr>
      <w:r w:rsidRPr="009A53B7">
        <w:rPr>
          <w:rFonts w:ascii="Arial Narrow" w:eastAsia="Calibri" w:hAnsi="Arial Narrow" w:cs="Arial"/>
          <w:sz w:val="24"/>
          <w:szCs w:val="24"/>
          <w:lang w:val="es-CO" w:eastAsia="es-CO"/>
        </w:rPr>
        <w:t xml:space="preserve">Identificar </w:t>
      </w:r>
      <w:r w:rsidR="009B243E" w:rsidRPr="009A53B7">
        <w:rPr>
          <w:rFonts w:ascii="Arial Narrow" w:eastAsia="Calibri" w:hAnsi="Arial Narrow" w:cs="Arial"/>
          <w:sz w:val="24"/>
          <w:szCs w:val="24"/>
          <w:lang w:val="es-CO" w:eastAsia="es-CO"/>
        </w:rPr>
        <w:t xml:space="preserve">el marco normativo aplicable para la venta de determinada propiedad accionaria estatal. </w:t>
      </w:r>
    </w:p>
    <w:p w14:paraId="606DA4AB" w14:textId="77777777" w:rsidR="00025759" w:rsidRPr="009A53B7" w:rsidRDefault="00025759" w:rsidP="00CC12BC">
      <w:pPr>
        <w:numPr>
          <w:ilvl w:val="0"/>
          <w:numId w:val="28"/>
        </w:numPr>
        <w:jc w:val="both"/>
        <w:rPr>
          <w:rFonts w:ascii="Arial Narrow" w:eastAsia="Calibri" w:hAnsi="Arial Narrow" w:cs="Arial"/>
          <w:sz w:val="24"/>
          <w:szCs w:val="24"/>
          <w:lang w:val="es-CO" w:eastAsia="es-CO"/>
        </w:rPr>
      </w:pPr>
      <w:proofErr w:type="gramStart"/>
      <w:r w:rsidRPr="009A53B7">
        <w:rPr>
          <w:rFonts w:ascii="Arial Narrow" w:eastAsia="Calibri" w:hAnsi="Arial Narrow" w:cs="Arial"/>
          <w:sz w:val="24"/>
          <w:szCs w:val="24"/>
          <w:lang w:val="es-CO" w:eastAsia="es-CO"/>
        </w:rPr>
        <w:t>Asegurar</w:t>
      </w:r>
      <w:proofErr w:type="gramEnd"/>
      <w:r w:rsidRPr="009A53B7">
        <w:rPr>
          <w:rFonts w:ascii="Arial Narrow" w:eastAsia="Calibri" w:hAnsi="Arial Narrow" w:cs="Arial"/>
          <w:sz w:val="24"/>
          <w:szCs w:val="24"/>
          <w:lang w:val="es-CO" w:eastAsia="es-CO"/>
        </w:rPr>
        <w:t xml:space="preserve"> que la venta de la participación accionaria estatal cuente</w:t>
      </w:r>
      <w:r w:rsidR="004C2C37" w:rsidRPr="009A53B7">
        <w:rPr>
          <w:rFonts w:ascii="Arial Narrow" w:eastAsia="Calibri" w:hAnsi="Arial Narrow" w:cs="Arial"/>
          <w:sz w:val="24"/>
          <w:szCs w:val="24"/>
          <w:lang w:val="es-CO" w:eastAsia="es-CO"/>
        </w:rPr>
        <w:t xml:space="preserve"> </w:t>
      </w:r>
      <w:r w:rsidRPr="009A53B7">
        <w:rPr>
          <w:rFonts w:ascii="Arial Narrow" w:eastAsia="Calibri" w:hAnsi="Arial Narrow" w:cs="Arial"/>
          <w:sz w:val="24"/>
          <w:szCs w:val="24"/>
          <w:lang w:val="es-CO" w:eastAsia="es-CO"/>
        </w:rPr>
        <w:t>estudios técnicos idóneos</w:t>
      </w:r>
      <w:r w:rsidR="004C2C37" w:rsidRPr="009A53B7">
        <w:rPr>
          <w:rFonts w:ascii="Arial Narrow" w:eastAsia="Calibri" w:hAnsi="Arial Narrow" w:cs="Arial"/>
          <w:sz w:val="24"/>
          <w:szCs w:val="24"/>
          <w:lang w:val="es-CO" w:eastAsia="es-CO"/>
        </w:rPr>
        <w:t xml:space="preserve"> que protejan el patrimonio público. </w:t>
      </w:r>
    </w:p>
    <w:p w14:paraId="69532616" w14:textId="77777777" w:rsidR="00CC12BC" w:rsidRPr="009A53B7" w:rsidRDefault="00D56B36" w:rsidP="00CC12BC">
      <w:pPr>
        <w:numPr>
          <w:ilvl w:val="0"/>
          <w:numId w:val="28"/>
        </w:numPr>
        <w:jc w:val="both"/>
        <w:rPr>
          <w:rFonts w:ascii="Arial Narrow" w:eastAsia="Calibri" w:hAnsi="Arial Narrow" w:cs="Arial"/>
          <w:sz w:val="24"/>
          <w:szCs w:val="24"/>
          <w:lang w:val="es-CO" w:eastAsia="es-CO"/>
        </w:rPr>
      </w:pPr>
      <w:r w:rsidRPr="009A53B7">
        <w:rPr>
          <w:rFonts w:ascii="Arial Narrow" w:eastAsia="Calibri" w:hAnsi="Arial Narrow" w:cs="Arial"/>
          <w:sz w:val="24"/>
          <w:szCs w:val="24"/>
          <w:lang w:val="es-CO" w:eastAsia="es-CO"/>
        </w:rPr>
        <w:t xml:space="preserve">Ejecutar las actividades de coordinación establecidas para los procesos de enajenación que se efectúen bajo el marco de lo dispuesto en la Ley 226 de 1995, incluidas, entre otras, la presentación del programa de enajenación al Consejo de </w:t>
      </w:r>
      <w:proofErr w:type="gramStart"/>
      <w:r w:rsidRPr="009A53B7">
        <w:rPr>
          <w:rFonts w:ascii="Arial Narrow" w:eastAsia="Calibri" w:hAnsi="Arial Narrow" w:cs="Arial"/>
          <w:sz w:val="24"/>
          <w:szCs w:val="24"/>
          <w:lang w:val="es-CO" w:eastAsia="es-CO"/>
        </w:rPr>
        <w:t>Ministros</w:t>
      </w:r>
      <w:proofErr w:type="gramEnd"/>
      <w:r w:rsidRPr="009A53B7">
        <w:rPr>
          <w:rFonts w:ascii="Arial Narrow" w:eastAsia="Calibri" w:hAnsi="Arial Narrow" w:cs="Arial"/>
          <w:sz w:val="24"/>
          <w:szCs w:val="24"/>
          <w:lang w:val="es-CO" w:eastAsia="es-CO"/>
        </w:rPr>
        <w:t xml:space="preserve"> y la expedición del respectivo Decreto que apruebe la venta de la participación accionaria</w:t>
      </w:r>
      <w:r w:rsidR="00AD5662" w:rsidRPr="009A53B7">
        <w:rPr>
          <w:rFonts w:ascii="Arial Narrow" w:eastAsia="Calibri" w:hAnsi="Arial Narrow" w:cs="Arial"/>
          <w:sz w:val="24"/>
          <w:szCs w:val="24"/>
          <w:lang w:val="es-CO" w:eastAsia="es-CO"/>
        </w:rPr>
        <w:t>, en caso de ser aplicable</w:t>
      </w:r>
      <w:r w:rsidRPr="009A53B7">
        <w:rPr>
          <w:rFonts w:ascii="Arial Narrow" w:eastAsia="Calibri" w:hAnsi="Arial Narrow" w:cs="Arial"/>
          <w:sz w:val="24"/>
          <w:szCs w:val="24"/>
          <w:lang w:val="es-CO" w:eastAsia="es-CO"/>
        </w:rPr>
        <w:t xml:space="preserve">. </w:t>
      </w:r>
    </w:p>
    <w:p w14:paraId="35E8FE66" w14:textId="77777777" w:rsidR="00293103" w:rsidRPr="009A53B7" w:rsidRDefault="00D56B36" w:rsidP="004879BA">
      <w:pPr>
        <w:numPr>
          <w:ilvl w:val="0"/>
          <w:numId w:val="28"/>
        </w:numPr>
        <w:jc w:val="both"/>
        <w:rPr>
          <w:rFonts w:ascii="Arial Narrow" w:eastAsia="Calibri" w:hAnsi="Arial Narrow" w:cs="Arial"/>
          <w:sz w:val="24"/>
          <w:szCs w:val="24"/>
          <w:lang w:val="es-CO" w:eastAsia="es-CO"/>
        </w:rPr>
      </w:pPr>
      <w:r w:rsidRPr="009A53B7">
        <w:rPr>
          <w:rFonts w:ascii="Arial Narrow" w:eastAsia="Calibri" w:hAnsi="Arial Narrow" w:cs="Arial"/>
          <w:sz w:val="24"/>
          <w:szCs w:val="24"/>
          <w:lang w:val="es-CO" w:eastAsia="es-CO"/>
        </w:rPr>
        <w:t>E</w:t>
      </w:r>
      <w:r w:rsidR="00C677A7" w:rsidRPr="009A53B7">
        <w:rPr>
          <w:rFonts w:ascii="Arial Narrow" w:eastAsia="Calibri" w:hAnsi="Arial Narrow" w:cs="Arial"/>
          <w:sz w:val="24"/>
          <w:szCs w:val="24"/>
          <w:lang w:val="es-CO" w:eastAsia="es-CO"/>
        </w:rPr>
        <w:t>jecutar</w:t>
      </w:r>
      <w:r w:rsidR="00025759" w:rsidRPr="009A53B7">
        <w:rPr>
          <w:rFonts w:ascii="Arial Narrow" w:eastAsia="Calibri" w:hAnsi="Arial Narrow" w:cs="Arial"/>
          <w:sz w:val="24"/>
          <w:szCs w:val="24"/>
          <w:lang w:val="es-CO" w:eastAsia="es-CO"/>
        </w:rPr>
        <w:t xml:space="preserve"> las actividades indicadas en el </w:t>
      </w:r>
      <w:r w:rsidR="004C2C37" w:rsidRPr="009A53B7">
        <w:rPr>
          <w:rFonts w:ascii="Arial Narrow" w:hAnsi="Arial Narrow" w:cs="Arial"/>
          <w:sz w:val="24"/>
          <w:szCs w:val="24"/>
        </w:rPr>
        <w:t>artículo 162 de la Ley 1753 de 2015, modificado por el artículo 45 de la Ley del Plan Nacional de Desarrollo 2018-2022</w:t>
      </w:r>
      <w:r w:rsidR="00293103" w:rsidRPr="009A53B7">
        <w:rPr>
          <w:rFonts w:ascii="Arial Narrow" w:hAnsi="Arial Narrow" w:cs="Arial"/>
          <w:sz w:val="24"/>
          <w:szCs w:val="24"/>
        </w:rPr>
        <w:t>, y sus decretos reglamentarios, para perfeccionar la venta de la participación accionaria en el que no haya mediado la voluntad expresa de la entidad estatal o que provengan de una dación en pago y, siempre y cuando esta participación no supere el cuarenta y nueve por ciento (49%) de la propiedad accionaria de la sociedad</w:t>
      </w:r>
      <w:r w:rsidR="00AD5662" w:rsidRPr="009A53B7">
        <w:rPr>
          <w:rFonts w:ascii="Arial Narrow" w:hAnsi="Arial Narrow" w:cs="Arial"/>
          <w:sz w:val="24"/>
          <w:szCs w:val="24"/>
        </w:rPr>
        <w:t>, en caso de ser aplicable</w:t>
      </w:r>
      <w:r w:rsidR="00293103" w:rsidRPr="009A53B7">
        <w:rPr>
          <w:rFonts w:ascii="Arial Narrow" w:hAnsi="Arial Narrow" w:cs="Arial"/>
          <w:sz w:val="24"/>
          <w:szCs w:val="24"/>
        </w:rPr>
        <w:t xml:space="preserve">. </w:t>
      </w:r>
    </w:p>
    <w:p w14:paraId="467451D1" w14:textId="77777777" w:rsidR="00293103" w:rsidRPr="009A53B7" w:rsidRDefault="00293103" w:rsidP="00293103">
      <w:pPr>
        <w:ind w:left="720"/>
        <w:jc w:val="both"/>
        <w:rPr>
          <w:rFonts w:ascii="Arial Narrow" w:eastAsia="Calibri" w:hAnsi="Arial Narrow" w:cs="Arial"/>
          <w:sz w:val="24"/>
          <w:szCs w:val="24"/>
          <w:lang w:val="es-CO" w:eastAsia="es-CO"/>
        </w:rPr>
      </w:pPr>
    </w:p>
    <w:p w14:paraId="777392B1" w14:textId="77777777" w:rsidR="0078679A" w:rsidRPr="009A53B7" w:rsidRDefault="0078679A" w:rsidP="00CC12BC">
      <w:pPr>
        <w:pStyle w:val="Ttulo1"/>
        <w:numPr>
          <w:ilvl w:val="0"/>
          <w:numId w:val="20"/>
        </w:numPr>
        <w:rPr>
          <w:rFonts w:ascii="Arial Narrow" w:hAnsi="Arial Narrow"/>
          <w:sz w:val="24"/>
          <w:szCs w:val="24"/>
        </w:rPr>
      </w:pPr>
      <w:bookmarkStart w:id="6" w:name="_Toc10047331"/>
      <w:r w:rsidRPr="009A53B7">
        <w:rPr>
          <w:rFonts w:ascii="Arial Narrow" w:hAnsi="Arial Narrow"/>
          <w:sz w:val="24"/>
          <w:szCs w:val="24"/>
        </w:rPr>
        <w:t>ALCANCE</w:t>
      </w:r>
      <w:bookmarkEnd w:id="6"/>
    </w:p>
    <w:p w14:paraId="27CF935A" w14:textId="77777777" w:rsidR="00FE52EC" w:rsidRPr="009A53B7" w:rsidRDefault="00FE52EC" w:rsidP="00CB26AD">
      <w:pPr>
        <w:jc w:val="both"/>
        <w:rPr>
          <w:rFonts w:ascii="Arial Narrow" w:hAnsi="Arial Narrow" w:cs="Arial"/>
          <w:b/>
          <w:sz w:val="24"/>
          <w:szCs w:val="24"/>
        </w:rPr>
      </w:pPr>
    </w:p>
    <w:p w14:paraId="6154B1B2" w14:textId="77777777" w:rsidR="00CC12BC" w:rsidRPr="009A53B7" w:rsidRDefault="00144730" w:rsidP="00144730">
      <w:pPr>
        <w:jc w:val="both"/>
        <w:rPr>
          <w:rFonts w:ascii="Arial Narrow" w:eastAsia="Calibri" w:hAnsi="Arial Narrow" w:cs="Arial"/>
          <w:sz w:val="24"/>
          <w:szCs w:val="24"/>
          <w:lang w:val="es-CO" w:eastAsia="es-CO"/>
        </w:rPr>
      </w:pPr>
      <w:r w:rsidRPr="009A53B7">
        <w:rPr>
          <w:rFonts w:ascii="Arial Narrow" w:eastAsia="Calibri" w:hAnsi="Arial Narrow" w:cs="Arial"/>
          <w:sz w:val="24"/>
          <w:szCs w:val="24"/>
          <w:lang w:val="es-CO" w:eastAsia="es-CO"/>
        </w:rPr>
        <w:t>Las pautas descritas a continuación aplicarán a la enajenación, total o parcial a favor de particulares, de acciones o bonos obligatoriamente convertibles en acciones, de propiedad del Estado y, en general, a su participación en el capital social de cualquier empresa.</w:t>
      </w:r>
    </w:p>
    <w:p w14:paraId="0931D6E1" w14:textId="77777777" w:rsidR="00386147" w:rsidRPr="009A53B7" w:rsidRDefault="00386147" w:rsidP="00CC12BC">
      <w:pPr>
        <w:jc w:val="both"/>
        <w:rPr>
          <w:rFonts w:ascii="Arial Narrow" w:hAnsi="Arial Narrow" w:cs="Arial"/>
          <w:sz w:val="24"/>
          <w:szCs w:val="24"/>
        </w:rPr>
      </w:pPr>
    </w:p>
    <w:p w14:paraId="580D27B7" w14:textId="77777777" w:rsidR="00CC12BC" w:rsidRPr="009A53B7" w:rsidRDefault="00CC12BC" w:rsidP="00CC12BC">
      <w:pPr>
        <w:pStyle w:val="Ttulo1"/>
        <w:numPr>
          <w:ilvl w:val="0"/>
          <w:numId w:val="20"/>
        </w:numPr>
        <w:rPr>
          <w:rFonts w:ascii="Arial Narrow" w:hAnsi="Arial Narrow"/>
          <w:sz w:val="24"/>
          <w:szCs w:val="24"/>
        </w:rPr>
      </w:pPr>
      <w:bookmarkStart w:id="7" w:name="_Toc10047332"/>
      <w:r w:rsidRPr="009A53B7">
        <w:rPr>
          <w:rFonts w:ascii="Arial Narrow" w:hAnsi="Arial Narrow"/>
          <w:sz w:val="24"/>
          <w:szCs w:val="24"/>
        </w:rPr>
        <w:t>PRODUCTOS ESPERADOS</w:t>
      </w:r>
      <w:bookmarkEnd w:id="7"/>
      <w:r w:rsidRPr="009A53B7">
        <w:rPr>
          <w:rFonts w:ascii="Arial Narrow" w:hAnsi="Arial Narrow"/>
          <w:sz w:val="24"/>
          <w:szCs w:val="24"/>
        </w:rPr>
        <w:t xml:space="preserve"> </w:t>
      </w:r>
    </w:p>
    <w:p w14:paraId="0BB9773E" w14:textId="77777777" w:rsidR="00CC12BC" w:rsidRPr="009A53B7" w:rsidRDefault="00CC12BC" w:rsidP="00CC12BC">
      <w:pPr>
        <w:rPr>
          <w:rFonts w:ascii="Arial Narrow" w:hAnsi="Arial Narrow"/>
        </w:rPr>
      </w:pPr>
    </w:p>
    <w:p w14:paraId="65203E3E" w14:textId="77777777" w:rsidR="00C53565" w:rsidRPr="009A53B7" w:rsidRDefault="00676237" w:rsidP="00676237">
      <w:pPr>
        <w:jc w:val="both"/>
        <w:rPr>
          <w:rFonts w:ascii="Arial Narrow" w:hAnsi="Arial Narrow"/>
          <w:sz w:val="24"/>
          <w:szCs w:val="22"/>
        </w:rPr>
      </w:pPr>
      <w:r w:rsidRPr="009A53B7">
        <w:rPr>
          <w:rFonts w:ascii="Arial Narrow" w:hAnsi="Arial Narrow"/>
          <w:sz w:val="24"/>
          <w:szCs w:val="22"/>
        </w:rPr>
        <w:t>Cuando se realice un proceso de venta bajo la aplicación de lo dispuesto en la Ley 226 de 1995, se deberá obtener</w:t>
      </w:r>
      <w:r w:rsidR="00AD5662" w:rsidRPr="009A53B7">
        <w:rPr>
          <w:rFonts w:ascii="Arial Narrow" w:hAnsi="Arial Narrow"/>
          <w:sz w:val="24"/>
          <w:szCs w:val="22"/>
        </w:rPr>
        <w:t>, entre otros,</w:t>
      </w:r>
      <w:r w:rsidRPr="009A53B7">
        <w:rPr>
          <w:rFonts w:ascii="Arial Narrow" w:hAnsi="Arial Narrow"/>
          <w:sz w:val="24"/>
          <w:szCs w:val="22"/>
        </w:rPr>
        <w:t xml:space="preserve"> los siguientes documentos: </w:t>
      </w:r>
    </w:p>
    <w:p w14:paraId="2100BD9F" w14:textId="77777777" w:rsidR="00676237" w:rsidRPr="009A53B7" w:rsidRDefault="00676237" w:rsidP="00676237">
      <w:pPr>
        <w:numPr>
          <w:ilvl w:val="0"/>
          <w:numId w:val="27"/>
        </w:numPr>
        <w:jc w:val="both"/>
        <w:rPr>
          <w:rFonts w:ascii="Arial Narrow" w:hAnsi="Arial Narrow"/>
          <w:sz w:val="24"/>
          <w:szCs w:val="22"/>
        </w:rPr>
      </w:pPr>
      <w:r w:rsidRPr="009A53B7">
        <w:rPr>
          <w:rFonts w:ascii="Arial Narrow" w:hAnsi="Arial Narrow"/>
          <w:sz w:val="24"/>
          <w:szCs w:val="22"/>
        </w:rPr>
        <w:t>Informe</w:t>
      </w:r>
      <w:r w:rsidR="00C330E4" w:rsidRPr="009A53B7">
        <w:rPr>
          <w:rFonts w:ascii="Arial Narrow" w:hAnsi="Arial Narrow"/>
          <w:sz w:val="24"/>
          <w:szCs w:val="22"/>
        </w:rPr>
        <w:t>/ejercicio</w:t>
      </w:r>
      <w:r w:rsidRPr="009A53B7">
        <w:rPr>
          <w:rFonts w:ascii="Arial Narrow" w:hAnsi="Arial Narrow"/>
          <w:sz w:val="24"/>
          <w:szCs w:val="22"/>
        </w:rPr>
        <w:t xml:space="preserve"> de valoración</w:t>
      </w:r>
    </w:p>
    <w:p w14:paraId="34774239" w14:textId="77777777" w:rsidR="00C53565" w:rsidRPr="009A53B7" w:rsidRDefault="00676237" w:rsidP="00676237">
      <w:pPr>
        <w:numPr>
          <w:ilvl w:val="0"/>
          <w:numId w:val="27"/>
        </w:numPr>
        <w:jc w:val="both"/>
        <w:rPr>
          <w:rFonts w:ascii="Arial Narrow" w:hAnsi="Arial Narrow"/>
          <w:sz w:val="24"/>
          <w:szCs w:val="22"/>
        </w:rPr>
      </w:pPr>
      <w:r w:rsidRPr="009A53B7">
        <w:rPr>
          <w:rFonts w:ascii="Arial Narrow" w:hAnsi="Arial Narrow"/>
          <w:sz w:val="24"/>
          <w:szCs w:val="22"/>
        </w:rPr>
        <w:t>Decreto de enajenación</w:t>
      </w:r>
    </w:p>
    <w:p w14:paraId="5E3446CB" w14:textId="77777777" w:rsidR="00C53565" w:rsidRPr="009A53B7" w:rsidRDefault="00676237" w:rsidP="00676237">
      <w:pPr>
        <w:numPr>
          <w:ilvl w:val="0"/>
          <w:numId w:val="27"/>
        </w:numPr>
        <w:jc w:val="both"/>
        <w:rPr>
          <w:rFonts w:ascii="Arial Narrow" w:hAnsi="Arial Narrow"/>
          <w:sz w:val="24"/>
          <w:szCs w:val="22"/>
        </w:rPr>
      </w:pPr>
      <w:r w:rsidRPr="009A53B7">
        <w:rPr>
          <w:rFonts w:ascii="Arial Narrow" w:hAnsi="Arial Narrow"/>
          <w:sz w:val="24"/>
          <w:szCs w:val="22"/>
        </w:rPr>
        <w:t>Reglamentos de venta</w:t>
      </w:r>
    </w:p>
    <w:p w14:paraId="168CBB88" w14:textId="77777777" w:rsidR="00676237" w:rsidRPr="009A53B7" w:rsidRDefault="00AD5662" w:rsidP="00676237">
      <w:pPr>
        <w:numPr>
          <w:ilvl w:val="0"/>
          <w:numId w:val="27"/>
        </w:numPr>
        <w:jc w:val="both"/>
        <w:rPr>
          <w:rFonts w:ascii="Arial Narrow" w:hAnsi="Arial Narrow"/>
          <w:sz w:val="24"/>
          <w:szCs w:val="22"/>
        </w:rPr>
      </w:pPr>
      <w:r w:rsidRPr="009A53B7">
        <w:rPr>
          <w:rFonts w:ascii="Arial Narrow" w:hAnsi="Arial Narrow"/>
          <w:sz w:val="24"/>
          <w:szCs w:val="22"/>
        </w:rPr>
        <w:t xml:space="preserve">Documento que acredite la venta de las acciones en caso de completarse el Programa de Enajenación. </w:t>
      </w:r>
    </w:p>
    <w:p w14:paraId="30030575" w14:textId="77777777" w:rsidR="00386147" w:rsidRPr="009A53B7" w:rsidRDefault="00386147" w:rsidP="00386147">
      <w:pPr>
        <w:rPr>
          <w:rFonts w:ascii="Arial Narrow" w:hAnsi="Arial Narrow" w:cs="Arial"/>
          <w:i/>
          <w:color w:val="C00000"/>
          <w:sz w:val="24"/>
          <w:szCs w:val="24"/>
        </w:rPr>
      </w:pPr>
    </w:p>
    <w:p w14:paraId="7EF5240E" w14:textId="77777777" w:rsidR="00386147" w:rsidRPr="009A53B7" w:rsidRDefault="00386147" w:rsidP="00386147">
      <w:pPr>
        <w:pStyle w:val="Ttulo1"/>
        <w:numPr>
          <w:ilvl w:val="0"/>
          <w:numId w:val="20"/>
        </w:numPr>
        <w:rPr>
          <w:rFonts w:ascii="Arial Narrow" w:hAnsi="Arial Narrow"/>
          <w:sz w:val="24"/>
          <w:szCs w:val="24"/>
        </w:rPr>
      </w:pPr>
      <w:bookmarkStart w:id="8" w:name="_Toc10047333"/>
      <w:r w:rsidRPr="009A53B7">
        <w:rPr>
          <w:rFonts w:ascii="Arial Narrow" w:hAnsi="Arial Narrow"/>
          <w:sz w:val="24"/>
          <w:szCs w:val="24"/>
        </w:rPr>
        <w:lastRenderedPageBreak/>
        <w:t>TÉRMINOS Y DEFINICIONES</w:t>
      </w:r>
      <w:bookmarkEnd w:id="8"/>
    </w:p>
    <w:p w14:paraId="1D752307" w14:textId="77777777" w:rsidR="00386147" w:rsidRPr="009A53B7" w:rsidRDefault="00386147" w:rsidP="00386147">
      <w:pPr>
        <w:jc w:val="both"/>
        <w:rPr>
          <w:rFonts w:ascii="Arial Narrow" w:hAnsi="Arial Narrow" w:cs="Arial"/>
          <w:b/>
          <w:sz w:val="24"/>
          <w:szCs w:val="24"/>
        </w:rPr>
      </w:pPr>
    </w:p>
    <w:p w14:paraId="31CD736C" w14:textId="77777777" w:rsidR="00B46B0E" w:rsidRPr="009A53B7" w:rsidRDefault="00B46B0E" w:rsidP="00B46B0E">
      <w:pPr>
        <w:pStyle w:val="Default"/>
        <w:numPr>
          <w:ilvl w:val="0"/>
          <w:numId w:val="26"/>
        </w:numPr>
        <w:jc w:val="both"/>
        <w:rPr>
          <w:rFonts w:ascii="Arial Narrow" w:hAnsi="Arial Narrow"/>
          <w:bCs/>
          <w:szCs w:val="22"/>
        </w:rPr>
      </w:pPr>
      <w:r w:rsidRPr="009A53B7">
        <w:rPr>
          <w:rFonts w:ascii="Arial Narrow" w:hAnsi="Arial Narrow"/>
          <w:b/>
          <w:bCs/>
          <w:szCs w:val="22"/>
        </w:rPr>
        <w:t xml:space="preserve">Consejo de </w:t>
      </w:r>
      <w:proofErr w:type="gramStart"/>
      <w:r w:rsidRPr="009A53B7">
        <w:rPr>
          <w:rFonts w:ascii="Arial Narrow" w:hAnsi="Arial Narrow"/>
          <w:b/>
          <w:bCs/>
          <w:szCs w:val="22"/>
        </w:rPr>
        <w:t>Ministros</w:t>
      </w:r>
      <w:proofErr w:type="gramEnd"/>
      <w:r w:rsidRPr="009A53B7">
        <w:rPr>
          <w:rFonts w:ascii="Arial Narrow" w:hAnsi="Arial Narrow"/>
          <w:b/>
          <w:bCs/>
          <w:szCs w:val="22"/>
        </w:rPr>
        <w:t xml:space="preserve">: </w:t>
      </w:r>
      <w:r w:rsidRPr="009A53B7">
        <w:rPr>
          <w:rFonts w:ascii="Arial Narrow" w:hAnsi="Arial Narrow"/>
          <w:bCs/>
          <w:szCs w:val="22"/>
        </w:rPr>
        <w:t xml:space="preserve">Órgano institucional que reúne </w:t>
      </w:r>
      <w:r w:rsidR="00D53E73" w:rsidRPr="009A53B7">
        <w:rPr>
          <w:rFonts w:ascii="Arial Narrow" w:hAnsi="Arial Narrow"/>
          <w:bCs/>
          <w:szCs w:val="22"/>
        </w:rPr>
        <w:t>el P</w:t>
      </w:r>
      <w:r w:rsidRPr="009A53B7">
        <w:rPr>
          <w:rFonts w:ascii="Arial Narrow" w:hAnsi="Arial Narrow"/>
          <w:bCs/>
          <w:szCs w:val="22"/>
        </w:rPr>
        <w:t>residente</w:t>
      </w:r>
      <w:r w:rsidR="00D53E73" w:rsidRPr="009A53B7">
        <w:rPr>
          <w:rFonts w:ascii="Arial Narrow" w:hAnsi="Arial Narrow"/>
          <w:bCs/>
          <w:szCs w:val="22"/>
        </w:rPr>
        <w:t>, Vicepresidente</w:t>
      </w:r>
      <w:r w:rsidRPr="009A53B7">
        <w:rPr>
          <w:rFonts w:ascii="Arial Narrow" w:hAnsi="Arial Narrow"/>
          <w:bCs/>
          <w:szCs w:val="22"/>
        </w:rPr>
        <w:t xml:space="preserve"> y sus </w:t>
      </w:r>
      <w:r w:rsidR="00D53E73" w:rsidRPr="009A53B7">
        <w:rPr>
          <w:rFonts w:ascii="Arial Narrow" w:hAnsi="Arial Narrow"/>
          <w:bCs/>
          <w:szCs w:val="22"/>
        </w:rPr>
        <w:t>M</w:t>
      </w:r>
      <w:r w:rsidRPr="009A53B7">
        <w:rPr>
          <w:rFonts w:ascii="Arial Narrow" w:hAnsi="Arial Narrow"/>
          <w:bCs/>
          <w:szCs w:val="22"/>
        </w:rPr>
        <w:t>inistros</w:t>
      </w:r>
      <w:r w:rsidR="00D53E73" w:rsidRPr="009A53B7">
        <w:rPr>
          <w:rFonts w:ascii="Arial Narrow" w:hAnsi="Arial Narrow"/>
          <w:bCs/>
          <w:szCs w:val="22"/>
        </w:rPr>
        <w:t xml:space="preserve">. La Ley 226 de 1995 establece que el ministro del ramo respectivo y el </w:t>
      </w:r>
      <w:proofErr w:type="gramStart"/>
      <w:r w:rsidR="00D53E73" w:rsidRPr="009A53B7">
        <w:rPr>
          <w:rFonts w:ascii="Arial Narrow" w:hAnsi="Arial Narrow"/>
          <w:bCs/>
          <w:szCs w:val="22"/>
        </w:rPr>
        <w:t>Ministro</w:t>
      </w:r>
      <w:proofErr w:type="gramEnd"/>
      <w:r w:rsidR="00D53E73" w:rsidRPr="009A53B7">
        <w:rPr>
          <w:rFonts w:ascii="Arial Narrow" w:hAnsi="Arial Narrow"/>
          <w:bCs/>
          <w:szCs w:val="22"/>
        </w:rPr>
        <w:t xml:space="preserve"> de Hacienda y Crédito Público presentarán el proyecto de programa de enajenación a consideración del Consejo de Ministros. el cual, previo concepto favorable, lo remitirá al Gobierno para su posterior aprobación. </w:t>
      </w:r>
    </w:p>
    <w:p w14:paraId="31D1D2B2" w14:textId="77777777" w:rsidR="00D53E73" w:rsidRPr="009A53B7" w:rsidRDefault="00D53E73" w:rsidP="00D53E73">
      <w:pPr>
        <w:pStyle w:val="Default"/>
        <w:ind w:left="720"/>
        <w:jc w:val="both"/>
        <w:rPr>
          <w:rFonts w:ascii="Arial Narrow" w:hAnsi="Arial Narrow"/>
          <w:bCs/>
          <w:szCs w:val="22"/>
        </w:rPr>
      </w:pPr>
    </w:p>
    <w:p w14:paraId="598CD60C" w14:textId="77777777" w:rsidR="00D53E73" w:rsidRPr="009A53B7" w:rsidRDefault="00D53E73" w:rsidP="00D53E73">
      <w:pPr>
        <w:pStyle w:val="Default"/>
        <w:numPr>
          <w:ilvl w:val="0"/>
          <w:numId w:val="26"/>
        </w:numPr>
        <w:jc w:val="both"/>
        <w:rPr>
          <w:rFonts w:ascii="Arial Narrow" w:hAnsi="Arial Narrow"/>
          <w:bCs/>
          <w:szCs w:val="22"/>
        </w:rPr>
      </w:pPr>
      <w:r w:rsidRPr="009A53B7">
        <w:rPr>
          <w:rFonts w:ascii="Arial Narrow" w:hAnsi="Arial Narrow"/>
          <w:b/>
          <w:bCs/>
          <w:szCs w:val="22"/>
        </w:rPr>
        <w:t xml:space="preserve">DGPE: </w:t>
      </w:r>
      <w:r w:rsidRPr="009A53B7">
        <w:rPr>
          <w:rFonts w:ascii="Arial Narrow" w:hAnsi="Arial Narrow"/>
          <w:bCs/>
          <w:szCs w:val="22"/>
        </w:rPr>
        <w:t>Dirección General de Participaciones Estatales del Ministerio de Hacienda y Crédito Público</w:t>
      </w:r>
    </w:p>
    <w:p w14:paraId="0AFC6CF8" w14:textId="77777777" w:rsidR="00D53E73" w:rsidRPr="009A53B7" w:rsidRDefault="00D53E73" w:rsidP="00D53E73">
      <w:pPr>
        <w:pStyle w:val="Default"/>
        <w:ind w:left="720"/>
        <w:jc w:val="both"/>
        <w:rPr>
          <w:rFonts w:ascii="Arial Narrow" w:hAnsi="Arial Narrow"/>
          <w:b/>
          <w:bCs/>
          <w:szCs w:val="22"/>
        </w:rPr>
      </w:pPr>
    </w:p>
    <w:p w14:paraId="10ED1B12" w14:textId="77777777" w:rsidR="00D53E73" w:rsidRPr="009A53B7" w:rsidRDefault="00D53E73" w:rsidP="00D53E73">
      <w:pPr>
        <w:pStyle w:val="Default"/>
        <w:numPr>
          <w:ilvl w:val="0"/>
          <w:numId w:val="26"/>
        </w:numPr>
        <w:jc w:val="both"/>
        <w:rPr>
          <w:rFonts w:ascii="Arial Narrow" w:hAnsi="Arial Narrow"/>
          <w:b/>
          <w:bCs/>
          <w:szCs w:val="22"/>
        </w:rPr>
      </w:pPr>
      <w:proofErr w:type="spellStart"/>
      <w:r w:rsidRPr="009A53B7">
        <w:rPr>
          <w:rFonts w:ascii="Arial Narrow" w:hAnsi="Arial Narrow"/>
          <w:b/>
          <w:bCs/>
          <w:szCs w:val="22"/>
        </w:rPr>
        <w:t>Fairness</w:t>
      </w:r>
      <w:proofErr w:type="spellEnd"/>
      <w:r w:rsidRPr="009A53B7">
        <w:rPr>
          <w:rFonts w:ascii="Arial Narrow" w:hAnsi="Arial Narrow"/>
          <w:b/>
          <w:bCs/>
          <w:szCs w:val="22"/>
        </w:rPr>
        <w:t xml:space="preserve"> </w:t>
      </w:r>
      <w:proofErr w:type="spellStart"/>
      <w:r w:rsidRPr="009A53B7">
        <w:rPr>
          <w:rFonts w:ascii="Arial Narrow" w:hAnsi="Arial Narrow"/>
          <w:b/>
          <w:bCs/>
          <w:szCs w:val="22"/>
        </w:rPr>
        <w:t>Opinion</w:t>
      </w:r>
      <w:proofErr w:type="spellEnd"/>
      <w:r w:rsidRPr="009A53B7">
        <w:rPr>
          <w:rFonts w:ascii="Arial Narrow" w:hAnsi="Arial Narrow"/>
          <w:b/>
          <w:bCs/>
          <w:szCs w:val="22"/>
        </w:rPr>
        <w:t xml:space="preserve">: </w:t>
      </w:r>
      <w:r w:rsidRPr="009A53B7">
        <w:rPr>
          <w:rFonts w:ascii="Arial Narrow" w:hAnsi="Arial Narrow"/>
          <w:bCs/>
          <w:szCs w:val="22"/>
        </w:rPr>
        <w:t xml:space="preserve">Segunda opinión independiente sobre la razonabilidad del rango de valor de una determinada participación accionaria. </w:t>
      </w:r>
    </w:p>
    <w:p w14:paraId="7334451F" w14:textId="77777777" w:rsidR="00D53E73" w:rsidRPr="009A53B7" w:rsidRDefault="00D53E73" w:rsidP="00D53E73">
      <w:pPr>
        <w:pStyle w:val="Default"/>
        <w:ind w:left="720"/>
        <w:jc w:val="both"/>
        <w:rPr>
          <w:rFonts w:ascii="Arial Narrow" w:hAnsi="Arial Narrow"/>
          <w:szCs w:val="22"/>
        </w:rPr>
      </w:pPr>
    </w:p>
    <w:p w14:paraId="374CB052" w14:textId="77777777" w:rsidR="00D53E73" w:rsidRPr="009A53B7" w:rsidRDefault="00D53E73" w:rsidP="00D53E73">
      <w:pPr>
        <w:pStyle w:val="Default"/>
        <w:numPr>
          <w:ilvl w:val="0"/>
          <w:numId w:val="26"/>
        </w:numPr>
        <w:jc w:val="both"/>
        <w:rPr>
          <w:rFonts w:ascii="Arial Narrow" w:hAnsi="Arial Narrow"/>
          <w:szCs w:val="22"/>
        </w:rPr>
      </w:pPr>
      <w:r w:rsidRPr="009A53B7">
        <w:rPr>
          <w:rFonts w:ascii="Arial Narrow" w:hAnsi="Arial Narrow"/>
          <w:b/>
          <w:bCs/>
          <w:szCs w:val="22"/>
        </w:rPr>
        <w:t xml:space="preserve">Ley 226 de 1995: </w:t>
      </w:r>
      <w:r w:rsidRPr="009A53B7">
        <w:rPr>
          <w:rFonts w:ascii="Arial Narrow" w:hAnsi="Arial Narrow"/>
          <w:szCs w:val="22"/>
        </w:rPr>
        <w:t xml:space="preserve">Por la cual se desarrolla el artículo </w:t>
      </w:r>
      <w:r w:rsidRPr="009A53B7">
        <w:rPr>
          <w:rFonts w:ascii="Arial Narrow" w:hAnsi="Arial Narrow" w:cs="Times New Roman"/>
          <w:szCs w:val="22"/>
        </w:rPr>
        <w:t xml:space="preserve">60 </w:t>
      </w:r>
      <w:r w:rsidRPr="009A53B7">
        <w:rPr>
          <w:rFonts w:ascii="Arial Narrow" w:hAnsi="Arial Narrow"/>
          <w:szCs w:val="22"/>
        </w:rPr>
        <w:t xml:space="preserve">de la Constitución Política en cuanto a la enajenación de la propiedad accionaria estatal, se toman medidas para su democratización y se dictan otras disposiciones. </w:t>
      </w:r>
    </w:p>
    <w:p w14:paraId="14150F96" w14:textId="77777777" w:rsidR="00D53E73" w:rsidRPr="009A53B7" w:rsidRDefault="00D53E73" w:rsidP="00D53E73">
      <w:pPr>
        <w:pStyle w:val="Default"/>
        <w:ind w:left="720"/>
        <w:jc w:val="both"/>
        <w:rPr>
          <w:rFonts w:ascii="Arial Narrow" w:hAnsi="Arial Narrow"/>
          <w:b/>
          <w:bCs/>
          <w:szCs w:val="22"/>
        </w:rPr>
      </w:pPr>
    </w:p>
    <w:p w14:paraId="0703A026" w14:textId="77777777" w:rsidR="00D53E73" w:rsidRPr="009A53B7" w:rsidRDefault="00D53E73" w:rsidP="00D53E73">
      <w:pPr>
        <w:pStyle w:val="Default"/>
        <w:numPr>
          <w:ilvl w:val="0"/>
          <w:numId w:val="26"/>
        </w:numPr>
        <w:jc w:val="both"/>
        <w:rPr>
          <w:rFonts w:ascii="Arial Narrow" w:hAnsi="Arial Narrow"/>
          <w:b/>
          <w:bCs/>
          <w:szCs w:val="22"/>
        </w:rPr>
      </w:pPr>
      <w:r w:rsidRPr="009A53B7">
        <w:rPr>
          <w:rFonts w:ascii="Arial Narrow" w:hAnsi="Arial Narrow"/>
          <w:b/>
          <w:bCs/>
          <w:szCs w:val="22"/>
        </w:rPr>
        <w:t xml:space="preserve">Metodología(s) de valoración: </w:t>
      </w:r>
      <w:r w:rsidRPr="009A53B7">
        <w:rPr>
          <w:rFonts w:ascii="Arial Narrow" w:hAnsi="Arial Narrow"/>
          <w:bCs/>
          <w:szCs w:val="22"/>
        </w:rPr>
        <w:t>Ejercicio(s) adelantando(s) para determinar el rango de valor de la participación accionaria.</w:t>
      </w:r>
      <w:r w:rsidRPr="009A53B7">
        <w:rPr>
          <w:rFonts w:ascii="Arial Narrow" w:hAnsi="Arial Narrow"/>
          <w:b/>
          <w:bCs/>
          <w:szCs w:val="22"/>
        </w:rPr>
        <w:t xml:space="preserve"> </w:t>
      </w:r>
    </w:p>
    <w:p w14:paraId="31237D30" w14:textId="77777777" w:rsidR="00D53E73" w:rsidRPr="009A53B7" w:rsidRDefault="00D53E73" w:rsidP="00D53E73">
      <w:pPr>
        <w:pStyle w:val="Prrafodelista"/>
        <w:rPr>
          <w:rFonts w:ascii="Arial Narrow" w:hAnsi="Arial Narrow"/>
          <w:b/>
          <w:bCs/>
          <w:szCs w:val="22"/>
        </w:rPr>
      </w:pPr>
    </w:p>
    <w:p w14:paraId="39867ACC" w14:textId="77777777" w:rsidR="00D53E73" w:rsidRPr="009A53B7" w:rsidRDefault="00D53E73" w:rsidP="00D53E73">
      <w:pPr>
        <w:pStyle w:val="Default"/>
        <w:numPr>
          <w:ilvl w:val="0"/>
          <w:numId w:val="26"/>
        </w:numPr>
        <w:jc w:val="both"/>
        <w:rPr>
          <w:rFonts w:ascii="Arial Narrow" w:hAnsi="Arial Narrow"/>
          <w:b/>
          <w:bCs/>
          <w:szCs w:val="22"/>
        </w:rPr>
      </w:pPr>
      <w:r w:rsidRPr="009A53B7">
        <w:rPr>
          <w:rFonts w:ascii="Arial Narrow" w:hAnsi="Arial Narrow"/>
          <w:b/>
          <w:bCs/>
          <w:szCs w:val="22"/>
        </w:rPr>
        <w:t xml:space="preserve">MHCP: </w:t>
      </w:r>
      <w:r w:rsidRPr="009A53B7">
        <w:rPr>
          <w:rFonts w:ascii="Arial Narrow" w:hAnsi="Arial Narrow"/>
          <w:bCs/>
          <w:szCs w:val="22"/>
        </w:rPr>
        <w:t>Ministerio de Hacienda y Crédito Público.</w:t>
      </w:r>
    </w:p>
    <w:p w14:paraId="7721AE36" w14:textId="77777777" w:rsidR="00D53E73" w:rsidRPr="009A53B7" w:rsidRDefault="00D53E73" w:rsidP="00D53E73">
      <w:pPr>
        <w:pStyle w:val="Default"/>
        <w:ind w:left="360"/>
        <w:jc w:val="both"/>
        <w:rPr>
          <w:rFonts w:ascii="Arial Narrow" w:hAnsi="Arial Narrow"/>
          <w:bCs/>
          <w:szCs w:val="22"/>
        </w:rPr>
      </w:pPr>
    </w:p>
    <w:p w14:paraId="6225401B" w14:textId="77777777" w:rsidR="00D53E73" w:rsidRPr="009A53B7" w:rsidRDefault="00D53E73" w:rsidP="00D53E73">
      <w:pPr>
        <w:pStyle w:val="Default"/>
        <w:numPr>
          <w:ilvl w:val="0"/>
          <w:numId w:val="26"/>
        </w:numPr>
        <w:jc w:val="both"/>
        <w:rPr>
          <w:rFonts w:ascii="Arial Narrow" w:hAnsi="Arial Narrow"/>
          <w:b/>
          <w:bCs/>
          <w:szCs w:val="22"/>
        </w:rPr>
      </w:pPr>
      <w:r w:rsidRPr="009A53B7">
        <w:rPr>
          <w:rFonts w:ascii="Arial Narrow" w:hAnsi="Arial Narrow"/>
          <w:b/>
          <w:bCs/>
          <w:szCs w:val="22"/>
        </w:rPr>
        <w:t xml:space="preserve">Reglamentos de enajenación: </w:t>
      </w:r>
      <w:r w:rsidRPr="009A53B7">
        <w:rPr>
          <w:rFonts w:ascii="Arial Narrow" w:hAnsi="Arial Narrow"/>
          <w:bCs/>
          <w:szCs w:val="22"/>
        </w:rPr>
        <w:t xml:space="preserve">Documentos que contiene el conjunto de reglas que deben aplicarse para el proceso de enajenación. </w:t>
      </w:r>
    </w:p>
    <w:p w14:paraId="4A193AA1" w14:textId="77777777" w:rsidR="00D53E73" w:rsidRPr="009A53B7" w:rsidRDefault="00D53E73" w:rsidP="00D53E73">
      <w:pPr>
        <w:pStyle w:val="Prrafodelista"/>
        <w:rPr>
          <w:rFonts w:ascii="Arial Narrow" w:hAnsi="Arial Narrow"/>
          <w:b/>
          <w:bCs/>
          <w:szCs w:val="22"/>
        </w:rPr>
      </w:pPr>
    </w:p>
    <w:p w14:paraId="44EAFEC4" w14:textId="77777777" w:rsidR="00D53E73" w:rsidRPr="009A53B7" w:rsidRDefault="00D53E73" w:rsidP="00D53E73">
      <w:pPr>
        <w:pStyle w:val="Default"/>
        <w:ind w:left="720"/>
        <w:jc w:val="both"/>
        <w:rPr>
          <w:rFonts w:ascii="Arial Narrow" w:hAnsi="Arial Narrow"/>
          <w:b/>
          <w:bCs/>
          <w:szCs w:val="22"/>
        </w:rPr>
      </w:pPr>
    </w:p>
    <w:p w14:paraId="063C7B99" w14:textId="77777777" w:rsidR="00D53E73" w:rsidRPr="009A53B7" w:rsidRDefault="00D53E73" w:rsidP="00D53E73">
      <w:pPr>
        <w:pStyle w:val="Default"/>
        <w:ind w:left="720"/>
        <w:jc w:val="both"/>
        <w:rPr>
          <w:rFonts w:ascii="Arial Narrow" w:hAnsi="Arial Narrow"/>
          <w:b/>
          <w:bCs/>
          <w:szCs w:val="22"/>
        </w:rPr>
      </w:pPr>
    </w:p>
    <w:p w14:paraId="595E609E" w14:textId="77777777" w:rsidR="00D53E73" w:rsidRPr="009A53B7" w:rsidRDefault="00D53E73" w:rsidP="00D53E73">
      <w:pPr>
        <w:pStyle w:val="Default"/>
        <w:ind w:left="720"/>
        <w:jc w:val="both"/>
        <w:rPr>
          <w:rFonts w:ascii="Arial Narrow" w:hAnsi="Arial Narrow"/>
          <w:b/>
          <w:bCs/>
          <w:szCs w:val="22"/>
        </w:rPr>
      </w:pPr>
    </w:p>
    <w:p w14:paraId="14AD648B" w14:textId="77777777" w:rsidR="00D53E73" w:rsidRPr="009A53B7" w:rsidRDefault="00D53E73" w:rsidP="00D53E73">
      <w:pPr>
        <w:pStyle w:val="Default"/>
        <w:ind w:left="720"/>
        <w:jc w:val="both"/>
        <w:rPr>
          <w:rFonts w:ascii="Arial Narrow" w:hAnsi="Arial Narrow"/>
          <w:b/>
          <w:bCs/>
          <w:szCs w:val="22"/>
        </w:rPr>
      </w:pPr>
    </w:p>
    <w:p w14:paraId="5AF6E57D" w14:textId="77777777" w:rsidR="00D53E73" w:rsidRPr="009A53B7" w:rsidRDefault="00D53E73" w:rsidP="00D53E73">
      <w:pPr>
        <w:pStyle w:val="Default"/>
        <w:ind w:left="720"/>
        <w:jc w:val="both"/>
        <w:rPr>
          <w:rFonts w:ascii="Arial Narrow" w:hAnsi="Arial Narrow"/>
          <w:b/>
          <w:bCs/>
          <w:szCs w:val="22"/>
        </w:rPr>
      </w:pPr>
    </w:p>
    <w:p w14:paraId="4CCEC0B4" w14:textId="77777777" w:rsidR="00D53E73" w:rsidRPr="009A53B7" w:rsidRDefault="00D53E73" w:rsidP="00D53E73">
      <w:pPr>
        <w:pStyle w:val="Default"/>
        <w:ind w:left="720"/>
        <w:jc w:val="both"/>
        <w:rPr>
          <w:rFonts w:ascii="Arial Narrow" w:hAnsi="Arial Narrow"/>
          <w:b/>
          <w:bCs/>
          <w:szCs w:val="22"/>
        </w:rPr>
      </w:pPr>
    </w:p>
    <w:p w14:paraId="32C3A07E" w14:textId="77777777" w:rsidR="00D53E73" w:rsidRPr="009A53B7" w:rsidRDefault="00D53E73" w:rsidP="00D53E73">
      <w:pPr>
        <w:pStyle w:val="Default"/>
        <w:ind w:left="720"/>
        <w:jc w:val="both"/>
        <w:rPr>
          <w:rFonts w:ascii="Arial Narrow" w:hAnsi="Arial Narrow"/>
          <w:b/>
          <w:bCs/>
          <w:szCs w:val="22"/>
        </w:rPr>
      </w:pPr>
    </w:p>
    <w:p w14:paraId="15F0D938" w14:textId="77777777" w:rsidR="00D53E73" w:rsidRPr="009A53B7" w:rsidRDefault="00D53E73" w:rsidP="00D53E73">
      <w:pPr>
        <w:pStyle w:val="Default"/>
        <w:ind w:left="720"/>
        <w:jc w:val="both"/>
        <w:rPr>
          <w:rFonts w:ascii="Arial Narrow" w:hAnsi="Arial Narrow"/>
          <w:b/>
          <w:bCs/>
          <w:szCs w:val="22"/>
        </w:rPr>
      </w:pPr>
    </w:p>
    <w:p w14:paraId="53C9EBD8" w14:textId="77777777" w:rsidR="00D53E73" w:rsidRPr="009A53B7" w:rsidRDefault="00D53E73" w:rsidP="00D53E73">
      <w:pPr>
        <w:pStyle w:val="Default"/>
        <w:ind w:left="720"/>
        <w:jc w:val="both"/>
        <w:rPr>
          <w:rFonts w:ascii="Arial Narrow" w:hAnsi="Arial Narrow"/>
          <w:b/>
          <w:bCs/>
          <w:szCs w:val="22"/>
        </w:rPr>
      </w:pPr>
    </w:p>
    <w:p w14:paraId="0469A7A5" w14:textId="77777777" w:rsidR="00D53E73" w:rsidRPr="009A53B7" w:rsidRDefault="00D53E73" w:rsidP="00D53E73">
      <w:pPr>
        <w:pStyle w:val="Default"/>
        <w:ind w:left="720"/>
        <w:jc w:val="both"/>
        <w:rPr>
          <w:rFonts w:ascii="Arial Narrow" w:hAnsi="Arial Narrow"/>
          <w:b/>
          <w:bCs/>
          <w:szCs w:val="22"/>
        </w:rPr>
      </w:pPr>
    </w:p>
    <w:p w14:paraId="6451272D" w14:textId="77777777" w:rsidR="00323E77" w:rsidRPr="009A53B7" w:rsidRDefault="00323E77" w:rsidP="00D53E73">
      <w:pPr>
        <w:pStyle w:val="Default"/>
        <w:ind w:left="720"/>
        <w:jc w:val="both"/>
        <w:rPr>
          <w:rFonts w:ascii="Arial Narrow" w:hAnsi="Arial Narrow"/>
          <w:b/>
          <w:bCs/>
          <w:szCs w:val="22"/>
        </w:rPr>
      </w:pPr>
    </w:p>
    <w:p w14:paraId="1858D912" w14:textId="77777777" w:rsidR="00D53E73" w:rsidRPr="009A53B7" w:rsidRDefault="00D53E73" w:rsidP="00D53E73">
      <w:pPr>
        <w:pStyle w:val="Default"/>
        <w:ind w:left="720"/>
        <w:jc w:val="both"/>
        <w:rPr>
          <w:rFonts w:ascii="Arial Narrow" w:hAnsi="Arial Narrow"/>
          <w:b/>
          <w:bCs/>
          <w:szCs w:val="22"/>
        </w:rPr>
      </w:pPr>
    </w:p>
    <w:p w14:paraId="238C3459" w14:textId="77777777" w:rsidR="00D53E73" w:rsidRPr="009A53B7" w:rsidRDefault="00D53E73" w:rsidP="00D53E73">
      <w:pPr>
        <w:pStyle w:val="Default"/>
        <w:ind w:left="720"/>
        <w:jc w:val="both"/>
        <w:rPr>
          <w:rFonts w:ascii="Arial Narrow" w:hAnsi="Arial Narrow"/>
          <w:b/>
          <w:bCs/>
          <w:szCs w:val="22"/>
        </w:rPr>
      </w:pPr>
    </w:p>
    <w:p w14:paraId="54C105A2" w14:textId="77777777" w:rsidR="00D53E73" w:rsidRPr="009A53B7" w:rsidRDefault="00D53E73" w:rsidP="00D53E73">
      <w:pPr>
        <w:pStyle w:val="Prrafodelista"/>
        <w:rPr>
          <w:rFonts w:ascii="Arial Narrow" w:hAnsi="Arial Narrow"/>
          <w:b/>
          <w:bCs/>
          <w:szCs w:val="22"/>
        </w:rPr>
      </w:pPr>
    </w:p>
    <w:p w14:paraId="0C0206C0" w14:textId="77777777" w:rsidR="00D53E73" w:rsidRPr="009A53B7" w:rsidRDefault="00D53E73" w:rsidP="00D53E73">
      <w:pPr>
        <w:pStyle w:val="Default"/>
        <w:ind w:left="720"/>
        <w:jc w:val="both"/>
        <w:rPr>
          <w:rFonts w:ascii="Arial Narrow" w:hAnsi="Arial Narrow"/>
          <w:bCs/>
          <w:szCs w:val="22"/>
        </w:rPr>
      </w:pPr>
    </w:p>
    <w:p w14:paraId="44C9A0A2" w14:textId="77777777" w:rsidR="00386147" w:rsidRPr="009A53B7" w:rsidRDefault="00386147" w:rsidP="00B46B0E">
      <w:pPr>
        <w:pStyle w:val="Default"/>
        <w:ind w:left="720"/>
        <w:jc w:val="both"/>
        <w:rPr>
          <w:rFonts w:ascii="Arial Narrow" w:hAnsi="Arial Narrow"/>
          <w:bCs/>
          <w:szCs w:val="22"/>
        </w:rPr>
      </w:pPr>
    </w:p>
    <w:p w14:paraId="06243920" w14:textId="77777777" w:rsidR="0094407F" w:rsidRPr="009A53B7" w:rsidRDefault="0094407F" w:rsidP="00B46B0E">
      <w:pPr>
        <w:pStyle w:val="Default"/>
        <w:ind w:left="720"/>
        <w:jc w:val="both"/>
        <w:rPr>
          <w:rFonts w:ascii="Arial Narrow" w:hAnsi="Arial Narrow"/>
          <w:bCs/>
          <w:szCs w:val="22"/>
        </w:rPr>
      </w:pPr>
    </w:p>
    <w:p w14:paraId="36B04509" w14:textId="77777777" w:rsidR="00E702B9" w:rsidRPr="009A53B7" w:rsidRDefault="00B272FD" w:rsidP="00CC12BC">
      <w:pPr>
        <w:pStyle w:val="Ttulo1"/>
        <w:numPr>
          <w:ilvl w:val="0"/>
          <w:numId w:val="20"/>
        </w:numPr>
        <w:rPr>
          <w:rFonts w:ascii="Arial Narrow" w:hAnsi="Arial Narrow" w:cs="Arial"/>
          <w:sz w:val="24"/>
          <w:szCs w:val="24"/>
        </w:rPr>
      </w:pPr>
      <w:bookmarkStart w:id="9" w:name="_Toc10047334"/>
      <w:bookmarkStart w:id="10" w:name="_Toc126143692"/>
      <w:bookmarkStart w:id="11" w:name="_Toc126144694"/>
      <w:bookmarkStart w:id="12" w:name="_Toc126144876"/>
      <w:bookmarkStart w:id="13" w:name="_Toc126144946"/>
      <w:bookmarkStart w:id="14" w:name="_Toc126147376"/>
      <w:bookmarkStart w:id="15" w:name="_Toc126301042"/>
      <w:r w:rsidRPr="009A53B7">
        <w:rPr>
          <w:rFonts w:ascii="Arial Narrow" w:hAnsi="Arial Narrow"/>
          <w:sz w:val="24"/>
          <w:szCs w:val="24"/>
        </w:rPr>
        <w:lastRenderedPageBreak/>
        <w:t>DESARROLLO TÉCNICO DEL DOCUMENTO</w:t>
      </w:r>
      <w:bookmarkEnd w:id="9"/>
    </w:p>
    <w:p w14:paraId="23553DE4" w14:textId="77777777" w:rsidR="004A361C" w:rsidRPr="009A53B7" w:rsidRDefault="004A361C" w:rsidP="00CB26AD">
      <w:pPr>
        <w:ind w:left="360"/>
        <w:jc w:val="both"/>
        <w:rPr>
          <w:rFonts w:ascii="Arial Narrow" w:hAnsi="Arial Narrow" w:cs="Arial"/>
          <w:b/>
          <w:sz w:val="24"/>
          <w:szCs w:val="24"/>
        </w:rPr>
      </w:pPr>
    </w:p>
    <w:p w14:paraId="18342295" w14:textId="77777777" w:rsidR="00A7799C" w:rsidRPr="009A53B7" w:rsidRDefault="00C330E4" w:rsidP="00A7799C">
      <w:pPr>
        <w:jc w:val="both"/>
        <w:rPr>
          <w:rFonts w:ascii="Arial Narrow" w:hAnsi="Arial Narrow" w:cs="Arial"/>
          <w:sz w:val="24"/>
          <w:szCs w:val="24"/>
        </w:rPr>
      </w:pPr>
      <w:r w:rsidRPr="009A53B7">
        <w:rPr>
          <w:rFonts w:ascii="Arial Narrow" w:hAnsi="Arial Narrow" w:cs="Arial"/>
          <w:color w:val="000000"/>
          <w:sz w:val="24"/>
          <w:szCs w:val="24"/>
        </w:rPr>
        <w:t xml:space="preserve">La enajenación de la participación accionaria estatal </w:t>
      </w:r>
      <w:r w:rsidR="00323E77" w:rsidRPr="009A53B7">
        <w:rPr>
          <w:rFonts w:ascii="Arial Narrow" w:hAnsi="Arial Narrow" w:cs="Arial"/>
          <w:color w:val="000000"/>
          <w:sz w:val="24"/>
          <w:szCs w:val="24"/>
        </w:rPr>
        <w:t xml:space="preserve">tiene una reglamentación específica que </w:t>
      </w:r>
      <w:r w:rsidR="00A7799C" w:rsidRPr="009A53B7">
        <w:rPr>
          <w:rFonts w:ascii="Arial Narrow" w:hAnsi="Arial Narrow" w:cs="Arial"/>
          <w:color w:val="000000"/>
          <w:sz w:val="24"/>
          <w:szCs w:val="24"/>
        </w:rPr>
        <w:t>debe ser aplicada por parte de las entidades estatales que</w:t>
      </w:r>
      <w:r w:rsidR="00323E77" w:rsidRPr="009A53B7">
        <w:rPr>
          <w:rFonts w:ascii="Arial Narrow" w:hAnsi="Arial Narrow" w:cs="Arial"/>
          <w:color w:val="000000"/>
          <w:sz w:val="24"/>
          <w:szCs w:val="24"/>
        </w:rPr>
        <w:t xml:space="preserve"> decidan </w:t>
      </w:r>
      <w:r w:rsidR="00A7799C" w:rsidRPr="009A53B7">
        <w:rPr>
          <w:rFonts w:ascii="Arial Narrow" w:hAnsi="Arial Narrow" w:cs="Arial"/>
          <w:color w:val="000000"/>
          <w:sz w:val="24"/>
          <w:szCs w:val="24"/>
        </w:rPr>
        <w:t>ejecutar</w:t>
      </w:r>
      <w:r w:rsidR="00323E77" w:rsidRPr="009A53B7">
        <w:rPr>
          <w:rFonts w:ascii="Arial Narrow" w:hAnsi="Arial Narrow" w:cs="Arial"/>
          <w:color w:val="000000"/>
          <w:sz w:val="24"/>
          <w:szCs w:val="24"/>
        </w:rPr>
        <w:t xml:space="preserve"> un programa de </w:t>
      </w:r>
      <w:r w:rsidR="00A7799C" w:rsidRPr="009A53B7">
        <w:rPr>
          <w:rFonts w:ascii="Arial Narrow" w:hAnsi="Arial Narrow" w:cs="Arial"/>
          <w:color w:val="000000"/>
          <w:sz w:val="24"/>
          <w:szCs w:val="24"/>
        </w:rPr>
        <w:t>enajenación determinado. En términos generales, existen dos marcos normativos aplicables para la venta de la participación accionaria estatal: i)</w:t>
      </w:r>
      <w:r w:rsidR="00C556E0" w:rsidRPr="009A53B7">
        <w:rPr>
          <w:rFonts w:ascii="Arial Narrow" w:hAnsi="Arial Narrow" w:cs="Arial"/>
          <w:color w:val="000000"/>
          <w:sz w:val="24"/>
          <w:szCs w:val="24"/>
        </w:rPr>
        <w:t xml:space="preserve"> l</w:t>
      </w:r>
      <w:r w:rsidR="00A7799C" w:rsidRPr="009A53B7">
        <w:rPr>
          <w:rFonts w:ascii="Arial Narrow" w:hAnsi="Arial Narrow" w:cs="Arial"/>
          <w:color w:val="000000"/>
          <w:sz w:val="24"/>
          <w:szCs w:val="24"/>
        </w:rPr>
        <w:t xml:space="preserve">a </w:t>
      </w:r>
      <w:r w:rsidR="00A7799C" w:rsidRPr="009A53B7">
        <w:rPr>
          <w:rFonts w:ascii="Arial Narrow" w:hAnsi="Arial Narrow" w:cs="Arial"/>
          <w:sz w:val="24"/>
          <w:szCs w:val="24"/>
        </w:rPr>
        <w:t xml:space="preserve">Ley 226 de 1995, y </w:t>
      </w:r>
      <w:proofErr w:type="spellStart"/>
      <w:r w:rsidR="00A7799C" w:rsidRPr="009A53B7">
        <w:rPr>
          <w:rFonts w:ascii="Arial Narrow" w:hAnsi="Arial Narrow" w:cs="Arial"/>
          <w:sz w:val="24"/>
          <w:szCs w:val="24"/>
        </w:rPr>
        <w:t>ii</w:t>
      </w:r>
      <w:proofErr w:type="spellEnd"/>
      <w:r w:rsidR="00A7799C" w:rsidRPr="009A53B7">
        <w:rPr>
          <w:rFonts w:ascii="Arial Narrow" w:hAnsi="Arial Narrow" w:cs="Arial"/>
          <w:sz w:val="24"/>
          <w:szCs w:val="24"/>
        </w:rPr>
        <w:t>) el régimen de venta establecido en el artículo 162 de la Ley 1753 de 2015, modificado por el artículo 45 de la Ley del Plan Nacional de Desarrollo 2018-2022.</w:t>
      </w:r>
    </w:p>
    <w:p w14:paraId="231F5DEF" w14:textId="77777777" w:rsidR="00A7799C" w:rsidRPr="009A53B7" w:rsidRDefault="00A7799C" w:rsidP="00A7799C">
      <w:pPr>
        <w:jc w:val="both"/>
        <w:rPr>
          <w:rFonts w:ascii="Arial Narrow" w:hAnsi="Arial Narrow" w:cs="Arial"/>
          <w:sz w:val="24"/>
          <w:szCs w:val="24"/>
        </w:rPr>
      </w:pPr>
    </w:p>
    <w:p w14:paraId="05636F52" w14:textId="77777777" w:rsidR="00733B53" w:rsidRPr="009A53B7" w:rsidRDefault="00C556E0" w:rsidP="00C556E0">
      <w:pPr>
        <w:jc w:val="both"/>
        <w:rPr>
          <w:rFonts w:ascii="Arial Narrow" w:hAnsi="Arial Narrow" w:cs="Arial"/>
          <w:sz w:val="24"/>
          <w:szCs w:val="24"/>
        </w:rPr>
      </w:pPr>
      <w:r w:rsidRPr="009A53B7">
        <w:rPr>
          <w:rFonts w:ascii="Arial Narrow" w:hAnsi="Arial Narrow" w:cs="Arial"/>
          <w:sz w:val="24"/>
          <w:szCs w:val="24"/>
        </w:rPr>
        <w:t>Por una parte, la</w:t>
      </w:r>
      <w:r w:rsidR="00A7799C" w:rsidRPr="009A53B7">
        <w:rPr>
          <w:rFonts w:ascii="Arial Narrow" w:hAnsi="Arial Narrow" w:cs="Arial"/>
          <w:sz w:val="24"/>
          <w:szCs w:val="24"/>
        </w:rPr>
        <w:t xml:space="preserve"> Ley 226 de 1995 </w:t>
      </w:r>
      <w:r w:rsidRPr="009A53B7">
        <w:rPr>
          <w:rFonts w:ascii="Arial Narrow" w:hAnsi="Arial Narrow" w:cs="Arial"/>
          <w:sz w:val="24"/>
          <w:szCs w:val="24"/>
        </w:rPr>
        <w:t>dispone un régimen especial de venta que incluye una serie de principios y actividades específicas que guardan relación con el principio democratizador de la propiedad accionaria estatal. Por su parte, el régimen de venta establecido en el artículo 162 de la Ley 1753 de 2015, modificado por el artículo 45 de la Ley del Plan Nacional de Desarrollo 2018-2022, desarrolla un marco normativo de venta para aquellas participaciones accionarias minoritarias donde el Estado no dispuso expresa de participar en dicha sociedad.</w:t>
      </w:r>
      <w:r w:rsidR="00733B53" w:rsidRPr="009A53B7">
        <w:rPr>
          <w:rFonts w:ascii="Arial Narrow" w:hAnsi="Arial Narrow" w:cs="Arial"/>
          <w:sz w:val="24"/>
          <w:szCs w:val="24"/>
        </w:rPr>
        <w:t xml:space="preserve"> En términos gráficos, a continuación, se resume como se define el marco normativo aplicable para la venta de la propiedad accionaria estatal. </w:t>
      </w:r>
    </w:p>
    <w:p w14:paraId="52B259EE" w14:textId="77777777" w:rsidR="00733B53" w:rsidRPr="009A53B7" w:rsidRDefault="00733B53" w:rsidP="00C556E0">
      <w:pPr>
        <w:jc w:val="both"/>
        <w:rPr>
          <w:rFonts w:ascii="Arial Narrow" w:hAnsi="Arial Narrow" w:cs="Arial"/>
          <w:sz w:val="24"/>
          <w:szCs w:val="24"/>
        </w:rPr>
      </w:pPr>
    </w:p>
    <w:p w14:paraId="1F30E1B2" w14:textId="77777777" w:rsidR="00733B53" w:rsidRPr="009A53B7" w:rsidRDefault="00733B53" w:rsidP="00733B53">
      <w:pPr>
        <w:jc w:val="center"/>
        <w:rPr>
          <w:rFonts w:ascii="Arial Narrow" w:hAnsi="Arial Narrow" w:cs="Arial"/>
          <w:b/>
          <w:sz w:val="24"/>
          <w:szCs w:val="24"/>
        </w:rPr>
      </w:pPr>
      <w:r w:rsidRPr="009A53B7">
        <w:rPr>
          <w:rFonts w:ascii="Arial Narrow" w:hAnsi="Arial Narrow" w:cs="Arial"/>
          <w:b/>
          <w:sz w:val="24"/>
          <w:szCs w:val="24"/>
        </w:rPr>
        <w:t>Gráfico 1: Marco normativo enajenación de propiedad accionaria estatal</w:t>
      </w:r>
    </w:p>
    <w:p w14:paraId="314F2229" w14:textId="77777777" w:rsidR="00C556E0" w:rsidRPr="009A53B7" w:rsidRDefault="00C556E0" w:rsidP="00C556E0">
      <w:pPr>
        <w:jc w:val="both"/>
        <w:rPr>
          <w:rFonts w:ascii="Arial Narrow" w:hAnsi="Arial Narrow" w:cs="Arial"/>
          <w:sz w:val="24"/>
          <w:szCs w:val="24"/>
        </w:rPr>
      </w:pPr>
    </w:p>
    <w:p w14:paraId="43DE5716" w14:textId="27780FDE" w:rsidR="00C556E0" w:rsidRPr="009A53B7" w:rsidRDefault="00B20539" w:rsidP="00C556E0">
      <w:pPr>
        <w:jc w:val="both"/>
        <w:rPr>
          <w:rFonts w:ascii="Arial Narrow" w:hAnsi="Arial Narrow" w:cs="Arial"/>
          <w:sz w:val="24"/>
          <w:szCs w:val="24"/>
        </w:rPr>
      </w:pPr>
      <w:r w:rsidRPr="009A53B7">
        <w:rPr>
          <w:rFonts w:ascii="Arial Narrow" w:hAnsi="Arial Narrow" w:cs="Arial"/>
          <w:noProof/>
          <w:sz w:val="24"/>
          <w:szCs w:val="24"/>
        </w:rPr>
        <w:drawing>
          <wp:inline distT="0" distB="0" distL="0" distR="0" wp14:anchorId="73E732BB" wp14:editId="50960CDB">
            <wp:extent cx="5695950" cy="4143375"/>
            <wp:effectExtent l="0" t="0" r="0" b="9525"/>
            <wp:docPr id="3" name="Organi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3BFB8D0" w14:textId="77777777" w:rsidR="00A7799C" w:rsidRPr="009A53B7" w:rsidRDefault="00A7799C" w:rsidP="00A7799C">
      <w:pPr>
        <w:jc w:val="both"/>
        <w:rPr>
          <w:rFonts w:ascii="Arial Narrow" w:hAnsi="Arial Narrow" w:cs="Arial"/>
          <w:sz w:val="24"/>
          <w:szCs w:val="24"/>
          <w:lang w:val="es-CO"/>
        </w:rPr>
      </w:pPr>
    </w:p>
    <w:p w14:paraId="2D21EAE4" w14:textId="77777777" w:rsidR="00AD5662" w:rsidRPr="009A53B7" w:rsidRDefault="00AD5662" w:rsidP="002648FF">
      <w:pPr>
        <w:jc w:val="both"/>
        <w:rPr>
          <w:rFonts w:ascii="Arial Narrow" w:hAnsi="Arial Narrow" w:cs="Arial"/>
          <w:sz w:val="24"/>
          <w:szCs w:val="24"/>
        </w:rPr>
      </w:pPr>
    </w:p>
    <w:p w14:paraId="093CF2D1" w14:textId="77777777" w:rsidR="00C50116" w:rsidRPr="009A53B7" w:rsidRDefault="00C50116" w:rsidP="002648FF">
      <w:pPr>
        <w:jc w:val="both"/>
        <w:rPr>
          <w:rFonts w:ascii="Arial Narrow" w:hAnsi="Arial Narrow" w:cs="Arial"/>
          <w:sz w:val="24"/>
          <w:szCs w:val="24"/>
        </w:rPr>
      </w:pPr>
      <w:proofErr w:type="gramStart"/>
      <w:r w:rsidRPr="009A53B7">
        <w:rPr>
          <w:rFonts w:ascii="Arial Narrow" w:hAnsi="Arial Narrow" w:cs="Arial"/>
          <w:sz w:val="24"/>
          <w:szCs w:val="24"/>
        </w:rPr>
        <w:t>En razón de</w:t>
      </w:r>
      <w:proofErr w:type="gramEnd"/>
      <w:r w:rsidRPr="009A53B7">
        <w:rPr>
          <w:rFonts w:ascii="Arial Narrow" w:hAnsi="Arial Narrow" w:cs="Arial"/>
          <w:sz w:val="24"/>
          <w:szCs w:val="24"/>
        </w:rPr>
        <w:t xml:space="preserve"> lo anterior, antes de iniciar cualquier programa de enajenación de propiedad accionaria estatal en una empresa, la entidad propietaria de dichas acciones debe identificar el marco normativo aplicable para llevar a cabo la venta. Una vez definido el marco normativo aplicable, dependiendo del régimen que se deba adelantar, se deberá proceder con base en las siguientes pautas generales de enajenación.</w:t>
      </w:r>
    </w:p>
    <w:p w14:paraId="023BE212" w14:textId="77777777" w:rsidR="00C50116" w:rsidRPr="009A53B7" w:rsidRDefault="00C50116" w:rsidP="002648FF">
      <w:pPr>
        <w:jc w:val="both"/>
        <w:rPr>
          <w:rFonts w:ascii="Arial Narrow" w:hAnsi="Arial Narrow" w:cs="Arial"/>
          <w:color w:val="C00000"/>
          <w:sz w:val="24"/>
          <w:szCs w:val="24"/>
          <w:u w:val="single"/>
        </w:rPr>
      </w:pPr>
    </w:p>
    <w:p w14:paraId="4E5C6B1C" w14:textId="77777777" w:rsidR="008636B6" w:rsidRPr="009A53B7" w:rsidRDefault="00733B53" w:rsidP="008636B6">
      <w:pPr>
        <w:pStyle w:val="Ttulo2"/>
        <w:numPr>
          <w:ilvl w:val="1"/>
          <w:numId w:val="20"/>
        </w:numPr>
        <w:rPr>
          <w:rFonts w:ascii="Arial Narrow" w:hAnsi="Arial Narrow"/>
          <w:sz w:val="24"/>
          <w:szCs w:val="24"/>
        </w:rPr>
      </w:pPr>
      <w:bookmarkStart w:id="16" w:name="_Toc10047335"/>
      <w:r w:rsidRPr="009A53B7">
        <w:rPr>
          <w:rFonts w:ascii="Arial Narrow" w:hAnsi="Arial Narrow"/>
          <w:sz w:val="24"/>
          <w:szCs w:val="24"/>
        </w:rPr>
        <w:t xml:space="preserve">Procesos </w:t>
      </w:r>
      <w:r w:rsidR="004200BA" w:rsidRPr="009A53B7">
        <w:rPr>
          <w:rFonts w:ascii="Arial Narrow" w:hAnsi="Arial Narrow"/>
          <w:sz w:val="24"/>
          <w:szCs w:val="24"/>
        </w:rPr>
        <w:t>de enajenación enmarcados en lo</w:t>
      </w:r>
      <w:r w:rsidRPr="009A53B7">
        <w:rPr>
          <w:rFonts w:ascii="Arial Narrow" w:hAnsi="Arial Narrow"/>
          <w:sz w:val="24"/>
          <w:szCs w:val="24"/>
        </w:rPr>
        <w:t xml:space="preserve"> dispuesto en la Ley 226 de 1995</w:t>
      </w:r>
      <w:bookmarkEnd w:id="16"/>
    </w:p>
    <w:p w14:paraId="4A85EF35" w14:textId="77777777" w:rsidR="008636B6" w:rsidRPr="009A53B7" w:rsidRDefault="008636B6" w:rsidP="008636B6">
      <w:pPr>
        <w:rPr>
          <w:rFonts w:ascii="Arial Narrow" w:hAnsi="Arial Narrow"/>
        </w:rPr>
      </w:pPr>
    </w:p>
    <w:p w14:paraId="0F36B387" w14:textId="77777777" w:rsidR="00C50116" w:rsidRPr="009A53B7" w:rsidRDefault="00A02F0A" w:rsidP="00A02F0A">
      <w:pPr>
        <w:pStyle w:val="Default"/>
        <w:jc w:val="both"/>
        <w:rPr>
          <w:rFonts w:ascii="Arial Narrow" w:hAnsi="Arial Narrow"/>
        </w:rPr>
      </w:pPr>
      <w:r w:rsidRPr="009A53B7">
        <w:rPr>
          <w:rFonts w:ascii="Arial Narrow" w:hAnsi="Arial Narrow"/>
        </w:rPr>
        <w:t>La</w:t>
      </w:r>
      <w:r w:rsidR="00C50116" w:rsidRPr="009A53B7">
        <w:rPr>
          <w:rFonts w:ascii="Arial Narrow" w:hAnsi="Arial Narrow"/>
        </w:rPr>
        <w:t xml:space="preserve"> presente </w:t>
      </w:r>
      <w:r w:rsidRPr="009A53B7">
        <w:rPr>
          <w:rFonts w:ascii="Arial Narrow" w:hAnsi="Arial Narrow"/>
        </w:rPr>
        <w:t xml:space="preserve">sección del </w:t>
      </w:r>
      <w:r w:rsidR="00C50116" w:rsidRPr="009A53B7">
        <w:rPr>
          <w:rFonts w:ascii="Arial Narrow" w:hAnsi="Arial Narrow"/>
        </w:rPr>
        <w:t xml:space="preserve">documento resume los principales aspectos a considerar y tener presente dentro de los procesos de venta de participación estatal bajo el procedimiento establecidos en la Ley 226 de 1995. </w:t>
      </w:r>
      <w:r w:rsidRPr="009A53B7">
        <w:rPr>
          <w:rFonts w:ascii="Arial Narrow" w:hAnsi="Arial Narrow"/>
        </w:rPr>
        <w:t>Salvo los casos exceptuados del proceso de aplicación de la Ley 226 de 1995, las pautas descritas a continuación aplicarán a la enajenación, total o parcial a favor de particulares, de acciones o bonos obligatoriamente convertibles en acciones, de propiedad del Estado y, en general, a su participación en el capital social de cualquier empresa.</w:t>
      </w:r>
    </w:p>
    <w:p w14:paraId="4091EB67" w14:textId="77777777" w:rsidR="002A417F" w:rsidRPr="009A53B7" w:rsidRDefault="002A417F" w:rsidP="00A02F0A">
      <w:pPr>
        <w:pStyle w:val="Default"/>
        <w:jc w:val="both"/>
        <w:rPr>
          <w:rFonts w:ascii="Arial Narrow" w:hAnsi="Arial Narrow"/>
        </w:rPr>
      </w:pPr>
    </w:p>
    <w:p w14:paraId="3900B273" w14:textId="77777777" w:rsidR="002A417F" w:rsidRPr="009A53B7" w:rsidRDefault="002A417F" w:rsidP="00A02F0A">
      <w:pPr>
        <w:pStyle w:val="Default"/>
        <w:jc w:val="both"/>
        <w:rPr>
          <w:rFonts w:ascii="Arial Narrow" w:hAnsi="Arial Narrow"/>
        </w:rPr>
      </w:pPr>
      <w:proofErr w:type="gramStart"/>
      <w:r w:rsidRPr="009A53B7">
        <w:rPr>
          <w:rFonts w:ascii="Arial Narrow" w:hAnsi="Arial Narrow"/>
        </w:rPr>
        <w:t>Los principales pasos y actividades a ser llevadas a cabo</w:t>
      </w:r>
      <w:proofErr w:type="gramEnd"/>
      <w:r w:rsidRPr="009A53B7">
        <w:rPr>
          <w:rFonts w:ascii="Arial Narrow" w:hAnsi="Arial Narrow"/>
        </w:rPr>
        <w:t xml:space="preserve"> bajo un proceso de enajenación en el marco de la Ley 226 de 1995, se describen a continuación: </w:t>
      </w:r>
    </w:p>
    <w:p w14:paraId="6ACAAC0F" w14:textId="77777777" w:rsidR="00C50116" w:rsidRPr="009A53B7" w:rsidRDefault="00C50116" w:rsidP="008636B6">
      <w:pPr>
        <w:rPr>
          <w:rFonts w:ascii="Arial Narrow" w:hAnsi="Arial Narrow"/>
          <w:lang w:val="es-CO"/>
        </w:rPr>
      </w:pPr>
    </w:p>
    <w:p w14:paraId="7C37A3D2" w14:textId="77777777" w:rsidR="00586CA3" w:rsidRPr="009A53B7" w:rsidRDefault="00586CA3" w:rsidP="00586CA3">
      <w:pPr>
        <w:pStyle w:val="Ttulo3"/>
        <w:numPr>
          <w:ilvl w:val="2"/>
          <w:numId w:val="20"/>
        </w:numPr>
        <w:rPr>
          <w:rFonts w:ascii="Arial Narrow" w:hAnsi="Arial Narrow"/>
          <w:b/>
          <w:sz w:val="24"/>
          <w:szCs w:val="24"/>
          <w:u w:val="single"/>
        </w:rPr>
      </w:pPr>
      <w:bookmarkStart w:id="17" w:name="_Toc10047336"/>
      <w:r w:rsidRPr="009A53B7">
        <w:rPr>
          <w:rFonts w:ascii="Arial Narrow" w:hAnsi="Arial Narrow"/>
          <w:b/>
          <w:sz w:val="24"/>
          <w:szCs w:val="24"/>
          <w:u w:val="single"/>
        </w:rPr>
        <w:t>Preparación y estructuración del programa de enajenación:</w:t>
      </w:r>
      <w:bookmarkEnd w:id="17"/>
      <w:r w:rsidRPr="009A53B7">
        <w:rPr>
          <w:rFonts w:ascii="Arial Narrow" w:hAnsi="Arial Narrow"/>
          <w:b/>
          <w:sz w:val="24"/>
          <w:szCs w:val="24"/>
          <w:u w:val="single"/>
        </w:rPr>
        <w:t xml:space="preserve"> </w:t>
      </w:r>
    </w:p>
    <w:p w14:paraId="7D94B089" w14:textId="77777777" w:rsidR="002A417F" w:rsidRPr="009A53B7" w:rsidRDefault="002A417F" w:rsidP="00A02F0A">
      <w:pPr>
        <w:rPr>
          <w:rFonts w:ascii="Arial Narrow" w:hAnsi="Arial Narrow"/>
        </w:rPr>
      </w:pPr>
    </w:p>
    <w:p w14:paraId="4C4584B6" w14:textId="77777777" w:rsidR="00586CA3" w:rsidRPr="009A53B7" w:rsidRDefault="00586CA3" w:rsidP="00A02F0A">
      <w:pPr>
        <w:rPr>
          <w:rFonts w:ascii="Arial Narrow" w:hAnsi="Arial Narrow"/>
        </w:rPr>
      </w:pPr>
    </w:p>
    <w:p w14:paraId="22010738" w14:textId="77777777" w:rsidR="008B3BDE" w:rsidRPr="009A53B7" w:rsidRDefault="00C85F7D" w:rsidP="008B3BDE">
      <w:pPr>
        <w:pStyle w:val="Prrafodelista"/>
        <w:numPr>
          <w:ilvl w:val="0"/>
          <w:numId w:val="29"/>
        </w:numPr>
        <w:contextualSpacing/>
        <w:jc w:val="both"/>
        <w:rPr>
          <w:rFonts w:ascii="Arial Narrow" w:hAnsi="Arial Narrow"/>
        </w:rPr>
      </w:pPr>
      <w:r w:rsidRPr="009A53B7">
        <w:rPr>
          <w:rFonts w:ascii="Arial Narrow" w:eastAsia="Calibri" w:hAnsi="Arial Narrow" w:cs="Arial"/>
          <w:b/>
          <w:sz w:val="22"/>
          <w:szCs w:val="22"/>
        </w:rPr>
        <w:t xml:space="preserve">Preparación del </w:t>
      </w:r>
      <w:r w:rsidR="0034229F" w:rsidRPr="009A53B7">
        <w:rPr>
          <w:rFonts w:ascii="Arial Narrow" w:eastAsia="Calibri" w:hAnsi="Arial Narrow" w:cs="Arial"/>
          <w:b/>
          <w:sz w:val="22"/>
          <w:szCs w:val="22"/>
        </w:rPr>
        <w:t>proceso</w:t>
      </w:r>
      <w:r w:rsidRPr="009A53B7">
        <w:rPr>
          <w:rFonts w:ascii="Arial Narrow" w:eastAsia="Calibri" w:hAnsi="Arial Narrow" w:cs="Arial"/>
          <w:b/>
          <w:sz w:val="22"/>
          <w:szCs w:val="22"/>
        </w:rPr>
        <w:t xml:space="preserve"> de enajenación</w:t>
      </w:r>
      <w:r w:rsidR="002A417F" w:rsidRPr="009A53B7">
        <w:rPr>
          <w:rFonts w:ascii="Arial Narrow" w:eastAsia="Calibri" w:hAnsi="Arial Narrow" w:cs="Arial"/>
          <w:b/>
          <w:sz w:val="22"/>
          <w:szCs w:val="22"/>
        </w:rPr>
        <w:t xml:space="preserve">: </w:t>
      </w:r>
      <w:r w:rsidR="0034229F" w:rsidRPr="009A53B7">
        <w:rPr>
          <w:rFonts w:ascii="Arial Narrow" w:eastAsia="Calibri" w:hAnsi="Arial Narrow" w:cs="Arial"/>
          <w:sz w:val="22"/>
          <w:szCs w:val="22"/>
        </w:rPr>
        <w:t xml:space="preserve">La Ley 226 de 1995 establece que el Ministerio de Hacienda y Crédito Público debe realizar una labor de coordinación durante los procesos de venta de la participación accionaria estatal. </w:t>
      </w:r>
      <w:proofErr w:type="gramStart"/>
      <w:r w:rsidR="0034229F" w:rsidRPr="009A53B7">
        <w:rPr>
          <w:rFonts w:ascii="Arial Narrow" w:eastAsia="Calibri" w:hAnsi="Arial Narrow" w:cs="Arial"/>
          <w:sz w:val="22"/>
          <w:szCs w:val="22"/>
        </w:rPr>
        <w:t>En razón de</w:t>
      </w:r>
      <w:proofErr w:type="gramEnd"/>
      <w:r w:rsidR="0034229F" w:rsidRPr="009A53B7">
        <w:rPr>
          <w:rFonts w:ascii="Arial Narrow" w:eastAsia="Calibri" w:hAnsi="Arial Narrow" w:cs="Arial"/>
          <w:sz w:val="22"/>
          <w:szCs w:val="22"/>
        </w:rPr>
        <w:t xml:space="preserve"> lo anterior, </w:t>
      </w:r>
      <w:r w:rsidR="008B3BDE" w:rsidRPr="009A53B7">
        <w:rPr>
          <w:rFonts w:ascii="Arial Narrow" w:eastAsia="Calibri" w:hAnsi="Arial Narrow" w:cs="Arial"/>
          <w:sz w:val="22"/>
          <w:szCs w:val="22"/>
        </w:rPr>
        <w:t xml:space="preserve">y con </w:t>
      </w:r>
      <w:r w:rsidR="002A417F" w:rsidRPr="009A53B7">
        <w:rPr>
          <w:rFonts w:ascii="Arial Narrow" w:eastAsia="Calibri" w:hAnsi="Arial Narrow" w:cs="Arial"/>
          <w:sz w:val="22"/>
          <w:szCs w:val="22"/>
        </w:rPr>
        <w:t>el</w:t>
      </w:r>
      <w:r w:rsidR="008B3BDE" w:rsidRPr="009A53B7">
        <w:rPr>
          <w:rFonts w:ascii="Arial Narrow" w:eastAsia="Calibri" w:hAnsi="Arial Narrow" w:cs="Arial"/>
          <w:sz w:val="22"/>
          <w:szCs w:val="22"/>
        </w:rPr>
        <w:t xml:space="preserve"> propósito de cumplir con la función de coordinación y darle trámite a la aprobación de los programas de enajenación, el </w:t>
      </w:r>
      <w:r w:rsidR="0034229F" w:rsidRPr="009A53B7">
        <w:rPr>
          <w:rFonts w:ascii="Arial Narrow" w:eastAsia="Calibri" w:hAnsi="Arial Narrow" w:cs="Arial"/>
          <w:sz w:val="22"/>
          <w:szCs w:val="22"/>
        </w:rPr>
        <w:t>MHCP ha optado</w:t>
      </w:r>
      <w:r w:rsidR="008B3BDE" w:rsidRPr="009A53B7">
        <w:rPr>
          <w:rFonts w:ascii="Arial Narrow" w:eastAsia="Calibri" w:hAnsi="Arial Narrow" w:cs="Arial"/>
          <w:sz w:val="22"/>
          <w:szCs w:val="22"/>
        </w:rPr>
        <w:t xml:space="preserve"> por</w:t>
      </w:r>
      <w:r w:rsidR="0034229F" w:rsidRPr="009A53B7">
        <w:rPr>
          <w:rFonts w:ascii="Arial Narrow" w:eastAsia="Calibri" w:hAnsi="Arial Narrow" w:cs="Arial"/>
          <w:sz w:val="22"/>
          <w:szCs w:val="22"/>
        </w:rPr>
        <w:t xml:space="preserve"> </w:t>
      </w:r>
      <w:r w:rsidR="002A417F" w:rsidRPr="009A53B7">
        <w:rPr>
          <w:rFonts w:ascii="Arial Narrow" w:eastAsia="Calibri" w:hAnsi="Arial Narrow" w:cs="Arial"/>
          <w:sz w:val="22"/>
          <w:szCs w:val="22"/>
        </w:rPr>
        <w:t xml:space="preserve">documentar los procesos de enajenación de forma completa y estandarizada. </w:t>
      </w:r>
    </w:p>
    <w:p w14:paraId="1C7EC5AA" w14:textId="77777777" w:rsidR="008B3BDE" w:rsidRPr="009A53B7" w:rsidRDefault="008B3BDE" w:rsidP="008B3BDE">
      <w:pPr>
        <w:pStyle w:val="Prrafodelista"/>
        <w:ind w:left="720"/>
        <w:contextualSpacing/>
        <w:jc w:val="both"/>
        <w:rPr>
          <w:rFonts w:ascii="Arial Narrow" w:hAnsi="Arial Narrow"/>
        </w:rPr>
      </w:pPr>
    </w:p>
    <w:p w14:paraId="4671C7D3" w14:textId="77777777" w:rsidR="008B3BDE" w:rsidRPr="009A53B7" w:rsidRDefault="008B3BDE" w:rsidP="008B3BDE">
      <w:pPr>
        <w:pStyle w:val="Prrafodelista"/>
        <w:ind w:left="720"/>
        <w:contextualSpacing/>
        <w:jc w:val="both"/>
        <w:rPr>
          <w:rFonts w:ascii="Arial Narrow" w:hAnsi="Arial Narrow"/>
        </w:rPr>
      </w:pPr>
      <w:r w:rsidRPr="009A53B7">
        <w:rPr>
          <w:rFonts w:ascii="Arial Narrow" w:eastAsia="Calibri" w:hAnsi="Arial Narrow" w:cs="Arial"/>
          <w:sz w:val="22"/>
          <w:szCs w:val="22"/>
        </w:rPr>
        <w:t>P</w:t>
      </w:r>
      <w:r w:rsidR="00FA6317" w:rsidRPr="009A53B7">
        <w:rPr>
          <w:rFonts w:ascii="Arial Narrow" w:eastAsia="Calibri" w:hAnsi="Arial Narrow" w:cs="Arial"/>
          <w:sz w:val="22"/>
          <w:szCs w:val="22"/>
        </w:rPr>
        <w:t xml:space="preserve">ara definir un marco general para los </w:t>
      </w:r>
      <w:r w:rsidRPr="009A53B7">
        <w:rPr>
          <w:rFonts w:ascii="Arial Narrow" w:eastAsia="Calibri" w:hAnsi="Arial Narrow" w:cs="Arial"/>
          <w:sz w:val="22"/>
          <w:szCs w:val="22"/>
        </w:rPr>
        <w:t>proceso</w:t>
      </w:r>
      <w:r w:rsidR="00FA6317" w:rsidRPr="009A53B7">
        <w:rPr>
          <w:rFonts w:ascii="Arial Narrow" w:eastAsia="Calibri" w:hAnsi="Arial Narrow" w:cs="Arial"/>
          <w:sz w:val="22"/>
          <w:szCs w:val="22"/>
        </w:rPr>
        <w:t>s</w:t>
      </w:r>
      <w:r w:rsidRPr="009A53B7">
        <w:rPr>
          <w:rFonts w:ascii="Arial Narrow" w:eastAsia="Calibri" w:hAnsi="Arial Narrow" w:cs="Arial"/>
          <w:sz w:val="22"/>
          <w:szCs w:val="22"/>
        </w:rPr>
        <w:t xml:space="preserve"> de enajenación</w:t>
      </w:r>
      <w:r w:rsidR="00FA6317" w:rsidRPr="009A53B7">
        <w:rPr>
          <w:rFonts w:ascii="Arial Narrow" w:eastAsia="Calibri" w:hAnsi="Arial Narrow" w:cs="Arial"/>
          <w:sz w:val="22"/>
          <w:szCs w:val="22"/>
        </w:rPr>
        <w:t xml:space="preserve"> que se desarrollen en el marco de la Ley 226 de 1995, </w:t>
      </w:r>
      <w:r w:rsidRPr="009A53B7">
        <w:rPr>
          <w:rFonts w:ascii="Arial Narrow" w:eastAsia="Calibri" w:hAnsi="Arial Narrow" w:cs="Arial"/>
          <w:sz w:val="22"/>
          <w:szCs w:val="22"/>
        </w:rPr>
        <w:t xml:space="preserve">la Dirección General de Participaciones Estatales </w:t>
      </w:r>
      <w:r w:rsidR="00FA6317" w:rsidRPr="009A53B7">
        <w:rPr>
          <w:rFonts w:ascii="Arial Narrow" w:eastAsia="Calibri" w:hAnsi="Arial Narrow" w:cs="Arial"/>
          <w:sz w:val="22"/>
          <w:szCs w:val="22"/>
        </w:rPr>
        <w:t>elaboró un</w:t>
      </w:r>
      <w:r w:rsidRPr="009A53B7">
        <w:rPr>
          <w:rFonts w:ascii="Arial Narrow" w:eastAsia="Calibri" w:hAnsi="Arial Narrow" w:cs="Arial"/>
          <w:sz w:val="22"/>
          <w:szCs w:val="22"/>
        </w:rPr>
        <w:t xml:space="preserve"> “</w:t>
      </w:r>
      <w:proofErr w:type="spellStart"/>
      <w:r w:rsidRPr="009A53B7">
        <w:rPr>
          <w:rFonts w:ascii="Arial Narrow" w:eastAsia="Calibri" w:hAnsi="Arial Narrow" w:cs="Arial"/>
          <w:sz w:val="22"/>
          <w:szCs w:val="22"/>
        </w:rPr>
        <w:t>check</w:t>
      </w:r>
      <w:proofErr w:type="spellEnd"/>
      <w:r w:rsidRPr="009A53B7">
        <w:rPr>
          <w:rFonts w:ascii="Arial Narrow" w:eastAsia="Calibri" w:hAnsi="Arial Narrow" w:cs="Arial"/>
          <w:sz w:val="22"/>
          <w:szCs w:val="22"/>
        </w:rPr>
        <w:t xml:space="preserve"> </w:t>
      </w:r>
      <w:proofErr w:type="spellStart"/>
      <w:r w:rsidRPr="009A53B7">
        <w:rPr>
          <w:rFonts w:ascii="Arial Narrow" w:eastAsia="Calibri" w:hAnsi="Arial Narrow" w:cs="Arial"/>
          <w:sz w:val="22"/>
          <w:szCs w:val="22"/>
        </w:rPr>
        <w:t>list</w:t>
      </w:r>
      <w:proofErr w:type="spellEnd"/>
      <w:r w:rsidRPr="009A53B7">
        <w:rPr>
          <w:rFonts w:ascii="Arial Narrow" w:eastAsia="Calibri" w:hAnsi="Arial Narrow" w:cs="Arial"/>
          <w:sz w:val="22"/>
          <w:szCs w:val="22"/>
        </w:rPr>
        <w:t xml:space="preserve">” </w:t>
      </w:r>
      <w:r w:rsidR="00FA6317" w:rsidRPr="009A53B7">
        <w:rPr>
          <w:rFonts w:ascii="Arial Narrow" w:eastAsia="Calibri" w:hAnsi="Arial Narrow" w:cs="Arial"/>
          <w:sz w:val="22"/>
          <w:szCs w:val="22"/>
        </w:rPr>
        <w:t>que permite visualizar los requisitos mínimos exigidos para un programa de este tipo, así como de aquellas recomendaciones específicas para la implementación del programa de enajenación</w:t>
      </w:r>
      <w:r w:rsidR="00845423" w:rsidRPr="009A53B7">
        <w:rPr>
          <w:rFonts w:ascii="Arial Narrow" w:eastAsia="Calibri" w:hAnsi="Arial Narrow" w:cs="Arial"/>
          <w:sz w:val="22"/>
          <w:szCs w:val="22"/>
        </w:rPr>
        <w:t>. En este sentido,</w:t>
      </w:r>
      <w:r w:rsidR="00FA6317" w:rsidRPr="009A53B7">
        <w:rPr>
          <w:rFonts w:ascii="Arial Narrow" w:eastAsia="Calibri" w:hAnsi="Arial Narrow" w:cs="Arial"/>
          <w:sz w:val="22"/>
          <w:szCs w:val="22"/>
        </w:rPr>
        <w:t xml:space="preserve"> </w:t>
      </w:r>
      <w:r w:rsidR="00845423" w:rsidRPr="009A53B7">
        <w:rPr>
          <w:rFonts w:ascii="Arial Narrow" w:eastAsia="Calibri" w:hAnsi="Arial Narrow" w:cs="Arial"/>
          <w:sz w:val="22"/>
          <w:szCs w:val="22"/>
        </w:rPr>
        <w:t xml:space="preserve">los documentos descritos a continuación reflejan los parámetros esenciales a ser tenidos en cuenta </w:t>
      </w:r>
      <w:r w:rsidR="00FA6317" w:rsidRPr="009A53B7">
        <w:rPr>
          <w:rFonts w:ascii="Arial Narrow" w:eastAsia="Calibri" w:hAnsi="Arial Narrow" w:cs="Arial"/>
          <w:sz w:val="22"/>
          <w:szCs w:val="22"/>
        </w:rPr>
        <w:t xml:space="preserve">para </w:t>
      </w:r>
      <w:r w:rsidR="00845423" w:rsidRPr="009A53B7">
        <w:rPr>
          <w:rFonts w:ascii="Arial Narrow" w:eastAsia="Calibri" w:hAnsi="Arial Narrow" w:cs="Arial"/>
          <w:sz w:val="22"/>
          <w:szCs w:val="22"/>
        </w:rPr>
        <w:t xml:space="preserve">la </w:t>
      </w:r>
      <w:r w:rsidRPr="009A53B7">
        <w:rPr>
          <w:rFonts w:ascii="Arial Narrow" w:eastAsia="Calibri" w:hAnsi="Arial Narrow" w:cs="Arial"/>
          <w:sz w:val="22"/>
          <w:szCs w:val="22"/>
        </w:rPr>
        <w:t>presentación</w:t>
      </w:r>
      <w:r w:rsidRPr="009A53B7">
        <w:rPr>
          <w:rFonts w:ascii="Arial Narrow" w:hAnsi="Arial Narrow"/>
          <w:color w:val="000000"/>
          <w:sz w:val="24"/>
          <w:szCs w:val="24"/>
        </w:rPr>
        <w:t xml:space="preserve"> d</w:t>
      </w:r>
      <w:r w:rsidRPr="009A53B7">
        <w:rPr>
          <w:rFonts w:ascii="Arial Narrow" w:hAnsi="Arial Narrow" w:cs="Arial"/>
          <w:color w:val="000000"/>
          <w:sz w:val="24"/>
          <w:szCs w:val="24"/>
        </w:rPr>
        <w:t xml:space="preserve">el programa de enajenación a consideración del Consejo de </w:t>
      </w:r>
      <w:proofErr w:type="gramStart"/>
      <w:r w:rsidRPr="009A53B7">
        <w:rPr>
          <w:rFonts w:ascii="Arial Narrow" w:hAnsi="Arial Narrow" w:cs="Arial"/>
          <w:color w:val="000000"/>
          <w:sz w:val="24"/>
          <w:szCs w:val="24"/>
        </w:rPr>
        <w:t>Ministros</w:t>
      </w:r>
      <w:proofErr w:type="gramEnd"/>
      <w:r w:rsidR="00845423" w:rsidRPr="009A53B7">
        <w:rPr>
          <w:rFonts w:ascii="Arial Narrow" w:hAnsi="Arial Narrow" w:cs="Arial"/>
          <w:color w:val="000000"/>
          <w:sz w:val="24"/>
          <w:szCs w:val="24"/>
        </w:rPr>
        <w:t>;</w:t>
      </w:r>
      <w:r w:rsidRPr="009A53B7">
        <w:rPr>
          <w:rFonts w:ascii="Arial Narrow" w:hAnsi="Arial Narrow" w:cs="Arial"/>
          <w:color w:val="000000"/>
          <w:sz w:val="24"/>
          <w:szCs w:val="24"/>
        </w:rPr>
        <w:t xml:space="preserve"> el cual, </w:t>
      </w:r>
      <w:r w:rsidRPr="009A53B7">
        <w:rPr>
          <w:rFonts w:ascii="Arial Narrow" w:hAnsi="Arial Narrow"/>
          <w:color w:val="000000"/>
          <w:sz w:val="24"/>
          <w:szCs w:val="24"/>
        </w:rPr>
        <w:t>en caso de dar su</w:t>
      </w:r>
      <w:r w:rsidRPr="009A53B7">
        <w:rPr>
          <w:rFonts w:ascii="Arial Narrow" w:hAnsi="Arial Narrow" w:cs="Arial"/>
          <w:color w:val="000000"/>
          <w:sz w:val="24"/>
          <w:szCs w:val="24"/>
        </w:rPr>
        <w:t xml:space="preserve"> concepto favorable, lo remitirá al Gobierno para su posterior aprobación.</w:t>
      </w:r>
    </w:p>
    <w:p w14:paraId="160BC4EB" w14:textId="77777777" w:rsidR="00466CD5" w:rsidRPr="009A53B7" w:rsidRDefault="00466CD5" w:rsidP="00A02F0A">
      <w:pPr>
        <w:rPr>
          <w:rFonts w:ascii="Arial Narrow" w:hAnsi="Arial Narrow"/>
        </w:rPr>
      </w:pPr>
    </w:p>
    <w:p w14:paraId="5C8E27FD" w14:textId="77777777" w:rsidR="00466CD5" w:rsidRPr="009A53B7" w:rsidRDefault="00466CD5" w:rsidP="00A02F0A">
      <w:pPr>
        <w:rPr>
          <w:rFonts w:ascii="Arial Narrow" w:hAnsi="Arial Narrow"/>
        </w:rPr>
      </w:pPr>
    </w:p>
    <w:p w14:paraId="54A0ECBA" w14:textId="77777777" w:rsidR="002A417F" w:rsidRPr="009A53B7" w:rsidRDefault="002A417F" w:rsidP="002A417F">
      <w:pPr>
        <w:jc w:val="center"/>
        <w:rPr>
          <w:rFonts w:ascii="Arial Narrow" w:eastAsia="Calibri" w:hAnsi="Arial Narrow" w:cs="Arial"/>
          <w:b/>
          <w:sz w:val="24"/>
          <w:szCs w:val="22"/>
        </w:rPr>
      </w:pPr>
      <w:r w:rsidRPr="009A53B7">
        <w:rPr>
          <w:rFonts w:ascii="Arial Narrow" w:eastAsia="Calibri" w:hAnsi="Arial Narrow" w:cs="Arial"/>
          <w:b/>
          <w:sz w:val="24"/>
          <w:szCs w:val="22"/>
        </w:rPr>
        <w:t>Lista chequeo / Radicación documentos en el MHCP</w:t>
      </w:r>
    </w:p>
    <w:p w14:paraId="3CA670EA" w14:textId="77777777" w:rsidR="002A417F" w:rsidRPr="009A53B7" w:rsidRDefault="002A417F" w:rsidP="002A417F">
      <w:pPr>
        <w:jc w:val="both"/>
        <w:rPr>
          <w:rFonts w:ascii="Arial Narrow" w:eastAsia="Calibri"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7594"/>
        <w:gridCol w:w="707"/>
      </w:tblGrid>
      <w:tr w:rsidR="00845423" w:rsidRPr="009A53B7" w14:paraId="4964EE48" w14:textId="77777777" w:rsidTr="00877FB8">
        <w:trPr>
          <w:trHeight w:val="532"/>
        </w:trPr>
        <w:tc>
          <w:tcPr>
            <w:tcW w:w="533" w:type="dxa"/>
            <w:shd w:val="clear" w:color="auto" w:fill="auto"/>
            <w:vAlign w:val="center"/>
          </w:tcPr>
          <w:p w14:paraId="58469693" w14:textId="77777777" w:rsidR="00845423" w:rsidRPr="009A53B7" w:rsidRDefault="00845423" w:rsidP="00877FB8">
            <w:pPr>
              <w:jc w:val="center"/>
              <w:rPr>
                <w:rFonts w:ascii="Arial Narrow" w:eastAsia="Calibri" w:hAnsi="Arial Narrow" w:cs="Arial"/>
                <w:b/>
                <w:sz w:val="22"/>
                <w:szCs w:val="22"/>
              </w:rPr>
            </w:pPr>
            <w:r w:rsidRPr="009A53B7">
              <w:rPr>
                <w:rFonts w:ascii="Arial Narrow" w:eastAsia="Calibri" w:hAnsi="Arial Narrow" w:cs="Arial"/>
                <w:b/>
                <w:sz w:val="22"/>
                <w:szCs w:val="22"/>
              </w:rPr>
              <w:t>1</w:t>
            </w:r>
          </w:p>
        </w:tc>
        <w:tc>
          <w:tcPr>
            <w:tcW w:w="7783" w:type="dxa"/>
            <w:shd w:val="clear" w:color="auto" w:fill="auto"/>
            <w:vAlign w:val="center"/>
          </w:tcPr>
          <w:p w14:paraId="270B6FE1" w14:textId="77777777" w:rsidR="00845423" w:rsidRPr="009A53B7" w:rsidRDefault="00845423" w:rsidP="00750E7E">
            <w:pPr>
              <w:rPr>
                <w:rFonts w:ascii="Arial Narrow" w:eastAsia="Calibri" w:hAnsi="Arial Narrow" w:cs="Arial"/>
                <w:sz w:val="22"/>
                <w:szCs w:val="22"/>
              </w:rPr>
            </w:pPr>
            <w:r w:rsidRPr="009A53B7">
              <w:rPr>
                <w:rFonts w:ascii="Arial Narrow" w:eastAsia="Calibri" w:hAnsi="Arial Narrow" w:cs="Arial"/>
                <w:sz w:val="22"/>
                <w:szCs w:val="22"/>
              </w:rPr>
              <w:t xml:space="preserve">Carta de intención de venta donde se incluya las razones que justifican la venta </w:t>
            </w:r>
          </w:p>
        </w:tc>
        <w:tc>
          <w:tcPr>
            <w:tcW w:w="724" w:type="dxa"/>
            <w:shd w:val="clear" w:color="auto" w:fill="auto"/>
            <w:vAlign w:val="center"/>
          </w:tcPr>
          <w:p w14:paraId="7CCFC27B" w14:textId="77777777" w:rsidR="00845423" w:rsidRPr="009A53B7" w:rsidRDefault="00845423" w:rsidP="00750E7E">
            <w:pPr>
              <w:rPr>
                <w:rFonts w:ascii="Arial Narrow" w:eastAsia="Calibri" w:hAnsi="Arial Narrow" w:cs="Arial"/>
                <w:sz w:val="22"/>
                <w:szCs w:val="22"/>
              </w:rPr>
            </w:pPr>
          </w:p>
        </w:tc>
      </w:tr>
      <w:tr w:rsidR="00845423" w:rsidRPr="009A53B7" w14:paraId="1C118472" w14:textId="77777777" w:rsidTr="00877FB8">
        <w:trPr>
          <w:trHeight w:val="498"/>
        </w:trPr>
        <w:tc>
          <w:tcPr>
            <w:tcW w:w="533" w:type="dxa"/>
            <w:shd w:val="clear" w:color="auto" w:fill="auto"/>
            <w:vAlign w:val="center"/>
          </w:tcPr>
          <w:p w14:paraId="401614E7" w14:textId="77777777" w:rsidR="00845423" w:rsidRPr="009A53B7" w:rsidRDefault="00845423" w:rsidP="00877FB8">
            <w:pPr>
              <w:jc w:val="center"/>
              <w:rPr>
                <w:rFonts w:ascii="Arial Narrow" w:eastAsia="Calibri" w:hAnsi="Arial Narrow" w:cs="Arial"/>
                <w:b/>
                <w:sz w:val="22"/>
                <w:szCs w:val="22"/>
              </w:rPr>
            </w:pPr>
            <w:r w:rsidRPr="009A53B7">
              <w:rPr>
                <w:rFonts w:ascii="Arial Narrow" w:eastAsia="Calibri" w:hAnsi="Arial Narrow" w:cs="Arial"/>
                <w:b/>
                <w:sz w:val="22"/>
                <w:szCs w:val="22"/>
              </w:rPr>
              <w:t>2</w:t>
            </w:r>
          </w:p>
        </w:tc>
        <w:tc>
          <w:tcPr>
            <w:tcW w:w="7783" w:type="dxa"/>
            <w:shd w:val="clear" w:color="auto" w:fill="auto"/>
            <w:vAlign w:val="center"/>
          </w:tcPr>
          <w:p w14:paraId="2A2CA61B" w14:textId="77777777" w:rsidR="00845423" w:rsidRPr="009A53B7" w:rsidRDefault="00845423" w:rsidP="00750E7E">
            <w:pPr>
              <w:rPr>
                <w:rFonts w:ascii="Arial Narrow" w:eastAsia="Calibri" w:hAnsi="Arial Narrow" w:cs="Arial"/>
                <w:sz w:val="22"/>
                <w:szCs w:val="22"/>
              </w:rPr>
            </w:pPr>
            <w:r w:rsidRPr="009A53B7">
              <w:rPr>
                <w:rFonts w:ascii="Arial Narrow" w:eastAsia="Calibri" w:hAnsi="Arial Narrow" w:cs="Arial"/>
                <w:sz w:val="22"/>
                <w:szCs w:val="22"/>
              </w:rPr>
              <w:t>Informe valoración que incluya:</w:t>
            </w:r>
          </w:p>
          <w:p w14:paraId="0DED1887" w14:textId="77777777" w:rsidR="00845423" w:rsidRPr="009A53B7" w:rsidRDefault="00845423" w:rsidP="00877FB8">
            <w:pPr>
              <w:pStyle w:val="Prrafodelista"/>
              <w:numPr>
                <w:ilvl w:val="0"/>
                <w:numId w:val="31"/>
              </w:numPr>
              <w:contextualSpacing/>
              <w:rPr>
                <w:rFonts w:ascii="Arial Narrow" w:eastAsia="Calibri" w:hAnsi="Arial Narrow" w:cs="Arial"/>
                <w:sz w:val="22"/>
                <w:szCs w:val="22"/>
              </w:rPr>
            </w:pPr>
            <w:r w:rsidRPr="009A53B7">
              <w:rPr>
                <w:rFonts w:ascii="Arial Narrow" w:eastAsia="Calibri" w:hAnsi="Arial Narrow" w:cs="Arial"/>
                <w:sz w:val="22"/>
                <w:szCs w:val="22"/>
              </w:rPr>
              <w:t xml:space="preserve">Los métodos de valoración a ser utilizados y la respectiva justificación de la elección de </w:t>
            </w:r>
            <w:proofErr w:type="gramStart"/>
            <w:r w:rsidRPr="009A53B7">
              <w:rPr>
                <w:rFonts w:ascii="Arial Narrow" w:eastAsia="Calibri" w:hAnsi="Arial Narrow" w:cs="Arial"/>
                <w:sz w:val="22"/>
                <w:szCs w:val="22"/>
              </w:rPr>
              <w:t>los mismos</w:t>
            </w:r>
            <w:proofErr w:type="gramEnd"/>
            <w:r w:rsidRPr="009A53B7">
              <w:rPr>
                <w:rFonts w:ascii="Arial Narrow" w:eastAsia="Calibri" w:hAnsi="Arial Narrow" w:cs="Arial"/>
                <w:sz w:val="22"/>
                <w:szCs w:val="22"/>
              </w:rPr>
              <w:t xml:space="preserve">. </w:t>
            </w:r>
          </w:p>
          <w:p w14:paraId="5BD2A7CB" w14:textId="77777777" w:rsidR="00845423" w:rsidRPr="009A53B7" w:rsidRDefault="00845423" w:rsidP="00877FB8">
            <w:pPr>
              <w:pStyle w:val="Prrafodelista"/>
              <w:numPr>
                <w:ilvl w:val="0"/>
                <w:numId w:val="31"/>
              </w:numPr>
              <w:contextualSpacing/>
              <w:rPr>
                <w:rFonts w:ascii="Arial Narrow" w:eastAsia="Calibri" w:hAnsi="Arial Narrow" w:cs="Arial"/>
                <w:sz w:val="22"/>
                <w:szCs w:val="22"/>
              </w:rPr>
            </w:pPr>
            <w:r w:rsidRPr="009A53B7">
              <w:rPr>
                <w:rFonts w:ascii="Arial Narrow" w:eastAsia="Calibri" w:hAnsi="Arial Narrow" w:cs="Arial"/>
                <w:sz w:val="22"/>
                <w:szCs w:val="22"/>
              </w:rPr>
              <w:lastRenderedPageBreak/>
              <w:t>Justificación del precio base</w:t>
            </w:r>
          </w:p>
        </w:tc>
        <w:tc>
          <w:tcPr>
            <w:tcW w:w="724" w:type="dxa"/>
            <w:shd w:val="clear" w:color="auto" w:fill="auto"/>
          </w:tcPr>
          <w:p w14:paraId="3B7BEBCA" w14:textId="77777777" w:rsidR="00845423" w:rsidRPr="009A53B7" w:rsidRDefault="00845423" w:rsidP="00750E7E">
            <w:pPr>
              <w:rPr>
                <w:rFonts w:ascii="Arial Narrow" w:eastAsia="Calibri" w:hAnsi="Arial Narrow" w:cs="Arial"/>
                <w:sz w:val="22"/>
                <w:szCs w:val="22"/>
              </w:rPr>
            </w:pPr>
          </w:p>
        </w:tc>
      </w:tr>
      <w:tr w:rsidR="00845423" w:rsidRPr="009A53B7" w14:paraId="762B1DDB" w14:textId="77777777" w:rsidTr="00877FB8">
        <w:trPr>
          <w:trHeight w:val="532"/>
        </w:trPr>
        <w:tc>
          <w:tcPr>
            <w:tcW w:w="533" w:type="dxa"/>
            <w:shd w:val="clear" w:color="auto" w:fill="auto"/>
            <w:vAlign w:val="center"/>
          </w:tcPr>
          <w:p w14:paraId="6712B7A5" w14:textId="77777777" w:rsidR="00845423" w:rsidRPr="009A53B7" w:rsidRDefault="00845423" w:rsidP="00877FB8">
            <w:pPr>
              <w:jc w:val="center"/>
              <w:rPr>
                <w:rFonts w:ascii="Arial Narrow" w:eastAsia="Calibri" w:hAnsi="Arial Narrow" w:cs="Arial"/>
                <w:b/>
                <w:sz w:val="22"/>
                <w:szCs w:val="22"/>
              </w:rPr>
            </w:pPr>
            <w:r w:rsidRPr="009A53B7">
              <w:rPr>
                <w:rFonts w:ascii="Arial Narrow" w:eastAsia="Calibri" w:hAnsi="Arial Narrow" w:cs="Arial"/>
                <w:b/>
                <w:sz w:val="22"/>
                <w:szCs w:val="22"/>
              </w:rPr>
              <w:t>3</w:t>
            </w:r>
          </w:p>
        </w:tc>
        <w:tc>
          <w:tcPr>
            <w:tcW w:w="7783" w:type="dxa"/>
            <w:shd w:val="clear" w:color="auto" w:fill="auto"/>
            <w:vAlign w:val="center"/>
          </w:tcPr>
          <w:p w14:paraId="541C118D" w14:textId="77777777" w:rsidR="00845423" w:rsidRPr="009A53B7" w:rsidRDefault="00845423" w:rsidP="00750E7E">
            <w:pPr>
              <w:rPr>
                <w:rFonts w:ascii="Arial Narrow" w:eastAsia="Calibri" w:hAnsi="Arial Narrow" w:cs="Arial"/>
                <w:sz w:val="22"/>
                <w:szCs w:val="22"/>
              </w:rPr>
            </w:pPr>
            <w:r w:rsidRPr="009A53B7">
              <w:rPr>
                <w:rFonts w:ascii="Arial Narrow" w:eastAsia="Calibri" w:hAnsi="Arial Narrow" w:cs="Arial"/>
                <w:i/>
                <w:sz w:val="22"/>
                <w:szCs w:val="22"/>
              </w:rPr>
              <w:t>“</w:t>
            </w:r>
            <w:proofErr w:type="spellStart"/>
            <w:r w:rsidRPr="009A53B7">
              <w:rPr>
                <w:rFonts w:ascii="Arial Narrow" w:eastAsia="Calibri" w:hAnsi="Arial Narrow" w:cs="Arial"/>
                <w:i/>
                <w:sz w:val="22"/>
                <w:szCs w:val="22"/>
              </w:rPr>
              <w:t>Fairness</w:t>
            </w:r>
            <w:proofErr w:type="spellEnd"/>
            <w:r w:rsidRPr="009A53B7">
              <w:rPr>
                <w:rFonts w:ascii="Arial Narrow" w:eastAsia="Calibri" w:hAnsi="Arial Narrow" w:cs="Arial"/>
                <w:i/>
                <w:sz w:val="22"/>
                <w:szCs w:val="22"/>
              </w:rPr>
              <w:t xml:space="preserve"> </w:t>
            </w:r>
            <w:proofErr w:type="spellStart"/>
            <w:r w:rsidRPr="009A53B7">
              <w:rPr>
                <w:rFonts w:ascii="Arial Narrow" w:eastAsia="Calibri" w:hAnsi="Arial Narrow" w:cs="Arial"/>
                <w:i/>
                <w:sz w:val="22"/>
                <w:szCs w:val="22"/>
              </w:rPr>
              <w:t>Opinion</w:t>
            </w:r>
            <w:proofErr w:type="spellEnd"/>
            <w:r w:rsidRPr="009A53B7">
              <w:rPr>
                <w:rFonts w:ascii="Arial Narrow" w:eastAsia="Calibri" w:hAnsi="Arial Narrow" w:cs="Arial"/>
                <w:i/>
                <w:sz w:val="22"/>
                <w:szCs w:val="22"/>
              </w:rPr>
              <w:t>”</w:t>
            </w:r>
            <w:r w:rsidRPr="009A53B7">
              <w:rPr>
                <w:rFonts w:ascii="Arial Narrow" w:eastAsia="Calibri" w:hAnsi="Arial Narrow" w:cs="Arial"/>
                <w:sz w:val="22"/>
                <w:szCs w:val="22"/>
              </w:rPr>
              <w:t xml:space="preserve"> o carta justificando la no emisión </w:t>
            </w:r>
            <w:proofErr w:type="gramStart"/>
            <w:r w:rsidRPr="009A53B7">
              <w:rPr>
                <w:rFonts w:ascii="Arial Narrow" w:eastAsia="Calibri" w:hAnsi="Arial Narrow" w:cs="Arial"/>
                <w:sz w:val="22"/>
                <w:szCs w:val="22"/>
              </w:rPr>
              <w:t>del mismo</w:t>
            </w:r>
            <w:proofErr w:type="gramEnd"/>
            <w:r w:rsidRPr="009A53B7">
              <w:rPr>
                <w:rFonts w:ascii="Arial Narrow" w:eastAsia="Calibri" w:hAnsi="Arial Narrow" w:cs="Arial"/>
                <w:sz w:val="22"/>
                <w:szCs w:val="22"/>
              </w:rPr>
              <w:t>.</w:t>
            </w:r>
          </w:p>
        </w:tc>
        <w:tc>
          <w:tcPr>
            <w:tcW w:w="724" w:type="dxa"/>
            <w:shd w:val="clear" w:color="auto" w:fill="auto"/>
          </w:tcPr>
          <w:p w14:paraId="53DA3B8B" w14:textId="77777777" w:rsidR="00845423" w:rsidRPr="009A53B7" w:rsidRDefault="00845423" w:rsidP="00750E7E">
            <w:pPr>
              <w:rPr>
                <w:rFonts w:ascii="Arial Narrow" w:eastAsia="Calibri" w:hAnsi="Arial Narrow" w:cs="Arial"/>
                <w:sz w:val="22"/>
                <w:szCs w:val="22"/>
              </w:rPr>
            </w:pPr>
          </w:p>
        </w:tc>
      </w:tr>
      <w:tr w:rsidR="00845423" w:rsidRPr="009A53B7" w14:paraId="74C40940" w14:textId="77777777" w:rsidTr="00877FB8">
        <w:trPr>
          <w:trHeight w:val="498"/>
        </w:trPr>
        <w:tc>
          <w:tcPr>
            <w:tcW w:w="533" w:type="dxa"/>
            <w:shd w:val="clear" w:color="auto" w:fill="auto"/>
            <w:vAlign w:val="center"/>
          </w:tcPr>
          <w:p w14:paraId="6F255D02" w14:textId="77777777" w:rsidR="00845423" w:rsidRPr="009A53B7" w:rsidRDefault="00845423" w:rsidP="00877FB8">
            <w:pPr>
              <w:jc w:val="center"/>
              <w:rPr>
                <w:rFonts w:ascii="Arial Narrow" w:eastAsia="Calibri" w:hAnsi="Arial Narrow" w:cs="Arial"/>
                <w:b/>
                <w:sz w:val="22"/>
                <w:szCs w:val="22"/>
              </w:rPr>
            </w:pPr>
            <w:r w:rsidRPr="009A53B7">
              <w:rPr>
                <w:rFonts w:ascii="Arial Narrow" w:eastAsia="Calibri" w:hAnsi="Arial Narrow" w:cs="Arial"/>
                <w:b/>
                <w:sz w:val="22"/>
                <w:szCs w:val="22"/>
              </w:rPr>
              <w:t>4</w:t>
            </w:r>
          </w:p>
        </w:tc>
        <w:tc>
          <w:tcPr>
            <w:tcW w:w="7783" w:type="dxa"/>
            <w:shd w:val="clear" w:color="auto" w:fill="auto"/>
            <w:vAlign w:val="center"/>
          </w:tcPr>
          <w:p w14:paraId="076DF8B6" w14:textId="77777777" w:rsidR="00845423" w:rsidRPr="009A53B7" w:rsidRDefault="00845423" w:rsidP="00750E7E">
            <w:pPr>
              <w:rPr>
                <w:rFonts w:ascii="Arial Narrow" w:eastAsia="Calibri" w:hAnsi="Arial Narrow" w:cs="Arial"/>
                <w:sz w:val="22"/>
                <w:szCs w:val="22"/>
              </w:rPr>
            </w:pPr>
            <w:r w:rsidRPr="009A53B7">
              <w:rPr>
                <w:rFonts w:ascii="Arial Narrow" w:eastAsia="Calibri" w:hAnsi="Arial Narrow" w:cs="Arial"/>
                <w:sz w:val="22"/>
                <w:szCs w:val="22"/>
              </w:rPr>
              <w:t xml:space="preserve">Cronograma preliminar del proceso </w:t>
            </w:r>
          </w:p>
        </w:tc>
        <w:tc>
          <w:tcPr>
            <w:tcW w:w="724" w:type="dxa"/>
            <w:shd w:val="clear" w:color="auto" w:fill="auto"/>
          </w:tcPr>
          <w:p w14:paraId="20EB0FA6" w14:textId="77777777" w:rsidR="00845423" w:rsidRPr="009A53B7" w:rsidRDefault="00845423" w:rsidP="00750E7E">
            <w:pPr>
              <w:rPr>
                <w:rFonts w:ascii="Arial Narrow" w:eastAsia="Calibri" w:hAnsi="Arial Narrow" w:cs="Arial"/>
                <w:sz w:val="22"/>
                <w:szCs w:val="22"/>
              </w:rPr>
            </w:pPr>
          </w:p>
        </w:tc>
      </w:tr>
      <w:tr w:rsidR="00845423" w:rsidRPr="009A53B7" w14:paraId="191A7D33" w14:textId="77777777" w:rsidTr="00877FB8">
        <w:trPr>
          <w:trHeight w:val="532"/>
        </w:trPr>
        <w:tc>
          <w:tcPr>
            <w:tcW w:w="533" w:type="dxa"/>
            <w:shd w:val="clear" w:color="auto" w:fill="auto"/>
            <w:vAlign w:val="center"/>
          </w:tcPr>
          <w:p w14:paraId="1FA3D410" w14:textId="77777777" w:rsidR="00845423" w:rsidRPr="009A53B7" w:rsidRDefault="00845423" w:rsidP="00877FB8">
            <w:pPr>
              <w:jc w:val="center"/>
              <w:rPr>
                <w:rFonts w:ascii="Arial Narrow" w:eastAsia="Calibri" w:hAnsi="Arial Narrow" w:cs="Arial"/>
                <w:b/>
                <w:sz w:val="22"/>
                <w:szCs w:val="22"/>
              </w:rPr>
            </w:pPr>
            <w:r w:rsidRPr="009A53B7">
              <w:rPr>
                <w:rFonts w:ascii="Arial Narrow" w:eastAsia="Calibri" w:hAnsi="Arial Narrow" w:cs="Arial"/>
                <w:b/>
                <w:sz w:val="22"/>
                <w:szCs w:val="22"/>
              </w:rPr>
              <w:t>5</w:t>
            </w:r>
          </w:p>
        </w:tc>
        <w:tc>
          <w:tcPr>
            <w:tcW w:w="7783" w:type="dxa"/>
            <w:shd w:val="clear" w:color="auto" w:fill="auto"/>
            <w:vAlign w:val="center"/>
          </w:tcPr>
          <w:p w14:paraId="6B0B2E5F" w14:textId="77777777" w:rsidR="00845423" w:rsidRPr="009A53B7" w:rsidRDefault="00845423" w:rsidP="00586CA3">
            <w:pPr>
              <w:rPr>
                <w:rFonts w:ascii="Arial Narrow" w:eastAsia="Calibri" w:hAnsi="Arial Narrow" w:cs="Arial"/>
                <w:sz w:val="22"/>
                <w:szCs w:val="22"/>
              </w:rPr>
            </w:pPr>
            <w:r w:rsidRPr="009A53B7">
              <w:rPr>
                <w:rFonts w:ascii="Arial Narrow" w:eastAsia="Calibri" w:hAnsi="Arial Narrow" w:cs="Arial"/>
                <w:sz w:val="22"/>
                <w:szCs w:val="22"/>
              </w:rPr>
              <w:t xml:space="preserve">Mapa de riesgos del proceso </w:t>
            </w:r>
          </w:p>
        </w:tc>
        <w:tc>
          <w:tcPr>
            <w:tcW w:w="724" w:type="dxa"/>
            <w:shd w:val="clear" w:color="auto" w:fill="auto"/>
          </w:tcPr>
          <w:p w14:paraId="26FED412" w14:textId="77777777" w:rsidR="00845423" w:rsidRPr="009A53B7" w:rsidRDefault="00845423" w:rsidP="00750E7E">
            <w:pPr>
              <w:rPr>
                <w:rFonts w:ascii="Arial Narrow" w:eastAsia="Calibri" w:hAnsi="Arial Narrow" w:cs="Arial"/>
                <w:sz w:val="22"/>
                <w:szCs w:val="22"/>
              </w:rPr>
            </w:pPr>
          </w:p>
        </w:tc>
      </w:tr>
      <w:tr w:rsidR="00845423" w:rsidRPr="009A53B7" w14:paraId="02E3D66E" w14:textId="77777777" w:rsidTr="00877FB8">
        <w:trPr>
          <w:trHeight w:val="498"/>
        </w:trPr>
        <w:tc>
          <w:tcPr>
            <w:tcW w:w="533" w:type="dxa"/>
            <w:shd w:val="clear" w:color="auto" w:fill="auto"/>
            <w:vAlign w:val="center"/>
          </w:tcPr>
          <w:p w14:paraId="2841CC05" w14:textId="77777777" w:rsidR="00845423" w:rsidRPr="009A53B7" w:rsidRDefault="00845423" w:rsidP="00877FB8">
            <w:pPr>
              <w:jc w:val="center"/>
              <w:rPr>
                <w:rFonts w:ascii="Arial Narrow" w:eastAsia="Calibri" w:hAnsi="Arial Narrow" w:cs="Arial"/>
                <w:b/>
                <w:sz w:val="22"/>
                <w:szCs w:val="22"/>
              </w:rPr>
            </w:pPr>
            <w:r w:rsidRPr="009A53B7">
              <w:rPr>
                <w:rFonts w:ascii="Arial Narrow" w:eastAsia="Calibri" w:hAnsi="Arial Narrow" w:cs="Arial"/>
                <w:b/>
                <w:sz w:val="22"/>
                <w:szCs w:val="22"/>
              </w:rPr>
              <w:t>6</w:t>
            </w:r>
          </w:p>
        </w:tc>
        <w:tc>
          <w:tcPr>
            <w:tcW w:w="7783" w:type="dxa"/>
            <w:shd w:val="clear" w:color="auto" w:fill="auto"/>
            <w:vAlign w:val="center"/>
          </w:tcPr>
          <w:p w14:paraId="7F3CA205" w14:textId="77777777" w:rsidR="00845423" w:rsidRPr="009A53B7" w:rsidRDefault="00845423" w:rsidP="00750E7E">
            <w:pPr>
              <w:rPr>
                <w:rFonts w:ascii="Arial Narrow" w:eastAsia="Calibri" w:hAnsi="Arial Narrow" w:cs="Arial"/>
                <w:sz w:val="22"/>
                <w:szCs w:val="22"/>
              </w:rPr>
            </w:pPr>
            <w:r w:rsidRPr="009A53B7">
              <w:rPr>
                <w:rFonts w:ascii="Arial Narrow" w:eastAsia="Calibri" w:hAnsi="Arial Narrow" w:cs="Arial"/>
                <w:sz w:val="22"/>
                <w:szCs w:val="22"/>
              </w:rPr>
              <w:t>Proyecto de Decreto.</w:t>
            </w:r>
          </w:p>
        </w:tc>
        <w:tc>
          <w:tcPr>
            <w:tcW w:w="724" w:type="dxa"/>
            <w:shd w:val="clear" w:color="auto" w:fill="auto"/>
          </w:tcPr>
          <w:p w14:paraId="5420A196" w14:textId="77777777" w:rsidR="00845423" w:rsidRPr="009A53B7" w:rsidRDefault="00845423" w:rsidP="00750E7E">
            <w:pPr>
              <w:rPr>
                <w:rFonts w:ascii="Arial Narrow" w:eastAsia="Calibri" w:hAnsi="Arial Narrow" w:cs="Arial"/>
                <w:sz w:val="22"/>
                <w:szCs w:val="22"/>
              </w:rPr>
            </w:pPr>
          </w:p>
        </w:tc>
      </w:tr>
      <w:tr w:rsidR="00845423" w:rsidRPr="009A53B7" w14:paraId="38D7158F" w14:textId="77777777" w:rsidTr="00877FB8">
        <w:trPr>
          <w:trHeight w:val="498"/>
        </w:trPr>
        <w:tc>
          <w:tcPr>
            <w:tcW w:w="533" w:type="dxa"/>
            <w:shd w:val="clear" w:color="auto" w:fill="auto"/>
            <w:vAlign w:val="center"/>
          </w:tcPr>
          <w:p w14:paraId="79A5F2C1" w14:textId="77777777" w:rsidR="00845423" w:rsidRPr="009A53B7" w:rsidRDefault="00845423" w:rsidP="00877FB8">
            <w:pPr>
              <w:jc w:val="center"/>
              <w:rPr>
                <w:rFonts w:ascii="Arial Narrow" w:eastAsia="Calibri" w:hAnsi="Arial Narrow" w:cs="Arial"/>
                <w:b/>
                <w:sz w:val="22"/>
                <w:szCs w:val="22"/>
              </w:rPr>
            </w:pPr>
            <w:r w:rsidRPr="009A53B7">
              <w:rPr>
                <w:rFonts w:ascii="Arial Narrow" w:eastAsia="Calibri" w:hAnsi="Arial Narrow" w:cs="Arial"/>
                <w:b/>
                <w:sz w:val="22"/>
                <w:szCs w:val="22"/>
              </w:rPr>
              <w:t>7</w:t>
            </w:r>
          </w:p>
        </w:tc>
        <w:tc>
          <w:tcPr>
            <w:tcW w:w="7783" w:type="dxa"/>
            <w:shd w:val="clear" w:color="auto" w:fill="auto"/>
            <w:vAlign w:val="center"/>
          </w:tcPr>
          <w:p w14:paraId="6E5ECA2D" w14:textId="77777777" w:rsidR="00845423" w:rsidRPr="009A53B7" w:rsidRDefault="00845423" w:rsidP="00750E7E">
            <w:pPr>
              <w:rPr>
                <w:rFonts w:ascii="Arial Narrow" w:eastAsia="Calibri" w:hAnsi="Arial Narrow" w:cs="Arial"/>
                <w:sz w:val="22"/>
                <w:szCs w:val="22"/>
              </w:rPr>
            </w:pPr>
            <w:r w:rsidRPr="009A53B7">
              <w:rPr>
                <w:rFonts w:ascii="Arial Narrow" w:eastAsia="Calibri" w:hAnsi="Arial Narrow" w:cs="Arial"/>
                <w:sz w:val="22"/>
                <w:szCs w:val="22"/>
              </w:rPr>
              <w:t>Actas de Junta Directiva y demás instancias decisorias sobre el programa de enajenación</w:t>
            </w:r>
          </w:p>
        </w:tc>
        <w:tc>
          <w:tcPr>
            <w:tcW w:w="724" w:type="dxa"/>
            <w:shd w:val="clear" w:color="auto" w:fill="auto"/>
          </w:tcPr>
          <w:p w14:paraId="457F1F0D" w14:textId="77777777" w:rsidR="00845423" w:rsidRPr="009A53B7" w:rsidRDefault="00845423" w:rsidP="00750E7E">
            <w:pPr>
              <w:rPr>
                <w:rFonts w:ascii="Arial Narrow" w:eastAsia="Calibri" w:hAnsi="Arial Narrow" w:cs="Arial"/>
                <w:sz w:val="22"/>
                <w:szCs w:val="22"/>
              </w:rPr>
            </w:pPr>
          </w:p>
        </w:tc>
      </w:tr>
      <w:tr w:rsidR="00845423" w:rsidRPr="009A53B7" w14:paraId="5B6E40C7" w14:textId="77777777" w:rsidTr="00877FB8">
        <w:trPr>
          <w:trHeight w:val="498"/>
        </w:trPr>
        <w:tc>
          <w:tcPr>
            <w:tcW w:w="533" w:type="dxa"/>
            <w:shd w:val="clear" w:color="auto" w:fill="auto"/>
            <w:vAlign w:val="center"/>
          </w:tcPr>
          <w:p w14:paraId="2E62CEA4" w14:textId="77777777" w:rsidR="00845423" w:rsidRPr="009A53B7" w:rsidRDefault="00845423" w:rsidP="00877FB8">
            <w:pPr>
              <w:jc w:val="center"/>
              <w:rPr>
                <w:rFonts w:ascii="Arial Narrow" w:eastAsia="Calibri" w:hAnsi="Arial Narrow" w:cs="Arial"/>
                <w:b/>
                <w:sz w:val="22"/>
                <w:szCs w:val="22"/>
              </w:rPr>
            </w:pPr>
            <w:r w:rsidRPr="009A53B7">
              <w:rPr>
                <w:rFonts w:ascii="Arial Narrow" w:eastAsia="Calibri" w:hAnsi="Arial Narrow" w:cs="Arial"/>
                <w:b/>
                <w:sz w:val="22"/>
                <w:szCs w:val="22"/>
              </w:rPr>
              <w:t>8</w:t>
            </w:r>
          </w:p>
        </w:tc>
        <w:tc>
          <w:tcPr>
            <w:tcW w:w="7783" w:type="dxa"/>
            <w:shd w:val="clear" w:color="auto" w:fill="auto"/>
            <w:vAlign w:val="center"/>
          </w:tcPr>
          <w:p w14:paraId="1F9E2C31" w14:textId="77777777" w:rsidR="00845423" w:rsidRPr="009A53B7" w:rsidRDefault="00845423" w:rsidP="00750E7E">
            <w:pPr>
              <w:rPr>
                <w:rFonts w:ascii="Arial Narrow" w:eastAsia="Calibri" w:hAnsi="Arial Narrow" w:cs="Arial"/>
                <w:sz w:val="22"/>
                <w:szCs w:val="22"/>
              </w:rPr>
            </w:pPr>
            <w:r w:rsidRPr="009A53B7">
              <w:rPr>
                <w:rFonts w:ascii="Arial Narrow" w:eastAsia="Calibri" w:hAnsi="Arial Narrow" w:cs="Arial"/>
                <w:sz w:val="22"/>
                <w:szCs w:val="22"/>
              </w:rPr>
              <w:t xml:space="preserve">Oficio de radicación del programa a la Defensoría y respuesta de la Defensoría en caso de haberla recibido. </w:t>
            </w:r>
          </w:p>
        </w:tc>
        <w:tc>
          <w:tcPr>
            <w:tcW w:w="724" w:type="dxa"/>
            <w:shd w:val="clear" w:color="auto" w:fill="auto"/>
          </w:tcPr>
          <w:p w14:paraId="121219A3" w14:textId="77777777" w:rsidR="00845423" w:rsidRPr="009A53B7" w:rsidRDefault="00845423" w:rsidP="00750E7E">
            <w:pPr>
              <w:rPr>
                <w:rFonts w:ascii="Arial Narrow" w:eastAsia="Calibri" w:hAnsi="Arial Narrow" w:cs="Arial"/>
                <w:sz w:val="22"/>
                <w:szCs w:val="22"/>
              </w:rPr>
            </w:pPr>
          </w:p>
        </w:tc>
      </w:tr>
      <w:tr w:rsidR="00845423" w:rsidRPr="009A53B7" w14:paraId="1884DDD1" w14:textId="77777777" w:rsidTr="00877FB8">
        <w:trPr>
          <w:trHeight w:val="498"/>
        </w:trPr>
        <w:tc>
          <w:tcPr>
            <w:tcW w:w="533" w:type="dxa"/>
            <w:shd w:val="clear" w:color="auto" w:fill="auto"/>
            <w:vAlign w:val="center"/>
          </w:tcPr>
          <w:p w14:paraId="2FB805D5" w14:textId="77777777" w:rsidR="00845423" w:rsidRPr="009A53B7" w:rsidRDefault="009823A9" w:rsidP="00877FB8">
            <w:pPr>
              <w:jc w:val="center"/>
              <w:rPr>
                <w:rFonts w:ascii="Arial Narrow" w:eastAsia="Calibri" w:hAnsi="Arial Narrow" w:cs="Arial"/>
                <w:b/>
                <w:sz w:val="22"/>
                <w:szCs w:val="22"/>
              </w:rPr>
            </w:pPr>
            <w:r w:rsidRPr="009A53B7">
              <w:rPr>
                <w:rFonts w:ascii="Arial Narrow" w:eastAsia="Calibri" w:hAnsi="Arial Narrow" w:cs="Arial"/>
                <w:b/>
                <w:sz w:val="22"/>
                <w:szCs w:val="22"/>
              </w:rPr>
              <w:t>9</w:t>
            </w:r>
          </w:p>
        </w:tc>
        <w:tc>
          <w:tcPr>
            <w:tcW w:w="7783" w:type="dxa"/>
            <w:shd w:val="clear" w:color="auto" w:fill="auto"/>
            <w:vAlign w:val="center"/>
          </w:tcPr>
          <w:p w14:paraId="41C499AA" w14:textId="77777777" w:rsidR="00845423" w:rsidRPr="009A53B7" w:rsidRDefault="00845423" w:rsidP="00750E7E">
            <w:pPr>
              <w:rPr>
                <w:rFonts w:ascii="Arial Narrow" w:eastAsia="Calibri" w:hAnsi="Arial Narrow" w:cs="Arial"/>
                <w:sz w:val="22"/>
                <w:szCs w:val="22"/>
              </w:rPr>
            </w:pPr>
            <w:r w:rsidRPr="009A53B7">
              <w:rPr>
                <w:rFonts w:ascii="Arial Narrow" w:eastAsia="Calibri" w:hAnsi="Arial Narrow" w:cs="Arial"/>
                <w:sz w:val="22"/>
                <w:szCs w:val="22"/>
              </w:rPr>
              <w:t>Certificado de composición accionaria de la entidad que sea objeto del programa de venta.</w:t>
            </w:r>
          </w:p>
        </w:tc>
        <w:tc>
          <w:tcPr>
            <w:tcW w:w="724" w:type="dxa"/>
            <w:shd w:val="clear" w:color="auto" w:fill="auto"/>
          </w:tcPr>
          <w:p w14:paraId="2E47EE11" w14:textId="77777777" w:rsidR="00845423" w:rsidRPr="009A53B7" w:rsidRDefault="00845423" w:rsidP="00750E7E">
            <w:pPr>
              <w:rPr>
                <w:rFonts w:ascii="Arial Narrow" w:eastAsia="Calibri" w:hAnsi="Arial Narrow" w:cs="Arial"/>
                <w:sz w:val="22"/>
                <w:szCs w:val="22"/>
              </w:rPr>
            </w:pPr>
          </w:p>
        </w:tc>
      </w:tr>
      <w:tr w:rsidR="00845423" w:rsidRPr="009A53B7" w14:paraId="1AE5BAD2" w14:textId="77777777" w:rsidTr="00877FB8">
        <w:trPr>
          <w:trHeight w:val="498"/>
        </w:trPr>
        <w:tc>
          <w:tcPr>
            <w:tcW w:w="533" w:type="dxa"/>
            <w:shd w:val="clear" w:color="auto" w:fill="auto"/>
            <w:vAlign w:val="center"/>
          </w:tcPr>
          <w:p w14:paraId="3C3E5406" w14:textId="77777777" w:rsidR="00845423" w:rsidRPr="009A53B7" w:rsidRDefault="00845423" w:rsidP="00877FB8">
            <w:pPr>
              <w:jc w:val="center"/>
              <w:rPr>
                <w:rFonts w:ascii="Arial Narrow" w:eastAsia="Calibri" w:hAnsi="Arial Narrow" w:cs="Arial"/>
                <w:b/>
                <w:sz w:val="22"/>
                <w:szCs w:val="22"/>
              </w:rPr>
            </w:pPr>
            <w:r w:rsidRPr="009A53B7">
              <w:rPr>
                <w:rFonts w:ascii="Arial Narrow" w:eastAsia="Calibri" w:hAnsi="Arial Narrow" w:cs="Arial"/>
                <w:b/>
                <w:sz w:val="22"/>
                <w:szCs w:val="22"/>
              </w:rPr>
              <w:t>1</w:t>
            </w:r>
            <w:r w:rsidR="009823A9" w:rsidRPr="009A53B7">
              <w:rPr>
                <w:rFonts w:ascii="Arial Narrow" w:eastAsia="Calibri" w:hAnsi="Arial Narrow" w:cs="Arial"/>
                <w:b/>
                <w:sz w:val="22"/>
                <w:szCs w:val="22"/>
              </w:rPr>
              <w:t>0</w:t>
            </w:r>
          </w:p>
        </w:tc>
        <w:tc>
          <w:tcPr>
            <w:tcW w:w="7783" w:type="dxa"/>
            <w:shd w:val="clear" w:color="auto" w:fill="auto"/>
            <w:vAlign w:val="center"/>
          </w:tcPr>
          <w:p w14:paraId="3E2A2D64" w14:textId="77777777" w:rsidR="00845423" w:rsidRPr="009A53B7" w:rsidRDefault="00845423" w:rsidP="00750E7E">
            <w:pPr>
              <w:rPr>
                <w:rFonts w:ascii="Arial Narrow" w:eastAsia="Calibri" w:hAnsi="Arial Narrow" w:cs="Arial"/>
                <w:sz w:val="22"/>
                <w:szCs w:val="22"/>
              </w:rPr>
            </w:pPr>
            <w:r w:rsidRPr="009A53B7">
              <w:rPr>
                <w:rFonts w:ascii="Arial Narrow" w:eastAsia="Calibri" w:hAnsi="Arial Narrow" w:cs="Arial"/>
                <w:sz w:val="22"/>
                <w:szCs w:val="22"/>
              </w:rPr>
              <w:t>Certificación sobre los bienes de patrimonio histórico y cultural</w:t>
            </w:r>
          </w:p>
        </w:tc>
        <w:tc>
          <w:tcPr>
            <w:tcW w:w="724" w:type="dxa"/>
            <w:shd w:val="clear" w:color="auto" w:fill="auto"/>
          </w:tcPr>
          <w:p w14:paraId="731C2C8B" w14:textId="77777777" w:rsidR="00845423" w:rsidRPr="009A53B7" w:rsidRDefault="00845423" w:rsidP="00750E7E">
            <w:pPr>
              <w:rPr>
                <w:rFonts w:ascii="Arial Narrow" w:eastAsia="Calibri" w:hAnsi="Arial Narrow" w:cs="Arial"/>
                <w:sz w:val="22"/>
                <w:szCs w:val="22"/>
              </w:rPr>
            </w:pPr>
          </w:p>
        </w:tc>
      </w:tr>
      <w:tr w:rsidR="00466CD5" w:rsidRPr="009A53B7" w14:paraId="38A81E08" w14:textId="77777777" w:rsidTr="00877FB8">
        <w:trPr>
          <w:trHeight w:val="498"/>
        </w:trPr>
        <w:tc>
          <w:tcPr>
            <w:tcW w:w="533" w:type="dxa"/>
            <w:shd w:val="clear" w:color="auto" w:fill="auto"/>
            <w:vAlign w:val="center"/>
          </w:tcPr>
          <w:p w14:paraId="7A3CDA89" w14:textId="77777777" w:rsidR="00466CD5" w:rsidRPr="009A53B7" w:rsidRDefault="00466CD5" w:rsidP="00877FB8">
            <w:pPr>
              <w:jc w:val="center"/>
              <w:rPr>
                <w:rFonts w:ascii="Arial Narrow" w:eastAsia="Calibri" w:hAnsi="Arial Narrow" w:cs="Arial"/>
                <w:b/>
                <w:sz w:val="22"/>
                <w:szCs w:val="22"/>
              </w:rPr>
            </w:pPr>
            <w:r w:rsidRPr="009A53B7">
              <w:rPr>
                <w:rFonts w:ascii="Arial Narrow" w:eastAsia="Calibri" w:hAnsi="Arial Narrow" w:cs="Arial"/>
                <w:b/>
                <w:sz w:val="22"/>
                <w:szCs w:val="22"/>
              </w:rPr>
              <w:t>11</w:t>
            </w:r>
          </w:p>
        </w:tc>
        <w:tc>
          <w:tcPr>
            <w:tcW w:w="7783" w:type="dxa"/>
            <w:shd w:val="clear" w:color="auto" w:fill="auto"/>
            <w:vAlign w:val="center"/>
          </w:tcPr>
          <w:p w14:paraId="0B98A838" w14:textId="77777777" w:rsidR="00466CD5" w:rsidRPr="009A53B7" w:rsidRDefault="00466CD5" w:rsidP="00750E7E">
            <w:pPr>
              <w:rPr>
                <w:rFonts w:ascii="Arial Narrow" w:eastAsia="Calibri" w:hAnsi="Arial Narrow" w:cs="Arial"/>
                <w:sz w:val="22"/>
                <w:szCs w:val="22"/>
              </w:rPr>
            </w:pPr>
            <w:r w:rsidRPr="009A53B7">
              <w:rPr>
                <w:rFonts w:ascii="Arial Narrow" w:eastAsia="Calibri" w:hAnsi="Arial Narrow" w:cs="Arial"/>
                <w:sz w:val="22"/>
                <w:szCs w:val="22"/>
              </w:rPr>
              <w:t xml:space="preserve">Certificación del concepto favorable del Consejo de </w:t>
            </w:r>
            <w:proofErr w:type="gramStart"/>
            <w:r w:rsidRPr="009A53B7">
              <w:rPr>
                <w:rFonts w:ascii="Arial Narrow" w:eastAsia="Calibri" w:hAnsi="Arial Narrow" w:cs="Arial"/>
                <w:sz w:val="22"/>
                <w:szCs w:val="22"/>
              </w:rPr>
              <w:t>Ministros</w:t>
            </w:r>
            <w:proofErr w:type="gramEnd"/>
          </w:p>
        </w:tc>
        <w:tc>
          <w:tcPr>
            <w:tcW w:w="724" w:type="dxa"/>
            <w:shd w:val="clear" w:color="auto" w:fill="auto"/>
          </w:tcPr>
          <w:p w14:paraId="7A7A15ED" w14:textId="77777777" w:rsidR="00466CD5" w:rsidRPr="009A53B7" w:rsidRDefault="00466CD5" w:rsidP="00750E7E">
            <w:pPr>
              <w:rPr>
                <w:rFonts w:ascii="Arial Narrow" w:eastAsia="Calibri" w:hAnsi="Arial Narrow" w:cs="Arial"/>
                <w:sz w:val="22"/>
                <w:szCs w:val="22"/>
              </w:rPr>
            </w:pPr>
          </w:p>
        </w:tc>
      </w:tr>
    </w:tbl>
    <w:p w14:paraId="2494F957" w14:textId="77777777" w:rsidR="0034229F" w:rsidRPr="009A53B7" w:rsidRDefault="0034229F" w:rsidP="00A02F0A">
      <w:pPr>
        <w:rPr>
          <w:rFonts w:ascii="Arial Narrow" w:hAnsi="Arial Narrow"/>
        </w:rPr>
      </w:pPr>
    </w:p>
    <w:p w14:paraId="022E4FAF" w14:textId="77777777" w:rsidR="00845423" w:rsidRPr="009A53B7" w:rsidRDefault="00845423" w:rsidP="00845423">
      <w:pPr>
        <w:pStyle w:val="Default"/>
        <w:jc w:val="both"/>
        <w:rPr>
          <w:rFonts w:ascii="Arial Narrow" w:hAnsi="Arial Narrow"/>
        </w:rPr>
      </w:pPr>
      <w:r w:rsidRPr="009A53B7">
        <w:rPr>
          <w:rFonts w:ascii="Arial Narrow" w:hAnsi="Arial Narrow"/>
        </w:rPr>
        <w:t xml:space="preserve">La preparación de cada uno de estos documentos tiene una serie de particularidades específicas que deben ser tenidas en cuenta dentro de la preparación de un programa de desinversión de la propiedad accionaria estatal. </w:t>
      </w:r>
      <w:r w:rsidR="00C85F7D" w:rsidRPr="009A53B7">
        <w:rPr>
          <w:rFonts w:ascii="Arial Narrow" w:hAnsi="Arial Narrow"/>
        </w:rPr>
        <w:t xml:space="preserve">A continuación, se presentan pautas específicas que deben ser tenidas en cuenta para emprender un programa de desinversión de la propiedad accionaria estatal en cada uno de los puntos referenciados en la lista de chequeo </w:t>
      </w:r>
      <w:r w:rsidR="006B4B00" w:rsidRPr="009A53B7">
        <w:rPr>
          <w:rFonts w:ascii="Arial Narrow" w:hAnsi="Arial Narrow"/>
        </w:rPr>
        <w:t>anterior</w:t>
      </w:r>
      <w:r w:rsidR="00C85F7D" w:rsidRPr="009A53B7">
        <w:rPr>
          <w:rFonts w:ascii="Arial Narrow" w:hAnsi="Arial Narrow"/>
        </w:rPr>
        <w:t xml:space="preserve">. </w:t>
      </w:r>
    </w:p>
    <w:p w14:paraId="45B38E38" w14:textId="77777777" w:rsidR="00845423" w:rsidRPr="009A53B7" w:rsidRDefault="00845423" w:rsidP="00A02F0A">
      <w:pPr>
        <w:rPr>
          <w:rFonts w:ascii="Arial Narrow" w:hAnsi="Arial Narrow"/>
        </w:rPr>
      </w:pPr>
    </w:p>
    <w:p w14:paraId="1463C32E" w14:textId="77777777" w:rsidR="00845423" w:rsidRPr="009A53B7" w:rsidRDefault="006B4B00" w:rsidP="00750E7E">
      <w:pPr>
        <w:pStyle w:val="Prrafodelista"/>
        <w:numPr>
          <w:ilvl w:val="0"/>
          <w:numId w:val="32"/>
        </w:numPr>
        <w:contextualSpacing/>
        <w:jc w:val="both"/>
        <w:rPr>
          <w:rFonts w:ascii="Arial Narrow" w:hAnsi="Arial Narrow"/>
        </w:rPr>
      </w:pPr>
      <w:r w:rsidRPr="009A53B7">
        <w:rPr>
          <w:rFonts w:ascii="Arial Narrow" w:eastAsia="Calibri" w:hAnsi="Arial Narrow" w:cs="Arial"/>
          <w:b/>
          <w:sz w:val="22"/>
          <w:szCs w:val="22"/>
        </w:rPr>
        <w:t>Carta de intención de venta donde se incluya las razones que justifican la venta</w:t>
      </w:r>
      <w:r w:rsidR="00845423" w:rsidRPr="009A53B7">
        <w:rPr>
          <w:rFonts w:ascii="Arial Narrow" w:eastAsia="Calibri" w:hAnsi="Arial Narrow" w:cs="Arial"/>
          <w:b/>
          <w:sz w:val="22"/>
          <w:szCs w:val="22"/>
        </w:rPr>
        <w:t xml:space="preserve">: </w:t>
      </w:r>
      <w:r w:rsidR="00845423" w:rsidRPr="009A53B7">
        <w:rPr>
          <w:rFonts w:ascii="Arial Narrow" w:eastAsia="Calibri" w:hAnsi="Arial Narrow" w:cs="Arial"/>
          <w:sz w:val="22"/>
          <w:szCs w:val="22"/>
        </w:rPr>
        <w:t xml:space="preserve">Las ventas de propiedad accionaria estatal deben procurar por tener un análisis que justifique la decisión de enajenación, en el cual se evidencie claramente que no es necesario mantener la participación </w:t>
      </w:r>
      <w:r w:rsidRPr="009A53B7">
        <w:rPr>
          <w:rFonts w:ascii="Arial Narrow" w:eastAsia="Calibri" w:hAnsi="Arial Narrow" w:cs="Arial"/>
          <w:sz w:val="22"/>
          <w:szCs w:val="22"/>
        </w:rPr>
        <w:t xml:space="preserve">estatal </w:t>
      </w:r>
      <w:r w:rsidR="00845423" w:rsidRPr="009A53B7">
        <w:rPr>
          <w:rFonts w:ascii="Arial Narrow" w:eastAsia="Calibri" w:hAnsi="Arial Narrow" w:cs="Arial"/>
          <w:sz w:val="22"/>
          <w:szCs w:val="22"/>
        </w:rPr>
        <w:t>para cumplir con algún objetivo de propiedad y/o de la estrategia corporativa de la entidad que adelante el proceso de venta. Para la preparación de</w:t>
      </w:r>
      <w:r w:rsidRPr="009A53B7">
        <w:rPr>
          <w:rFonts w:ascii="Arial Narrow" w:eastAsia="Calibri" w:hAnsi="Arial Narrow" w:cs="Arial"/>
          <w:sz w:val="22"/>
          <w:szCs w:val="22"/>
        </w:rPr>
        <w:t xml:space="preserve"> </w:t>
      </w:r>
      <w:r w:rsidR="00845423" w:rsidRPr="009A53B7">
        <w:rPr>
          <w:rFonts w:ascii="Arial Narrow" w:eastAsia="Calibri" w:hAnsi="Arial Narrow" w:cs="Arial"/>
          <w:sz w:val="22"/>
          <w:szCs w:val="22"/>
        </w:rPr>
        <w:t>la</w:t>
      </w:r>
      <w:r w:rsidRPr="009A53B7">
        <w:rPr>
          <w:rFonts w:ascii="Arial Narrow" w:eastAsia="Calibri" w:hAnsi="Arial Narrow" w:cs="Arial"/>
          <w:sz w:val="22"/>
          <w:szCs w:val="22"/>
        </w:rPr>
        <w:t xml:space="preserve"> carta de</w:t>
      </w:r>
      <w:r w:rsidR="00845423" w:rsidRPr="009A53B7">
        <w:rPr>
          <w:rFonts w:ascii="Arial Narrow" w:eastAsia="Calibri" w:hAnsi="Arial Narrow" w:cs="Arial"/>
          <w:sz w:val="22"/>
          <w:szCs w:val="22"/>
        </w:rPr>
        <w:t xml:space="preserve"> justificación de </w:t>
      </w:r>
      <w:r w:rsidRPr="009A53B7">
        <w:rPr>
          <w:rFonts w:ascii="Arial Narrow" w:eastAsia="Calibri" w:hAnsi="Arial Narrow" w:cs="Arial"/>
          <w:sz w:val="22"/>
          <w:szCs w:val="22"/>
        </w:rPr>
        <w:t xml:space="preserve">la </w:t>
      </w:r>
      <w:r w:rsidR="00845423" w:rsidRPr="009A53B7">
        <w:rPr>
          <w:rFonts w:ascii="Arial Narrow" w:eastAsia="Calibri" w:hAnsi="Arial Narrow" w:cs="Arial"/>
          <w:sz w:val="22"/>
          <w:szCs w:val="22"/>
        </w:rPr>
        <w:t>enajenaci</w:t>
      </w:r>
      <w:r w:rsidRPr="009A53B7">
        <w:rPr>
          <w:rFonts w:ascii="Arial Narrow" w:eastAsia="Calibri" w:hAnsi="Arial Narrow" w:cs="Arial"/>
          <w:sz w:val="22"/>
          <w:szCs w:val="22"/>
        </w:rPr>
        <w:t xml:space="preserve">ón </w:t>
      </w:r>
      <w:r w:rsidR="00845423" w:rsidRPr="009A53B7">
        <w:rPr>
          <w:rFonts w:ascii="Arial Narrow" w:eastAsia="Calibri" w:hAnsi="Arial Narrow" w:cs="Arial"/>
          <w:sz w:val="22"/>
          <w:szCs w:val="22"/>
        </w:rPr>
        <w:t>la entidad que decida enajenar su participación deberá consultar las políticas y los objetivos de propiedad descritos en los documentos CONPES 3851 de 2015 y 3927 de 2018.</w:t>
      </w:r>
      <w:r w:rsidR="00845423" w:rsidRPr="009A53B7">
        <w:rPr>
          <w:rFonts w:ascii="Arial Narrow" w:hAnsi="Arial Narrow"/>
        </w:rPr>
        <w:t xml:space="preserve"> </w:t>
      </w:r>
    </w:p>
    <w:p w14:paraId="5243751B" w14:textId="77777777" w:rsidR="00845423" w:rsidRPr="009A53B7" w:rsidRDefault="00845423" w:rsidP="00845423">
      <w:pPr>
        <w:pStyle w:val="Prrafodelista"/>
        <w:ind w:left="720"/>
        <w:contextualSpacing/>
        <w:jc w:val="both"/>
        <w:rPr>
          <w:rFonts w:ascii="Arial Narrow" w:hAnsi="Arial Narrow"/>
        </w:rPr>
      </w:pPr>
    </w:p>
    <w:p w14:paraId="00F06BE6" w14:textId="77777777" w:rsidR="00A02F0A" w:rsidRPr="009A53B7" w:rsidRDefault="00C85F7D" w:rsidP="00845423">
      <w:pPr>
        <w:pStyle w:val="Prrafodelista"/>
        <w:numPr>
          <w:ilvl w:val="0"/>
          <w:numId w:val="32"/>
        </w:numPr>
        <w:contextualSpacing/>
        <w:jc w:val="both"/>
        <w:rPr>
          <w:rFonts w:ascii="Arial Narrow" w:eastAsia="Calibri" w:hAnsi="Arial Narrow" w:cs="Arial"/>
          <w:sz w:val="22"/>
          <w:szCs w:val="22"/>
        </w:rPr>
      </w:pPr>
      <w:r w:rsidRPr="009A53B7">
        <w:rPr>
          <w:rFonts w:ascii="Arial Narrow" w:eastAsia="Calibri" w:hAnsi="Arial Narrow" w:cs="Arial"/>
          <w:b/>
          <w:sz w:val="22"/>
          <w:szCs w:val="22"/>
        </w:rPr>
        <w:t xml:space="preserve">Informe de valoración, metodología </w:t>
      </w:r>
      <w:r w:rsidR="00A02F0A" w:rsidRPr="009A53B7">
        <w:rPr>
          <w:rFonts w:ascii="Arial Narrow" w:eastAsia="Calibri" w:hAnsi="Arial Narrow" w:cs="Arial"/>
          <w:b/>
          <w:sz w:val="22"/>
          <w:szCs w:val="22"/>
        </w:rPr>
        <w:t xml:space="preserve">y </w:t>
      </w:r>
      <w:r w:rsidRPr="009A53B7">
        <w:rPr>
          <w:rFonts w:ascii="Arial Narrow" w:eastAsia="Calibri" w:hAnsi="Arial Narrow" w:cs="Arial"/>
          <w:b/>
          <w:sz w:val="22"/>
          <w:szCs w:val="22"/>
        </w:rPr>
        <w:t xml:space="preserve">definición del </w:t>
      </w:r>
      <w:r w:rsidR="00A02F0A" w:rsidRPr="009A53B7">
        <w:rPr>
          <w:rFonts w:ascii="Arial Narrow" w:eastAsia="Calibri" w:hAnsi="Arial Narrow" w:cs="Arial"/>
          <w:b/>
          <w:sz w:val="22"/>
          <w:szCs w:val="22"/>
        </w:rPr>
        <w:t>precio base:</w:t>
      </w:r>
      <w:r w:rsidR="00A02F0A" w:rsidRPr="009A53B7">
        <w:rPr>
          <w:rFonts w:ascii="Arial Narrow" w:eastAsia="Calibri" w:hAnsi="Arial Narrow" w:cs="Arial"/>
          <w:sz w:val="22"/>
          <w:szCs w:val="22"/>
        </w:rPr>
        <w:t xml:space="preserve"> Para la determinación del valor de la participación accionaria se requiere adelantar un ejercicio técnico que contemple distintas variables consistentes con la compañía objeto de valoración, el sector en donde opera, la naturaleza del mercado, la proyección razonable de su operación, la rentabilidad de la institución, el valor comercial de los activos y pasivos, entre otros. Para llevar a cabo la valoración se sugiere tener presente los siguientes aspectos: </w:t>
      </w:r>
    </w:p>
    <w:p w14:paraId="2267F6ED" w14:textId="77777777" w:rsidR="00A02F0A" w:rsidRPr="009A53B7" w:rsidRDefault="00A02F0A" w:rsidP="00A02F0A">
      <w:pPr>
        <w:ind w:left="1416"/>
        <w:jc w:val="both"/>
        <w:rPr>
          <w:rFonts w:ascii="Arial Narrow" w:eastAsia="Calibri" w:hAnsi="Arial Narrow" w:cs="Arial"/>
          <w:sz w:val="22"/>
          <w:szCs w:val="22"/>
        </w:rPr>
      </w:pPr>
      <w:r w:rsidRPr="009A53B7">
        <w:rPr>
          <w:rFonts w:ascii="Arial Narrow" w:eastAsia="Calibri" w:hAnsi="Arial Narrow" w:cs="Arial"/>
          <w:sz w:val="22"/>
          <w:szCs w:val="22"/>
        </w:rPr>
        <w:t xml:space="preserve">i). Método de valoración: Para adelantar determinada metodología de valoración, se sugiere contar con un análisis específico y documentado sobre la pertinencia y aplicabilidad de dicho método para la participación accionaria que será objeto de enajenación.  </w:t>
      </w:r>
    </w:p>
    <w:p w14:paraId="0978A790" w14:textId="77777777" w:rsidR="00A02F0A" w:rsidRPr="009A53B7" w:rsidRDefault="00A02F0A" w:rsidP="00A02F0A">
      <w:pPr>
        <w:pStyle w:val="Prrafodelista"/>
        <w:ind w:left="3204"/>
        <w:jc w:val="both"/>
        <w:rPr>
          <w:rFonts w:ascii="Arial Narrow" w:eastAsia="Calibri" w:hAnsi="Arial Narrow" w:cs="Arial"/>
          <w:sz w:val="22"/>
          <w:szCs w:val="22"/>
        </w:rPr>
      </w:pPr>
    </w:p>
    <w:p w14:paraId="74C0E689" w14:textId="77777777" w:rsidR="00A02F0A" w:rsidRDefault="00A02F0A" w:rsidP="00A02F0A">
      <w:pPr>
        <w:ind w:left="1416"/>
        <w:jc w:val="both"/>
        <w:rPr>
          <w:rFonts w:ascii="Arial Narrow" w:eastAsia="Calibri" w:hAnsi="Arial Narrow" w:cs="Arial"/>
          <w:sz w:val="22"/>
          <w:szCs w:val="22"/>
        </w:rPr>
      </w:pPr>
      <w:proofErr w:type="spellStart"/>
      <w:r w:rsidRPr="009A53B7">
        <w:rPr>
          <w:rFonts w:ascii="Arial Narrow" w:eastAsia="Calibri" w:hAnsi="Arial Narrow" w:cs="Arial"/>
          <w:sz w:val="22"/>
          <w:szCs w:val="22"/>
        </w:rPr>
        <w:t>ii</w:t>
      </w:r>
      <w:proofErr w:type="spellEnd"/>
      <w:r w:rsidRPr="009A53B7">
        <w:rPr>
          <w:rFonts w:ascii="Arial Narrow" w:eastAsia="Calibri" w:hAnsi="Arial Narrow" w:cs="Arial"/>
          <w:sz w:val="22"/>
          <w:szCs w:val="22"/>
        </w:rPr>
        <w:t>). Debida Diligencia: Se recomienda realizar una debida diligencia (</w:t>
      </w:r>
      <w:proofErr w:type="spellStart"/>
      <w:r w:rsidRPr="009A53B7">
        <w:rPr>
          <w:rFonts w:ascii="Arial Narrow" w:eastAsia="Calibri" w:hAnsi="Arial Narrow" w:cs="Arial"/>
          <w:sz w:val="22"/>
          <w:szCs w:val="22"/>
        </w:rPr>
        <w:t>Due</w:t>
      </w:r>
      <w:proofErr w:type="spellEnd"/>
      <w:r w:rsidRPr="009A53B7">
        <w:rPr>
          <w:rFonts w:ascii="Arial Narrow" w:eastAsia="Calibri" w:hAnsi="Arial Narrow" w:cs="Arial"/>
          <w:sz w:val="22"/>
          <w:szCs w:val="22"/>
        </w:rPr>
        <w:t xml:space="preserve"> </w:t>
      </w:r>
      <w:proofErr w:type="spellStart"/>
      <w:r w:rsidRPr="009A53B7">
        <w:rPr>
          <w:rFonts w:ascii="Arial Narrow" w:eastAsia="Calibri" w:hAnsi="Arial Narrow" w:cs="Arial"/>
          <w:sz w:val="22"/>
          <w:szCs w:val="22"/>
        </w:rPr>
        <w:t>Diligence</w:t>
      </w:r>
      <w:proofErr w:type="spellEnd"/>
      <w:r w:rsidRPr="009A53B7">
        <w:rPr>
          <w:rFonts w:ascii="Arial Narrow" w:eastAsia="Calibri" w:hAnsi="Arial Narrow" w:cs="Arial"/>
          <w:sz w:val="22"/>
          <w:szCs w:val="22"/>
        </w:rPr>
        <w:t xml:space="preserve">), cuyo nivel de profundidad debe ser revisado y analizado con el banquero de Inversión. La debida </w:t>
      </w:r>
      <w:r w:rsidRPr="009A53B7">
        <w:rPr>
          <w:rFonts w:ascii="Arial Narrow" w:eastAsia="Calibri" w:hAnsi="Arial Narrow" w:cs="Arial"/>
          <w:sz w:val="22"/>
          <w:szCs w:val="22"/>
        </w:rPr>
        <w:lastRenderedPageBreak/>
        <w:t>diligencia de venta permite conocer de antemano situaciones y eventos que puedan influir de manera significativa en el precio de venta y anticiparse a tomar las medidas correctivas requeridas, además que facilita y agiliza el proceso de revisión de la inversión por parte de los inversionistas interesados.</w:t>
      </w:r>
    </w:p>
    <w:p w14:paraId="27590634" w14:textId="77777777" w:rsidR="00A50465" w:rsidRDefault="00A50465" w:rsidP="00A02F0A">
      <w:pPr>
        <w:ind w:left="1416"/>
        <w:jc w:val="both"/>
        <w:rPr>
          <w:rFonts w:ascii="Arial Narrow" w:eastAsia="Calibri" w:hAnsi="Arial Narrow" w:cs="Arial"/>
          <w:sz w:val="22"/>
          <w:szCs w:val="22"/>
        </w:rPr>
      </w:pPr>
    </w:p>
    <w:p w14:paraId="1D4FAE78" w14:textId="77777777" w:rsidR="00A50465" w:rsidRPr="009A53B7" w:rsidRDefault="00A50465" w:rsidP="00A02F0A">
      <w:pPr>
        <w:ind w:left="1416"/>
        <w:jc w:val="both"/>
        <w:rPr>
          <w:rFonts w:ascii="Arial Narrow" w:hAnsi="Arial Narrow" w:cs="Arial"/>
          <w:sz w:val="22"/>
          <w:szCs w:val="22"/>
        </w:rPr>
      </w:pPr>
      <w:bookmarkStart w:id="18" w:name="_Hlk118118026"/>
      <w:bookmarkStart w:id="19" w:name="_Hlk118118181"/>
      <w:proofErr w:type="spellStart"/>
      <w:r>
        <w:rPr>
          <w:rFonts w:ascii="Arial Narrow" w:hAnsi="Arial Narrow" w:cs="Arial"/>
          <w:sz w:val="22"/>
          <w:szCs w:val="22"/>
        </w:rPr>
        <w:t>iii</w:t>
      </w:r>
      <w:proofErr w:type="spellEnd"/>
      <w:r>
        <w:rPr>
          <w:rFonts w:ascii="Arial Narrow" w:hAnsi="Arial Narrow" w:cs="Arial"/>
          <w:sz w:val="22"/>
          <w:szCs w:val="22"/>
        </w:rPr>
        <w:t>). Asesoría</w:t>
      </w:r>
      <w:r w:rsidR="009A2244">
        <w:rPr>
          <w:rFonts w:ascii="Arial Narrow" w:hAnsi="Arial Narrow" w:cs="Arial"/>
          <w:sz w:val="22"/>
          <w:szCs w:val="22"/>
        </w:rPr>
        <w:t xml:space="preserve"> Tributaria</w:t>
      </w:r>
      <w:r>
        <w:rPr>
          <w:rFonts w:ascii="Arial Narrow" w:hAnsi="Arial Narrow" w:cs="Arial"/>
          <w:sz w:val="22"/>
          <w:szCs w:val="22"/>
        </w:rPr>
        <w:t xml:space="preserve"> en Otras Jurisdicciones: Cuando se traté de procesos de enajenación de empresas de participación estatal que a su vez tengan filiales, la Debida Diligencia debe </w:t>
      </w:r>
      <w:r w:rsidR="009A2244">
        <w:rPr>
          <w:rFonts w:ascii="Arial Narrow" w:hAnsi="Arial Narrow" w:cs="Arial"/>
          <w:sz w:val="22"/>
          <w:szCs w:val="22"/>
        </w:rPr>
        <w:t>contemplar</w:t>
      </w:r>
      <w:r>
        <w:rPr>
          <w:rFonts w:ascii="Arial Narrow" w:hAnsi="Arial Narrow" w:cs="Arial"/>
          <w:sz w:val="22"/>
          <w:szCs w:val="22"/>
        </w:rPr>
        <w:t xml:space="preserve"> un capítulo donde se haga una revisión completa de toda la</w:t>
      </w:r>
      <w:r w:rsidR="009004BB">
        <w:rPr>
          <w:rFonts w:ascii="Arial Narrow" w:hAnsi="Arial Narrow" w:cs="Arial"/>
          <w:sz w:val="22"/>
          <w:szCs w:val="22"/>
        </w:rPr>
        <w:t xml:space="preserve"> estructura societaria</w:t>
      </w:r>
      <w:r>
        <w:rPr>
          <w:rFonts w:ascii="Arial Narrow" w:hAnsi="Arial Narrow" w:cs="Arial"/>
          <w:sz w:val="22"/>
          <w:szCs w:val="22"/>
        </w:rPr>
        <w:t xml:space="preserve"> </w:t>
      </w:r>
      <w:r w:rsidR="00A07EED">
        <w:rPr>
          <w:rFonts w:ascii="Arial Narrow" w:hAnsi="Arial Narrow" w:cs="Arial"/>
          <w:sz w:val="22"/>
          <w:szCs w:val="22"/>
        </w:rPr>
        <w:t>para determinar la existencia de</w:t>
      </w:r>
      <w:r>
        <w:rPr>
          <w:rFonts w:ascii="Arial Narrow" w:hAnsi="Arial Narrow" w:cs="Arial"/>
          <w:sz w:val="22"/>
          <w:szCs w:val="22"/>
        </w:rPr>
        <w:t xml:space="preserve"> filiales</w:t>
      </w:r>
      <w:r w:rsidR="009A2244">
        <w:rPr>
          <w:rFonts w:ascii="Arial Narrow" w:hAnsi="Arial Narrow" w:cs="Arial"/>
          <w:sz w:val="22"/>
          <w:szCs w:val="22"/>
        </w:rPr>
        <w:t xml:space="preserve"> directas e indirectas</w:t>
      </w:r>
      <w:r>
        <w:rPr>
          <w:rFonts w:ascii="Arial Narrow" w:hAnsi="Arial Narrow" w:cs="Arial"/>
          <w:sz w:val="22"/>
          <w:szCs w:val="22"/>
        </w:rPr>
        <w:t xml:space="preserve"> </w:t>
      </w:r>
      <w:r w:rsidR="00A07EED">
        <w:rPr>
          <w:rFonts w:ascii="Arial Narrow" w:hAnsi="Arial Narrow" w:cs="Arial"/>
          <w:sz w:val="22"/>
          <w:szCs w:val="22"/>
        </w:rPr>
        <w:t xml:space="preserve">en Colombia y </w:t>
      </w:r>
      <w:r>
        <w:rPr>
          <w:rFonts w:ascii="Arial Narrow" w:hAnsi="Arial Narrow" w:cs="Arial"/>
          <w:sz w:val="22"/>
          <w:szCs w:val="22"/>
        </w:rPr>
        <w:t>en otras jurisdicciones hasta el último nivel y de cualquier porcentaje de participación accionaria, con el objeto de determinar</w:t>
      </w:r>
      <w:r w:rsidR="009A2244">
        <w:rPr>
          <w:rFonts w:ascii="Arial Narrow" w:hAnsi="Arial Narrow" w:cs="Arial"/>
          <w:sz w:val="22"/>
          <w:szCs w:val="22"/>
        </w:rPr>
        <w:t xml:space="preserve"> para cada jurisdicción, </w:t>
      </w:r>
      <w:r w:rsidR="005C3FA2" w:rsidRPr="009004BB">
        <w:rPr>
          <w:rFonts w:ascii="Arial Narrow" w:hAnsi="Arial Narrow" w:cs="Arial"/>
          <w:sz w:val="22"/>
          <w:szCs w:val="22"/>
        </w:rPr>
        <w:t xml:space="preserve">las normas tributarias sobre enajenación de participaciones indirectas en </w:t>
      </w:r>
      <w:r w:rsidR="005C3FA2">
        <w:rPr>
          <w:rFonts w:ascii="Arial Narrow" w:hAnsi="Arial Narrow" w:cs="Arial"/>
          <w:sz w:val="22"/>
          <w:szCs w:val="22"/>
        </w:rPr>
        <w:t>cada una de las</w:t>
      </w:r>
      <w:r w:rsidR="005C3FA2" w:rsidRPr="009004BB">
        <w:rPr>
          <w:rFonts w:ascii="Arial Narrow" w:hAnsi="Arial Narrow" w:cs="Arial"/>
          <w:sz w:val="22"/>
          <w:szCs w:val="22"/>
        </w:rPr>
        <w:t xml:space="preserve"> jurisdicciones</w:t>
      </w:r>
      <w:r w:rsidR="005C3FA2">
        <w:rPr>
          <w:rFonts w:ascii="Arial Narrow" w:hAnsi="Arial Narrow" w:cs="Arial"/>
          <w:sz w:val="22"/>
          <w:szCs w:val="22"/>
        </w:rPr>
        <w:t xml:space="preserve">, incluida Colombia y en tal sentido </w:t>
      </w:r>
      <w:r w:rsidR="009A2244">
        <w:rPr>
          <w:rFonts w:ascii="Arial Narrow" w:hAnsi="Arial Narrow" w:cs="Arial"/>
          <w:sz w:val="22"/>
          <w:szCs w:val="22"/>
        </w:rPr>
        <w:t>los impuesto que deban presentarse, liquidarse y pagarse por motivo de la enajenación de la Empresa de Participación Estatal incluidas sus filiales directas e indirectas</w:t>
      </w:r>
      <w:r w:rsidR="005C3FA2">
        <w:rPr>
          <w:rFonts w:ascii="Arial Narrow" w:hAnsi="Arial Narrow" w:cs="Arial"/>
          <w:sz w:val="22"/>
          <w:szCs w:val="22"/>
        </w:rPr>
        <w:t>.</w:t>
      </w:r>
      <w:r w:rsidR="009A2244">
        <w:rPr>
          <w:rFonts w:ascii="Arial Narrow" w:hAnsi="Arial Narrow" w:cs="Arial"/>
          <w:sz w:val="22"/>
          <w:szCs w:val="22"/>
        </w:rPr>
        <w:t xml:space="preserve"> Dicha Asesoría debe incluir la liquidación de los impuestos a que haya lugar y la formas y mecanismos de presentación y pago de dichos impuestos</w:t>
      </w:r>
      <w:bookmarkEnd w:id="18"/>
      <w:r w:rsidR="009A2244">
        <w:rPr>
          <w:rFonts w:ascii="Arial Narrow" w:hAnsi="Arial Narrow" w:cs="Arial"/>
          <w:sz w:val="22"/>
          <w:szCs w:val="22"/>
        </w:rPr>
        <w:t xml:space="preserve">. </w:t>
      </w:r>
      <w:bookmarkEnd w:id="19"/>
    </w:p>
    <w:p w14:paraId="14E4E034" w14:textId="77777777" w:rsidR="00A02F0A" w:rsidRPr="009A53B7" w:rsidRDefault="00A02F0A" w:rsidP="00A02F0A">
      <w:pPr>
        <w:pStyle w:val="Prrafodelista"/>
        <w:ind w:left="3204"/>
        <w:jc w:val="both"/>
        <w:rPr>
          <w:rFonts w:ascii="Arial Narrow" w:eastAsia="Calibri" w:hAnsi="Arial Narrow" w:cs="Arial"/>
          <w:sz w:val="22"/>
          <w:szCs w:val="22"/>
        </w:rPr>
      </w:pPr>
    </w:p>
    <w:p w14:paraId="2B79DD9E" w14:textId="77777777" w:rsidR="00A02F0A" w:rsidRPr="009A53B7" w:rsidRDefault="00A07EED" w:rsidP="00A02F0A">
      <w:pPr>
        <w:ind w:left="1416"/>
        <w:jc w:val="both"/>
        <w:rPr>
          <w:rFonts w:ascii="Arial Narrow" w:hAnsi="Arial Narrow" w:cs="Arial"/>
          <w:sz w:val="22"/>
          <w:szCs w:val="22"/>
        </w:rPr>
      </w:pPr>
      <w:proofErr w:type="spellStart"/>
      <w:r>
        <w:rPr>
          <w:rFonts w:ascii="Arial Narrow" w:hAnsi="Arial Narrow" w:cs="Arial"/>
          <w:sz w:val="22"/>
          <w:szCs w:val="22"/>
        </w:rPr>
        <w:t>iv</w:t>
      </w:r>
      <w:proofErr w:type="spellEnd"/>
      <w:r w:rsidR="00A02F0A" w:rsidRPr="009A53B7">
        <w:rPr>
          <w:rFonts w:ascii="Arial Narrow" w:hAnsi="Arial Narrow" w:cs="Arial"/>
          <w:sz w:val="22"/>
          <w:szCs w:val="22"/>
        </w:rPr>
        <w:t xml:space="preserve">). Diversidad metodologías:  Resulta conveniente la aplicación de distintas metodologías de valoración generalmente aceptadas que sirvan para la definición del precio base o como métodos de contraste del valor obtenido por la metodología de valoración principal. La práctica, y de hecho los antecedentes, sugieren incluir por lo menos tres metodologías de valoración, la cuales deben ser reconocidas por el mercado. Ejemplo: Descuento del flujo de caja libre operativo, descuento del flujo de caja del accionista, transacciones comparables, múltiplos comprables, reposición de activos, entre otros. </w:t>
      </w:r>
    </w:p>
    <w:p w14:paraId="7D37CF1C" w14:textId="77777777" w:rsidR="00A02F0A" w:rsidRPr="009A53B7" w:rsidRDefault="00A02F0A" w:rsidP="00A02F0A">
      <w:pPr>
        <w:pStyle w:val="Prrafodelista"/>
        <w:ind w:left="3204"/>
        <w:jc w:val="both"/>
        <w:rPr>
          <w:rFonts w:ascii="Arial Narrow" w:hAnsi="Arial Narrow" w:cs="Arial"/>
          <w:sz w:val="22"/>
          <w:szCs w:val="22"/>
        </w:rPr>
      </w:pPr>
    </w:p>
    <w:p w14:paraId="611167C5" w14:textId="77777777" w:rsidR="00A02F0A" w:rsidRPr="009A53B7" w:rsidRDefault="00A07EED" w:rsidP="00A02F0A">
      <w:pPr>
        <w:ind w:left="1416"/>
        <w:jc w:val="both"/>
        <w:rPr>
          <w:rFonts w:ascii="Arial Narrow" w:eastAsia="Calibri" w:hAnsi="Arial Narrow" w:cs="Arial"/>
          <w:sz w:val="22"/>
          <w:szCs w:val="22"/>
        </w:rPr>
      </w:pPr>
      <w:r>
        <w:rPr>
          <w:rFonts w:ascii="Arial Narrow" w:eastAsia="Calibri" w:hAnsi="Arial Narrow" w:cs="Arial"/>
          <w:sz w:val="22"/>
          <w:szCs w:val="22"/>
        </w:rPr>
        <w:t>v</w:t>
      </w:r>
      <w:r w:rsidR="00A02F0A" w:rsidRPr="009A53B7">
        <w:rPr>
          <w:rFonts w:ascii="Arial Narrow" w:eastAsia="Calibri" w:hAnsi="Arial Narrow" w:cs="Arial"/>
          <w:sz w:val="22"/>
          <w:szCs w:val="22"/>
        </w:rPr>
        <w:t xml:space="preserve">). Precio: para la definición del precio base, se debe tener claridad de su razonabilidad y escogencia. En tal sentido, si el precio base es producto de la combinación de las distintas metodologías de valoración o de una única metodología de valoración, se debe documentar como se determinó dicho precio base. </w:t>
      </w:r>
    </w:p>
    <w:p w14:paraId="73C6E17B" w14:textId="77777777" w:rsidR="00A02F0A" w:rsidRPr="009A53B7" w:rsidRDefault="00A02F0A" w:rsidP="00A02F0A">
      <w:pPr>
        <w:ind w:left="1416"/>
        <w:jc w:val="both"/>
        <w:rPr>
          <w:rFonts w:ascii="Arial Narrow" w:eastAsia="Calibri" w:hAnsi="Arial Narrow" w:cs="Arial"/>
          <w:sz w:val="22"/>
          <w:szCs w:val="22"/>
        </w:rPr>
      </w:pPr>
    </w:p>
    <w:p w14:paraId="2FC5219F" w14:textId="77777777" w:rsidR="00A02F0A" w:rsidRPr="009A53B7" w:rsidRDefault="00A07EED" w:rsidP="00A02F0A">
      <w:pPr>
        <w:ind w:left="1416"/>
        <w:jc w:val="both"/>
        <w:rPr>
          <w:rFonts w:ascii="Arial Narrow" w:eastAsia="Calibri" w:hAnsi="Arial Narrow" w:cs="Arial"/>
          <w:sz w:val="22"/>
          <w:szCs w:val="22"/>
        </w:rPr>
      </w:pPr>
      <w:r>
        <w:rPr>
          <w:rFonts w:ascii="Arial Narrow" w:eastAsia="Calibri" w:hAnsi="Arial Narrow" w:cs="Arial"/>
          <w:sz w:val="22"/>
          <w:szCs w:val="22"/>
        </w:rPr>
        <w:t>vi</w:t>
      </w:r>
      <w:r w:rsidR="00A02F0A" w:rsidRPr="009A53B7">
        <w:rPr>
          <w:rFonts w:ascii="Arial Narrow" w:eastAsia="Calibri" w:hAnsi="Arial Narrow" w:cs="Arial"/>
          <w:sz w:val="22"/>
          <w:szCs w:val="22"/>
        </w:rPr>
        <w:t>) Vigencia del programa y del precio base definido: Durante el proceso de enajenación, se debe tener claridad sobre la vigencia del valor de la participación accionaria y demás aspectos significativos dentro del programa de enajenación. En caso de que se presenten cambios materiales en los supuestos de valoración que puedan afectar de forma significativa el rango de valoración, resulta conveniente realizar un ejercicio de actualización.</w:t>
      </w:r>
    </w:p>
    <w:p w14:paraId="38A7A701" w14:textId="77777777" w:rsidR="00A02F0A" w:rsidRPr="009A53B7" w:rsidRDefault="00A02F0A" w:rsidP="00A02F0A">
      <w:pPr>
        <w:ind w:left="1416"/>
        <w:jc w:val="both"/>
        <w:rPr>
          <w:rFonts w:ascii="Arial Narrow" w:eastAsia="Calibri" w:hAnsi="Arial Narrow" w:cs="Arial"/>
          <w:sz w:val="22"/>
          <w:szCs w:val="22"/>
        </w:rPr>
      </w:pPr>
    </w:p>
    <w:p w14:paraId="12BEADD4" w14:textId="77777777" w:rsidR="00A02F0A" w:rsidRPr="009A53B7" w:rsidRDefault="00A07EED" w:rsidP="00A02F0A">
      <w:pPr>
        <w:ind w:left="1416"/>
        <w:jc w:val="both"/>
        <w:rPr>
          <w:rFonts w:ascii="Arial Narrow" w:hAnsi="Arial Narrow" w:cs="Arial"/>
          <w:sz w:val="22"/>
          <w:szCs w:val="22"/>
        </w:rPr>
      </w:pPr>
      <w:proofErr w:type="spellStart"/>
      <w:r>
        <w:rPr>
          <w:rFonts w:ascii="Arial Narrow" w:hAnsi="Arial Narrow" w:cs="Arial"/>
          <w:sz w:val="22"/>
          <w:szCs w:val="22"/>
        </w:rPr>
        <w:t>vii</w:t>
      </w:r>
      <w:proofErr w:type="spellEnd"/>
      <w:r w:rsidR="00A02F0A" w:rsidRPr="009A53B7">
        <w:rPr>
          <w:rFonts w:ascii="Arial Narrow" w:hAnsi="Arial Narrow" w:cs="Arial"/>
          <w:sz w:val="22"/>
          <w:szCs w:val="22"/>
        </w:rPr>
        <w:t xml:space="preserve">) Fuentes: los ejercicios de valoración deben contar con fuentes de información idóneas, reconocidas y lo más actualizadas posibles. </w:t>
      </w:r>
    </w:p>
    <w:p w14:paraId="381F5709" w14:textId="77777777" w:rsidR="00A02F0A" w:rsidRPr="009A53B7" w:rsidRDefault="00A02F0A" w:rsidP="00A02F0A">
      <w:pPr>
        <w:ind w:left="1416"/>
        <w:jc w:val="both"/>
        <w:rPr>
          <w:rFonts w:ascii="Arial Narrow" w:eastAsia="Calibri" w:hAnsi="Arial Narrow" w:cs="Arial"/>
          <w:sz w:val="22"/>
          <w:szCs w:val="22"/>
        </w:rPr>
      </w:pPr>
    </w:p>
    <w:p w14:paraId="255AD6E1" w14:textId="77777777" w:rsidR="00A02F0A" w:rsidRPr="009A53B7" w:rsidRDefault="00A02F0A" w:rsidP="00A02F0A">
      <w:pPr>
        <w:ind w:left="1416"/>
        <w:jc w:val="both"/>
        <w:rPr>
          <w:rFonts w:ascii="Arial Narrow" w:eastAsia="Calibri" w:hAnsi="Arial Narrow" w:cs="Arial"/>
          <w:sz w:val="22"/>
          <w:szCs w:val="22"/>
        </w:rPr>
      </w:pPr>
      <w:proofErr w:type="spellStart"/>
      <w:r w:rsidRPr="009A53B7">
        <w:rPr>
          <w:rFonts w:ascii="Arial Narrow" w:eastAsia="Calibri" w:hAnsi="Arial Narrow" w:cs="Arial"/>
          <w:sz w:val="22"/>
          <w:szCs w:val="22"/>
        </w:rPr>
        <w:t>viii</w:t>
      </w:r>
      <w:proofErr w:type="spellEnd"/>
      <w:r w:rsidRPr="009A53B7">
        <w:rPr>
          <w:rFonts w:ascii="Arial Narrow" w:eastAsia="Calibri" w:hAnsi="Arial Narrow" w:cs="Arial"/>
          <w:sz w:val="22"/>
          <w:szCs w:val="22"/>
        </w:rPr>
        <w:t xml:space="preserve">). Patrimonio público: la enajenación de la participación accionaria estatal se hará en condiciones que salvaguarden el patrimonio público. La entidad que adelante el proceso de enajenación debe asegurase que el ejercicio de valoración y la definición del precio base aseguran la protección del patrimonio público. </w:t>
      </w:r>
    </w:p>
    <w:p w14:paraId="28F22AB7" w14:textId="77777777" w:rsidR="00A02F0A" w:rsidRPr="009A53B7" w:rsidRDefault="00A02F0A" w:rsidP="00A02F0A">
      <w:pPr>
        <w:pStyle w:val="Prrafodelista"/>
        <w:ind w:left="3204"/>
        <w:jc w:val="both"/>
        <w:rPr>
          <w:rFonts w:ascii="Arial Narrow" w:eastAsia="Calibri" w:hAnsi="Arial Narrow" w:cs="Arial"/>
          <w:sz w:val="22"/>
          <w:szCs w:val="22"/>
        </w:rPr>
      </w:pPr>
    </w:p>
    <w:p w14:paraId="6D5D7210" w14:textId="77777777" w:rsidR="00A02F0A" w:rsidRPr="009A53B7" w:rsidRDefault="00A02F0A" w:rsidP="00A02F0A">
      <w:pPr>
        <w:ind w:left="1416"/>
        <w:jc w:val="both"/>
        <w:rPr>
          <w:rFonts w:ascii="Arial Narrow" w:eastAsia="Calibri" w:hAnsi="Arial Narrow" w:cs="Arial"/>
          <w:sz w:val="22"/>
          <w:szCs w:val="22"/>
        </w:rPr>
      </w:pPr>
      <w:proofErr w:type="spellStart"/>
      <w:r w:rsidRPr="009A53B7">
        <w:rPr>
          <w:rFonts w:ascii="Arial Narrow" w:eastAsia="Calibri" w:hAnsi="Arial Narrow" w:cs="Arial"/>
          <w:sz w:val="22"/>
          <w:szCs w:val="22"/>
        </w:rPr>
        <w:t>ix</w:t>
      </w:r>
      <w:proofErr w:type="spellEnd"/>
      <w:r w:rsidRPr="009A53B7">
        <w:rPr>
          <w:rFonts w:ascii="Arial Narrow" w:eastAsia="Calibri" w:hAnsi="Arial Narrow" w:cs="Arial"/>
          <w:sz w:val="22"/>
          <w:szCs w:val="22"/>
        </w:rPr>
        <w:t>). Moneda: Debe haber claridad sobre la moneda en la que se realiza la valoración, y por tanto en la que resulta el precio base.</w:t>
      </w:r>
    </w:p>
    <w:p w14:paraId="34EDC9DF" w14:textId="77777777" w:rsidR="00C85F7D" w:rsidRPr="009A53B7" w:rsidRDefault="00C85F7D" w:rsidP="00A02F0A">
      <w:pPr>
        <w:ind w:left="1416"/>
        <w:jc w:val="both"/>
        <w:rPr>
          <w:rFonts w:ascii="Arial Narrow" w:eastAsia="Calibri" w:hAnsi="Arial Narrow" w:cs="Arial"/>
          <w:sz w:val="22"/>
          <w:szCs w:val="22"/>
        </w:rPr>
      </w:pPr>
    </w:p>
    <w:p w14:paraId="216645CF" w14:textId="77777777" w:rsidR="00C85F7D" w:rsidRPr="009A53B7" w:rsidRDefault="00C85F7D" w:rsidP="00C85F7D">
      <w:pPr>
        <w:numPr>
          <w:ilvl w:val="0"/>
          <w:numId w:val="32"/>
        </w:numPr>
        <w:jc w:val="both"/>
        <w:rPr>
          <w:rFonts w:ascii="Arial Narrow" w:hAnsi="Arial Narrow" w:cs="Arial"/>
          <w:sz w:val="22"/>
          <w:szCs w:val="22"/>
        </w:rPr>
      </w:pPr>
      <w:r w:rsidRPr="009A53B7">
        <w:rPr>
          <w:rFonts w:ascii="Arial Narrow" w:eastAsia="Calibri" w:hAnsi="Arial Narrow" w:cs="Arial"/>
          <w:b/>
          <w:sz w:val="22"/>
          <w:szCs w:val="22"/>
        </w:rPr>
        <w:lastRenderedPageBreak/>
        <w:t>Opinión Independiente (</w:t>
      </w:r>
      <w:proofErr w:type="spellStart"/>
      <w:r w:rsidRPr="009A53B7">
        <w:rPr>
          <w:rFonts w:ascii="Arial Narrow" w:eastAsia="Calibri" w:hAnsi="Arial Narrow" w:cs="Arial"/>
          <w:b/>
          <w:sz w:val="22"/>
          <w:szCs w:val="22"/>
        </w:rPr>
        <w:t>Fairness</w:t>
      </w:r>
      <w:proofErr w:type="spellEnd"/>
      <w:r w:rsidRPr="009A53B7">
        <w:rPr>
          <w:rFonts w:ascii="Arial Narrow" w:eastAsia="Calibri" w:hAnsi="Arial Narrow" w:cs="Arial"/>
          <w:b/>
          <w:sz w:val="22"/>
          <w:szCs w:val="22"/>
        </w:rPr>
        <w:t xml:space="preserve"> </w:t>
      </w:r>
      <w:proofErr w:type="spellStart"/>
      <w:r w:rsidRPr="009A53B7">
        <w:rPr>
          <w:rFonts w:ascii="Arial Narrow" w:eastAsia="Calibri" w:hAnsi="Arial Narrow" w:cs="Arial"/>
          <w:b/>
          <w:sz w:val="22"/>
          <w:szCs w:val="22"/>
        </w:rPr>
        <w:t>Opinion</w:t>
      </w:r>
      <w:proofErr w:type="spellEnd"/>
      <w:r w:rsidRPr="009A53B7">
        <w:rPr>
          <w:rFonts w:ascii="Arial Narrow" w:eastAsia="Calibri" w:hAnsi="Arial Narrow" w:cs="Arial"/>
          <w:b/>
          <w:sz w:val="22"/>
          <w:szCs w:val="22"/>
        </w:rPr>
        <w:t xml:space="preserve">): </w:t>
      </w:r>
      <w:r w:rsidRPr="009A53B7">
        <w:rPr>
          <w:rFonts w:ascii="Arial Narrow" w:eastAsia="Calibri" w:hAnsi="Arial Narrow" w:cs="Arial"/>
          <w:sz w:val="22"/>
          <w:szCs w:val="22"/>
        </w:rPr>
        <w:t>La entidad que busque llevar a cabo un proceso de enajenación deberá evaluar la pertinencia de adelantar un estudio de opinión independiente sobre la razonabilidad de la valoración de la participación accionaria. En caso de no llevarse a cabo, la entidad deberá documentar</w:t>
      </w:r>
      <w:r w:rsidR="006B4B00" w:rsidRPr="009A53B7">
        <w:rPr>
          <w:rFonts w:ascii="Arial Narrow" w:eastAsia="Calibri" w:hAnsi="Arial Narrow" w:cs="Arial"/>
          <w:sz w:val="22"/>
          <w:szCs w:val="22"/>
        </w:rPr>
        <w:t xml:space="preserve"> y argumentar</w:t>
      </w:r>
      <w:r w:rsidRPr="009A53B7">
        <w:rPr>
          <w:rFonts w:ascii="Arial Narrow" w:eastAsia="Calibri" w:hAnsi="Arial Narrow" w:cs="Arial"/>
          <w:sz w:val="22"/>
          <w:szCs w:val="22"/>
        </w:rPr>
        <w:t xml:space="preserve"> las razones que sustentan dicha decisión. </w:t>
      </w:r>
      <w:r w:rsidRPr="009A53B7">
        <w:rPr>
          <w:rFonts w:ascii="Arial Narrow" w:eastAsia="Calibri" w:hAnsi="Arial Narrow" w:cs="Arial"/>
          <w:b/>
          <w:sz w:val="22"/>
          <w:szCs w:val="22"/>
        </w:rPr>
        <w:t xml:space="preserve"> </w:t>
      </w:r>
    </w:p>
    <w:p w14:paraId="6B90C8D9" w14:textId="77777777" w:rsidR="00C85F7D" w:rsidRPr="009A53B7" w:rsidRDefault="00C85F7D" w:rsidP="00A02F0A">
      <w:pPr>
        <w:ind w:left="1416"/>
        <w:jc w:val="both"/>
        <w:rPr>
          <w:rFonts w:ascii="Arial Narrow" w:eastAsia="Calibri" w:hAnsi="Arial Narrow" w:cs="Arial"/>
          <w:sz w:val="22"/>
          <w:szCs w:val="22"/>
        </w:rPr>
      </w:pPr>
    </w:p>
    <w:p w14:paraId="2C7624F2" w14:textId="77777777" w:rsidR="00C85F7D" w:rsidRPr="009A53B7" w:rsidRDefault="00C85F7D" w:rsidP="00C85F7D">
      <w:pPr>
        <w:pStyle w:val="Prrafodelista"/>
        <w:numPr>
          <w:ilvl w:val="0"/>
          <w:numId w:val="32"/>
        </w:numPr>
        <w:contextualSpacing/>
        <w:jc w:val="both"/>
        <w:rPr>
          <w:rFonts w:ascii="Arial Narrow" w:eastAsia="Calibri" w:hAnsi="Arial Narrow" w:cs="Arial"/>
          <w:b/>
          <w:sz w:val="22"/>
          <w:szCs w:val="22"/>
        </w:rPr>
      </w:pPr>
      <w:r w:rsidRPr="009A53B7">
        <w:rPr>
          <w:rFonts w:ascii="Arial Narrow" w:eastAsia="Calibri" w:hAnsi="Arial Narrow" w:cs="Arial"/>
          <w:b/>
          <w:sz w:val="22"/>
          <w:szCs w:val="22"/>
        </w:rPr>
        <w:t xml:space="preserve">Cronograma del proceso: </w:t>
      </w:r>
      <w:r w:rsidRPr="009A53B7">
        <w:rPr>
          <w:rFonts w:ascii="Arial Narrow" w:eastAsia="Calibri" w:hAnsi="Arial Narrow" w:cs="Arial"/>
          <w:sz w:val="22"/>
          <w:szCs w:val="22"/>
        </w:rPr>
        <w:t xml:space="preserve">Si bien los procesos de enajenación tienen </w:t>
      </w:r>
      <w:r w:rsidR="006B4B00" w:rsidRPr="009A53B7">
        <w:rPr>
          <w:rFonts w:ascii="Arial Narrow" w:eastAsia="Calibri" w:hAnsi="Arial Narrow" w:cs="Arial"/>
          <w:sz w:val="22"/>
          <w:szCs w:val="22"/>
        </w:rPr>
        <w:t>un cronograma estimado que puede variar en función de las particularidades propias de cada programa de venta</w:t>
      </w:r>
      <w:r w:rsidRPr="009A53B7">
        <w:rPr>
          <w:rFonts w:ascii="Arial Narrow" w:eastAsia="Calibri" w:hAnsi="Arial Narrow" w:cs="Arial"/>
          <w:sz w:val="22"/>
          <w:szCs w:val="22"/>
        </w:rPr>
        <w:t xml:space="preserve">, se sugiere elaborar un cronograma inicial y establecer los tiempos que deberá tomar cada etapa del proceso. Dichos tiempos deben quedar definidos en los documentos del programa, tales como el Decreto y los Reglamentos. Para el Decreto de aprobación del programa, se sugiere incluir una vigencia lo suficientemente amplia que permita completar la transacción dentro del tiempo inicialmente establecido, sin requerir una prórroga del programa. </w:t>
      </w:r>
    </w:p>
    <w:p w14:paraId="4B7411FC" w14:textId="77777777" w:rsidR="00C85F7D" w:rsidRPr="009A53B7" w:rsidRDefault="00C85F7D" w:rsidP="00C85F7D">
      <w:pPr>
        <w:pStyle w:val="Prrafodelista"/>
        <w:ind w:left="720"/>
        <w:contextualSpacing/>
        <w:jc w:val="both"/>
        <w:rPr>
          <w:rFonts w:ascii="Arial Narrow" w:eastAsia="Calibri" w:hAnsi="Arial Narrow" w:cs="Arial"/>
          <w:b/>
          <w:sz w:val="22"/>
          <w:szCs w:val="22"/>
        </w:rPr>
      </w:pPr>
    </w:p>
    <w:p w14:paraId="3EE2C19F" w14:textId="77777777" w:rsidR="00586CA3" w:rsidRPr="009A53B7" w:rsidRDefault="00586CA3" w:rsidP="00586CA3">
      <w:pPr>
        <w:pStyle w:val="Prrafodelista"/>
        <w:numPr>
          <w:ilvl w:val="0"/>
          <w:numId w:val="32"/>
        </w:numPr>
        <w:contextualSpacing/>
        <w:jc w:val="both"/>
        <w:rPr>
          <w:rFonts w:ascii="Arial Narrow" w:eastAsia="Calibri" w:hAnsi="Arial Narrow" w:cs="Arial"/>
          <w:sz w:val="22"/>
          <w:szCs w:val="22"/>
        </w:rPr>
      </w:pPr>
      <w:r w:rsidRPr="009A53B7">
        <w:rPr>
          <w:rFonts w:ascii="Arial Narrow" w:eastAsia="Calibri" w:hAnsi="Arial Narrow" w:cs="Arial"/>
          <w:b/>
          <w:sz w:val="22"/>
          <w:szCs w:val="22"/>
        </w:rPr>
        <w:t>Mapa de riesgos:</w:t>
      </w:r>
      <w:r w:rsidRPr="009A53B7">
        <w:rPr>
          <w:rFonts w:ascii="Arial Narrow" w:eastAsia="Calibri" w:hAnsi="Arial Narrow" w:cs="Arial"/>
          <w:sz w:val="22"/>
          <w:szCs w:val="22"/>
        </w:rPr>
        <w:t xml:space="preserve"> </w:t>
      </w:r>
      <w:r w:rsidR="00750E7E" w:rsidRPr="009A53B7">
        <w:rPr>
          <w:rFonts w:ascii="Arial Narrow" w:eastAsia="Calibri" w:hAnsi="Arial Narrow" w:cs="Arial"/>
          <w:sz w:val="22"/>
          <w:szCs w:val="22"/>
        </w:rPr>
        <w:t>Para el proceso de enajenación, s</w:t>
      </w:r>
      <w:r w:rsidRPr="009A53B7">
        <w:rPr>
          <w:rFonts w:ascii="Arial Narrow" w:eastAsia="Calibri" w:hAnsi="Arial Narrow" w:cs="Arial"/>
          <w:sz w:val="22"/>
          <w:szCs w:val="22"/>
        </w:rPr>
        <w:t xml:space="preserve">e </w:t>
      </w:r>
      <w:r w:rsidR="00750E7E" w:rsidRPr="009A53B7">
        <w:rPr>
          <w:rFonts w:ascii="Arial Narrow" w:eastAsia="Calibri" w:hAnsi="Arial Narrow" w:cs="Arial"/>
          <w:sz w:val="22"/>
          <w:szCs w:val="22"/>
        </w:rPr>
        <w:t xml:space="preserve">recomienda </w:t>
      </w:r>
      <w:r w:rsidRPr="009A53B7">
        <w:rPr>
          <w:rFonts w:ascii="Arial Narrow" w:eastAsia="Calibri" w:hAnsi="Arial Narrow" w:cs="Arial"/>
          <w:sz w:val="22"/>
          <w:szCs w:val="22"/>
        </w:rPr>
        <w:t>establecer una guía de los riesgos que se identificaron en el proceso de enajenación de participaciones estatales, así como sus causas, efectos y acciones correc</w:t>
      </w:r>
      <w:r w:rsidR="006B4B00" w:rsidRPr="009A53B7">
        <w:rPr>
          <w:rFonts w:ascii="Arial Narrow" w:eastAsia="Calibri" w:hAnsi="Arial Narrow" w:cs="Arial"/>
          <w:sz w:val="22"/>
          <w:szCs w:val="22"/>
        </w:rPr>
        <w:t>tivas. El Anexo 1 del presente manual</w:t>
      </w:r>
      <w:r w:rsidRPr="009A53B7">
        <w:rPr>
          <w:rFonts w:ascii="Arial Narrow" w:eastAsia="Calibri" w:hAnsi="Arial Narrow" w:cs="Arial"/>
          <w:sz w:val="22"/>
          <w:szCs w:val="22"/>
        </w:rPr>
        <w:t xml:space="preserve"> contiene una guía general de los riesgos identificados, no obstante, la entidad podrá complementar el mapa de riesgos con aquellos que se identificación para el proceso específico de enajenación. </w:t>
      </w:r>
    </w:p>
    <w:p w14:paraId="1C2AB8C5" w14:textId="77777777" w:rsidR="00586CA3" w:rsidRPr="009A53B7" w:rsidRDefault="00586CA3" w:rsidP="00C85F7D">
      <w:pPr>
        <w:pStyle w:val="Prrafodelista"/>
        <w:ind w:left="720"/>
        <w:contextualSpacing/>
        <w:jc w:val="both"/>
        <w:rPr>
          <w:rFonts w:ascii="Arial Narrow" w:eastAsia="Calibri" w:hAnsi="Arial Narrow" w:cs="Arial"/>
          <w:b/>
          <w:sz w:val="22"/>
          <w:szCs w:val="22"/>
        </w:rPr>
      </w:pPr>
    </w:p>
    <w:p w14:paraId="2DFF2666" w14:textId="77777777" w:rsidR="00E10F0C" w:rsidRPr="009A53B7" w:rsidRDefault="00C85F7D" w:rsidP="00E10F0C">
      <w:pPr>
        <w:pStyle w:val="Prrafodelista"/>
        <w:numPr>
          <w:ilvl w:val="0"/>
          <w:numId w:val="32"/>
        </w:numPr>
        <w:contextualSpacing/>
        <w:jc w:val="both"/>
        <w:rPr>
          <w:rFonts w:ascii="Arial Narrow" w:eastAsia="Calibri" w:hAnsi="Arial Narrow" w:cs="Arial"/>
          <w:sz w:val="24"/>
          <w:szCs w:val="24"/>
        </w:rPr>
      </w:pPr>
      <w:r w:rsidRPr="009A53B7">
        <w:rPr>
          <w:rFonts w:ascii="Arial Narrow" w:eastAsia="Calibri" w:hAnsi="Arial Narrow" w:cs="Arial"/>
          <w:b/>
          <w:sz w:val="22"/>
          <w:szCs w:val="22"/>
        </w:rPr>
        <w:t xml:space="preserve">Proyecto de Decreto: </w:t>
      </w:r>
      <w:r w:rsidR="00E10F0C" w:rsidRPr="009A53B7">
        <w:rPr>
          <w:rFonts w:ascii="Arial Narrow" w:eastAsia="Calibri" w:hAnsi="Arial Narrow" w:cs="Arial"/>
          <w:sz w:val="22"/>
          <w:szCs w:val="22"/>
        </w:rPr>
        <w:t xml:space="preserve">Conforme lo establecido en el artículo 8 de Ley 226 de 1995, </w:t>
      </w:r>
      <w:r w:rsidR="00E10F0C" w:rsidRPr="009A53B7">
        <w:rPr>
          <w:rFonts w:ascii="Arial Narrow" w:eastAsia="Calibri" w:hAnsi="Arial Narrow" w:cs="Arial"/>
          <w:i/>
          <w:sz w:val="22"/>
          <w:szCs w:val="22"/>
        </w:rPr>
        <w:t xml:space="preserve">“El ministro del ramo respectivo y el </w:t>
      </w:r>
      <w:proofErr w:type="gramStart"/>
      <w:r w:rsidR="00E10F0C" w:rsidRPr="009A53B7">
        <w:rPr>
          <w:rFonts w:ascii="Arial Narrow" w:eastAsia="Calibri" w:hAnsi="Arial Narrow" w:cs="Arial"/>
          <w:i/>
          <w:sz w:val="22"/>
          <w:szCs w:val="22"/>
        </w:rPr>
        <w:t>Ministro</w:t>
      </w:r>
      <w:proofErr w:type="gramEnd"/>
      <w:r w:rsidR="00E10F0C" w:rsidRPr="009A53B7">
        <w:rPr>
          <w:rFonts w:ascii="Arial Narrow" w:eastAsia="Calibri" w:hAnsi="Arial Narrow" w:cs="Arial"/>
          <w:i/>
          <w:sz w:val="22"/>
          <w:szCs w:val="22"/>
        </w:rPr>
        <w:t xml:space="preserve"> de Hacienda y Crédito Público presentarán el proyecto de programa de enajenación a consideración del Consejo de Ministro, el cual, previo concepto favorable, </w:t>
      </w:r>
      <w:r w:rsidR="00E10F0C" w:rsidRPr="009A53B7">
        <w:rPr>
          <w:rFonts w:ascii="Arial Narrow" w:eastAsia="Calibri" w:hAnsi="Arial Narrow" w:cs="Arial"/>
          <w:b/>
          <w:i/>
          <w:sz w:val="22"/>
          <w:szCs w:val="22"/>
          <w:u w:val="single"/>
        </w:rPr>
        <w:t>lo remitirá al Gobierno para su posterior aprobación</w:t>
      </w:r>
      <w:r w:rsidR="00E10F0C" w:rsidRPr="009A53B7">
        <w:rPr>
          <w:rFonts w:ascii="Arial Narrow" w:eastAsia="Calibri" w:hAnsi="Arial Narrow" w:cs="Arial"/>
          <w:i/>
          <w:sz w:val="22"/>
          <w:szCs w:val="22"/>
        </w:rPr>
        <w:t xml:space="preserve">”. </w:t>
      </w:r>
      <w:proofErr w:type="gramStart"/>
      <w:r w:rsidR="00E10F0C" w:rsidRPr="009A53B7">
        <w:rPr>
          <w:rFonts w:ascii="Arial Narrow" w:eastAsia="Calibri" w:hAnsi="Arial Narrow" w:cs="Arial"/>
          <w:sz w:val="22"/>
          <w:szCs w:val="22"/>
        </w:rPr>
        <w:t>En razón de</w:t>
      </w:r>
      <w:proofErr w:type="gramEnd"/>
      <w:r w:rsidR="00E10F0C" w:rsidRPr="009A53B7">
        <w:rPr>
          <w:rFonts w:ascii="Arial Narrow" w:eastAsia="Calibri" w:hAnsi="Arial Narrow" w:cs="Arial"/>
          <w:sz w:val="22"/>
          <w:szCs w:val="22"/>
        </w:rPr>
        <w:t xml:space="preserve"> lo anterior, la entidad que decida iniciar la venta de una participación accionaria estatal bajo lo dispuesto en la Ley 226 de 1995 debe preparar un decreto por el cual se apruebe el Programa de Enajenación de las acciones que la entidad propietaria haya decidido enajenar.</w:t>
      </w:r>
      <w:r w:rsidR="00E10F0C" w:rsidRPr="009A53B7">
        <w:rPr>
          <w:rFonts w:ascii="Arial Narrow" w:hAnsi="Arial Narrow"/>
          <w:sz w:val="24"/>
          <w:szCs w:val="24"/>
        </w:rPr>
        <w:t xml:space="preserve"> </w:t>
      </w:r>
      <w:r w:rsidR="00E10F0C" w:rsidRPr="009A53B7">
        <w:rPr>
          <w:rFonts w:ascii="Arial Narrow" w:eastAsia="Calibri" w:hAnsi="Arial Narrow" w:cs="Arial"/>
          <w:sz w:val="22"/>
          <w:szCs w:val="22"/>
        </w:rPr>
        <w:t xml:space="preserve">Al respecto, si bien cada proceso de enajenación tiene sus propias particularidades, se sugiere revisar el contenido de los decretos de enajenación que hayan sido expedidos con dicho propósito. </w:t>
      </w:r>
    </w:p>
    <w:p w14:paraId="3070DFD0" w14:textId="77777777" w:rsidR="00E10F0C" w:rsidRPr="009A53B7" w:rsidRDefault="00E10F0C" w:rsidP="00C85F7D">
      <w:pPr>
        <w:pStyle w:val="Prrafodelista"/>
        <w:rPr>
          <w:rFonts w:ascii="Arial Narrow" w:eastAsia="Calibri" w:hAnsi="Arial Narrow" w:cs="Arial"/>
          <w:b/>
          <w:sz w:val="22"/>
          <w:szCs w:val="22"/>
        </w:rPr>
      </w:pPr>
    </w:p>
    <w:p w14:paraId="7546F059" w14:textId="77777777" w:rsidR="00586CA3" w:rsidRPr="009A53B7" w:rsidRDefault="00C85F7D" w:rsidP="00586CA3">
      <w:pPr>
        <w:pStyle w:val="Prrafodelista"/>
        <w:numPr>
          <w:ilvl w:val="0"/>
          <w:numId w:val="32"/>
        </w:numPr>
        <w:contextualSpacing/>
        <w:jc w:val="both"/>
        <w:rPr>
          <w:rFonts w:ascii="Arial Narrow" w:eastAsia="Calibri" w:hAnsi="Arial Narrow" w:cs="Arial"/>
          <w:b/>
          <w:sz w:val="22"/>
          <w:szCs w:val="22"/>
        </w:rPr>
      </w:pPr>
      <w:r w:rsidRPr="009A53B7">
        <w:rPr>
          <w:rFonts w:ascii="Arial Narrow" w:eastAsia="Calibri" w:hAnsi="Arial Narrow" w:cs="Arial"/>
          <w:b/>
          <w:sz w:val="22"/>
          <w:szCs w:val="22"/>
        </w:rPr>
        <w:t>Actas de Junta Directiva y demás instancias decisorias sobre el programa de enajenación</w:t>
      </w:r>
      <w:r w:rsidR="00586CA3" w:rsidRPr="009A53B7">
        <w:rPr>
          <w:rFonts w:ascii="Arial Narrow" w:eastAsia="Calibri" w:hAnsi="Arial Narrow" w:cs="Arial"/>
          <w:b/>
          <w:sz w:val="22"/>
          <w:szCs w:val="22"/>
        </w:rPr>
        <w:t xml:space="preserve">: </w:t>
      </w:r>
      <w:r w:rsidR="00586CA3" w:rsidRPr="009A53B7">
        <w:rPr>
          <w:rFonts w:ascii="Arial Narrow" w:eastAsia="Calibri" w:hAnsi="Arial Narrow" w:cs="Arial"/>
          <w:sz w:val="22"/>
          <w:szCs w:val="22"/>
        </w:rPr>
        <w:t xml:space="preserve">En relación con las instancias aprobatorias del proceso de enajenación, </w:t>
      </w:r>
      <w:r w:rsidR="00E10F0C" w:rsidRPr="009A53B7">
        <w:rPr>
          <w:rFonts w:ascii="Arial Narrow" w:eastAsia="Calibri" w:hAnsi="Arial Narrow" w:cs="Arial"/>
          <w:sz w:val="22"/>
          <w:szCs w:val="22"/>
        </w:rPr>
        <w:t xml:space="preserve">es importante documentar cada una de las sesiones que guarden relación con dicha aprobación. </w:t>
      </w:r>
    </w:p>
    <w:p w14:paraId="3D7F729B" w14:textId="77777777" w:rsidR="00C85F7D" w:rsidRPr="009A53B7" w:rsidRDefault="00C85F7D" w:rsidP="00C85F7D">
      <w:pPr>
        <w:pStyle w:val="Prrafodelista"/>
        <w:ind w:left="720"/>
        <w:contextualSpacing/>
        <w:jc w:val="both"/>
        <w:rPr>
          <w:rFonts w:ascii="Arial Narrow" w:eastAsia="Calibri" w:hAnsi="Arial Narrow" w:cs="Arial"/>
          <w:sz w:val="22"/>
          <w:szCs w:val="22"/>
        </w:rPr>
      </w:pPr>
    </w:p>
    <w:p w14:paraId="5D5C69EA" w14:textId="77777777" w:rsidR="00586CA3" w:rsidRPr="009A53B7" w:rsidRDefault="00586CA3" w:rsidP="00586CA3">
      <w:pPr>
        <w:pStyle w:val="Prrafodelista"/>
        <w:numPr>
          <w:ilvl w:val="0"/>
          <w:numId w:val="32"/>
        </w:numPr>
        <w:contextualSpacing/>
        <w:jc w:val="both"/>
        <w:rPr>
          <w:rFonts w:ascii="Arial Narrow" w:eastAsia="Calibri" w:hAnsi="Arial Narrow" w:cs="Arial"/>
          <w:b/>
          <w:sz w:val="22"/>
          <w:szCs w:val="22"/>
        </w:rPr>
      </w:pPr>
      <w:r w:rsidRPr="009A53B7">
        <w:rPr>
          <w:rFonts w:ascii="Arial Narrow" w:eastAsia="Calibri" w:hAnsi="Arial Narrow" w:cs="Arial"/>
          <w:b/>
          <w:sz w:val="22"/>
          <w:szCs w:val="22"/>
        </w:rPr>
        <w:t xml:space="preserve">Defensoría del pueblo: </w:t>
      </w:r>
      <w:r w:rsidR="009823A9" w:rsidRPr="009A53B7">
        <w:rPr>
          <w:rFonts w:ascii="Arial Narrow" w:eastAsia="Calibri" w:hAnsi="Arial Narrow" w:cs="Arial"/>
          <w:sz w:val="22"/>
          <w:szCs w:val="22"/>
        </w:rPr>
        <w:t>E</w:t>
      </w:r>
      <w:r w:rsidRPr="009A53B7">
        <w:rPr>
          <w:rFonts w:ascii="Arial Narrow" w:eastAsia="Calibri" w:hAnsi="Arial Narrow" w:cs="Arial"/>
          <w:sz w:val="22"/>
          <w:szCs w:val="22"/>
        </w:rPr>
        <w:t xml:space="preserve">l artículo 7 de Ley 226 de 1995 </w:t>
      </w:r>
      <w:r w:rsidR="009823A9" w:rsidRPr="009A53B7">
        <w:rPr>
          <w:rFonts w:ascii="Arial Narrow" w:eastAsia="Calibri" w:hAnsi="Arial Narrow" w:cs="Arial"/>
          <w:sz w:val="22"/>
          <w:szCs w:val="22"/>
        </w:rPr>
        <w:t xml:space="preserve">dispone que para el programa de enajenación </w:t>
      </w:r>
      <w:r w:rsidRPr="009A53B7">
        <w:rPr>
          <w:rFonts w:ascii="Arial Narrow" w:eastAsia="Calibri" w:hAnsi="Arial Narrow" w:cs="Arial"/>
          <w:i/>
          <w:sz w:val="22"/>
          <w:szCs w:val="22"/>
        </w:rPr>
        <w:t xml:space="preserve">“(…) se enviará copia a la Defensoría del Pueblo para que ésta, si lo considera necesario, tome las medidas conducentes para garantizar la trasparencia </w:t>
      </w:r>
      <w:proofErr w:type="gramStart"/>
      <w:r w:rsidRPr="009A53B7">
        <w:rPr>
          <w:rFonts w:ascii="Arial Narrow" w:eastAsia="Calibri" w:hAnsi="Arial Narrow" w:cs="Arial"/>
          <w:i/>
          <w:sz w:val="22"/>
          <w:szCs w:val="22"/>
        </w:rPr>
        <w:t>del mi</w:t>
      </w:r>
      <w:r w:rsidR="009823A9" w:rsidRPr="009A53B7">
        <w:rPr>
          <w:rFonts w:ascii="Arial Narrow" w:eastAsia="Calibri" w:hAnsi="Arial Narrow" w:cs="Arial"/>
          <w:i/>
          <w:sz w:val="22"/>
          <w:szCs w:val="22"/>
        </w:rPr>
        <w:t>smo</w:t>
      </w:r>
      <w:proofErr w:type="gramEnd"/>
      <w:r w:rsidR="009823A9" w:rsidRPr="009A53B7">
        <w:rPr>
          <w:rFonts w:ascii="Arial Narrow" w:eastAsia="Calibri" w:hAnsi="Arial Narrow" w:cs="Arial"/>
          <w:i/>
          <w:sz w:val="22"/>
          <w:szCs w:val="22"/>
        </w:rPr>
        <w:t xml:space="preserve">”. </w:t>
      </w:r>
      <w:r w:rsidR="009823A9" w:rsidRPr="009A53B7">
        <w:rPr>
          <w:rFonts w:ascii="Arial Narrow" w:eastAsia="Calibri" w:hAnsi="Arial Narrow" w:cs="Arial"/>
          <w:sz w:val="22"/>
          <w:szCs w:val="22"/>
        </w:rPr>
        <w:t>Al respecto,</w:t>
      </w:r>
      <w:r w:rsidRPr="009A53B7">
        <w:rPr>
          <w:rFonts w:ascii="Arial Narrow" w:eastAsia="Calibri" w:hAnsi="Arial Narrow" w:cs="Arial"/>
          <w:sz w:val="22"/>
          <w:szCs w:val="22"/>
        </w:rPr>
        <w:t xml:space="preserve"> se sugiere enviar copia a la Defensoría en una etapa temprana del proceso y adjuntar certificación del oficio radicado ante dicha entidad, así como la respuesta de la Defensoría en caso de haberla recibido. </w:t>
      </w:r>
    </w:p>
    <w:p w14:paraId="3D582C65" w14:textId="77777777" w:rsidR="00586CA3" w:rsidRPr="009A53B7" w:rsidRDefault="00586CA3" w:rsidP="00586CA3">
      <w:pPr>
        <w:pStyle w:val="Prrafodelista"/>
        <w:ind w:left="720"/>
        <w:contextualSpacing/>
        <w:jc w:val="both"/>
        <w:rPr>
          <w:rFonts w:ascii="Arial Narrow" w:eastAsia="Calibri" w:hAnsi="Arial Narrow" w:cs="Arial"/>
          <w:sz w:val="22"/>
          <w:szCs w:val="22"/>
        </w:rPr>
      </w:pPr>
    </w:p>
    <w:p w14:paraId="7AABF83A" w14:textId="77777777" w:rsidR="00586CA3" w:rsidRPr="009A53B7" w:rsidRDefault="00586CA3" w:rsidP="00586CA3">
      <w:pPr>
        <w:pStyle w:val="Prrafodelista"/>
        <w:numPr>
          <w:ilvl w:val="0"/>
          <w:numId w:val="32"/>
        </w:numPr>
        <w:contextualSpacing/>
        <w:jc w:val="both"/>
        <w:rPr>
          <w:rFonts w:ascii="Arial Narrow" w:eastAsia="Calibri" w:hAnsi="Arial Narrow" w:cs="Arial"/>
          <w:sz w:val="22"/>
          <w:szCs w:val="22"/>
        </w:rPr>
      </w:pPr>
      <w:r w:rsidRPr="009A53B7">
        <w:rPr>
          <w:rFonts w:ascii="Arial Narrow" w:eastAsia="Calibri" w:hAnsi="Arial Narrow" w:cs="Arial"/>
          <w:b/>
          <w:sz w:val="22"/>
          <w:szCs w:val="22"/>
        </w:rPr>
        <w:t>Certificado de composición accionaria de la entidad que sea objeto del programa de venta</w:t>
      </w:r>
      <w:r w:rsidR="00E10F0C" w:rsidRPr="009A53B7">
        <w:rPr>
          <w:rFonts w:ascii="Arial Narrow" w:eastAsia="Calibri" w:hAnsi="Arial Narrow" w:cs="Arial"/>
          <w:sz w:val="22"/>
          <w:szCs w:val="22"/>
        </w:rPr>
        <w:t xml:space="preserve">: Con el propósito de tener claridad completa sobre el porcentaje de participación estatal en una determinada compañía, dentro de la documentación del proceso, se debe adjuntar el certificado de composición accionaria y/o de propiedad expedido por la respectiva sociedad. </w:t>
      </w:r>
    </w:p>
    <w:p w14:paraId="325ECB99" w14:textId="77777777" w:rsidR="00A02F0A" w:rsidRPr="009A53B7" w:rsidRDefault="00A02F0A" w:rsidP="00A02F0A">
      <w:pPr>
        <w:pStyle w:val="Prrafodelista"/>
        <w:rPr>
          <w:rFonts w:ascii="Arial Narrow" w:eastAsia="Calibri" w:hAnsi="Arial Narrow" w:cs="Arial"/>
          <w:b/>
          <w:sz w:val="22"/>
          <w:szCs w:val="22"/>
        </w:rPr>
      </w:pPr>
    </w:p>
    <w:p w14:paraId="79B5703D" w14:textId="77777777" w:rsidR="00466CD5" w:rsidRPr="009A53B7" w:rsidRDefault="00A02F0A" w:rsidP="00466CD5">
      <w:pPr>
        <w:pStyle w:val="Prrafodelista"/>
        <w:numPr>
          <w:ilvl w:val="0"/>
          <w:numId w:val="32"/>
        </w:numPr>
        <w:contextualSpacing/>
        <w:jc w:val="both"/>
        <w:rPr>
          <w:rFonts w:ascii="Arial Narrow" w:eastAsia="Calibri" w:hAnsi="Arial Narrow" w:cs="Arial"/>
          <w:sz w:val="22"/>
          <w:szCs w:val="22"/>
        </w:rPr>
      </w:pPr>
      <w:r w:rsidRPr="009A53B7">
        <w:rPr>
          <w:rFonts w:ascii="Arial Narrow" w:eastAsia="Calibri" w:hAnsi="Arial Narrow" w:cs="Arial"/>
          <w:b/>
          <w:sz w:val="22"/>
          <w:szCs w:val="22"/>
        </w:rPr>
        <w:t>Bienes de patrimonio histórico:</w:t>
      </w:r>
      <w:r w:rsidRPr="009A53B7">
        <w:rPr>
          <w:rFonts w:ascii="Arial Narrow" w:eastAsia="Calibri" w:hAnsi="Arial Narrow"/>
          <w:b/>
          <w:bCs/>
          <w:sz w:val="22"/>
          <w:szCs w:val="22"/>
        </w:rPr>
        <w:t xml:space="preserve"> </w:t>
      </w:r>
      <w:r w:rsidRPr="009A53B7">
        <w:rPr>
          <w:rFonts w:ascii="Arial Narrow" w:eastAsia="Calibri" w:hAnsi="Arial Narrow" w:cs="Arial"/>
          <w:sz w:val="22"/>
          <w:szCs w:val="22"/>
        </w:rPr>
        <w:t>Acorde con lo establecido en el Artículo 13 de la Ley 226,</w:t>
      </w:r>
      <w:r w:rsidRPr="009A53B7">
        <w:rPr>
          <w:rFonts w:ascii="Arial Narrow" w:eastAsia="Calibri" w:hAnsi="Arial Narrow"/>
          <w:b/>
          <w:bCs/>
          <w:sz w:val="22"/>
          <w:szCs w:val="22"/>
        </w:rPr>
        <w:t xml:space="preserve"> </w:t>
      </w:r>
      <w:r w:rsidRPr="009A53B7">
        <w:rPr>
          <w:rFonts w:ascii="Arial Narrow" w:eastAsia="Calibri" w:hAnsi="Arial Narrow"/>
          <w:b/>
          <w:bCs/>
          <w:i/>
          <w:sz w:val="22"/>
          <w:szCs w:val="22"/>
        </w:rPr>
        <w:t>“</w:t>
      </w:r>
      <w:r w:rsidRPr="009A53B7">
        <w:rPr>
          <w:rFonts w:ascii="Arial Narrow" w:eastAsia="Calibri" w:hAnsi="Arial Narrow" w:cs="Arial"/>
          <w:i/>
          <w:sz w:val="22"/>
          <w:szCs w:val="22"/>
        </w:rPr>
        <w:t xml:space="preserve">Cuando el Estado decida enajenar las acciones de una empresa, el Gobierno excluirá del programa de enajenación los derechos que tal entidad posea sobre fundaciones, obras de arte y en general bienes relacionados con el patrimonio histórico y cultural. Tales bienes y derechos serán transferidos a favor </w:t>
      </w:r>
      <w:r w:rsidRPr="009A53B7">
        <w:rPr>
          <w:rFonts w:ascii="Arial Narrow" w:eastAsia="Calibri" w:hAnsi="Arial Narrow" w:cs="Arial"/>
          <w:i/>
          <w:sz w:val="22"/>
          <w:szCs w:val="22"/>
        </w:rPr>
        <w:lastRenderedPageBreak/>
        <w:t>de la Nación o de la entidad pública de carácter nacional que el Gobierno determine</w:t>
      </w:r>
      <w:r w:rsidRPr="009A53B7">
        <w:rPr>
          <w:rFonts w:ascii="Arial Narrow" w:eastAsia="Calibri" w:hAnsi="Arial Narrow" w:cs="Arial"/>
          <w:sz w:val="22"/>
          <w:szCs w:val="22"/>
        </w:rPr>
        <w:t xml:space="preserve">”. Para este caso, la entidad propietaria deberá asegurarse, en conjunto con la administración de la empresa que será objeto de enajenación, que la compañía no cuenta con bienes relacionados con el patrimonio histórico y cultural del Estado. En caso contrario, la entidad propietaria deberá dar cumplimiento a lo dispuesto en el artículo anterior.  </w:t>
      </w:r>
    </w:p>
    <w:p w14:paraId="409FD530" w14:textId="77777777" w:rsidR="00466CD5" w:rsidRPr="009A53B7" w:rsidRDefault="00466CD5" w:rsidP="00466CD5">
      <w:pPr>
        <w:pStyle w:val="Prrafodelista"/>
        <w:rPr>
          <w:rFonts w:ascii="Arial Narrow" w:hAnsi="Arial Narrow" w:cs="Arial"/>
          <w:sz w:val="22"/>
          <w:szCs w:val="22"/>
        </w:rPr>
      </w:pPr>
    </w:p>
    <w:p w14:paraId="4EC2642F" w14:textId="77777777" w:rsidR="00466CD5" w:rsidRPr="009A53B7" w:rsidRDefault="00466CD5" w:rsidP="00466CD5">
      <w:pPr>
        <w:pStyle w:val="Prrafodelista"/>
        <w:numPr>
          <w:ilvl w:val="0"/>
          <w:numId w:val="32"/>
        </w:numPr>
        <w:contextualSpacing/>
        <w:jc w:val="both"/>
        <w:rPr>
          <w:rFonts w:ascii="Arial Narrow" w:eastAsia="Calibri" w:hAnsi="Arial Narrow" w:cs="Arial"/>
          <w:sz w:val="22"/>
          <w:szCs w:val="22"/>
        </w:rPr>
      </w:pPr>
      <w:r w:rsidRPr="009A53B7">
        <w:rPr>
          <w:rFonts w:ascii="Arial Narrow" w:hAnsi="Arial Narrow" w:cs="Arial"/>
          <w:b/>
          <w:sz w:val="22"/>
          <w:szCs w:val="22"/>
        </w:rPr>
        <w:t xml:space="preserve">Certificación del concepto favorable del Consejo de </w:t>
      </w:r>
      <w:proofErr w:type="gramStart"/>
      <w:r w:rsidRPr="009A53B7">
        <w:rPr>
          <w:rFonts w:ascii="Arial Narrow" w:hAnsi="Arial Narrow" w:cs="Arial"/>
          <w:b/>
          <w:sz w:val="22"/>
          <w:szCs w:val="22"/>
        </w:rPr>
        <w:t>Ministros</w:t>
      </w:r>
      <w:proofErr w:type="gramEnd"/>
      <w:r w:rsidRPr="009A53B7">
        <w:rPr>
          <w:rFonts w:ascii="Arial Narrow" w:eastAsia="Calibri" w:hAnsi="Arial Narrow" w:cs="Arial"/>
          <w:b/>
          <w:sz w:val="22"/>
          <w:szCs w:val="22"/>
        </w:rPr>
        <w:t xml:space="preserve">: </w:t>
      </w:r>
      <w:r w:rsidRPr="009A53B7">
        <w:rPr>
          <w:rFonts w:ascii="Arial Narrow" w:eastAsia="Calibri" w:hAnsi="Arial Narrow" w:cs="Arial"/>
          <w:sz w:val="22"/>
          <w:szCs w:val="22"/>
        </w:rPr>
        <w:t>Una vez el programa de enajenación sea presentado al Consejo de Ministros, se deberá solicitar una certificación sobre el concepto favorable que imparta dicho órgano colegiado</w:t>
      </w:r>
      <w:r w:rsidR="00E337CF" w:rsidRPr="009A53B7">
        <w:rPr>
          <w:rFonts w:ascii="Arial Narrow" w:eastAsia="Calibri" w:hAnsi="Arial Narrow" w:cs="Arial"/>
          <w:sz w:val="22"/>
          <w:szCs w:val="22"/>
        </w:rPr>
        <w:t>, así como el precio mínimo por acción aprobado</w:t>
      </w:r>
      <w:r w:rsidRPr="009A53B7">
        <w:rPr>
          <w:rFonts w:ascii="Arial Narrow" w:eastAsia="Calibri" w:hAnsi="Arial Narrow" w:cs="Arial"/>
          <w:sz w:val="22"/>
          <w:szCs w:val="22"/>
        </w:rPr>
        <w:t xml:space="preserve">. Dicha certificación deberá ser adjuntada a los documentos que soportan el trámite de aprobación del decreto de venta. </w:t>
      </w:r>
    </w:p>
    <w:p w14:paraId="128A3F6F" w14:textId="77777777" w:rsidR="00466CD5" w:rsidRPr="009A53B7" w:rsidRDefault="00466CD5" w:rsidP="00466CD5">
      <w:pPr>
        <w:pStyle w:val="Prrafodelista"/>
        <w:ind w:left="360"/>
        <w:contextualSpacing/>
        <w:jc w:val="both"/>
        <w:rPr>
          <w:rFonts w:ascii="Arial Narrow" w:eastAsia="Calibri" w:hAnsi="Arial Narrow" w:cs="Arial"/>
          <w:sz w:val="22"/>
          <w:szCs w:val="22"/>
        </w:rPr>
      </w:pPr>
    </w:p>
    <w:p w14:paraId="5CB04F6D" w14:textId="77777777" w:rsidR="00466CD5" w:rsidRPr="009A53B7" w:rsidRDefault="00750E7E" w:rsidP="00E337CF">
      <w:pPr>
        <w:pStyle w:val="Prrafodelista"/>
        <w:ind w:left="0"/>
        <w:contextualSpacing/>
        <w:jc w:val="both"/>
        <w:rPr>
          <w:rFonts w:ascii="Arial Narrow" w:eastAsia="Calibri" w:hAnsi="Arial Narrow" w:cs="Arial"/>
          <w:sz w:val="22"/>
          <w:szCs w:val="22"/>
        </w:rPr>
      </w:pPr>
      <w:r w:rsidRPr="009A53B7">
        <w:rPr>
          <w:rFonts w:ascii="Arial Narrow" w:eastAsia="Calibri" w:hAnsi="Arial Narrow" w:cs="Arial"/>
          <w:sz w:val="22"/>
          <w:szCs w:val="22"/>
        </w:rPr>
        <w:t xml:space="preserve">Salvo que exista una justificación particular excepcional, los documentos mencionados anteriormente deben ser compilados para soportar la aprobación y expedición de la versión definitiva del Decreto por medio del cual se busca aprobar el programa de enajenación. </w:t>
      </w:r>
    </w:p>
    <w:p w14:paraId="72E3FB16" w14:textId="77777777" w:rsidR="00466CD5" w:rsidRPr="009A53B7" w:rsidRDefault="00466CD5" w:rsidP="00466CD5">
      <w:pPr>
        <w:pStyle w:val="Prrafodelista"/>
        <w:ind w:left="360"/>
        <w:contextualSpacing/>
        <w:jc w:val="both"/>
        <w:rPr>
          <w:rFonts w:ascii="Arial Narrow" w:eastAsia="Calibri" w:hAnsi="Arial Narrow" w:cs="Arial"/>
          <w:sz w:val="22"/>
          <w:szCs w:val="22"/>
        </w:rPr>
      </w:pPr>
    </w:p>
    <w:p w14:paraId="2F2469D0" w14:textId="77777777" w:rsidR="00586CA3" w:rsidRPr="009A53B7" w:rsidRDefault="00586CA3" w:rsidP="00586CA3">
      <w:pPr>
        <w:pStyle w:val="Ttulo3"/>
        <w:numPr>
          <w:ilvl w:val="2"/>
          <w:numId w:val="20"/>
        </w:numPr>
        <w:rPr>
          <w:rFonts w:ascii="Arial Narrow" w:hAnsi="Arial Narrow"/>
          <w:b/>
          <w:sz w:val="24"/>
          <w:szCs w:val="24"/>
          <w:u w:val="single"/>
        </w:rPr>
      </w:pPr>
      <w:bookmarkStart w:id="20" w:name="_Toc10047337"/>
      <w:r w:rsidRPr="009A53B7">
        <w:rPr>
          <w:rFonts w:ascii="Arial Narrow" w:hAnsi="Arial Narrow"/>
          <w:b/>
          <w:sz w:val="24"/>
          <w:szCs w:val="24"/>
          <w:u w:val="single"/>
        </w:rPr>
        <w:t>Recomendaciones generales para la preparación del programa de enajenación:</w:t>
      </w:r>
      <w:bookmarkEnd w:id="20"/>
      <w:r w:rsidRPr="009A53B7">
        <w:rPr>
          <w:rFonts w:ascii="Arial Narrow" w:hAnsi="Arial Narrow"/>
          <w:b/>
          <w:sz w:val="24"/>
          <w:szCs w:val="24"/>
          <w:u w:val="single"/>
        </w:rPr>
        <w:t xml:space="preserve"> </w:t>
      </w:r>
    </w:p>
    <w:p w14:paraId="22FC1CEB" w14:textId="77777777" w:rsidR="00E337CF" w:rsidRPr="009A53B7" w:rsidRDefault="00E337CF" w:rsidP="00E337CF">
      <w:pPr>
        <w:pStyle w:val="Prrafodelista"/>
        <w:ind w:left="360"/>
        <w:contextualSpacing/>
        <w:jc w:val="both"/>
        <w:rPr>
          <w:rFonts w:ascii="Arial Narrow" w:eastAsia="Calibri" w:hAnsi="Arial Narrow" w:cs="Arial"/>
          <w:sz w:val="22"/>
          <w:szCs w:val="22"/>
        </w:rPr>
      </w:pPr>
    </w:p>
    <w:p w14:paraId="3CEE1A5E" w14:textId="77777777" w:rsidR="00E337CF" w:rsidRPr="009A53B7" w:rsidRDefault="00E337CF" w:rsidP="00E337CF">
      <w:pPr>
        <w:pStyle w:val="Prrafodelista"/>
        <w:ind w:left="0"/>
        <w:contextualSpacing/>
        <w:jc w:val="both"/>
        <w:rPr>
          <w:rFonts w:ascii="Arial Narrow" w:eastAsia="Calibri" w:hAnsi="Arial Narrow" w:cs="Arial"/>
          <w:sz w:val="22"/>
          <w:szCs w:val="22"/>
        </w:rPr>
      </w:pPr>
      <w:r w:rsidRPr="009A53B7">
        <w:rPr>
          <w:rFonts w:ascii="Arial Narrow" w:eastAsia="Calibri" w:hAnsi="Arial Narrow" w:cs="Arial"/>
          <w:sz w:val="22"/>
          <w:szCs w:val="22"/>
        </w:rPr>
        <w:t xml:space="preserve">Ahora, adicional a los requisitos comunes exigidos anteriormente para tramitar la aprobación del Decreto del programa de enajenación, a continuación, se presentan una serie de recomendaciones aplicables a los procesos de venta enmarcados en la Ley 226 de 1995. </w:t>
      </w:r>
    </w:p>
    <w:p w14:paraId="15766E6E" w14:textId="77777777" w:rsidR="00E337CF" w:rsidRPr="009A53B7" w:rsidRDefault="00E337CF" w:rsidP="00A02F0A">
      <w:pPr>
        <w:rPr>
          <w:rFonts w:ascii="Arial Narrow" w:hAnsi="Arial Narrow"/>
        </w:rPr>
      </w:pPr>
    </w:p>
    <w:p w14:paraId="7B77231C" w14:textId="77777777" w:rsidR="00586CA3" w:rsidRPr="009A53B7" w:rsidRDefault="00586CA3" w:rsidP="00586CA3">
      <w:pPr>
        <w:pStyle w:val="Prrafodelista"/>
        <w:numPr>
          <w:ilvl w:val="0"/>
          <w:numId w:val="33"/>
        </w:numPr>
        <w:contextualSpacing/>
        <w:jc w:val="both"/>
        <w:rPr>
          <w:rFonts w:ascii="Arial Narrow" w:eastAsia="Calibri" w:hAnsi="Arial Narrow" w:cs="Arial"/>
          <w:sz w:val="22"/>
          <w:szCs w:val="22"/>
        </w:rPr>
      </w:pPr>
      <w:r w:rsidRPr="009A53B7">
        <w:rPr>
          <w:rFonts w:ascii="Arial Narrow" w:eastAsia="Calibri" w:hAnsi="Arial Narrow" w:cs="Arial"/>
          <w:b/>
          <w:sz w:val="22"/>
          <w:szCs w:val="22"/>
        </w:rPr>
        <w:t>Continuidad del servicio:</w:t>
      </w:r>
      <w:r w:rsidRPr="009A53B7">
        <w:rPr>
          <w:rFonts w:ascii="Arial Narrow" w:eastAsia="Calibri" w:hAnsi="Arial Narrow" w:cs="Arial"/>
          <w:sz w:val="22"/>
          <w:szCs w:val="22"/>
        </w:rPr>
        <w:t xml:space="preserve"> Conforme lo dispuesto en el Artículo 5 de la Ley 22, la entidad propietaria deberá asegurarse que “</w:t>
      </w:r>
      <w:r w:rsidRPr="009A53B7">
        <w:rPr>
          <w:rFonts w:ascii="Arial Narrow" w:eastAsia="Calibri" w:hAnsi="Arial Narrow" w:cs="Arial"/>
          <w:i/>
          <w:sz w:val="22"/>
          <w:szCs w:val="22"/>
        </w:rPr>
        <w:t>Cuando se enajene la propiedad accionaria de una entidad que preste servicios de interés público, se tomarán las medidas necesarias para garantizar la continuidad del servicio”</w:t>
      </w:r>
      <w:r w:rsidRPr="009A53B7">
        <w:rPr>
          <w:rFonts w:ascii="Arial Narrow" w:eastAsia="Calibri" w:hAnsi="Arial Narrow" w:cs="Arial"/>
          <w:sz w:val="22"/>
          <w:szCs w:val="22"/>
        </w:rPr>
        <w:t xml:space="preserve">. </w:t>
      </w:r>
      <w:r w:rsidR="00E337CF" w:rsidRPr="009A53B7">
        <w:rPr>
          <w:rFonts w:ascii="Arial Narrow" w:eastAsia="Calibri" w:hAnsi="Arial Narrow" w:cs="Arial"/>
          <w:sz w:val="22"/>
          <w:szCs w:val="22"/>
        </w:rPr>
        <w:t>Estas</w:t>
      </w:r>
      <w:r w:rsidRPr="009A53B7">
        <w:rPr>
          <w:rFonts w:ascii="Arial Narrow" w:eastAsia="Calibri" w:hAnsi="Arial Narrow" w:cs="Arial"/>
          <w:sz w:val="22"/>
          <w:szCs w:val="22"/>
        </w:rPr>
        <w:t xml:space="preserve"> medida</w:t>
      </w:r>
      <w:r w:rsidR="00E337CF" w:rsidRPr="009A53B7">
        <w:rPr>
          <w:rFonts w:ascii="Arial Narrow" w:eastAsia="Calibri" w:hAnsi="Arial Narrow" w:cs="Arial"/>
          <w:sz w:val="22"/>
          <w:szCs w:val="22"/>
        </w:rPr>
        <w:t>s</w:t>
      </w:r>
      <w:r w:rsidRPr="009A53B7">
        <w:rPr>
          <w:rFonts w:ascii="Arial Narrow" w:eastAsia="Calibri" w:hAnsi="Arial Narrow" w:cs="Arial"/>
          <w:sz w:val="22"/>
          <w:szCs w:val="22"/>
        </w:rPr>
        <w:t xml:space="preserve"> podrá</w:t>
      </w:r>
      <w:r w:rsidR="00E337CF" w:rsidRPr="009A53B7">
        <w:rPr>
          <w:rFonts w:ascii="Arial Narrow" w:eastAsia="Calibri" w:hAnsi="Arial Narrow" w:cs="Arial"/>
          <w:sz w:val="22"/>
          <w:szCs w:val="22"/>
        </w:rPr>
        <w:t>n</w:t>
      </w:r>
      <w:r w:rsidRPr="009A53B7">
        <w:rPr>
          <w:rFonts w:ascii="Arial Narrow" w:eastAsia="Calibri" w:hAnsi="Arial Narrow" w:cs="Arial"/>
          <w:sz w:val="22"/>
          <w:szCs w:val="22"/>
        </w:rPr>
        <w:t xml:space="preserve"> ser incluidas en los Reglamentos de venta, y podrán contener temas como requisititos mínimos de experiencia, capacidad financiera del comprador, contratación de un tercero idóneo que pueda darle continuidad a la operación de la entidad, entre otros que permitan cumplir con el propósito de la ley. </w:t>
      </w:r>
    </w:p>
    <w:p w14:paraId="248AEF5F" w14:textId="77777777" w:rsidR="003C686A" w:rsidRPr="009A53B7" w:rsidRDefault="003C686A" w:rsidP="003C686A">
      <w:pPr>
        <w:rPr>
          <w:rFonts w:ascii="Arial Narrow" w:hAnsi="Arial Narrow"/>
        </w:rPr>
      </w:pPr>
    </w:p>
    <w:p w14:paraId="010DCF48" w14:textId="77777777" w:rsidR="00586CA3" w:rsidRPr="009A53B7" w:rsidRDefault="00586CA3" w:rsidP="00586CA3">
      <w:pPr>
        <w:pStyle w:val="Prrafodelista"/>
        <w:numPr>
          <w:ilvl w:val="0"/>
          <w:numId w:val="33"/>
        </w:numPr>
        <w:contextualSpacing/>
        <w:jc w:val="both"/>
        <w:rPr>
          <w:rFonts w:ascii="Arial Narrow" w:eastAsia="Calibri" w:hAnsi="Arial Narrow" w:cs="Arial"/>
          <w:b/>
          <w:sz w:val="22"/>
          <w:szCs w:val="22"/>
        </w:rPr>
      </w:pPr>
      <w:r w:rsidRPr="009A53B7">
        <w:rPr>
          <w:rFonts w:ascii="Arial Narrow" w:eastAsia="Calibri" w:hAnsi="Arial Narrow" w:cs="Arial"/>
          <w:b/>
          <w:sz w:val="22"/>
          <w:szCs w:val="22"/>
        </w:rPr>
        <w:t xml:space="preserve">Presentación del programa al Consejo de Ministros: </w:t>
      </w:r>
      <w:r w:rsidRPr="009A53B7">
        <w:rPr>
          <w:rFonts w:ascii="Arial Narrow" w:eastAsia="Calibri" w:hAnsi="Arial Narrow" w:cs="Arial"/>
          <w:sz w:val="22"/>
          <w:szCs w:val="22"/>
        </w:rPr>
        <w:t xml:space="preserve">Considerando que conforme lo establecido en el artículo 8 de Ley 226 de 1995, </w:t>
      </w:r>
      <w:r w:rsidRPr="009A53B7">
        <w:rPr>
          <w:rFonts w:ascii="Arial Narrow" w:eastAsia="Calibri" w:hAnsi="Arial Narrow" w:cs="Arial"/>
          <w:i/>
          <w:sz w:val="22"/>
          <w:szCs w:val="22"/>
        </w:rPr>
        <w:t xml:space="preserve">“El ministro del ramo respectivo y el Ministro de Hacienda y Crédito Público presentarán el proyecto de programa de enajenación a consideración del Consejo de Ministro, el cual, previo concepto favorable, lo remitirá al Gobierno para su posterior aprobación”, </w:t>
      </w:r>
      <w:r w:rsidRPr="009A53B7">
        <w:rPr>
          <w:rFonts w:ascii="Arial Narrow" w:eastAsia="Calibri" w:hAnsi="Arial Narrow" w:cs="Arial"/>
          <w:sz w:val="22"/>
          <w:szCs w:val="22"/>
        </w:rPr>
        <w:t>se debe presentar el programa  de enajenación al Consejo de Ministros una vez se haya completado la socialización con el Ministerio de Hacienda y el Ministerio del ramo, y se hayan recibido todos los comentarios pertinentes.</w:t>
      </w:r>
    </w:p>
    <w:p w14:paraId="09D5A060" w14:textId="77777777" w:rsidR="00E337CF" w:rsidRPr="009A53B7" w:rsidRDefault="00E337CF" w:rsidP="00E337CF">
      <w:pPr>
        <w:pStyle w:val="Prrafodelista"/>
        <w:rPr>
          <w:rFonts w:ascii="Arial Narrow" w:eastAsia="Calibri" w:hAnsi="Arial Narrow" w:cs="Arial"/>
          <w:b/>
          <w:sz w:val="22"/>
          <w:szCs w:val="22"/>
        </w:rPr>
      </w:pPr>
    </w:p>
    <w:p w14:paraId="63764496" w14:textId="77777777" w:rsidR="00E337CF" w:rsidRPr="009A53B7" w:rsidRDefault="00E337CF" w:rsidP="008265D6">
      <w:pPr>
        <w:pStyle w:val="Prrafodelista"/>
        <w:ind w:left="720"/>
        <w:contextualSpacing/>
        <w:jc w:val="both"/>
        <w:rPr>
          <w:rFonts w:ascii="Arial Narrow" w:eastAsia="Calibri" w:hAnsi="Arial Narrow" w:cs="Arial"/>
          <w:sz w:val="22"/>
          <w:szCs w:val="22"/>
        </w:rPr>
      </w:pPr>
      <w:r w:rsidRPr="009A53B7">
        <w:rPr>
          <w:rFonts w:ascii="Arial Narrow" w:eastAsia="Calibri" w:hAnsi="Arial Narrow" w:cs="Arial"/>
          <w:sz w:val="22"/>
          <w:szCs w:val="22"/>
        </w:rPr>
        <w:t xml:space="preserve">Al respecto, se sugiere que la presentación al Consejo de </w:t>
      </w:r>
      <w:proofErr w:type="gramStart"/>
      <w:r w:rsidRPr="009A53B7">
        <w:rPr>
          <w:rFonts w:ascii="Arial Narrow" w:eastAsia="Calibri" w:hAnsi="Arial Narrow" w:cs="Arial"/>
          <w:sz w:val="22"/>
          <w:szCs w:val="22"/>
        </w:rPr>
        <w:t>Ministros</w:t>
      </w:r>
      <w:proofErr w:type="gramEnd"/>
      <w:r w:rsidRPr="009A53B7">
        <w:rPr>
          <w:rFonts w:ascii="Arial Narrow" w:eastAsia="Calibri" w:hAnsi="Arial Narrow" w:cs="Arial"/>
          <w:sz w:val="22"/>
          <w:szCs w:val="22"/>
        </w:rPr>
        <w:t xml:space="preserve"> contenga el precio por acción expresado en cifras en pesos con los decimales que se consideren pertinentes para la respectiva inclusión de dicho precio en el Decreto de venta. </w:t>
      </w:r>
    </w:p>
    <w:p w14:paraId="4B321F4C" w14:textId="77777777" w:rsidR="008636B6" w:rsidRPr="009A53B7" w:rsidRDefault="008636B6" w:rsidP="008636B6">
      <w:pPr>
        <w:rPr>
          <w:rFonts w:ascii="Arial Narrow" w:hAnsi="Arial Narrow"/>
        </w:rPr>
      </w:pPr>
    </w:p>
    <w:p w14:paraId="5CE77EE0" w14:textId="77777777" w:rsidR="009823A9" w:rsidRPr="009A53B7" w:rsidRDefault="00586CA3" w:rsidP="00877FB8">
      <w:pPr>
        <w:pStyle w:val="Prrafodelista"/>
        <w:numPr>
          <w:ilvl w:val="0"/>
          <w:numId w:val="33"/>
        </w:numPr>
        <w:contextualSpacing/>
        <w:jc w:val="both"/>
        <w:rPr>
          <w:rFonts w:ascii="Arial Narrow" w:eastAsia="Calibri" w:hAnsi="Arial Narrow" w:cs="Arial"/>
          <w:sz w:val="22"/>
          <w:szCs w:val="22"/>
        </w:rPr>
      </w:pPr>
      <w:r w:rsidRPr="009A53B7">
        <w:rPr>
          <w:rFonts w:ascii="Arial Narrow" w:eastAsia="Calibri" w:hAnsi="Arial Narrow" w:cs="Arial"/>
          <w:b/>
          <w:sz w:val="22"/>
          <w:szCs w:val="22"/>
        </w:rPr>
        <w:t xml:space="preserve">Metodología de adjudicación y diseño del proceso: </w:t>
      </w:r>
      <w:r w:rsidRPr="009A53B7">
        <w:rPr>
          <w:rFonts w:ascii="Arial Narrow" w:eastAsia="Calibri" w:hAnsi="Arial Narrow" w:cs="Arial"/>
          <w:sz w:val="22"/>
          <w:szCs w:val="22"/>
        </w:rPr>
        <w:t xml:space="preserve">Para los procesos de enajenación de participación accionaria estatal, </w:t>
      </w:r>
      <w:r w:rsidR="008265D6" w:rsidRPr="009A53B7">
        <w:rPr>
          <w:rFonts w:ascii="Arial Narrow" w:eastAsia="Calibri" w:hAnsi="Arial Narrow" w:cs="Arial"/>
          <w:sz w:val="22"/>
          <w:szCs w:val="22"/>
        </w:rPr>
        <w:t>se recomienda analizar</w:t>
      </w:r>
      <w:r w:rsidRPr="009A53B7">
        <w:rPr>
          <w:rFonts w:ascii="Arial Narrow" w:eastAsia="Calibri" w:hAnsi="Arial Narrow" w:cs="Arial"/>
          <w:sz w:val="22"/>
          <w:szCs w:val="22"/>
        </w:rPr>
        <w:t xml:space="preserve"> </w:t>
      </w:r>
      <w:r w:rsidR="008265D6" w:rsidRPr="009A53B7">
        <w:rPr>
          <w:rFonts w:ascii="Arial Narrow" w:eastAsia="Calibri" w:hAnsi="Arial Narrow" w:cs="Arial"/>
          <w:sz w:val="22"/>
          <w:szCs w:val="22"/>
        </w:rPr>
        <w:t>las</w:t>
      </w:r>
      <w:r w:rsidRPr="009A53B7">
        <w:rPr>
          <w:rFonts w:ascii="Arial Narrow" w:eastAsia="Calibri" w:hAnsi="Arial Narrow" w:cs="Arial"/>
          <w:sz w:val="22"/>
          <w:szCs w:val="22"/>
        </w:rPr>
        <w:t xml:space="preserve"> </w:t>
      </w:r>
      <w:r w:rsidR="008265D6" w:rsidRPr="009A53B7">
        <w:rPr>
          <w:rFonts w:ascii="Arial Narrow" w:eastAsia="Calibri" w:hAnsi="Arial Narrow" w:cs="Arial"/>
          <w:sz w:val="22"/>
          <w:szCs w:val="22"/>
        </w:rPr>
        <w:t xml:space="preserve">distintas </w:t>
      </w:r>
      <w:r w:rsidRPr="009A53B7">
        <w:rPr>
          <w:rFonts w:ascii="Arial Narrow" w:eastAsia="Calibri" w:hAnsi="Arial Narrow" w:cs="Arial"/>
          <w:sz w:val="22"/>
          <w:szCs w:val="22"/>
        </w:rPr>
        <w:t xml:space="preserve">alternativas </w:t>
      </w:r>
      <w:r w:rsidR="008265D6" w:rsidRPr="009A53B7">
        <w:rPr>
          <w:rFonts w:ascii="Arial Narrow" w:eastAsia="Calibri" w:hAnsi="Arial Narrow" w:cs="Arial"/>
          <w:sz w:val="22"/>
          <w:szCs w:val="22"/>
        </w:rPr>
        <w:t xml:space="preserve">de adjudicación y venta de la participación accionaria de tal forma que se busque maximizar el valor de venta (subasta, oferta pública, sobre cerrado, </w:t>
      </w:r>
      <w:proofErr w:type="spellStart"/>
      <w:r w:rsidR="008265D6" w:rsidRPr="009A53B7">
        <w:rPr>
          <w:rFonts w:ascii="Arial Narrow" w:eastAsia="Calibri" w:hAnsi="Arial Narrow" w:cs="Arial"/>
          <w:sz w:val="22"/>
          <w:szCs w:val="22"/>
        </w:rPr>
        <w:t>etc</w:t>
      </w:r>
      <w:proofErr w:type="spellEnd"/>
      <w:r w:rsidR="008265D6" w:rsidRPr="009A53B7">
        <w:rPr>
          <w:rFonts w:ascii="Arial Narrow" w:eastAsia="Calibri" w:hAnsi="Arial Narrow" w:cs="Arial"/>
          <w:sz w:val="22"/>
          <w:szCs w:val="22"/>
        </w:rPr>
        <w:t>). De igual forma, se recomienda evaluar que</w:t>
      </w:r>
      <w:r w:rsidRPr="009A53B7">
        <w:rPr>
          <w:rFonts w:ascii="Arial Narrow" w:eastAsia="Calibri" w:hAnsi="Arial Narrow" w:cs="Arial"/>
          <w:sz w:val="22"/>
          <w:szCs w:val="22"/>
        </w:rPr>
        <w:t xml:space="preserve">, si se elige la posibilidad de que se enajene a un único oferente, tal posibilidad, </w:t>
      </w:r>
      <w:r w:rsidR="008265D6" w:rsidRPr="009A53B7">
        <w:rPr>
          <w:rFonts w:ascii="Arial Narrow" w:eastAsia="Calibri" w:hAnsi="Arial Narrow" w:cs="Arial"/>
          <w:sz w:val="22"/>
          <w:szCs w:val="22"/>
        </w:rPr>
        <w:t xml:space="preserve">así como las demás opciones de enajenación, </w:t>
      </w:r>
      <w:r w:rsidRPr="009A53B7">
        <w:rPr>
          <w:rFonts w:ascii="Arial Narrow" w:eastAsia="Calibri" w:hAnsi="Arial Narrow" w:cs="Arial"/>
          <w:sz w:val="22"/>
          <w:szCs w:val="22"/>
        </w:rPr>
        <w:t>quede</w:t>
      </w:r>
      <w:r w:rsidR="008265D6" w:rsidRPr="009A53B7">
        <w:rPr>
          <w:rFonts w:ascii="Arial Narrow" w:eastAsia="Calibri" w:hAnsi="Arial Narrow" w:cs="Arial"/>
          <w:sz w:val="22"/>
          <w:szCs w:val="22"/>
        </w:rPr>
        <w:t>n</w:t>
      </w:r>
      <w:r w:rsidRPr="009A53B7">
        <w:rPr>
          <w:rFonts w:ascii="Arial Narrow" w:eastAsia="Calibri" w:hAnsi="Arial Narrow" w:cs="Arial"/>
          <w:sz w:val="22"/>
          <w:szCs w:val="22"/>
        </w:rPr>
        <w:t xml:space="preserve"> </w:t>
      </w:r>
      <w:r w:rsidR="008265D6" w:rsidRPr="009A53B7">
        <w:rPr>
          <w:rFonts w:ascii="Arial Narrow" w:eastAsia="Calibri" w:hAnsi="Arial Narrow" w:cs="Arial"/>
          <w:sz w:val="22"/>
          <w:szCs w:val="22"/>
        </w:rPr>
        <w:t xml:space="preserve">contempladas en los Reglamentos de Enajenación. </w:t>
      </w:r>
    </w:p>
    <w:p w14:paraId="37FB302A" w14:textId="77777777" w:rsidR="009823A9" w:rsidRPr="009A53B7" w:rsidRDefault="009823A9" w:rsidP="009823A9">
      <w:pPr>
        <w:pStyle w:val="Prrafodelista"/>
        <w:jc w:val="both"/>
        <w:rPr>
          <w:rFonts w:ascii="Arial Narrow" w:eastAsia="Calibri" w:hAnsi="Arial Narrow" w:cs="Arial"/>
          <w:sz w:val="22"/>
          <w:szCs w:val="22"/>
        </w:rPr>
      </w:pPr>
    </w:p>
    <w:p w14:paraId="3A739E77" w14:textId="77777777" w:rsidR="009823A9" w:rsidRPr="009A53B7" w:rsidRDefault="009823A9" w:rsidP="009823A9">
      <w:pPr>
        <w:pStyle w:val="Prrafodelista"/>
        <w:numPr>
          <w:ilvl w:val="0"/>
          <w:numId w:val="33"/>
        </w:numPr>
        <w:jc w:val="both"/>
        <w:rPr>
          <w:rFonts w:ascii="Arial Narrow" w:eastAsia="Calibri" w:hAnsi="Arial Narrow" w:cs="Arial"/>
          <w:sz w:val="22"/>
          <w:szCs w:val="22"/>
        </w:rPr>
      </w:pPr>
      <w:r w:rsidRPr="009A53B7">
        <w:rPr>
          <w:rFonts w:ascii="Arial Narrow" w:eastAsia="Calibri" w:hAnsi="Arial Narrow" w:cs="Arial"/>
          <w:b/>
          <w:sz w:val="22"/>
          <w:szCs w:val="22"/>
        </w:rPr>
        <w:t xml:space="preserve">Reglamentos de venta: </w:t>
      </w:r>
      <w:r w:rsidRPr="009A53B7">
        <w:rPr>
          <w:rFonts w:ascii="Arial Narrow" w:eastAsia="Calibri" w:hAnsi="Arial Narrow" w:cs="Arial"/>
          <w:sz w:val="22"/>
          <w:szCs w:val="22"/>
        </w:rPr>
        <w:t xml:space="preserve">La entidad vendedora deberá preparar los reglamentos del proceso de enajenación conforme las condiciones específicas que se requieran para la respectiva transacción. </w:t>
      </w:r>
      <w:r w:rsidR="00E337CF" w:rsidRPr="009A53B7">
        <w:rPr>
          <w:rFonts w:ascii="Arial Narrow" w:eastAsia="Calibri" w:hAnsi="Arial Narrow" w:cs="Arial"/>
          <w:sz w:val="22"/>
          <w:szCs w:val="22"/>
        </w:rPr>
        <w:t>Los reglamentos deben procurar por la protección de la democratizaci</w:t>
      </w:r>
      <w:r w:rsidR="008265D6" w:rsidRPr="009A53B7">
        <w:rPr>
          <w:rFonts w:ascii="Arial Narrow" w:eastAsia="Calibri" w:hAnsi="Arial Narrow" w:cs="Arial"/>
          <w:sz w:val="22"/>
          <w:szCs w:val="22"/>
        </w:rPr>
        <w:t>ón, así</w:t>
      </w:r>
      <w:r w:rsidR="00E337CF" w:rsidRPr="009A53B7">
        <w:rPr>
          <w:rFonts w:ascii="Arial Narrow" w:eastAsia="Calibri" w:hAnsi="Arial Narrow" w:cs="Arial"/>
          <w:sz w:val="22"/>
          <w:szCs w:val="22"/>
        </w:rPr>
        <w:t xml:space="preserve"> como de la amplia divulgación y publicidad del </w:t>
      </w:r>
      <w:r w:rsidR="008265D6" w:rsidRPr="009A53B7">
        <w:rPr>
          <w:rFonts w:ascii="Arial Narrow" w:eastAsia="Calibri" w:hAnsi="Arial Narrow" w:cs="Arial"/>
          <w:sz w:val="22"/>
          <w:szCs w:val="22"/>
        </w:rPr>
        <w:t xml:space="preserve">programa. </w:t>
      </w:r>
    </w:p>
    <w:p w14:paraId="00930198" w14:textId="77777777" w:rsidR="007963F6" w:rsidRPr="009A53B7" w:rsidRDefault="00586CA3" w:rsidP="007963F6">
      <w:pPr>
        <w:pStyle w:val="Prrafodelista"/>
        <w:numPr>
          <w:ilvl w:val="0"/>
          <w:numId w:val="33"/>
        </w:numPr>
        <w:jc w:val="both"/>
        <w:rPr>
          <w:rFonts w:ascii="Arial Narrow" w:eastAsia="Calibri" w:hAnsi="Arial Narrow" w:cs="Arial"/>
          <w:sz w:val="22"/>
          <w:szCs w:val="22"/>
        </w:rPr>
      </w:pPr>
      <w:r w:rsidRPr="009A53B7">
        <w:rPr>
          <w:rFonts w:ascii="Arial Narrow" w:eastAsia="Calibri" w:hAnsi="Arial Narrow" w:cs="Arial"/>
          <w:b/>
          <w:sz w:val="22"/>
          <w:szCs w:val="22"/>
        </w:rPr>
        <w:t xml:space="preserve">Programa de promoción, divulgación, publicidad y transparencia: </w:t>
      </w:r>
      <w:r w:rsidRPr="009A53B7">
        <w:rPr>
          <w:rFonts w:ascii="Arial Narrow" w:eastAsia="Calibri" w:hAnsi="Arial Narrow" w:cs="Arial"/>
          <w:sz w:val="22"/>
          <w:szCs w:val="22"/>
        </w:rPr>
        <w:t xml:space="preserve">La entidad que inicie el proceso de enajenación debe asegurarse de mantener los medios idóneos para cumplir con los principios de amplia publicidad y libre concurrencia. Los reglamentos de enajenación deben contener todo lo referente al programa de divulgación. </w:t>
      </w:r>
    </w:p>
    <w:p w14:paraId="22B0C6D6" w14:textId="77777777" w:rsidR="007963F6" w:rsidRPr="009A53B7" w:rsidRDefault="007963F6" w:rsidP="007963F6">
      <w:pPr>
        <w:pStyle w:val="Prrafodelista"/>
        <w:ind w:left="720"/>
        <w:jc w:val="both"/>
        <w:rPr>
          <w:rFonts w:ascii="Arial Narrow" w:eastAsia="Calibri" w:hAnsi="Arial Narrow" w:cs="Arial"/>
          <w:sz w:val="22"/>
          <w:szCs w:val="22"/>
        </w:rPr>
      </w:pPr>
    </w:p>
    <w:p w14:paraId="72C8D66F" w14:textId="77777777" w:rsidR="007963F6" w:rsidRPr="009A53B7" w:rsidRDefault="007963F6" w:rsidP="007963F6">
      <w:pPr>
        <w:pStyle w:val="Prrafodelista"/>
        <w:numPr>
          <w:ilvl w:val="0"/>
          <w:numId w:val="33"/>
        </w:numPr>
        <w:jc w:val="both"/>
        <w:rPr>
          <w:rFonts w:ascii="Arial Narrow" w:eastAsia="Calibri" w:hAnsi="Arial Narrow" w:cs="Arial"/>
          <w:sz w:val="22"/>
          <w:szCs w:val="22"/>
        </w:rPr>
      </w:pPr>
      <w:r w:rsidRPr="009A53B7">
        <w:rPr>
          <w:rFonts w:ascii="Arial Narrow" w:eastAsia="Calibri" w:hAnsi="Arial Narrow" w:cs="Arial"/>
          <w:b/>
          <w:sz w:val="22"/>
          <w:szCs w:val="22"/>
        </w:rPr>
        <w:t>Contratación Banca de Inversión: Idoneidad, informes y remuneración:</w:t>
      </w:r>
      <w:r w:rsidRPr="009A53B7">
        <w:rPr>
          <w:rFonts w:ascii="Arial Narrow" w:eastAsia="Calibri" w:hAnsi="Arial Narrow" w:cs="Arial"/>
          <w:sz w:val="22"/>
          <w:szCs w:val="22"/>
        </w:rPr>
        <w:t xml:space="preserve"> </w:t>
      </w:r>
    </w:p>
    <w:p w14:paraId="1DD74BBD" w14:textId="77777777" w:rsidR="007963F6" w:rsidRPr="009A53B7" w:rsidRDefault="007963F6" w:rsidP="007963F6">
      <w:pPr>
        <w:pStyle w:val="Prrafodelista"/>
        <w:jc w:val="both"/>
        <w:rPr>
          <w:rFonts w:ascii="Arial Narrow" w:eastAsia="Calibri" w:hAnsi="Arial Narrow" w:cs="Arial"/>
          <w:b/>
          <w:sz w:val="22"/>
          <w:szCs w:val="22"/>
        </w:rPr>
      </w:pPr>
    </w:p>
    <w:p w14:paraId="678140A3" w14:textId="77777777" w:rsidR="007963F6" w:rsidRPr="009A53B7" w:rsidRDefault="007963F6" w:rsidP="007963F6">
      <w:pPr>
        <w:pStyle w:val="Prrafodelista"/>
        <w:numPr>
          <w:ilvl w:val="0"/>
          <w:numId w:val="30"/>
        </w:numPr>
        <w:contextualSpacing/>
        <w:jc w:val="both"/>
        <w:rPr>
          <w:rFonts w:ascii="Arial Narrow" w:eastAsia="Calibri" w:hAnsi="Arial Narrow" w:cs="Arial"/>
          <w:sz w:val="22"/>
          <w:szCs w:val="22"/>
        </w:rPr>
      </w:pPr>
      <w:r w:rsidRPr="009A53B7">
        <w:rPr>
          <w:rFonts w:ascii="Arial Narrow" w:eastAsia="Calibri" w:hAnsi="Arial Narrow" w:cs="Arial"/>
          <w:sz w:val="22"/>
          <w:szCs w:val="22"/>
        </w:rPr>
        <w:t xml:space="preserve">Para el caso específico de los Ministerios, el artículo 7º de la Ley 226 de 1995 dispuso que: </w:t>
      </w:r>
      <w:r w:rsidRPr="009A53B7">
        <w:rPr>
          <w:rFonts w:ascii="Arial Narrow" w:eastAsia="Calibri" w:hAnsi="Arial Narrow" w:cs="Arial"/>
          <w:i/>
          <w:sz w:val="22"/>
          <w:szCs w:val="22"/>
        </w:rPr>
        <w:t xml:space="preserve">“Corresponderá al Ministerio titular o a aquel al cual estén adscritos o vinculados los titulares de la participación social, en coordinación con el Ministerio de Hacienda y Crédito Público, diseñar el programa de enajenación respectivo, directamente o a través de instituciones idóneas, públicas o privadas, </w:t>
      </w:r>
      <w:r w:rsidRPr="009A53B7">
        <w:rPr>
          <w:rFonts w:ascii="Arial Narrow" w:eastAsia="Calibri" w:hAnsi="Arial Narrow" w:cs="Arial"/>
          <w:i/>
          <w:sz w:val="22"/>
          <w:szCs w:val="22"/>
          <w:u w:val="single"/>
        </w:rPr>
        <w:t>contratadas para el efecto según las normas de derecho privado</w:t>
      </w:r>
      <w:r w:rsidRPr="009A53B7">
        <w:rPr>
          <w:rFonts w:ascii="Arial Narrow" w:eastAsia="Calibri" w:hAnsi="Arial Narrow" w:cs="Arial"/>
          <w:i/>
          <w:sz w:val="22"/>
          <w:szCs w:val="22"/>
        </w:rPr>
        <w:t>”.</w:t>
      </w:r>
    </w:p>
    <w:p w14:paraId="6499A925" w14:textId="77777777" w:rsidR="007963F6" w:rsidRPr="009A53B7" w:rsidRDefault="007963F6" w:rsidP="007963F6">
      <w:pPr>
        <w:pStyle w:val="Prrafodelista"/>
        <w:ind w:left="1854"/>
        <w:jc w:val="both"/>
        <w:rPr>
          <w:rFonts w:ascii="Arial Narrow" w:eastAsia="Calibri" w:hAnsi="Arial Narrow" w:cs="Arial"/>
          <w:i/>
          <w:sz w:val="22"/>
          <w:szCs w:val="22"/>
        </w:rPr>
      </w:pPr>
    </w:p>
    <w:p w14:paraId="75FADAE9" w14:textId="77777777" w:rsidR="007963F6" w:rsidRPr="009A53B7" w:rsidRDefault="007963F6" w:rsidP="007963F6">
      <w:pPr>
        <w:pStyle w:val="Prrafodelista"/>
        <w:numPr>
          <w:ilvl w:val="0"/>
          <w:numId w:val="30"/>
        </w:numPr>
        <w:ind w:left="1843" w:hanging="709"/>
        <w:contextualSpacing/>
        <w:jc w:val="both"/>
        <w:rPr>
          <w:rFonts w:ascii="Arial Narrow" w:eastAsia="Calibri" w:hAnsi="Arial Narrow" w:cs="Arial"/>
          <w:b/>
          <w:sz w:val="22"/>
          <w:szCs w:val="22"/>
        </w:rPr>
      </w:pPr>
      <w:r w:rsidRPr="009A53B7">
        <w:rPr>
          <w:rFonts w:ascii="Arial Narrow" w:eastAsia="Calibri" w:hAnsi="Arial Narrow" w:cs="Arial"/>
          <w:sz w:val="22"/>
          <w:szCs w:val="22"/>
        </w:rPr>
        <w:t xml:space="preserve">En línea con el numeral anterior, el ejercicio técnico de valoración debe contar con el acompañamiento de una institución idónea que cuente con experiencia calificada para llevar a cabo la valoración y enajenación correspondiente. En tal sentido, se sugiere corroborar la idoneidad de la firma escogida por parte de la entidad que busque adelantar el proceso de venta de las acciones, un buen ejercicio podría ser consultar las bases “league table” por sector.  </w:t>
      </w:r>
    </w:p>
    <w:p w14:paraId="33AD211E" w14:textId="77777777" w:rsidR="007963F6" w:rsidRPr="009A53B7" w:rsidRDefault="007963F6" w:rsidP="007963F6">
      <w:pPr>
        <w:pStyle w:val="Prrafodelista"/>
        <w:ind w:left="1843"/>
        <w:jc w:val="both"/>
        <w:rPr>
          <w:rFonts w:ascii="Arial Narrow" w:eastAsia="Calibri" w:hAnsi="Arial Narrow" w:cs="Arial"/>
          <w:b/>
          <w:sz w:val="22"/>
          <w:szCs w:val="22"/>
        </w:rPr>
      </w:pPr>
    </w:p>
    <w:p w14:paraId="13DC5B23" w14:textId="77777777" w:rsidR="007963F6" w:rsidRPr="009A53B7" w:rsidRDefault="007963F6" w:rsidP="007963F6">
      <w:pPr>
        <w:pStyle w:val="Prrafodelista"/>
        <w:numPr>
          <w:ilvl w:val="0"/>
          <w:numId w:val="30"/>
        </w:numPr>
        <w:ind w:left="1843" w:hanging="709"/>
        <w:contextualSpacing/>
        <w:jc w:val="both"/>
        <w:rPr>
          <w:rFonts w:ascii="Arial Narrow" w:eastAsia="Calibri" w:hAnsi="Arial Narrow" w:cs="Arial"/>
          <w:b/>
          <w:sz w:val="22"/>
          <w:szCs w:val="22"/>
        </w:rPr>
      </w:pPr>
      <w:r w:rsidRPr="009A53B7">
        <w:rPr>
          <w:rFonts w:ascii="Arial Narrow" w:eastAsia="Calibri" w:hAnsi="Arial Narrow" w:cs="Arial"/>
          <w:sz w:val="22"/>
          <w:szCs w:val="22"/>
        </w:rPr>
        <w:t xml:space="preserve">Los informes de valoración deben ser completos y reflejar el cumplimiento de las obligaciones del contratista. Así mismo, los informes de valoración deben contener los aspectos más relevantes del ejercicio: metodologías, supuestos, fuentes, proyecciones, resultados históricos, precio objetivo, entre otros. </w:t>
      </w:r>
    </w:p>
    <w:p w14:paraId="07A0FC06" w14:textId="77777777" w:rsidR="007963F6" w:rsidRPr="009A53B7" w:rsidRDefault="007963F6" w:rsidP="007963F6">
      <w:pPr>
        <w:pStyle w:val="Prrafodelista"/>
        <w:rPr>
          <w:rFonts w:ascii="Arial Narrow" w:eastAsia="Calibri" w:hAnsi="Arial Narrow" w:cs="Arial"/>
          <w:b/>
          <w:sz w:val="22"/>
          <w:szCs w:val="22"/>
        </w:rPr>
      </w:pPr>
    </w:p>
    <w:p w14:paraId="45F12F65" w14:textId="77777777" w:rsidR="007963F6" w:rsidRPr="009A53B7" w:rsidRDefault="007963F6" w:rsidP="007963F6">
      <w:pPr>
        <w:pStyle w:val="Prrafodelista"/>
        <w:numPr>
          <w:ilvl w:val="0"/>
          <w:numId w:val="30"/>
        </w:numPr>
        <w:ind w:left="1843" w:hanging="709"/>
        <w:contextualSpacing/>
        <w:jc w:val="both"/>
        <w:rPr>
          <w:rFonts w:ascii="Arial Narrow" w:eastAsia="Calibri" w:hAnsi="Arial Narrow" w:cs="Arial"/>
          <w:b/>
          <w:sz w:val="22"/>
          <w:szCs w:val="22"/>
        </w:rPr>
      </w:pPr>
      <w:r w:rsidRPr="009A53B7">
        <w:rPr>
          <w:rFonts w:ascii="Arial Narrow" w:eastAsia="Calibri" w:hAnsi="Arial Narrow" w:cs="Arial"/>
          <w:sz w:val="22"/>
          <w:szCs w:val="22"/>
        </w:rPr>
        <w:t xml:space="preserve">En caso de incluir comisión de éxito en los contratos de las instituciones que llevarán a cabo el proceso de enajenación, se sugiere diseñar dicha comisión de tal forma que incentive la remuneración en función de la maximización del beneficio público. En tal sentido, la comisión de éxito podría ser estructurada en relación con la maximización/optimización de la venta por encima del precio base, el número de participaciones en presentar ofertas, una combinación de las anteriores u otras medidas que busquen incentivar los intereses del Estado.  </w:t>
      </w:r>
    </w:p>
    <w:p w14:paraId="50B41EE4" w14:textId="77777777" w:rsidR="007963F6" w:rsidRPr="009A53B7" w:rsidRDefault="007963F6" w:rsidP="007963F6">
      <w:pPr>
        <w:pStyle w:val="Prrafodelista"/>
        <w:rPr>
          <w:rFonts w:ascii="Arial Narrow" w:eastAsia="Calibri" w:hAnsi="Arial Narrow" w:cs="Arial"/>
          <w:b/>
          <w:sz w:val="22"/>
          <w:szCs w:val="22"/>
        </w:rPr>
      </w:pPr>
    </w:p>
    <w:p w14:paraId="2911EB91" w14:textId="4A9A2372" w:rsidR="007963F6" w:rsidRPr="009A53B7" w:rsidRDefault="007963F6" w:rsidP="007963F6">
      <w:pPr>
        <w:pStyle w:val="Prrafodelista"/>
        <w:numPr>
          <w:ilvl w:val="0"/>
          <w:numId w:val="33"/>
        </w:numPr>
        <w:jc w:val="both"/>
        <w:rPr>
          <w:rFonts w:ascii="Arial Narrow" w:eastAsia="Calibri" w:hAnsi="Arial Narrow" w:cs="Arial"/>
          <w:sz w:val="22"/>
          <w:szCs w:val="22"/>
        </w:rPr>
      </w:pPr>
      <w:r w:rsidRPr="009A53B7">
        <w:rPr>
          <w:rFonts w:ascii="Arial Narrow" w:eastAsia="Calibri" w:hAnsi="Arial Narrow" w:cs="Arial"/>
          <w:b/>
          <w:sz w:val="22"/>
          <w:szCs w:val="22"/>
        </w:rPr>
        <w:t xml:space="preserve">Análisis de competencia: </w:t>
      </w:r>
      <w:r w:rsidR="00B20539" w:rsidRPr="009A53B7">
        <w:rPr>
          <w:rFonts w:ascii="Arial Narrow" w:eastAsia="Calibri" w:hAnsi="Arial Narrow" w:cs="Arial"/>
          <w:sz w:val="22"/>
          <w:szCs w:val="22"/>
        </w:rPr>
        <w:t>En caso de que</w:t>
      </w:r>
      <w:r w:rsidRPr="009A53B7">
        <w:rPr>
          <w:rFonts w:ascii="Arial Narrow" w:eastAsia="Calibri" w:hAnsi="Arial Narrow" w:cs="Arial"/>
          <w:sz w:val="22"/>
          <w:szCs w:val="22"/>
        </w:rPr>
        <w:t xml:space="preserve"> sea requerido, se debe solicitar un “Análisis de competencia” ante la Superintendencia de Industria y Comercio a los potenciales interesados en comprar la participación accionaria. El presente requerimiento </w:t>
      </w:r>
      <w:r w:rsidR="00E337CF" w:rsidRPr="009A53B7">
        <w:rPr>
          <w:rFonts w:ascii="Arial Narrow" w:eastAsia="Calibri" w:hAnsi="Arial Narrow" w:cs="Arial"/>
          <w:sz w:val="22"/>
          <w:szCs w:val="22"/>
        </w:rPr>
        <w:t xml:space="preserve">que deberá ser exigido a los potenciales interesados, </w:t>
      </w:r>
      <w:r w:rsidRPr="009A53B7">
        <w:rPr>
          <w:rFonts w:ascii="Arial Narrow" w:eastAsia="Calibri" w:hAnsi="Arial Narrow" w:cs="Arial"/>
          <w:sz w:val="22"/>
          <w:szCs w:val="22"/>
        </w:rPr>
        <w:t xml:space="preserve">podrá quedar consignado en los reglamentos del programa.  </w:t>
      </w:r>
    </w:p>
    <w:p w14:paraId="2F86F23E" w14:textId="77777777" w:rsidR="00586CA3" w:rsidRPr="009A53B7" w:rsidRDefault="00586CA3" w:rsidP="008636B6">
      <w:pPr>
        <w:rPr>
          <w:rFonts w:ascii="Arial Narrow" w:hAnsi="Arial Narrow"/>
        </w:rPr>
      </w:pPr>
    </w:p>
    <w:p w14:paraId="670802D2" w14:textId="77777777" w:rsidR="00733B53" w:rsidRPr="009A53B7" w:rsidRDefault="00733B53" w:rsidP="00733B53">
      <w:pPr>
        <w:pStyle w:val="Ttulo2"/>
        <w:numPr>
          <w:ilvl w:val="1"/>
          <w:numId w:val="20"/>
        </w:numPr>
        <w:rPr>
          <w:rFonts w:ascii="Arial Narrow" w:hAnsi="Arial Narrow"/>
          <w:sz w:val="24"/>
          <w:szCs w:val="24"/>
        </w:rPr>
      </w:pPr>
      <w:bookmarkStart w:id="21" w:name="_Toc10047338"/>
      <w:r w:rsidRPr="009A53B7">
        <w:rPr>
          <w:rFonts w:ascii="Arial Narrow" w:hAnsi="Arial Narrow"/>
          <w:sz w:val="24"/>
          <w:szCs w:val="24"/>
        </w:rPr>
        <w:t xml:space="preserve">Procesos de enajenación </w:t>
      </w:r>
      <w:r w:rsidRPr="009A53B7">
        <w:rPr>
          <w:rFonts w:ascii="Arial Narrow" w:hAnsi="Arial Narrow" w:cs="Arial"/>
          <w:sz w:val="24"/>
          <w:szCs w:val="24"/>
        </w:rPr>
        <w:t>enmarcados en lo dispuesto en el artículo 162 de la Ley 1753 de 2015, modificado por el artículo 45 de la Ley del Plan Nacional de Desarrollo 2018-2022</w:t>
      </w:r>
      <w:r w:rsidR="00E337CF" w:rsidRPr="009A53B7">
        <w:rPr>
          <w:rFonts w:ascii="Arial Narrow" w:hAnsi="Arial Narrow" w:cs="Arial"/>
          <w:sz w:val="24"/>
          <w:szCs w:val="24"/>
        </w:rPr>
        <w:t>:</w:t>
      </w:r>
      <w:bookmarkEnd w:id="21"/>
      <w:r w:rsidR="00E337CF" w:rsidRPr="009A53B7">
        <w:rPr>
          <w:rFonts w:ascii="Arial Narrow" w:hAnsi="Arial Narrow" w:cs="Arial"/>
          <w:sz w:val="24"/>
          <w:szCs w:val="24"/>
        </w:rPr>
        <w:t xml:space="preserve"> </w:t>
      </w:r>
    </w:p>
    <w:p w14:paraId="39612B60" w14:textId="77777777" w:rsidR="00733B53" w:rsidRPr="009A53B7" w:rsidRDefault="00733B53" w:rsidP="003C686A">
      <w:pPr>
        <w:rPr>
          <w:rFonts w:ascii="Arial Narrow" w:hAnsi="Arial Narrow"/>
        </w:rPr>
      </w:pPr>
    </w:p>
    <w:p w14:paraId="5FC9C9BB" w14:textId="77777777" w:rsidR="00FA3F8C" w:rsidRPr="009A53B7" w:rsidRDefault="00FA3F8C" w:rsidP="00FA3F8C">
      <w:pPr>
        <w:pStyle w:val="NormalWeb"/>
        <w:spacing w:before="0" w:beforeAutospacing="0" w:after="0" w:afterAutospacing="0"/>
        <w:jc w:val="both"/>
        <w:rPr>
          <w:rFonts w:ascii="Arial Narrow" w:hAnsi="Arial Narrow" w:cs="Calibri"/>
          <w:sz w:val="22"/>
          <w:szCs w:val="22"/>
          <w:lang w:val="es-CO"/>
        </w:rPr>
      </w:pPr>
      <w:r w:rsidRPr="009A53B7">
        <w:rPr>
          <w:rFonts w:ascii="Arial Narrow" w:hAnsi="Arial Narrow" w:cs="Futura"/>
          <w:bCs/>
          <w:sz w:val="22"/>
          <w:szCs w:val="22"/>
          <w:lang w:val="es-CO"/>
        </w:rPr>
        <w:lastRenderedPageBreak/>
        <w:t>La</w:t>
      </w:r>
      <w:r w:rsidRPr="009A53B7">
        <w:rPr>
          <w:rFonts w:ascii="Arial Narrow" w:hAnsi="Arial Narrow"/>
          <w:sz w:val="22"/>
          <w:szCs w:val="22"/>
          <w:lang w:val="es-CO"/>
        </w:rPr>
        <w:t xml:space="preserve"> L</w:t>
      </w:r>
      <w:r w:rsidRPr="009A53B7">
        <w:rPr>
          <w:rFonts w:ascii="Arial Narrow" w:hAnsi="Arial Narrow" w:cs="Calibri"/>
          <w:sz w:val="22"/>
          <w:szCs w:val="22"/>
          <w:lang w:val="es-CO"/>
        </w:rPr>
        <w:t>ey 1753 de 2015, por medio de la cual se expidió el Plan Nacional de Desarrollo 2014-2018 “Todos por un nuevo país</w:t>
      </w:r>
      <w:r w:rsidR="00903049" w:rsidRPr="009A53B7">
        <w:rPr>
          <w:rFonts w:ascii="Arial Narrow" w:hAnsi="Arial Narrow" w:cs="Calibri"/>
          <w:sz w:val="22"/>
          <w:szCs w:val="22"/>
          <w:lang w:val="es-CO"/>
        </w:rPr>
        <w:t>,</w:t>
      </w:r>
      <w:r w:rsidRPr="009A53B7">
        <w:rPr>
          <w:rFonts w:ascii="Arial Narrow" w:hAnsi="Arial Narrow" w:cs="Calibri"/>
          <w:sz w:val="22"/>
          <w:szCs w:val="22"/>
          <w:lang w:val="es-CO"/>
        </w:rPr>
        <w:t xml:space="preserve"> </w:t>
      </w:r>
      <w:r w:rsidR="00903049" w:rsidRPr="009A53B7">
        <w:rPr>
          <w:rFonts w:ascii="Arial Narrow" w:hAnsi="Arial Narrow" w:cs="Calibri"/>
          <w:sz w:val="22"/>
          <w:szCs w:val="22"/>
          <w:lang w:val="es-CO"/>
        </w:rPr>
        <w:t xml:space="preserve">dispuso </w:t>
      </w:r>
      <w:r w:rsidRPr="009A53B7">
        <w:rPr>
          <w:rFonts w:ascii="Arial Narrow" w:hAnsi="Arial Narrow" w:cs="Calibri"/>
          <w:sz w:val="22"/>
          <w:szCs w:val="22"/>
          <w:lang w:val="es-CO"/>
        </w:rPr>
        <w:t>en su artículo 162</w:t>
      </w:r>
      <w:r w:rsidR="00903049" w:rsidRPr="009A53B7">
        <w:rPr>
          <w:rFonts w:ascii="Arial Narrow" w:hAnsi="Arial Narrow" w:cs="Calibri"/>
          <w:sz w:val="22"/>
          <w:szCs w:val="22"/>
          <w:lang w:val="es-CO"/>
        </w:rPr>
        <w:t xml:space="preserve"> que </w:t>
      </w:r>
      <w:r w:rsidRPr="009A53B7">
        <w:rPr>
          <w:rFonts w:ascii="Arial Narrow" w:hAnsi="Arial Narrow" w:cs="Calibri"/>
          <w:sz w:val="22"/>
          <w:szCs w:val="22"/>
          <w:lang w:val="es-CO"/>
        </w:rPr>
        <w:t>“</w:t>
      </w:r>
      <w:r w:rsidRPr="009A53B7">
        <w:rPr>
          <w:rFonts w:ascii="Arial Narrow" w:hAnsi="Arial Narrow" w:cs="Calibri"/>
          <w:i/>
          <w:sz w:val="22"/>
          <w:szCs w:val="22"/>
          <w:lang w:val="es-CO"/>
        </w:rPr>
        <w:t>La Nación podrá enajenar o entregar al colector de activos de la Nación, Central de Inversiones (CISA), aquellas participaciones accionarias en las cuales la propiedad de las mismas haya sido producto de un acto en el que no haya mediado la voluntad expresa de la Nación o que provengan de una dación en pago, siempre y cuando esta participación no supere el diez por ciento (10%) de la propiedad accionaria de la empresa (…).”  “En el evento en que la Nación decida entregar las acciones para que el Colector de Activos adelante el proceso de enajenación, este se efectuará conforme al modelo de valoración y al procedimiento establecido por CISA”</w:t>
      </w:r>
      <w:r w:rsidRPr="009A53B7">
        <w:rPr>
          <w:rFonts w:ascii="Arial Narrow" w:hAnsi="Arial Narrow" w:cs="Calibri"/>
          <w:sz w:val="22"/>
          <w:szCs w:val="22"/>
          <w:lang w:val="es-CO"/>
        </w:rPr>
        <w:t>.</w:t>
      </w:r>
    </w:p>
    <w:p w14:paraId="5B4CEC30" w14:textId="77777777" w:rsidR="00FA3F8C" w:rsidRPr="009A53B7" w:rsidRDefault="00FA3F8C" w:rsidP="00FA3F8C">
      <w:pPr>
        <w:pStyle w:val="NormalWeb"/>
        <w:spacing w:before="0" w:beforeAutospacing="0" w:after="0" w:afterAutospacing="0"/>
        <w:rPr>
          <w:rFonts w:ascii="Arial Narrow" w:hAnsi="Arial Narrow" w:cs="Calibri"/>
          <w:sz w:val="22"/>
          <w:szCs w:val="22"/>
          <w:lang w:val="es-CO"/>
        </w:rPr>
      </w:pPr>
    </w:p>
    <w:p w14:paraId="310DE4CD" w14:textId="77777777" w:rsidR="000234B3" w:rsidRPr="009A53B7" w:rsidRDefault="00903049" w:rsidP="000234B3">
      <w:pPr>
        <w:pStyle w:val="NormalWeb"/>
        <w:spacing w:before="0" w:beforeAutospacing="0" w:after="0" w:afterAutospacing="0"/>
        <w:jc w:val="both"/>
        <w:rPr>
          <w:rFonts w:ascii="Arial Narrow" w:hAnsi="Arial Narrow" w:cs="Calibri"/>
          <w:sz w:val="22"/>
          <w:szCs w:val="22"/>
          <w:lang w:val="es-CO"/>
        </w:rPr>
      </w:pPr>
      <w:r w:rsidRPr="009A53B7">
        <w:rPr>
          <w:rFonts w:ascii="Arial Narrow" w:hAnsi="Arial Narrow" w:cs="Calibri"/>
          <w:sz w:val="22"/>
          <w:szCs w:val="22"/>
          <w:lang w:val="es-CO"/>
        </w:rPr>
        <w:t>En desarrol</w:t>
      </w:r>
      <w:r w:rsidR="00596AB0" w:rsidRPr="009A53B7">
        <w:rPr>
          <w:rFonts w:ascii="Arial Narrow" w:hAnsi="Arial Narrow" w:cs="Calibri"/>
          <w:sz w:val="22"/>
          <w:szCs w:val="22"/>
          <w:lang w:val="es-CO"/>
        </w:rPr>
        <w:t>lo del artículo</w:t>
      </w:r>
      <w:r w:rsidRPr="009A53B7">
        <w:rPr>
          <w:rFonts w:ascii="Arial Narrow" w:hAnsi="Arial Narrow" w:cs="Calibri"/>
          <w:sz w:val="22"/>
          <w:szCs w:val="22"/>
          <w:lang w:val="es-CO"/>
        </w:rPr>
        <w:t xml:space="preserve"> anterior,</w:t>
      </w:r>
      <w:r w:rsidR="00FA3F8C" w:rsidRPr="009A53B7">
        <w:rPr>
          <w:rFonts w:ascii="Arial Narrow" w:hAnsi="Arial Narrow" w:cs="Calibri"/>
          <w:sz w:val="22"/>
          <w:szCs w:val="22"/>
          <w:lang w:val="es-CO"/>
        </w:rPr>
        <w:t xml:space="preserve"> mediante el Decreto 1778 de 2016, modificatorio del Decreto 1068 de 2015, </w:t>
      </w:r>
      <w:r w:rsidR="00596AB0" w:rsidRPr="009A53B7">
        <w:rPr>
          <w:rFonts w:ascii="Arial Narrow" w:hAnsi="Arial Narrow" w:cs="Calibri"/>
          <w:sz w:val="22"/>
          <w:szCs w:val="22"/>
          <w:lang w:val="es-CO"/>
        </w:rPr>
        <w:t xml:space="preserve">por el cual se modificó el Título 2 de la Parte 5 del Libro 2 del Decreto 1068 de 2015 en lo relacionado con la movilización de activos, planes de enajenación onerosa y enajenación de participaciones minoritarias, </w:t>
      </w:r>
      <w:r w:rsidR="00FA3F8C" w:rsidRPr="009A53B7">
        <w:rPr>
          <w:rFonts w:ascii="Arial Narrow" w:hAnsi="Arial Narrow" w:cs="Calibri"/>
          <w:sz w:val="22"/>
          <w:szCs w:val="22"/>
          <w:lang w:val="es-CO"/>
        </w:rPr>
        <w:t xml:space="preserve">se definieron los parámetros </w:t>
      </w:r>
      <w:proofErr w:type="gramStart"/>
      <w:r w:rsidR="00FA3F8C" w:rsidRPr="009A53B7">
        <w:rPr>
          <w:rFonts w:ascii="Arial Narrow" w:hAnsi="Arial Narrow" w:cs="Calibri"/>
          <w:sz w:val="22"/>
          <w:szCs w:val="22"/>
          <w:lang w:val="es-CO"/>
        </w:rPr>
        <w:t>a</w:t>
      </w:r>
      <w:proofErr w:type="gramEnd"/>
      <w:r w:rsidR="00FA3F8C" w:rsidRPr="009A53B7">
        <w:rPr>
          <w:rFonts w:ascii="Arial Narrow" w:hAnsi="Arial Narrow" w:cs="Calibri"/>
          <w:sz w:val="22"/>
          <w:szCs w:val="22"/>
          <w:lang w:val="es-CO"/>
        </w:rPr>
        <w:t xml:space="preserve"> tener en cuenta para proceder a la enajenación de las participac</w:t>
      </w:r>
      <w:r w:rsidRPr="009A53B7">
        <w:rPr>
          <w:rFonts w:ascii="Arial Narrow" w:hAnsi="Arial Narrow" w:cs="Calibri"/>
          <w:sz w:val="22"/>
          <w:szCs w:val="22"/>
          <w:lang w:val="es-CO"/>
        </w:rPr>
        <w:t xml:space="preserve">iones accionarias de la Nación </w:t>
      </w:r>
      <w:r w:rsidR="00FA3F8C" w:rsidRPr="009A53B7">
        <w:rPr>
          <w:rFonts w:ascii="Arial Narrow" w:hAnsi="Arial Narrow" w:cs="Calibri"/>
          <w:sz w:val="22"/>
          <w:szCs w:val="22"/>
          <w:lang w:val="es-CO"/>
        </w:rPr>
        <w:t>descritas en el numeral anterior.</w:t>
      </w:r>
      <w:r w:rsidR="00CD7AA2" w:rsidRPr="009A53B7">
        <w:rPr>
          <w:rFonts w:ascii="Arial Narrow" w:hAnsi="Arial Narrow" w:cs="Calibri"/>
          <w:sz w:val="22"/>
          <w:szCs w:val="22"/>
          <w:lang w:val="es-CO"/>
        </w:rPr>
        <w:t xml:space="preserve"> </w:t>
      </w:r>
      <w:r w:rsidR="000234B3" w:rsidRPr="009A53B7">
        <w:rPr>
          <w:rFonts w:ascii="Arial Narrow" w:hAnsi="Arial Narrow" w:cs="Calibri"/>
          <w:sz w:val="22"/>
          <w:szCs w:val="22"/>
          <w:lang w:val="es-CO"/>
        </w:rPr>
        <w:t xml:space="preserve">En particular, el Decreto 1778 dispone que cuando la Nación opte por enajenar directamente participación en una empresa, no le será aplicable el procedimiento de enajenación establecido en la Ley 226 de 1995, sino que tal como lo dispone la Ley 1753 de 2015, deberá dar aplicación al régimen societario al que se encuentre sometida la empresa cuya participación es objeto de enajenación. </w:t>
      </w:r>
    </w:p>
    <w:p w14:paraId="7D0F4D82" w14:textId="77777777" w:rsidR="00CD7AA2" w:rsidRPr="009A53B7" w:rsidRDefault="00CD7AA2" w:rsidP="00FA3F8C">
      <w:pPr>
        <w:pStyle w:val="NormalWeb"/>
        <w:spacing w:before="0" w:beforeAutospacing="0" w:after="0" w:afterAutospacing="0"/>
        <w:jc w:val="both"/>
        <w:rPr>
          <w:rFonts w:ascii="Arial Narrow" w:hAnsi="Arial Narrow" w:cs="Calibri"/>
          <w:sz w:val="22"/>
          <w:szCs w:val="22"/>
          <w:lang w:val="es-CO"/>
        </w:rPr>
      </w:pPr>
    </w:p>
    <w:p w14:paraId="4F1D678A" w14:textId="77777777" w:rsidR="00CD7AA2" w:rsidRPr="009A53B7" w:rsidRDefault="00CD7AA2" w:rsidP="00CD7AA2">
      <w:pPr>
        <w:pStyle w:val="NormalWeb"/>
        <w:spacing w:before="0" w:beforeAutospacing="0" w:after="0" w:afterAutospacing="0"/>
        <w:jc w:val="both"/>
        <w:rPr>
          <w:rFonts w:ascii="Arial Narrow" w:hAnsi="Arial Narrow" w:cs="Calibri"/>
          <w:sz w:val="22"/>
          <w:szCs w:val="22"/>
          <w:lang w:val="es-CO"/>
        </w:rPr>
      </w:pPr>
      <w:r w:rsidRPr="009A53B7">
        <w:rPr>
          <w:rFonts w:ascii="Arial Narrow" w:hAnsi="Arial Narrow" w:cs="Calibri"/>
          <w:sz w:val="22"/>
          <w:szCs w:val="22"/>
          <w:lang w:val="es-CO"/>
        </w:rPr>
        <w:t>P</w:t>
      </w:r>
      <w:r w:rsidRPr="009A53B7">
        <w:rPr>
          <w:rFonts w:ascii="Arial Narrow" w:hAnsi="Arial Narrow"/>
          <w:sz w:val="22"/>
          <w:szCs w:val="22"/>
          <w:lang w:val="es-CO"/>
        </w:rPr>
        <w:t>osteriormente,</w:t>
      </w:r>
      <w:r w:rsidR="00B51ACC" w:rsidRPr="009A53B7">
        <w:rPr>
          <w:rFonts w:ascii="Arial Narrow" w:hAnsi="Arial Narrow"/>
          <w:sz w:val="22"/>
          <w:szCs w:val="22"/>
          <w:lang w:val="es-CO"/>
        </w:rPr>
        <w:t xml:space="preserve"> el artículo 45 de</w:t>
      </w:r>
      <w:r w:rsidRPr="009A53B7">
        <w:rPr>
          <w:rFonts w:ascii="Arial Narrow" w:hAnsi="Arial Narrow"/>
          <w:sz w:val="22"/>
          <w:szCs w:val="22"/>
          <w:lang w:val="es-CO"/>
        </w:rPr>
        <w:t xml:space="preserve"> </w:t>
      </w:r>
      <w:r w:rsidR="00B51ACC" w:rsidRPr="009A53B7">
        <w:rPr>
          <w:rFonts w:ascii="Arial Narrow" w:hAnsi="Arial Narrow"/>
          <w:sz w:val="22"/>
          <w:szCs w:val="22"/>
          <w:lang w:val="es-CO"/>
        </w:rPr>
        <w:t xml:space="preserve">la Ley del </w:t>
      </w:r>
      <w:r w:rsidRPr="009A53B7">
        <w:rPr>
          <w:rFonts w:ascii="Arial Narrow" w:hAnsi="Arial Narrow"/>
          <w:sz w:val="22"/>
          <w:szCs w:val="22"/>
          <w:lang w:val="es-CO"/>
        </w:rPr>
        <w:t>Plan Nacional de Desarrollo 2018</w:t>
      </w:r>
      <w:r w:rsidR="00B51ACC" w:rsidRPr="009A53B7">
        <w:rPr>
          <w:rFonts w:ascii="Arial Narrow" w:hAnsi="Arial Narrow"/>
          <w:sz w:val="22"/>
          <w:szCs w:val="22"/>
          <w:lang w:val="es-CO"/>
        </w:rPr>
        <w:t xml:space="preserve"> – 2022 </w:t>
      </w:r>
      <w:r w:rsidRPr="009A53B7">
        <w:rPr>
          <w:rFonts w:ascii="Arial Narrow" w:hAnsi="Arial Narrow"/>
          <w:sz w:val="22"/>
          <w:szCs w:val="22"/>
          <w:lang w:val="es-CO"/>
        </w:rPr>
        <w:t xml:space="preserve">modificó parcialmente el artículo 162 de la Ley 1753 de 2015 autorizando, entre otros, a las entidades estatales de cualquier orden para enajenar a través del colector de activos de la Nación, Central de Inversiones - CISA, aquellas participaciones accionarias en las cuales la propiedad de las mismas haya sido producto de un acto en el que no haya mediado la voluntad expresa de la entidad pública o que provengan de una dación en pago y, siempre y cuando esta participación no supere el </w:t>
      </w:r>
      <w:r w:rsidRPr="009A53B7">
        <w:rPr>
          <w:rFonts w:ascii="Arial Narrow" w:hAnsi="Arial Narrow"/>
          <w:b/>
          <w:sz w:val="22"/>
          <w:szCs w:val="22"/>
          <w:u w:val="single"/>
          <w:lang w:val="es-CO"/>
        </w:rPr>
        <w:t>cuarenta y nueve por ciento (49%)</w:t>
      </w:r>
      <w:r w:rsidRPr="009A53B7">
        <w:rPr>
          <w:rFonts w:ascii="Arial Narrow" w:hAnsi="Arial Narrow"/>
          <w:sz w:val="22"/>
          <w:szCs w:val="22"/>
          <w:lang w:val="es-CO"/>
        </w:rPr>
        <w:t xml:space="preserve"> de la propiedad accionaria de la sociedad, para lo cual </w:t>
      </w:r>
      <w:r w:rsidRPr="009A53B7">
        <w:rPr>
          <w:rFonts w:ascii="Arial Narrow" w:hAnsi="Arial Narrow" w:cs="Futura"/>
          <w:bCs/>
          <w:sz w:val="22"/>
          <w:szCs w:val="22"/>
          <w:lang w:val="es-CO"/>
        </w:rPr>
        <w:t>podrán suscribir un contrato interadministrativo.</w:t>
      </w:r>
    </w:p>
    <w:p w14:paraId="361A07F4" w14:textId="77777777" w:rsidR="00CD7AA2" w:rsidRPr="009A53B7" w:rsidRDefault="00CD7AA2" w:rsidP="00FA3F8C">
      <w:pPr>
        <w:pStyle w:val="NormalWeb"/>
        <w:spacing w:before="0" w:beforeAutospacing="0" w:after="0" w:afterAutospacing="0"/>
        <w:jc w:val="both"/>
        <w:rPr>
          <w:rFonts w:ascii="Arial Narrow" w:hAnsi="Arial Narrow" w:cs="Calibri"/>
          <w:sz w:val="22"/>
          <w:szCs w:val="22"/>
          <w:lang w:val="es-CO"/>
        </w:rPr>
      </w:pPr>
    </w:p>
    <w:p w14:paraId="1FAFE7EC" w14:textId="77777777" w:rsidR="00C95C55" w:rsidRPr="009A53B7" w:rsidRDefault="00CD7AA2" w:rsidP="00CD7AA2">
      <w:pPr>
        <w:pStyle w:val="NormalWeb"/>
        <w:spacing w:before="0" w:beforeAutospacing="0" w:after="0" w:afterAutospacing="0"/>
        <w:jc w:val="both"/>
        <w:rPr>
          <w:rFonts w:ascii="Arial Narrow" w:hAnsi="Arial Narrow" w:cs="Calibri"/>
          <w:sz w:val="22"/>
          <w:szCs w:val="22"/>
          <w:lang w:val="es-CO"/>
        </w:rPr>
      </w:pPr>
      <w:r w:rsidRPr="009A53B7">
        <w:rPr>
          <w:rFonts w:ascii="Arial Narrow" w:hAnsi="Arial Narrow" w:cs="Calibri"/>
          <w:sz w:val="22"/>
          <w:szCs w:val="22"/>
          <w:lang w:val="es-CO"/>
        </w:rPr>
        <w:t>En este sentido</w:t>
      </w:r>
      <w:r w:rsidR="00596AB0" w:rsidRPr="009A53B7">
        <w:rPr>
          <w:rFonts w:ascii="Arial Narrow" w:hAnsi="Arial Narrow" w:cs="Calibri"/>
          <w:sz w:val="22"/>
          <w:szCs w:val="22"/>
          <w:lang w:val="es-CO"/>
        </w:rPr>
        <w:t xml:space="preserve">, </w:t>
      </w:r>
      <w:r w:rsidRPr="009A53B7">
        <w:rPr>
          <w:rFonts w:ascii="Arial Narrow" w:hAnsi="Arial Narrow" w:cs="Calibri"/>
          <w:sz w:val="22"/>
          <w:szCs w:val="22"/>
          <w:lang w:val="es-CO"/>
        </w:rPr>
        <w:t>con la modificación introducida por el artículo 45 de la ley del Plan Nacional de Desarrollo 2018 – 2022,</w:t>
      </w:r>
      <w:r w:rsidR="00596AB0" w:rsidRPr="009A53B7">
        <w:rPr>
          <w:rFonts w:ascii="Arial Narrow" w:hAnsi="Arial Narrow" w:cs="Calibri"/>
          <w:sz w:val="22"/>
          <w:szCs w:val="22"/>
          <w:lang w:val="es-CO"/>
        </w:rPr>
        <w:t xml:space="preserve"> cuando el Estado sea propietario de participaciones accionarias en las cuales la propiedad de las mismas haya sido producto de un acto en el que no haya mediado la voluntad expresa de la Nación o que provengan de una dación en pago, y siempre que dicha participación no supere el cuarenta y nueve por ciento (49%) de la propiedad accionaria de la sociedad, se debe dar aplicación al régimen societario al que se encuentra sometida la empresa.</w:t>
      </w:r>
    </w:p>
    <w:p w14:paraId="3A60F8C4" w14:textId="77777777" w:rsidR="00C95C55" w:rsidRPr="009A53B7" w:rsidRDefault="00C95C55" w:rsidP="00CD7AA2">
      <w:pPr>
        <w:pStyle w:val="NormalWeb"/>
        <w:spacing w:before="0" w:beforeAutospacing="0" w:after="0" w:afterAutospacing="0"/>
        <w:jc w:val="both"/>
        <w:rPr>
          <w:rFonts w:ascii="Arial Narrow" w:hAnsi="Arial Narrow" w:cs="Calibri"/>
          <w:sz w:val="22"/>
          <w:szCs w:val="22"/>
          <w:lang w:val="es-CO"/>
        </w:rPr>
      </w:pPr>
    </w:p>
    <w:p w14:paraId="35343B3D" w14:textId="77777777" w:rsidR="00CD7AA2" w:rsidRPr="009A53B7" w:rsidRDefault="00C95C55" w:rsidP="00CD7AA2">
      <w:pPr>
        <w:pStyle w:val="NormalWeb"/>
        <w:spacing w:before="0" w:beforeAutospacing="0" w:after="0" w:afterAutospacing="0"/>
        <w:jc w:val="both"/>
        <w:rPr>
          <w:rFonts w:ascii="Arial Narrow" w:hAnsi="Arial Narrow" w:cs="Calibri"/>
          <w:sz w:val="22"/>
          <w:szCs w:val="22"/>
          <w:lang w:val="es-CO"/>
        </w:rPr>
      </w:pPr>
      <w:r w:rsidRPr="009A53B7">
        <w:rPr>
          <w:rFonts w:ascii="Arial Narrow" w:hAnsi="Arial Narrow" w:cs="Calibri"/>
          <w:sz w:val="22"/>
          <w:szCs w:val="22"/>
          <w:lang w:val="es-CO"/>
        </w:rPr>
        <w:t xml:space="preserve">Si bien el citado marco normativo aplica para las participaciones accionarias que cumplen con los criterios mencionados anteriormente, el Decreto 1778 dispuso dos opciones para adelantar la enajenación de la participación accionaria: </w:t>
      </w:r>
    </w:p>
    <w:p w14:paraId="2FD16A4E" w14:textId="77777777" w:rsidR="00CD7AA2" w:rsidRPr="009A53B7" w:rsidRDefault="00CD7AA2" w:rsidP="00596AB0">
      <w:pPr>
        <w:pStyle w:val="NormalWeb"/>
        <w:spacing w:before="0" w:beforeAutospacing="0" w:after="0" w:afterAutospacing="0"/>
        <w:jc w:val="both"/>
        <w:rPr>
          <w:rFonts w:ascii="Arial Narrow" w:hAnsi="Arial Narrow" w:cs="Calibri"/>
          <w:i/>
          <w:sz w:val="22"/>
          <w:szCs w:val="22"/>
          <w:lang w:val="es-CO"/>
        </w:rPr>
      </w:pPr>
    </w:p>
    <w:p w14:paraId="0FE7EF55" w14:textId="77777777" w:rsidR="00C95C55" w:rsidRPr="009A53B7" w:rsidRDefault="00C95C55" w:rsidP="00C95C55">
      <w:pPr>
        <w:pStyle w:val="NormalWeb"/>
        <w:numPr>
          <w:ilvl w:val="0"/>
          <w:numId w:val="35"/>
        </w:numPr>
        <w:spacing w:before="0" w:beforeAutospacing="0" w:after="0" w:afterAutospacing="0"/>
        <w:jc w:val="both"/>
        <w:rPr>
          <w:rFonts w:ascii="Arial Narrow" w:hAnsi="Arial Narrow" w:cs="Calibri"/>
          <w:i/>
          <w:sz w:val="22"/>
          <w:szCs w:val="22"/>
          <w:lang w:val="es-CO"/>
        </w:rPr>
      </w:pPr>
      <w:r w:rsidRPr="009A53B7">
        <w:rPr>
          <w:rFonts w:ascii="Arial Narrow" w:hAnsi="Arial Narrow" w:cs="Calibri"/>
          <w:sz w:val="22"/>
          <w:szCs w:val="22"/>
          <w:lang w:val="es-CO"/>
        </w:rPr>
        <w:t>Enajenación directa por parte de la entidad propietaria y;</w:t>
      </w:r>
    </w:p>
    <w:p w14:paraId="4FD53DCF" w14:textId="77777777" w:rsidR="00C95C55" w:rsidRPr="009A53B7" w:rsidRDefault="00C95C55" w:rsidP="00C95C55">
      <w:pPr>
        <w:pStyle w:val="NormalWeb"/>
        <w:numPr>
          <w:ilvl w:val="0"/>
          <w:numId w:val="35"/>
        </w:numPr>
        <w:spacing w:before="0" w:beforeAutospacing="0" w:after="0" w:afterAutospacing="0"/>
        <w:jc w:val="both"/>
        <w:rPr>
          <w:rFonts w:ascii="Arial Narrow" w:hAnsi="Arial Narrow" w:cs="Calibri"/>
          <w:i/>
          <w:sz w:val="22"/>
          <w:szCs w:val="22"/>
          <w:lang w:val="es-CO"/>
        </w:rPr>
      </w:pPr>
      <w:r w:rsidRPr="009A53B7">
        <w:rPr>
          <w:rFonts w:ascii="Arial Narrow" w:hAnsi="Arial Narrow" w:cs="Calibri"/>
          <w:sz w:val="22"/>
          <w:szCs w:val="22"/>
          <w:lang w:val="es-CO"/>
        </w:rPr>
        <w:t xml:space="preserve">Enajenación a través del Colector Activos de la Nación (CISA) </w:t>
      </w:r>
    </w:p>
    <w:p w14:paraId="42B1154D" w14:textId="77777777" w:rsidR="00FA3F8C" w:rsidRPr="009A53B7" w:rsidRDefault="00FA3F8C" w:rsidP="00FA3F8C">
      <w:pPr>
        <w:rPr>
          <w:rFonts w:ascii="Arial Narrow" w:hAnsi="Arial Narrow"/>
        </w:rPr>
      </w:pPr>
    </w:p>
    <w:p w14:paraId="1E8B026B" w14:textId="77777777" w:rsidR="009A53B7" w:rsidRPr="009A53B7" w:rsidRDefault="009A53B7" w:rsidP="00FA3F8C">
      <w:pPr>
        <w:rPr>
          <w:rFonts w:ascii="Arial Narrow" w:hAnsi="Arial Narrow"/>
        </w:rPr>
      </w:pPr>
    </w:p>
    <w:p w14:paraId="55E8755F" w14:textId="77777777" w:rsidR="00C95C55" w:rsidRPr="009A53B7" w:rsidRDefault="00C95C55" w:rsidP="00C95C55">
      <w:pPr>
        <w:pStyle w:val="Ttulo3"/>
        <w:numPr>
          <w:ilvl w:val="2"/>
          <w:numId w:val="20"/>
        </w:numPr>
        <w:rPr>
          <w:rFonts w:ascii="Arial Narrow" w:hAnsi="Arial Narrow"/>
          <w:b/>
          <w:sz w:val="24"/>
          <w:szCs w:val="24"/>
          <w:u w:val="single"/>
        </w:rPr>
      </w:pPr>
      <w:bookmarkStart w:id="22" w:name="_Toc10047339"/>
      <w:r w:rsidRPr="009A53B7">
        <w:rPr>
          <w:rFonts w:ascii="Arial Narrow" w:hAnsi="Arial Narrow" w:cs="Calibri"/>
          <w:b/>
          <w:sz w:val="22"/>
          <w:szCs w:val="22"/>
          <w:lang w:val="es-CO"/>
        </w:rPr>
        <w:t>Enajenación directa por parte de la entidad propietaria</w:t>
      </w:r>
      <w:bookmarkEnd w:id="22"/>
    </w:p>
    <w:p w14:paraId="51EBA7AF" w14:textId="77777777" w:rsidR="00FA3F8C" w:rsidRPr="009A53B7" w:rsidRDefault="00FA3F8C" w:rsidP="00FA3F8C">
      <w:pPr>
        <w:rPr>
          <w:rFonts w:ascii="Arial Narrow" w:hAnsi="Arial Narrow"/>
          <w:b/>
        </w:rPr>
      </w:pPr>
    </w:p>
    <w:p w14:paraId="588CCD2C" w14:textId="77777777" w:rsidR="00C95C55" w:rsidRPr="009A53B7" w:rsidRDefault="000234B3" w:rsidP="00C95C55">
      <w:pPr>
        <w:pStyle w:val="NormalWeb"/>
        <w:spacing w:before="0" w:beforeAutospacing="0" w:after="0" w:afterAutospacing="0"/>
        <w:jc w:val="both"/>
        <w:rPr>
          <w:rFonts w:ascii="Arial Narrow" w:hAnsi="Arial Narrow" w:cs="Calibri"/>
          <w:sz w:val="22"/>
          <w:szCs w:val="22"/>
          <w:lang w:val="es-CO"/>
        </w:rPr>
      </w:pPr>
      <w:r w:rsidRPr="009A53B7">
        <w:rPr>
          <w:rFonts w:ascii="Arial Narrow" w:hAnsi="Arial Narrow" w:cs="Calibri"/>
          <w:sz w:val="22"/>
          <w:szCs w:val="22"/>
          <w:lang w:val="es-CO"/>
        </w:rPr>
        <w:t xml:space="preserve">El Decreto 1778 de 2016 dispone que cuando </w:t>
      </w:r>
      <w:r w:rsidR="00B51ACC" w:rsidRPr="009A53B7">
        <w:rPr>
          <w:rFonts w:ascii="Arial Narrow" w:hAnsi="Arial Narrow" w:cs="Calibri"/>
          <w:sz w:val="22"/>
          <w:szCs w:val="22"/>
          <w:lang w:val="es-CO"/>
        </w:rPr>
        <w:t>la Nación</w:t>
      </w:r>
      <w:r w:rsidRPr="009A53B7">
        <w:rPr>
          <w:rFonts w:ascii="Arial Narrow" w:hAnsi="Arial Narrow" w:cs="Calibri"/>
          <w:sz w:val="22"/>
          <w:szCs w:val="22"/>
          <w:lang w:val="es-CO"/>
        </w:rPr>
        <w:t xml:space="preserve"> opte por enajenar directamente</w:t>
      </w:r>
      <w:r w:rsidR="00B51ACC" w:rsidRPr="009A53B7">
        <w:rPr>
          <w:rFonts w:ascii="Arial Narrow" w:hAnsi="Arial Narrow" w:cs="Calibri"/>
          <w:sz w:val="22"/>
          <w:szCs w:val="22"/>
          <w:lang w:val="es-CO"/>
        </w:rPr>
        <w:t xml:space="preserve"> su</w:t>
      </w:r>
      <w:r w:rsidRPr="009A53B7">
        <w:rPr>
          <w:rFonts w:ascii="Arial Narrow" w:hAnsi="Arial Narrow" w:cs="Calibri"/>
          <w:sz w:val="22"/>
          <w:szCs w:val="22"/>
          <w:lang w:val="es-CO"/>
        </w:rPr>
        <w:t xml:space="preserve"> participación accionaria</w:t>
      </w:r>
      <w:r w:rsidR="00C95C55" w:rsidRPr="009A53B7">
        <w:rPr>
          <w:rFonts w:ascii="Arial Narrow" w:hAnsi="Arial Narrow" w:cs="Calibri"/>
          <w:sz w:val="22"/>
          <w:szCs w:val="22"/>
          <w:lang w:val="es-CO"/>
        </w:rPr>
        <w:t xml:space="preserve">, la valoración </w:t>
      </w:r>
      <w:r w:rsidR="00B51ACC" w:rsidRPr="009A53B7">
        <w:rPr>
          <w:rFonts w:ascii="Arial Narrow" w:hAnsi="Arial Narrow" w:cs="Calibri"/>
          <w:sz w:val="22"/>
          <w:szCs w:val="22"/>
          <w:lang w:val="es-CO"/>
        </w:rPr>
        <w:t>de dicha</w:t>
      </w:r>
      <w:r w:rsidR="00C95C55" w:rsidRPr="009A53B7">
        <w:rPr>
          <w:rFonts w:ascii="Arial Narrow" w:hAnsi="Arial Narrow" w:cs="Calibri"/>
          <w:sz w:val="22"/>
          <w:szCs w:val="22"/>
          <w:lang w:val="es-CO"/>
        </w:rPr>
        <w:t xml:space="preserve"> participación deberá contar con la no objeción de la Dirección General de Participaciones Estatales del Ministerio de Hacienda y Crédito Público. </w:t>
      </w:r>
      <w:r w:rsidR="00B51ACC" w:rsidRPr="009A53B7">
        <w:rPr>
          <w:rFonts w:ascii="Arial Narrow" w:hAnsi="Arial Narrow" w:cs="Calibri"/>
          <w:sz w:val="22"/>
          <w:szCs w:val="22"/>
          <w:lang w:val="es-CO"/>
        </w:rPr>
        <w:t>Al respecto, resalta que d</w:t>
      </w:r>
      <w:r w:rsidR="00C95C55" w:rsidRPr="009A53B7">
        <w:rPr>
          <w:rFonts w:ascii="Arial Narrow" w:hAnsi="Arial Narrow" w:cs="Calibri"/>
          <w:sz w:val="22"/>
          <w:szCs w:val="22"/>
          <w:lang w:val="es-CO"/>
        </w:rPr>
        <w:t xml:space="preserve">icha no objeción se otorgará como resultado del estudio la razonabilidad de la(s) metodología(s) de valoración aplicada(s), según sea el caso, tomando como base los supuestos e información entregada a dicha Dirección, </w:t>
      </w:r>
      <w:r w:rsidR="00C95C55" w:rsidRPr="009A53B7">
        <w:rPr>
          <w:rFonts w:ascii="Arial Narrow" w:hAnsi="Arial Narrow" w:cs="Calibri"/>
          <w:sz w:val="22"/>
          <w:szCs w:val="22"/>
          <w:lang w:val="es-CO"/>
        </w:rPr>
        <w:lastRenderedPageBreak/>
        <w:t>y partiendo del supuesto que la aludida información es resultado la debida diligencia llevada a cabo por quien realizó la valoración</w:t>
      </w:r>
    </w:p>
    <w:p w14:paraId="2CA800B4" w14:textId="77777777" w:rsidR="00C95C55" w:rsidRPr="009A53B7" w:rsidRDefault="00C95C55" w:rsidP="00C95C55">
      <w:pPr>
        <w:pStyle w:val="NormalWeb"/>
        <w:spacing w:before="0" w:beforeAutospacing="0" w:after="0" w:afterAutospacing="0"/>
        <w:jc w:val="both"/>
        <w:rPr>
          <w:rFonts w:ascii="Arial Narrow" w:hAnsi="Arial Narrow" w:cs="Calibri"/>
          <w:sz w:val="22"/>
          <w:szCs w:val="22"/>
          <w:lang w:val="es-CO"/>
        </w:rPr>
      </w:pPr>
    </w:p>
    <w:p w14:paraId="442FCC90" w14:textId="77777777" w:rsidR="00C95C55" w:rsidRPr="009A53B7" w:rsidRDefault="00C95C55" w:rsidP="00C95C55">
      <w:pPr>
        <w:pStyle w:val="NormalWeb"/>
        <w:spacing w:before="0" w:beforeAutospacing="0" w:after="0" w:afterAutospacing="0"/>
        <w:jc w:val="both"/>
        <w:rPr>
          <w:rFonts w:ascii="Arial Narrow" w:hAnsi="Arial Narrow" w:cs="Calibri"/>
          <w:sz w:val="22"/>
          <w:szCs w:val="22"/>
          <w:lang w:val="es-CO"/>
        </w:rPr>
      </w:pPr>
      <w:r w:rsidRPr="009A53B7">
        <w:rPr>
          <w:rFonts w:ascii="Arial Narrow" w:hAnsi="Arial Narrow" w:cs="Calibri"/>
          <w:sz w:val="22"/>
          <w:szCs w:val="22"/>
          <w:lang w:val="es-CO"/>
        </w:rPr>
        <w:t>En tal sentido, para proceder con la venta de la participación accionaria bajo este procedimiento, la entidad propietaria deberá, como mínimo, adelantar las siguientes actividades:</w:t>
      </w:r>
    </w:p>
    <w:p w14:paraId="78C77B9D" w14:textId="77777777" w:rsidR="00C95C55" w:rsidRPr="009A53B7" w:rsidRDefault="00C95C55" w:rsidP="00FA3F8C">
      <w:pPr>
        <w:rPr>
          <w:rFonts w:ascii="Arial Narrow" w:hAnsi="Arial Narrow"/>
        </w:rPr>
      </w:pPr>
    </w:p>
    <w:p w14:paraId="17DE24EF" w14:textId="77777777" w:rsidR="00235516" w:rsidRPr="009A53B7" w:rsidRDefault="00235516" w:rsidP="00235516">
      <w:pPr>
        <w:numPr>
          <w:ilvl w:val="0"/>
          <w:numId w:val="36"/>
        </w:numPr>
        <w:jc w:val="both"/>
        <w:rPr>
          <w:rFonts w:ascii="Arial Narrow" w:hAnsi="Arial Narrow" w:cs="Calibri"/>
          <w:sz w:val="22"/>
          <w:szCs w:val="22"/>
          <w:lang w:val="es-CO"/>
        </w:rPr>
      </w:pPr>
      <w:r w:rsidRPr="009A53B7">
        <w:rPr>
          <w:rFonts w:ascii="Arial Narrow" w:hAnsi="Arial Narrow" w:cs="Calibri"/>
          <w:sz w:val="22"/>
          <w:szCs w:val="22"/>
          <w:lang w:val="es-CO"/>
        </w:rPr>
        <w:t xml:space="preserve">Identificar que las participaciones accionarias estatales corresponden a participaciones accionarias en las cuales la propiedad de </w:t>
      </w:r>
      <w:proofErr w:type="gramStart"/>
      <w:r w:rsidRPr="009A53B7">
        <w:rPr>
          <w:rFonts w:ascii="Arial Narrow" w:hAnsi="Arial Narrow" w:cs="Calibri"/>
          <w:sz w:val="22"/>
          <w:szCs w:val="22"/>
          <w:lang w:val="es-CO"/>
        </w:rPr>
        <w:t>las mismas</w:t>
      </w:r>
      <w:proofErr w:type="gramEnd"/>
      <w:r w:rsidRPr="009A53B7">
        <w:rPr>
          <w:rFonts w:ascii="Arial Narrow" w:hAnsi="Arial Narrow" w:cs="Calibri"/>
          <w:sz w:val="22"/>
          <w:szCs w:val="22"/>
          <w:lang w:val="es-CO"/>
        </w:rPr>
        <w:t xml:space="preserve"> haya sido producto de un acto en el que no haya mediado la voluntad expresa de la Nación o que provengan de una dación en pago, y siempre que dicha participación no supere el cuarenta y nueve por ciento (49%) de la propiedad accionaria de la sociedad, se debe dar aplicación al régimen societario al que se encuentra sometida la empresa. </w:t>
      </w:r>
    </w:p>
    <w:p w14:paraId="403B91B5" w14:textId="77777777" w:rsidR="00C95C55" w:rsidRPr="009A53B7" w:rsidRDefault="00C95C55" w:rsidP="00235516">
      <w:pPr>
        <w:numPr>
          <w:ilvl w:val="0"/>
          <w:numId w:val="36"/>
        </w:numPr>
        <w:jc w:val="both"/>
        <w:rPr>
          <w:rFonts w:ascii="Arial Narrow" w:hAnsi="Arial Narrow" w:cs="Calibri"/>
          <w:sz w:val="22"/>
          <w:szCs w:val="22"/>
          <w:lang w:val="es-CO"/>
        </w:rPr>
      </w:pPr>
      <w:r w:rsidRPr="009A53B7">
        <w:rPr>
          <w:rFonts w:ascii="Arial Narrow" w:hAnsi="Arial Narrow" w:cs="Calibri"/>
          <w:sz w:val="22"/>
          <w:szCs w:val="22"/>
          <w:lang w:val="es-CO"/>
        </w:rPr>
        <w:t xml:space="preserve">Identificar el régimen societario al que se encuentra sometida la empresa. Al respecto, se sugiere evaluar si existe derecho de preferencia y/o algunas condiciones estatutarias especiales para la venta de dicha participación. </w:t>
      </w:r>
    </w:p>
    <w:p w14:paraId="48519F06" w14:textId="77777777" w:rsidR="00235516" w:rsidRPr="009A53B7" w:rsidRDefault="00235516" w:rsidP="00235516">
      <w:pPr>
        <w:numPr>
          <w:ilvl w:val="0"/>
          <w:numId w:val="36"/>
        </w:numPr>
        <w:jc w:val="both"/>
        <w:rPr>
          <w:rFonts w:ascii="Arial Narrow" w:hAnsi="Arial Narrow" w:cs="Calibri"/>
          <w:sz w:val="22"/>
          <w:szCs w:val="22"/>
          <w:lang w:val="es-CO"/>
        </w:rPr>
      </w:pPr>
      <w:r w:rsidRPr="009A53B7">
        <w:rPr>
          <w:rFonts w:ascii="Arial Narrow" w:hAnsi="Arial Narrow" w:cs="Calibri"/>
          <w:sz w:val="22"/>
          <w:szCs w:val="22"/>
          <w:lang w:val="es-CO"/>
        </w:rPr>
        <w:t xml:space="preserve">Aprobación de la enajenación por parte del órgano y/o persona competente. </w:t>
      </w:r>
    </w:p>
    <w:p w14:paraId="7E4E93F3" w14:textId="77777777" w:rsidR="00C95C55" w:rsidRPr="009A53B7" w:rsidRDefault="00C95C55" w:rsidP="00235516">
      <w:pPr>
        <w:numPr>
          <w:ilvl w:val="0"/>
          <w:numId w:val="36"/>
        </w:numPr>
        <w:jc w:val="both"/>
        <w:rPr>
          <w:rFonts w:ascii="Arial Narrow" w:hAnsi="Arial Narrow" w:cs="Calibri"/>
          <w:sz w:val="22"/>
          <w:szCs w:val="22"/>
          <w:lang w:val="es-CO"/>
        </w:rPr>
      </w:pPr>
      <w:r w:rsidRPr="009A53B7">
        <w:rPr>
          <w:rFonts w:ascii="Arial Narrow" w:hAnsi="Arial Narrow" w:cs="Calibri"/>
          <w:sz w:val="22"/>
          <w:szCs w:val="22"/>
          <w:lang w:val="es-CO"/>
        </w:rPr>
        <w:t>Justificar la valoración de las acciones objeto de venta.</w:t>
      </w:r>
    </w:p>
    <w:p w14:paraId="278ECB43" w14:textId="77777777" w:rsidR="00C95C55" w:rsidRPr="009A53B7" w:rsidRDefault="000234B3" w:rsidP="00235516">
      <w:pPr>
        <w:numPr>
          <w:ilvl w:val="0"/>
          <w:numId w:val="36"/>
        </w:numPr>
        <w:jc w:val="both"/>
        <w:rPr>
          <w:rFonts w:ascii="Arial Narrow" w:hAnsi="Arial Narrow" w:cs="Calibri"/>
          <w:sz w:val="22"/>
          <w:szCs w:val="22"/>
          <w:lang w:val="es-CO"/>
        </w:rPr>
      </w:pPr>
      <w:r w:rsidRPr="009A53B7">
        <w:rPr>
          <w:rFonts w:ascii="Arial Narrow" w:hAnsi="Arial Narrow" w:cs="Calibri"/>
          <w:sz w:val="22"/>
          <w:szCs w:val="22"/>
          <w:lang w:val="es-CO"/>
        </w:rPr>
        <w:t>C</w:t>
      </w:r>
      <w:r w:rsidR="00235516" w:rsidRPr="009A53B7">
        <w:rPr>
          <w:rFonts w:ascii="Arial Narrow" w:hAnsi="Arial Narrow" w:cs="Calibri"/>
          <w:sz w:val="22"/>
          <w:szCs w:val="22"/>
          <w:lang w:val="es-CO"/>
        </w:rPr>
        <w:t>on el propósito de obtener la no objeción descrita en el citado decreto, p</w:t>
      </w:r>
      <w:r w:rsidR="00C95C55" w:rsidRPr="009A53B7">
        <w:rPr>
          <w:rFonts w:ascii="Arial Narrow" w:hAnsi="Arial Narrow" w:cs="Calibri"/>
          <w:sz w:val="22"/>
          <w:szCs w:val="22"/>
          <w:lang w:val="es-CO"/>
        </w:rPr>
        <w:t xml:space="preserve">resentar </w:t>
      </w:r>
      <w:r w:rsidR="00235516" w:rsidRPr="009A53B7">
        <w:rPr>
          <w:rFonts w:ascii="Arial Narrow" w:hAnsi="Arial Narrow" w:cs="Calibri"/>
          <w:sz w:val="22"/>
          <w:szCs w:val="22"/>
          <w:lang w:val="es-CO"/>
        </w:rPr>
        <w:t xml:space="preserve">al Ministerio de Hacienda y Crédito Público </w:t>
      </w:r>
      <w:r w:rsidR="00C95C55" w:rsidRPr="009A53B7">
        <w:rPr>
          <w:rFonts w:ascii="Arial Narrow" w:hAnsi="Arial Narrow" w:cs="Calibri"/>
          <w:sz w:val="22"/>
          <w:szCs w:val="22"/>
          <w:lang w:val="es-CO"/>
        </w:rPr>
        <w:t xml:space="preserve">el valor sugerido, así como el procedimiento metodológico utilizado </w:t>
      </w:r>
      <w:r w:rsidR="00235516" w:rsidRPr="009A53B7">
        <w:rPr>
          <w:rFonts w:ascii="Arial Narrow" w:hAnsi="Arial Narrow" w:cs="Calibri"/>
          <w:sz w:val="22"/>
          <w:szCs w:val="22"/>
          <w:lang w:val="es-CO"/>
        </w:rPr>
        <w:t xml:space="preserve">para determinar dicho valor. </w:t>
      </w:r>
    </w:p>
    <w:p w14:paraId="2C189817" w14:textId="77777777" w:rsidR="00B51ACC" w:rsidRPr="009A53B7" w:rsidRDefault="00B51ACC" w:rsidP="00B51ACC">
      <w:pPr>
        <w:numPr>
          <w:ilvl w:val="0"/>
          <w:numId w:val="36"/>
        </w:numPr>
        <w:jc w:val="both"/>
        <w:rPr>
          <w:rFonts w:ascii="Arial Narrow" w:hAnsi="Arial Narrow" w:cs="Calibri"/>
          <w:sz w:val="22"/>
          <w:szCs w:val="22"/>
          <w:lang w:val="es-CO"/>
        </w:rPr>
      </w:pPr>
      <w:r w:rsidRPr="009A53B7">
        <w:rPr>
          <w:rFonts w:ascii="Arial Narrow" w:hAnsi="Arial Narrow" w:cs="Calibri"/>
          <w:sz w:val="22"/>
          <w:szCs w:val="22"/>
          <w:lang w:val="es-CO"/>
        </w:rPr>
        <w:t>Aprobación de la valoración de enajenación por parte del órgano y/o persona competente.</w:t>
      </w:r>
    </w:p>
    <w:p w14:paraId="468F8086" w14:textId="77777777" w:rsidR="00235516" w:rsidRPr="009A53B7" w:rsidRDefault="00235516" w:rsidP="00235516">
      <w:pPr>
        <w:numPr>
          <w:ilvl w:val="0"/>
          <w:numId w:val="36"/>
        </w:numPr>
        <w:jc w:val="both"/>
        <w:rPr>
          <w:rFonts w:ascii="Arial Narrow" w:hAnsi="Arial Narrow" w:cs="Calibri"/>
          <w:sz w:val="22"/>
          <w:szCs w:val="22"/>
          <w:lang w:val="es-CO"/>
        </w:rPr>
      </w:pPr>
      <w:r w:rsidRPr="009A53B7">
        <w:rPr>
          <w:rFonts w:ascii="Arial Narrow" w:hAnsi="Arial Narrow" w:cs="Calibri"/>
          <w:sz w:val="22"/>
          <w:szCs w:val="22"/>
          <w:lang w:val="es-CO"/>
        </w:rPr>
        <w:t xml:space="preserve">Adelantar la venta de la participación accionaria en cumplimiento del procedimiento societario aplicable para dichas acciones y conforme la estrategia de venta definida para perfeccionar dicha transacción. </w:t>
      </w:r>
    </w:p>
    <w:p w14:paraId="0A426A2D" w14:textId="77777777" w:rsidR="00C95C55" w:rsidRPr="009A53B7" w:rsidRDefault="00C95C55" w:rsidP="00C95C55">
      <w:pPr>
        <w:ind w:left="720"/>
        <w:rPr>
          <w:rFonts w:ascii="Arial Narrow" w:hAnsi="Arial Narrow" w:cs="Calibri"/>
          <w:sz w:val="22"/>
          <w:szCs w:val="22"/>
          <w:lang w:val="es-CO"/>
        </w:rPr>
      </w:pPr>
    </w:p>
    <w:p w14:paraId="30EFFD7E" w14:textId="77777777" w:rsidR="00C95C55" w:rsidRPr="009A53B7" w:rsidRDefault="00C95C55" w:rsidP="00C95C55">
      <w:pPr>
        <w:pStyle w:val="Ttulo3"/>
        <w:numPr>
          <w:ilvl w:val="2"/>
          <w:numId w:val="20"/>
        </w:numPr>
        <w:rPr>
          <w:rFonts w:ascii="Arial Narrow" w:hAnsi="Arial Narrow"/>
          <w:b/>
          <w:sz w:val="24"/>
          <w:szCs w:val="24"/>
          <w:u w:val="single"/>
        </w:rPr>
      </w:pPr>
      <w:bookmarkStart w:id="23" w:name="_Toc10047340"/>
      <w:r w:rsidRPr="009A53B7">
        <w:rPr>
          <w:rFonts w:ascii="Arial Narrow" w:hAnsi="Arial Narrow" w:cs="Calibri"/>
          <w:b/>
          <w:sz w:val="22"/>
          <w:szCs w:val="22"/>
          <w:lang w:val="es-CO"/>
        </w:rPr>
        <w:t>Enajenación a través del Colector Activos de la Nación (CISA)</w:t>
      </w:r>
      <w:bookmarkEnd w:id="23"/>
      <w:r w:rsidRPr="009A53B7">
        <w:rPr>
          <w:rFonts w:ascii="Arial Narrow" w:hAnsi="Arial Narrow" w:cs="Calibri"/>
          <w:b/>
          <w:sz w:val="22"/>
          <w:szCs w:val="22"/>
          <w:lang w:val="es-CO"/>
        </w:rPr>
        <w:t xml:space="preserve"> </w:t>
      </w:r>
    </w:p>
    <w:p w14:paraId="01DC86A5" w14:textId="77777777" w:rsidR="003C686A" w:rsidRPr="009A53B7" w:rsidRDefault="003C686A" w:rsidP="003C686A">
      <w:pPr>
        <w:rPr>
          <w:rFonts w:ascii="Arial Narrow" w:hAnsi="Arial Narrow"/>
          <w:lang w:val="es-CO"/>
        </w:rPr>
      </w:pPr>
    </w:p>
    <w:p w14:paraId="04262071" w14:textId="77777777" w:rsidR="00235516" w:rsidRPr="009A53B7" w:rsidRDefault="00235516" w:rsidP="00235516">
      <w:pPr>
        <w:pStyle w:val="NormalWeb"/>
        <w:spacing w:before="0" w:beforeAutospacing="0" w:after="0" w:afterAutospacing="0"/>
        <w:jc w:val="both"/>
        <w:rPr>
          <w:rFonts w:ascii="Arial Narrow" w:hAnsi="Arial Narrow" w:cs="Calibri"/>
          <w:sz w:val="22"/>
          <w:szCs w:val="22"/>
          <w:lang w:val="es-CO"/>
        </w:rPr>
      </w:pPr>
      <w:r w:rsidRPr="009A53B7">
        <w:rPr>
          <w:rFonts w:ascii="Arial Narrow" w:hAnsi="Arial Narrow" w:cs="Calibri"/>
          <w:sz w:val="22"/>
          <w:szCs w:val="22"/>
          <w:lang w:val="es-CO"/>
        </w:rPr>
        <w:t xml:space="preserve">El Decreto 1778 dispone que cuando la Nación opte por entregar la propiedad accionaria para que CISA adelante el proceso enajenación dicha entrega se hará mediante un convenio interadministrativo en el cual se pactará entre otros: </w:t>
      </w:r>
    </w:p>
    <w:p w14:paraId="45B740E1" w14:textId="77777777" w:rsidR="00235516" w:rsidRPr="009A53B7" w:rsidRDefault="00235516" w:rsidP="00235516">
      <w:pPr>
        <w:pStyle w:val="NormalWeb"/>
        <w:spacing w:before="0" w:beforeAutospacing="0" w:after="0" w:afterAutospacing="0"/>
        <w:jc w:val="both"/>
        <w:rPr>
          <w:rFonts w:ascii="Arial Narrow" w:hAnsi="Arial Narrow" w:cs="Calibri"/>
          <w:sz w:val="22"/>
          <w:szCs w:val="22"/>
          <w:lang w:val="es-CO"/>
        </w:rPr>
      </w:pPr>
    </w:p>
    <w:p w14:paraId="2240E08E" w14:textId="77777777" w:rsidR="00235516" w:rsidRPr="009A53B7" w:rsidRDefault="000234B3" w:rsidP="000234B3">
      <w:pPr>
        <w:pStyle w:val="NormalWeb"/>
        <w:numPr>
          <w:ilvl w:val="0"/>
          <w:numId w:val="37"/>
        </w:numPr>
        <w:spacing w:before="0" w:beforeAutospacing="0" w:after="0" w:afterAutospacing="0"/>
        <w:jc w:val="both"/>
        <w:rPr>
          <w:rFonts w:ascii="Arial Narrow" w:hAnsi="Arial Narrow" w:cs="Calibri"/>
          <w:sz w:val="22"/>
          <w:szCs w:val="22"/>
          <w:lang w:val="es-CO"/>
        </w:rPr>
      </w:pPr>
      <w:r w:rsidRPr="009A53B7">
        <w:rPr>
          <w:rFonts w:ascii="Arial Narrow" w:hAnsi="Arial Narrow" w:cs="Calibri"/>
          <w:sz w:val="22"/>
          <w:szCs w:val="22"/>
          <w:lang w:val="es-CO"/>
        </w:rPr>
        <w:t>V</w:t>
      </w:r>
      <w:r w:rsidR="00235516" w:rsidRPr="009A53B7">
        <w:rPr>
          <w:rFonts w:ascii="Arial Narrow" w:hAnsi="Arial Narrow" w:cs="Calibri"/>
          <w:sz w:val="22"/>
          <w:szCs w:val="22"/>
          <w:lang w:val="es-CO"/>
        </w:rPr>
        <w:t xml:space="preserve">alor y forma de pago de la remuneración de CISA, el cual podrá ser descontado del valor la venta. </w:t>
      </w:r>
    </w:p>
    <w:p w14:paraId="2DF37690" w14:textId="77777777" w:rsidR="00235516" w:rsidRPr="009A53B7" w:rsidRDefault="00235516" w:rsidP="00235516">
      <w:pPr>
        <w:pStyle w:val="NormalWeb"/>
        <w:numPr>
          <w:ilvl w:val="0"/>
          <w:numId w:val="37"/>
        </w:numPr>
        <w:spacing w:before="0" w:beforeAutospacing="0" w:after="0" w:afterAutospacing="0"/>
        <w:jc w:val="both"/>
        <w:rPr>
          <w:rFonts w:ascii="Arial Narrow" w:hAnsi="Arial Narrow" w:cs="Calibri"/>
          <w:sz w:val="22"/>
          <w:szCs w:val="22"/>
          <w:lang w:val="es-CO"/>
        </w:rPr>
      </w:pPr>
      <w:r w:rsidRPr="009A53B7">
        <w:rPr>
          <w:rFonts w:ascii="Arial Narrow" w:hAnsi="Arial Narrow" w:cs="Calibri"/>
          <w:sz w:val="22"/>
          <w:szCs w:val="22"/>
          <w:lang w:val="es-CO"/>
        </w:rPr>
        <w:t xml:space="preserve">Los métodos de valoración, los cuales se adelantarán siguiendo al efecto el modelo de valoración y el procedimiento establecido por CISA, para lo cual ésta última podrá contratar a un tercero que desarrolle actividades de banca de inversión para que adelante y/o apoye el proceso de valoración. </w:t>
      </w:r>
    </w:p>
    <w:p w14:paraId="70183705" w14:textId="77777777" w:rsidR="00B51ACC" w:rsidRPr="009A53B7" w:rsidRDefault="00B51ACC" w:rsidP="00235516">
      <w:pPr>
        <w:pStyle w:val="NormalWeb"/>
        <w:spacing w:before="0" w:beforeAutospacing="0" w:after="0" w:afterAutospacing="0"/>
        <w:jc w:val="both"/>
        <w:rPr>
          <w:rFonts w:ascii="Arial Narrow" w:hAnsi="Arial Narrow" w:cs="Calibri"/>
          <w:sz w:val="22"/>
          <w:szCs w:val="22"/>
          <w:lang w:val="es-CO"/>
        </w:rPr>
      </w:pPr>
    </w:p>
    <w:p w14:paraId="6C03AA4F" w14:textId="77777777" w:rsidR="00235516" w:rsidRPr="009A53B7" w:rsidRDefault="00235516" w:rsidP="00235516">
      <w:pPr>
        <w:pStyle w:val="NormalWeb"/>
        <w:spacing w:before="0" w:beforeAutospacing="0" w:after="0" w:afterAutospacing="0"/>
        <w:jc w:val="both"/>
        <w:rPr>
          <w:rFonts w:ascii="Arial Narrow" w:hAnsi="Arial Narrow" w:cs="Calibri"/>
          <w:sz w:val="22"/>
          <w:szCs w:val="22"/>
          <w:lang w:val="es-CO"/>
        </w:rPr>
      </w:pPr>
      <w:r w:rsidRPr="009A53B7">
        <w:rPr>
          <w:rFonts w:ascii="Arial Narrow" w:hAnsi="Arial Narrow" w:cs="Calibri"/>
          <w:sz w:val="22"/>
          <w:szCs w:val="22"/>
          <w:lang w:val="es-CO"/>
        </w:rPr>
        <w:t>Para proceder con la venta de la participación accionaria bajo este procedimiento, la entidad propietaria deberá, como mínimo, adelantar las siguientes actividades:</w:t>
      </w:r>
    </w:p>
    <w:p w14:paraId="63A97D53" w14:textId="77777777" w:rsidR="00235516" w:rsidRPr="009A53B7" w:rsidRDefault="00235516" w:rsidP="00235516">
      <w:pPr>
        <w:rPr>
          <w:rFonts w:ascii="Arial Narrow" w:hAnsi="Arial Narrow"/>
        </w:rPr>
      </w:pPr>
    </w:p>
    <w:p w14:paraId="7839D741" w14:textId="77777777" w:rsidR="00235516" w:rsidRPr="009A53B7" w:rsidRDefault="00235516" w:rsidP="00235516">
      <w:pPr>
        <w:numPr>
          <w:ilvl w:val="0"/>
          <w:numId w:val="38"/>
        </w:numPr>
        <w:jc w:val="both"/>
        <w:rPr>
          <w:rFonts w:ascii="Arial Narrow" w:hAnsi="Arial Narrow" w:cs="Calibri"/>
          <w:sz w:val="22"/>
          <w:szCs w:val="22"/>
          <w:lang w:val="es-CO"/>
        </w:rPr>
      </w:pPr>
      <w:r w:rsidRPr="009A53B7">
        <w:rPr>
          <w:rFonts w:ascii="Arial Narrow" w:hAnsi="Arial Narrow" w:cs="Calibri"/>
          <w:sz w:val="22"/>
          <w:szCs w:val="22"/>
          <w:lang w:val="es-CO"/>
        </w:rPr>
        <w:t xml:space="preserve">Identificar que las participaciones accionarias estatales corresponden a participaciones accionarias en las cuales la propiedad de </w:t>
      </w:r>
      <w:proofErr w:type="gramStart"/>
      <w:r w:rsidRPr="009A53B7">
        <w:rPr>
          <w:rFonts w:ascii="Arial Narrow" w:hAnsi="Arial Narrow" w:cs="Calibri"/>
          <w:sz w:val="22"/>
          <w:szCs w:val="22"/>
          <w:lang w:val="es-CO"/>
        </w:rPr>
        <w:t>las mismas</w:t>
      </w:r>
      <w:proofErr w:type="gramEnd"/>
      <w:r w:rsidRPr="009A53B7">
        <w:rPr>
          <w:rFonts w:ascii="Arial Narrow" w:hAnsi="Arial Narrow" w:cs="Calibri"/>
          <w:sz w:val="22"/>
          <w:szCs w:val="22"/>
          <w:lang w:val="es-CO"/>
        </w:rPr>
        <w:t xml:space="preserve"> haya sido producto de un acto en el que no haya mediado la voluntad expresa de la Nación o que provengan de una dación en pago, y siempre que dicha participación no supere el cuarenta y nueve por ciento (49%) de la propiedad accionaria de la sociedad, se debe dar aplicación al régimen societario al que se encuentra sometida la empresa</w:t>
      </w:r>
    </w:p>
    <w:p w14:paraId="5E03CD5A" w14:textId="77777777" w:rsidR="000234B3" w:rsidRPr="009A53B7" w:rsidRDefault="00235516" w:rsidP="000234B3">
      <w:pPr>
        <w:numPr>
          <w:ilvl w:val="0"/>
          <w:numId w:val="38"/>
        </w:numPr>
        <w:jc w:val="both"/>
        <w:rPr>
          <w:rFonts w:ascii="Arial Narrow" w:hAnsi="Arial Narrow" w:cs="Calibri"/>
          <w:sz w:val="22"/>
          <w:szCs w:val="22"/>
          <w:lang w:val="es-CO"/>
        </w:rPr>
      </w:pPr>
      <w:r w:rsidRPr="009A53B7">
        <w:rPr>
          <w:rFonts w:ascii="Arial Narrow" w:hAnsi="Arial Narrow" w:cs="Calibri"/>
          <w:sz w:val="22"/>
          <w:szCs w:val="22"/>
          <w:lang w:val="es-CO"/>
        </w:rPr>
        <w:t xml:space="preserve">Aprobación de la enajenación por parte del órgano y/o persona competente. </w:t>
      </w:r>
    </w:p>
    <w:p w14:paraId="52E9CF89" w14:textId="77777777" w:rsidR="000234B3" w:rsidRPr="009A53B7" w:rsidRDefault="000234B3" w:rsidP="000234B3">
      <w:pPr>
        <w:numPr>
          <w:ilvl w:val="0"/>
          <w:numId w:val="38"/>
        </w:numPr>
        <w:jc w:val="both"/>
        <w:rPr>
          <w:rFonts w:ascii="Arial Narrow" w:hAnsi="Arial Narrow" w:cs="Calibri"/>
          <w:sz w:val="22"/>
          <w:szCs w:val="22"/>
          <w:lang w:val="es-CO"/>
        </w:rPr>
      </w:pPr>
      <w:r w:rsidRPr="009A53B7">
        <w:rPr>
          <w:rFonts w:ascii="Arial Narrow" w:hAnsi="Arial Narrow" w:cs="Calibri"/>
          <w:sz w:val="22"/>
          <w:szCs w:val="22"/>
          <w:lang w:val="es-CO"/>
        </w:rPr>
        <w:t>Suscribir</w:t>
      </w:r>
      <w:r w:rsidR="00235516" w:rsidRPr="009A53B7">
        <w:rPr>
          <w:rFonts w:ascii="Arial Narrow" w:hAnsi="Arial Narrow" w:cs="Calibri"/>
          <w:sz w:val="22"/>
          <w:szCs w:val="22"/>
          <w:lang w:val="es-CO"/>
        </w:rPr>
        <w:t xml:space="preserve"> un convenio/contrato interadministrativo con CISA que tenga por </w:t>
      </w:r>
      <w:r w:rsidRPr="009A53B7">
        <w:rPr>
          <w:rFonts w:ascii="Arial Narrow" w:hAnsi="Arial Narrow" w:cs="Calibri"/>
          <w:sz w:val="22"/>
          <w:szCs w:val="22"/>
          <w:lang w:val="es-CO"/>
        </w:rPr>
        <w:t>objetivo</w:t>
      </w:r>
      <w:r w:rsidR="00235516" w:rsidRPr="009A53B7">
        <w:rPr>
          <w:rFonts w:ascii="Arial Narrow" w:hAnsi="Arial Narrow" w:cs="Calibri"/>
          <w:sz w:val="22"/>
          <w:szCs w:val="22"/>
          <w:lang w:val="es-CO"/>
        </w:rPr>
        <w:t xml:space="preserve"> </w:t>
      </w:r>
      <w:r w:rsidRPr="009A53B7">
        <w:rPr>
          <w:rFonts w:ascii="Arial Narrow" w:hAnsi="Arial Narrow" w:cs="Calibri"/>
          <w:sz w:val="22"/>
          <w:szCs w:val="22"/>
          <w:lang w:val="es-CO"/>
        </w:rPr>
        <w:t xml:space="preserve">adelantar </w:t>
      </w:r>
      <w:r w:rsidR="00235516" w:rsidRPr="009A53B7">
        <w:rPr>
          <w:rFonts w:ascii="Arial Narrow" w:hAnsi="Arial Narrow" w:cs="Calibri"/>
          <w:sz w:val="22"/>
          <w:szCs w:val="22"/>
          <w:lang w:val="es-CO"/>
        </w:rPr>
        <w:t xml:space="preserve">la enajenación de dicha participación accionaria.  </w:t>
      </w:r>
      <w:r w:rsidRPr="009A53B7">
        <w:rPr>
          <w:rFonts w:ascii="Arial Narrow" w:hAnsi="Arial Narrow" w:cs="Calibri"/>
          <w:sz w:val="22"/>
          <w:szCs w:val="22"/>
          <w:lang w:val="es-CO"/>
        </w:rPr>
        <w:t xml:space="preserve">Si bien las obligaciones específicas del Contrato dependerán de las condiciones acordadas entre CISA y la entidad propietaria de las acciones, se debe </w:t>
      </w:r>
      <w:r w:rsidRPr="009A53B7">
        <w:rPr>
          <w:rFonts w:ascii="Arial Narrow" w:hAnsi="Arial Narrow" w:cs="Calibri"/>
          <w:sz w:val="22"/>
          <w:szCs w:val="22"/>
          <w:lang w:val="es-CO"/>
        </w:rPr>
        <w:lastRenderedPageBreak/>
        <w:t>tener en cuenta que la venta de la participación se adelantará siguiendo el modelo de valoración y el procedimiento establecido por CISA, para lo cual ésta última podrá contratar a un tercero que desarrolle actividades de banca de inversión para que adelante y/o apoye el proceso de valoración.</w:t>
      </w:r>
    </w:p>
    <w:p w14:paraId="6ECB8C70" w14:textId="77777777" w:rsidR="00B51ACC" w:rsidRPr="009A53B7" w:rsidRDefault="00B51ACC" w:rsidP="000234B3">
      <w:pPr>
        <w:ind w:left="720"/>
        <w:jc w:val="both"/>
        <w:rPr>
          <w:rFonts w:ascii="Arial Narrow" w:hAnsi="Arial Narrow" w:cs="Calibri"/>
          <w:sz w:val="22"/>
          <w:szCs w:val="22"/>
          <w:lang w:val="es-CO"/>
        </w:rPr>
      </w:pPr>
    </w:p>
    <w:p w14:paraId="11D7A472" w14:textId="77777777" w:rsidR="000234B3" w:rsidRPr="009A53B7" w:rsidRDefault="000234B3" w:rsidP="000234B3">
      <w:pPr>
        <w:ind w:left="720"/>
        <w:jc w:val="both"/>
        <w:rPr>
          <w:rFonts w:ascii="Arial Narrow" w:hAnsi="Arial Narrow" w:cs="Calibri"/>
          <w:sz w:val="22"/>
          <w:szCs w:val="22"/>
          <w:lang w:val="es-CO"/>
        </w:rPr>
      </w:pPr>
      <w:r w:rsidRPr="009A53B7">
        <w:rPr>
          <w:rFonts w:ascii="Arial Narrow" w:hAnsi="Arial Narrow" w:cs="Calibri"/>
          <w:sz w:val="22"/>
          <w:szCs w:val="22"/>
          <w:lang w:val="es-CO"/>
        </w:rPr>
        <w:t>También es importante tener en cuenta que el valor y forma de pago de la remuneración de CISA deberá establecerse en dicho contrato, el cual, podrá ser descontado del valor la venta.</w:t>
      </w:r>
    </w:p>
    <w:p w14:paraId="18CC515B" w14:textId="77777777" w:rsidR="000234B3" w:rsidRPr="009A53B7" w:rsidRDefault="000234B3" w:rsidP="000234B3">
      <w:pPr>
        <w:ind w:left="720"/>
        <w:jc w:val="both"/>
        <w:rPr>
          <w:rFonts w:ascii="Arial Narrow" w:hAnsi="Arial Narrow" w:cs="Calibri"/>
          <w:sz w:val="22"/>
          <w:szCs w:val="22"/>
          <w:lang w:val="es-CO"/>
        </w:rPr>
      </w:pPr>
    </w:p>
    <w:p w14:paraId="7159BC6A" w14:textId="77777777" w:rsidR="00B51ACC" w:rsidRPr="009A53B7" w:rsidRDefault="00B51ACC" w:rsidP="00B51ACC">
      <w:pPr>
        <w:numPr>
          <w:ilvl w:val="0"/>
          <w:numId w:val="38"/>
        </w:numPr>
        <w:jc w:val="both"/>
        <w:rPr>
          <w:rFonts w:ascii="Arial Narrow" w:hAnsi="Arial Narrow" w:cs="Calibri"/>
          <w:sz w:val="22"/>
          <w:szCs w:val="22"/>
          <w:lang w:val="es-CO"/>
        </w:rPr>
      </w:pPr>
      <w:r w:rsidRPr="009A53B7">
        <w:rPr>
          <w:rFonts w:ascii="Arial Narrow" w:hAnsi="Arial Narrow" w:cs="Calibri"/>
          <w:sz w:val="22"/>
          <w:szCs w:val="22"/>
          <w:lang w:val="es-CO"/>
        </w:rPr>
        <w:t>Aprobación de la valoración de enajenación por parte del órgano y/o persona competente.</w:t>
      </w:r>
    </w:p>
    <w:p w14:paraId="1A9E1CBB" w14:textId="77777777" w:rsidR="00235516" w:rsidRPr="009A53B7" w:rsidRDefault="00B51ACC" w:rsidP="00235516">
      <w:pPr>
        <w:numPr>
          <w:ilvl w:val="0"/>
          <w:numId w:val="38"/>
        </w:numPr>
        <w:jc w:val="both"/>
        <w:rPr>
          <w:rFonts w:ascii="Arial Narrow" w:hAnsi="Arial Narrow" w:cs="Calibri"/>
          <w:sz w:val="22"/>
          <w:szCs w:val="22"/>
          <w:lang w:val="es-CO"/>
        </w:rPr>
      </w:pPr>
      <w:r w:rsidRPr="009A53B7">
        <w:rPr>
          <w:rFonts w:ascii="Arial Narrow" w:hAnsi="Arial Narrow" w:cs="Calibri"/>
          <w:sz w:val="22"/>
          <w:szCs w:val="22"/>
          <w:lang w:val="es-CO"/>
        </w:rPr>
        <w:t xml:space="preserve">Posteriormente, </w:t>
      </w:r>
      <w:r w:rsidR="000234B3" w:rsidRPr="009A53B7">
        <w:rPr>
          <w:rFonts w:ascii="Arial Narrow" w:hAnsi="Arial Narrow" w:cs="Calibri"/>
          <w:sz w:val="22"/>
          <w:szCs w:val="22"/>
          <w:lang w:val="es-CO"/>
        </w:rPr>
        <w:t xml:space="preserve">CISA deberá adelantar la venta </w:t>
      </w:r>
      <w:r w:rsidR="00235516" w:rsidRPr="009A53B7">
        <w:rPr>
          <w:rFonts w:ascii="Arial Narrow" w:hAnsi="Arial Narrow" w:cs="Calibri"/>
          <w:sz w:val="22"/>
          <w:szCs w:val="22"/>
          <w:lang w:val="es-CO"/>
        </w:rPr>
        <w:t xml:space="preserve">de la participación accionaria en cumplimiento del procedimiento societario aplicable para dichas acciones y conforme la estrategia de venta definida para perfeccionar dicha transacción. </w:t>
      </w:r>
    </w:p>
    <w:p w14:paraId="3EC0ECE7" w14:textId="77777777" w:rsidR="00235516" w:rsidRPr="009A53B7" w:rsidRDefault="00235516" w:rsidP="003C686A">
      <w:pPr>
        <w:rPr>
          <w:rFonts w:ascii="Arial Narrow" w:eastAsia="Calibri" w:hAnsi="Arial Narrow" w:cs="Arial"/>
          <w:sz w:val="22"/>
          <w:szCs w:val="22"/>
        </w:rPr>
      </w:pPr>
    </w:p>
    <w:p w14:paraId="0A4D31E3" w14:textId="77777777" w:rsidR="00B51ACC" w:rsidRPr="009A53B7" w:rsidRDefault="00B51ACC" w:rsidP="003C686A">
      <w:pPr>
        <w:rPr>
          <w:rFonts w:ascii="Arial Narrow" w:eastAsia="Calibri" w:hAnsi="Arial Narrow" w:cs="Arial"/>
          <w:sz w:val="22"/>
          <w:szCs w:val="22"/>
        </w:rPr>
      </w:pPr>
    </w:p>
    <w:p w14:paraId="4E7F8E62" w14:textId="77777777" w:rsidR="00B51ACC" w:rsidRPr="009A53B7" w:rsidRDefault="00B51ACC" w:rsidP="00B51ACC">
      <w:pPr>
        <w:jc w:val="both"/>
        <w:rPr>
          <w:rFonts w:ascii="Arial Narrow" w:eastAsia="Calibri" w:hAnsi="Arial Narrow" w:cs="Arial"/>
          <w:sz w:val="22"/>
          <w:szCs w:val="22"/>
        </w:rPr>
      </w:pPr>
      <w:r w:rsidRPr="009A53B7">
        <w:rPr>
          <w:rFonts w:ascii="Arial Narrow" w:eastAsia="Calibri" w:hAnsi="Arial Narrow" w:cs="Arial"/>
          <w:sz w:val="22"/>
          <w:szCs w:val="22"/>
        </w:rPr>
        <w:t>Al respecto, al igual que para los procesos de enajenación enmarcados en la Ley 226 de 1995, también es importante mencionar que las entidades que implementen un proceso de enajenación bajo el marco del artículo 162 de la Ley 1753 de 2015, modificado por el artículo 45 de la Ley del Plan Nacional de Desarrollo 2018-2022 documenten de forma completa los soportes asociados a dicha venta. La entidad propietaria deber´</w:t>
      </w:r>
    </w:p>
    <w:p w14:paraId="0E8612EE" w14:textId="77777777" w:rsidR="00B51ACC" w:rsidRPr="009A53B7" w:rsidRDefault="00B51ACC" w:rsidP="00B51ACC">
      <w:pPr>
        <w:rPr>
          <w:rFonts w:ascii="Arial Narrow" w:eastAsia="Calibri" w:hAnsi="Arial Narrow" w:cs="Arial"/>
          <w:sz w:val="22"/>
          <w:szCs w:val="22"/>
        </w:rPr>
      </w:pPr>
    </w:p>
    <w:p w14:paraId="4890F952" w14:textId="77777777" w:rsidR="00B51ACC" w:rsidRPr="009A53B7" w:rsidRDefault="00B51ACC" w:rsidP="00B51ACC">
      <w:pPr>
        <w:jc w:val="both"/>
        <w:rPr>
          <w:rFonts w:ascii="Arial Narrow" w:eastAsia="Calibri" w:hAnsi="Arial Narrow" w:cs="Arial"/>
          <w:sz w:val="22"/>
          <w:szCs w:val="22"/>
        </w:rPr>
      </w:pPr>
      <w:r w:rsidRPr="009A53B7">
        <w:rPr>
          <w:rFonts w:ascii="Arial Narrow" w:eastAsia="Calibri" w:hAnsi="Arial Narrow" w:cs="Arial"/>
          <w:sz w:val="22"/>
          <w:szCs w:val="22"/>
        </w:rPr>
        <w:t>La preparación de cada proceso de venta tiene una serie particularidades específicas que deben ser tenidas en cuenta dentro de la preparación de un programa de desinversión de la propiedad accionaria estatal. La entidad propietaria deberá analizar cada proceso de venta bajo el marco normativo y societario aplicable.</w:t>
      </w:r>
    </w:p>
    <w:p w14:paraId="7CB995DA" w14:textId="77777777" w:rsidR="00B51ACC" w:rsidRPr="009A53B7" w:rsidRDefault="00B51ACC" w:rsidP="00B51ACC">
      <w:pPr>
        <w:rPr>
          <w:rFonts w:ascii="Arial Narrow" w:eastAsia="Calibri" w:hAnsi="Arial Narrow" w:cs="Arial"/>
          <w:sz w:val="22"/>
          <w:szCs w:val="22"/>
          <w:lang w:val="es-CO"/>
        </w:rPr>
      </w:pPr>
    </w:p>
    <w:p w14:paraId="76B6CEF1" w14:textId="77777777" w:rsidR="00B51ACC" w:rsidRPr="009A53B7" w:rsidRDefault="00B51ACC" w:rsidP="003C686A">
      <w:pPr>
        <w:rPr>
          <w:rFonts w:ascii="Arial Narrow" w:hAnsi="Arial Narrow"/>
          <w:lang w:val="es-CO"/>
        </w:rPr>
      </w:pPr>
    </w:p>
    <w:p w14:paraId="5E2DF267" w14:textId="77777777" w:rsidR="008636B6" w:rsidRPr="009A53B7" w:rsidRDefault="001823B9" w:rsidP="008636B6">
      <w:pPr>
        <w:pStyle w:val="Ttulo2"/>
        <w:numPr>
          <w:ilvl w:val="1"/>
          <w:numId w:val="20"/>
        </w:numPr>
        <w:rPr>
          <w:rFonts w:ascii="Arial Narrow" w:hAnsi="Arial Narrow"/>
          <w:sz w:val="24"/>
          <w:szCs w:val="24"/>
        </w:rPr>
      </w:pPr>
      <w:bookmarkStart w:id="24" w:name="_Toc10047341"/>
      <w:r>
        <w:rPr>
          <w:rFonts w:ascii="Arial Narrow" w:hAnsi="Arial Narrow"/>
          <w:sz w:val="24"/>
          <w:szCs w:val="24"/>
        </w:rPr>
        <w:t xml:space="preserve">Consideraciones </w:t>
      </w:r>
      <w:bookmarkEnd w:id="24"/>
    </w:p>
    <w:p w14:paraId="23B94731" w14:textId="77777777" w:rsidR="003C686A" w:rsidRPr="009A53B7" w:rsidRDefault="003C686A" w:rsidP="003C686A">
      <w:pPr>
        <w:rPr>
          <w:rFonts w:ascii="Arial Narrow" w:hAnsi="Arial Narrow"/>
        </w:rPr>
      </w:pPr>
    </w:p>
    <w:p w14:paraId="15ECDA40" w14:textId="77777777" w:rsidR="003C686A" w:rsidRPr="009A53B7" w:rsidRDefault="003C686A" w:rsidP="003C686A">
      <w:pPr>
        <w:rPr>
          <w:rFonts w:ascii="Arial Narrow" w:hAnsi="Arial Narrow"/>
        </w:rPr>
      </w:pPr>
    </w:p>
    <w:p w14:paraId="3A7D8C9C" w14:textId="77777777" w:rsidR="0094407F" w:rsidRPr="009A53B7" w:rsidRDefault="00F65E83" w:rsidP="00F65E83">
      <w:pPr>
        <w:pStyle w:val="Prrafodelista"/>
        <w:ind w:left="0"/>
        <w:contextualSpacing/>
        <w:jc w:val="both"/>
        <w:rPr>
          <w:rFonts w:ascii="Arial Narrow" w:eastAsia="Calibri" w:hAnsi="Arial Narrow" w:cs="Arial"/>
          <w:sz w:val="22"/>
          <w:szCs w:val="22"/>
        </w:rPr>
      </w:pPr>
      <w:r w:rsidRPr="009A53B7">
        <w:rPr>
          <w:rFonts w:ascii="Arial Narrow" w:eastAsia="Calibri" w:hAnsi="Arial Narrow" w:cs="Arial"/>
          <w:sz w:val="22"/>
          <w:szCs w:val="22"/>
        </w:rPr>
        <w:t xml:space="preserve">La enajenación de la participación accionaria estatal debe cumplir con los parámetros normativos dispuestos para cada programa de venta específico. En función del marco normativo aplicable, la entidad vendedora deberá ejecutar las actividades pertinentes que le permitan perfeccionar su estrategia de desinversión y que le permita salvaguardar la premisa de protección del patrimonio público.  Este manual de desinversión </w:t>
      </w:r>
      <w:r w:rsidR="001D0EF5" w:rsidRPr="009A53B7">
        <w:rPr>
          <w:rFonts w:ascii="Arial Narrow" w:eastAsia="Calibri" w:hAnsi="Arial Narrow" w:cs="Arial"/>
          <w:sz w:val="22"/>
          <w:szCs w:val="22"/>
        </w:rPr>
        <w:t>contiene un marco general</w:t>
      </w:r>
      <w:r w:rsidRPr="009A53B7">
        <w:rPr>
          <w:rFonts w:ascii="Arial Narrow" w:eastAsia="Calibri" w:hAnsi="Arial Narrow" w:cs="Arial"/>
          <w:sz w:val="22"/>
          <w:szCs w:val="22"/>
        </w:rPr>
        <w:t xml:space="preserve"> </w:t>
      </w:r>
      <w:r w:rsidR="00FA3F8C" w:rsidRPr="009A53B7">
        <w:rPr>
          <w:rFonts w:ascii="Arial Narrow" w:eastAsia="Calibri" w:hAnsi="Arial Narrow" w:cs="Arial"/>
          <w:sz w:val="22"/>
          <w:szCs w:val="22"/>
        </w:rPr>
        <w:t xml:space="preserve">con las actividades que deben adelantarse para lograr los objetivos de enajenación decididos por parte de las entidades estatales del orden nacional. </w:t>
      </w:r>
    </w:p>
    <w:p w14:paraId="7D8821D2" w14:textId="77777777" w:rsidR="00FA3F8C" w:rsidRPr="009A53B7" w:rsidRDefault="00FA3F8C" w:rsidP="00F65E83">
      <w:pPr>
        <w:pStyle w:val="Prrafodelista"/>
        <w:ind w:left="0"/>
        <w:contextualSpacing/>
        <w:jc w:val="both"/>
        <w:rPr>
          <w:rFonts w:ascii="Arial Narrow" w:eastAsia="Calibri" w:hAnsi="Arial Narrow" w:cs="Arial"/>
          <w:sz w:val="22"/>
          <w:szCs w:val="22"/>
        </w:rPr>
      </w:pPr>
    </w:p>
    <w:p w14:paraId="6A867DBB" w14:textId="77777777" w:rsidR="00FA3F8C" w:rsidRPr="009A53B7" w:rsidRDefault="00FA3F8C" w:rsidP="00F65E83">
      <w:pPr>
        <w:pStyle w:val="Prrafodelista"/>
        <w:ind w:left="0"/>
        <w:contextualSpacing/>
        <w:jc w:val="both"/>
        <w:rPr>
          <w:rFonts w:ascii="Arial Narrow" w:eastAsia="Calibri" w:hAnsi="Arial Narrow" w:cs="Arial"/>
          <w:sz w:val="22"/>
          <w:szCs w:val="22"/>
        </w:rPr>
      </w:pPr>
      <w:r w:rsidRPr="009A53B7">
        <w:rPr>
          <w:rFonts w:ascii="Arial Narrow" w:eastAsia="Calibri" w:hAnsi="Arial Narrow" w:cs="Arial"/>
          <w:sz w:val="22"/>
          <w:szCs w:val="22"/>
        </w:rPr>
        <w:t xml:space="preserve">Las actividades y pasos aquí planteados pueden variar en función de las características propias de cada proceso, por lo cual, si bien este manual ofrece una visión general de los procesos, la entidad que enajene su propiedad deberá verificar el cumplimiento de cada uno de los procedimientos aplicables. </w:t>
      </w:r>
    </w:p>
    <w:p w14:paraId="4492664B" w14:textId="77777777" w:rsidR="0094407F" w:rsidRPr="009A53B7" w:rsidRDefault="0094407F" w:rsidP="003C686A">
      <w:pPr>
        <w:rPr>
          <w:rFonts w:ascii="Arial Narrow" w:hAnsi="Arial Narrow"/>
        </w:rPr>
      </w:pPr>
    </w:p>
    <w:p w14:paraId="3F6B32A6" w14:textId="77777777" w:rsidR="0094407F" w:rsidRPr="009A53B7" w:rsidRDefault="0094407F" w:rsidP="003C686A">
      <w:pPr>
        <w:rPr>
          <w:rFonts w:ascii="Arial Narrow" w:hAnsi="Arial Narrow"/>
        </w:rPr>
      </w:pPr>
    </w:p>
    <w:p w14:paraId="0E82D742" w14:textId="77777777" w:rsidR="00000AF7" w:rsidRPr="009A53B7" w:rsidRDefault="004A361C" w:rsidP="00CC12BC">
      <w:pPr>
        <w:pStyle w:val="Ttulo1"/>
        <w:numPr>
          <w:ilvl w:val="0"/>
          <w:numId w:val="20"/>
        </w:numPr>
        <w:rPr>
          <w:rFonts w:ascii="Arial Narrow" w:hAnsi="Arial Narrow"/>
          <w:sz w:val="24"/>
          <w:szCs w:val="24"/>
        </w:rPr>
      </w:pPr>
      <w:bookmarkStart w:id="25" w:name="_Toc10047342"/>
      <w:bookmarkEnd w:id="10"/>
      <w:bookmarkEnd w:id="11"/>
      <w:bookmarkEnd w:id="12"/>
      <w:bookmarkEnd w:id="13"/>
      <w:bookmarkEnd w:id="14"/>
      <w:bookmarkEnd w:id="15"/>
      <w:r w:rsidRPr="009A53B7">
        <w:rPr>
          <w:rFonts w:ascii="Arial Narrow" w:hAnsi="Arial Narrow"/>
          <w:sz w:val="24"/>
          <w:szCs w:val="24"/>
        </w:rPr>
        <w:t>H</w:t>
      </w:r>
      <w:r w:rsidR="00000AF7" w:rsidRPr="009A53B7">
        <w:rPr>
          <w:rFonts w:ascii="Arial Narrow" w:hAnsi="Arial Narrow"/>
          <w:sz w:val="24"/>
          <w:szCs w:val="24"/>
        </w:rPr>
        <w:t>ISTORIAL DE CAMBIOS</w:t>
      </w:r>
      <w:bookmarkEnd w:id="25"/>
    </w:p>
    <w:p w14:paraId="4C88C75B" w14:textId="77777777" w:rsidR="002648FF" w:rsidRPr="009A53B7" w:rsidRDefault="002648FF" w:rsidP="002648FF">
      <w:pPr>
        <w:rPr>
          <w:rFonts w:ascii="Arial Narrow" w:hAnsi="Arial Narrow"/>
        </w:rPr>
      </w:pPr>
    </w:p>
    <w:p w14:paraId="3654D9BB" w14:textId="77777777" w:rsidR="00000AF7" w:rsidRPr="009A53B7" w:rsidRDefault="00000AF7" w:rsidP="00CB26AD">
      <w:pPr>
        <w:jc w:val="both"/>
        <w:rPr>
          <w:rFonts w:ascii="Arial Narrow" w:hAnsi="Arial Narrow" w:cs="Arial"/>
          <w:b/>
          <w:sz w:val="24"/>
          <w:szCs w:val="24"/>
        </w:rPr>
      </w:pPr>
    </w:p>
    <w:tbl>
      <w:tblPr>
        <w:tblW w:w="926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7"/>
        <w:gridCol w:w="1347"/>
        <w:gridCol w:w="4042"/>
        <w:gridCol w:w="2380"/>
      </w:tblGrid>
      <w:tr w:rsidR="00000AF7" w:rsidRPr="009A53B7" w14:paraId="6E528A8E" w14:textId="77777777" w:rsidTr="00F03326">
        <w:trPr>
          <w:trHeight w:val="108"/>
          <w:tblHeader/>
        </w:trPr>
        <w:tc>
          <w:tcPr>
            <w:tcW w:w="1497" w:type="dxa"/>
            <w:shd w:val="clear" w:color="auto" w:fill="D9D9D9"/>
            <w:tcMar>
              <w:top w:w="57" w:type="dxa"/>
              <w:left w:w="113" w:type="dxa"/>
              <w:bottom w:w="57" w:type="dxa"/>
            </w:tcMar>
            <w:vAlign w:val="center"/>
          </w:tcPr>
          <w:p w14:paraId="7031B572" w14:textId="77777777" w:rsidR="00000AF7" w:rsidRPr="009A53B7" w:rsidRDefault="00000AF7" w:rsidP="00C53565">
            <w:pPr>
              <w:jc w:val="center"/>
              <w:rPr>
                <w:rFonts w:ascii="Arial Narrow" w:hAnsi="Arial Narrow" w:cs="Arial"/>
                <w:b/>
                <w:sz w:val="24"/>
                <w:szCs w:val="24"/>
              </w:rPr>
            </w:pPr>
            <w:r w:rsidRPr="009A53B7">
              <w:rPr>
                <w:rFonts w:ascii="Arial Narrow" w:hAnsi="Arial Narrow" w:cs="Arial"/>
                <w:b/>
                <w:sz w:val="24"/>
                <w:szCs w:val="24"/>
              </w:rPr>
              <w:t>FECHA</w:t>
            </w:r>
          </w:p>
        </w:tc>
        <w:tc>
          <w:tcPr>
            <w:tcW w:w="1347" w:type="dxa"/>
            <w:shd w:val="clear" w:color="auto" w:fill="D9D9D9"/>
            <w:tcMar>
              <w:top w:w="57" w:type="dxa"/>
              <w:left w:w="113" w:type="dxa"/>
              <w:bottom w:w="57" w:type="dxa"/>
            </w:tcMar>
            <w:vAlign w:val="center"/>
          </w:tcPr>
          <w:p w14:paraId="3E0AC070" w14:textId="77777777" w:rsidR="00000AF7" w:rsidRPr="009A53B7" w:rsidRDefault="00000AF7" w:rsidP="00C53565">
            <w:pPr>
              <w:jc w:val="center"/>
              <w:rPr>
                <w:rFonts w:ascii="Arial Narrow" w:hAnsi="Arial Narrow" w:cs="Arial"/>
                <w:b/>
                <w:sz w:val="24"/>
                <w:szCs w:val="24"/>
              </w:rPr>
            </w:pPr>
            <w:r w:rsidRPr="009A53B7">
              <w:rPr>
                <w:rFonts w:ascii="Arial Narrow" w:hAnsi="Arial Narrow" w:cs="Arial"/>
                <w:b/>
                <w:sz w:val="24"/>
                <w:szCs w:val="24"/>
              </w:rPr>
              <w:t>VERSIÓN</w:t>
            </w:r>
          </w:p>
        </w:tc>
        <w:tc>
          <w:tcPr>
            <w:tcW w:w="4042" w:type="dxa"/>
            <w:shd w:val="clear" w:color="auto" w:fill="D9D9D9"/>
            <w:tcMar>
              <w:top w:w="57" w:type="dxa"/>
              <w:left w:w="113" w:type="dxa"/>
              <w:bottom w:w="57" w:type="dxa"/>
            </w:tcMar>
            <w:vAlign w:val="center"/>
          </w:tcPr>
          <w:p w14:paraId="3D85636D" w14:textId="77777777" w:rsidR="00000AF7" w:rsidRPr="009A53B7" w:rsidRDefault="00000AF7" w:rsidP="00C53565">
            <w:pPr>
              <w:jc w:val="center"/>
              <w:rPr>
                <w:rFonts w:ascii="Arial Narrow" w:hAnsi="Arial Narrow" w:cs="Arial"/>
                <w:b/>
                <w:sz w:val="24"/>
                <w:szCs w:val="24"/>
              </w:rPr>
            </w:pPr>
            <w:r w:rsidRPr="009A53B7">
              <w:rPr>
                <w:rFonts w:ascii="Arial Narrow" w:hAnsi="Arial Narrow" w:cs="Arial"/>
                <w:b/>
                <w:sz w:val="24"/>
                <w:szCs w:val="24"/>
              </w:rPr>
              <w:t>DESCRIPCIÓN DEL CAMBIO</w:t>
            </w:r>
          </w:p>
        </w:tc>
        <w:tc>
          <w:tcPr>
            <w:tcW w:w="2380" w:type="dxa"/>
            <w:shd w:val="clear" w:color="auto" w:fill="D9D9D9"/>
            <w:tcMar>
              <w:top w:w="57" w:type="dxa"/>
              <w:left w:w="113" w:type="dxa"/>
              <w:bottom w:w="57" w:type="dxa"/>
            </w:tcMar>
            <w:vAlign w:val="center"/>
          </w:tcPr>
          <w:p w14:paraId="4144252A" w14:textId="77777777" w:rsidR="00000AF7" w:rsidRPr="009A53B7" w:rsidRDefault="00000AF7" w:rsidP="00C53565">
            <w:pPr>
              <w:jc w:val="center"/>
              <w:rPr>
                <w:rFonts w:ascii="Arial Narrow" w:hAnsi="Arial Narrow" w:cs="Arial"/>
                <w:b/>
                <w:sz w:val="24"/>
                <w:szCs w:val="24"/>
              </w:rPr>
            </w:pPr>
            <w:r w:rsidRPr="009A53B7">
              <w:rPr>
                <w:rFonts w:ascii="Arial Narrow" w:hAnsi="Arial Narrow" w:cs="Arial"/>
                <w:b/>
                <w:sz w:val="24"/>
                <w:szCs w:val="24"/>
              </w:rPr>
              <w:t>ASESOR SUG</w:t>
            </w:r>
          </w:p>
        </w:tc>
      </w:tr>
      <w:tr w:rsidR="00000AF7" w:rsidRPr="009A53B7" w14:paraId="64CB7072" w14:textId="77777777" w:rsidTr="00F03326">
        <w:trPr>
          <w:trHeight w:val="394"/>
        </w:trPr>
        <w:tc>
          <w:tcPr>
            <w:tcW w:w="1497" w:type="dxa"/>
            <w:shd w:val="clear" w:color="auto" w:fill="auto"/>
            <w:tcMar>
              <w:top w:w="57" w:type="dxa"/>
              <w:left w:w="113" w:type="dxa"/>
              <w:bottom w:w="57" w:type="dxa"/>
            </w:tcMar>
            <w:vAlign w:val="center"/>
          </w:tcPr>
          <w:p w14:paraId="6F9A62AB" w14:textId="77777777" w:rsidR="00000AF7" w:rsidRPr="009A53B7" w:rsidRDefault="00000AF7" w:rsidP="00C50116">
            <w:pPr>
              <w:jc w:val="center"/>
              <w:rPr>
                <w:rFonts w:ascii="Arial Narrow" w:hAnsi="Arial Narrow" w:cs="Arial"/>
                <w:color w:val="000000"/>
              </w:rPr>
            </w:pPr>
          </w:p>
        </w:tc>
        <w:tc>
          <w:tcPr>
            <w:tcW w:w="1347" w:type="dxa"/>
            <w:shd w:val="clear" w:color="auto" w:fill="auto"/>
            <w:tcMar>
              <w:top w:w="57" w:type="dxa"/>
              <w:left w:w="113" w:type="dxa"/>
              <w:bottom w:w="57" w:type="dxa"/>
            </w:tcMar>
            <w:vAlign w:val="center"/>
          </w:tcPr>
          <w:p w14:paraId="10C82858" w14:textId="77777777" w:rsidR="00000AF7" w:rsidRPr="009A53B7" w:rsidRDefault="00F03326" w:rsidP="00C50116">
            <w:pPr>
              <w:jc w:val="center"/>
              <w:rPr>
                <w:rFonts w:ascii="Arial Narrow" w:hAnsi="Arial Narrow" w:cs="Arial"/>
                <w:color w:val="000000"/>
              </w:rPr>
            </w:pPr>
            <w:r w:rsidRPr="009A53B7">
              <w:rPr>
                <w:rFonts w:ascii="Arial Narrow" w:hAnsi="Arial Narrow" w:cs="Arial"/>
                <w:color w:val="000000"/>
              </w:rPr>
              <w:t>1</w:t>
            </w:r>
          </w:p>
        </w:tc>
        <w:tc>
          <w:tcPr>
            <w:tcW w:w="4042" w:type="dxa"/>
            <w:tcMar>
              <w:top w:w="57" w:type="dxa"/>
              <w:left w:w="113" w:type="dxa"/>
              <w:bottom w:w="57" w:type="dxa"/>
            </w:tcMar>
            <w:vAlign w:val="center"/>
          </w:tcPr>
          <w:p w14:paraId="69C072EF" w14:textId="77777777" w:rsidR="00000AF7" w:rsidRPr="009A53B7" w:rsidRDefault="00F03326" w:rsidP="00C50116">
            <w:pPr>
              <w:jc w:val="center"/>
              <w:rPr>
                <w:rFonts w:ascii="Arial Narrow" w:hAnsi="Arial Narrow" w:cs="Arial"/>
                <w:color w:val="000000"/>
              </w:rPr>
            </w:pPr>
            <w:r w:rsidRPr="009A53B7">
              <w:rPr>
                <w:rFonts w:ascii="Arial Narrow" w:hAnsi="Arial Narrow" w:cs="Arial"/>
                <w:color w:val="000000"/>
              </w:rPr>
              <w:t>Elaboración de la primera versión del documento</w:t>
            </w:r>
          </w:p>
        </w:tc>
        <w:tc>
          <w:tcPr>
            <w:tcW w:w="2380" w:type="dxa"/>
            <w:tcMar>
              <w:top w:w="57" w:type="dxa"/>
              <w:left w:w="113" w:type="dxa"/>
              <w:bottom w:w="57" w:type="dxa"/>
            </w:tcMar>
            <w:vAlign w:val="center"/>
          </w:tcPr>
          <w:p w14:paraId="17063928" w14:textId="77777777" w:rsidR="00000AF7" w:rsidRPr="009A53B7" w:rsidRDefault="00F03326" w:rsidP="00CB26AD">
            <w:pPr>
              <w:jc w:val="both"/>
              <w:rPr>
                <w:rFonts w:ascii="Arial Narrow" w:hAnsi="Arial Narrow" w:cs="Arial"/>
              </w:rPr>
            </w:pPr>
            <w:r w:rsidRPr="009A53B7">
              <w:rPr>
                <w:rFonts w:ascii="Arial Narrow" w:hAnsi="Arial Narrow" w:cs="Arial"/>
              </w:rPr>
              <w:t>Andrea Catalina Cuesta Ruiz</w:t>
            </w:r>
          </w:p>
        </w:tc>
      </w:tr>
      <w:tr w:rsidR="00BC7BEF" w:rsidRPr="009A53B7" w14:paraId="0C5D85A8" w14:textId="77777777" w:rsidTr="00F03326">
        <w:trPr>
          <w:trHeight w:val="394"/>
        </w:trPr>
        <w:tc>
          <w:tcPr>
            <w:tcW w:w="1497" w:type="dxa"/>
            <w:shd w:val="clear" w:color="auto" w:fill="auto"/>
            <w:tcMar>
              <w:top w:w="57" w:type="dxa"/>
              <w:left w:w="113" w:type="dxa"/>
              <w:bottom w:w="57" w:type="dxa"/>
            </w:tcMar>
            <w:vAlign w:val="center"/>
          </w:tcPr>
          <w:p w14:paraId="1FCBE0D1" w14:textId="1B96570E" w:rsidR="00BC7BEF" w:rsidRPr="009A53B7" w:rsidRDefault="00E70052" w:rsidP="00C50116">
            <w:pPr>
              <w:jc w:val="center"/>
              <w:rPr>
                <w:rFonts w:ascii="Arial Narrow" w:hAnsi="Arial Narrow" w:cs="Arial"/>
                <w:color w:val="000000"/>
              </w:rPr>
            </w:pPr>
            <w:r>
              <w:rPr>
                <w:rFonts w:ascii="Arial Narrow" w:hAnsi="Arial Narrow" w:cs="Arial"/>
                <w:color w:val="000000"/>
              </w:rPr>
              <w:t>3</w:t>
            </w:r>
            <w:r w:rsidR="00BC7BEF">
              <w:rPr>
                <w:rFonts w:ascii="Arial Narrow" w:hAnsi="Arial Narrow" w:cs="Arial"/>
                <w:color w:val="000000"/>
              </w:rPr>
              <w:t>-11-2022</w:t>
            </w:r>
          </w:p>
        </w:tc>
        <w:tc>
          <w:tcPr>
            <w:tcW w:w="1347" w:type="dxa"/>
            <w:shd w:val="clear" w:color="auto" w:fill="auto"/>
            <w:tcMar>
              <w:top w:w="57" w:type="dxa"/>
              <w:left w:w="113" w:type="dxa"/>
              <w:bottom w:w="57" w:type="dxa"/>
            </w:tcMar>
            <w:vAlign w:val="center"/>
          </w:tcPr>
          <w:p w14:paraId="6B7C7FB3" w14:textId="00E07B82" w:rsidR="00BC7BEF" w:rsidRPr="009A53B7" w:rsidRDefault="00BC7BEF" w:rsidP="00C50116">
            <w:pPr>
              <w:jc w:val="center"/>
              <w:rPr>
                <w:rFonts w:ascii="Arial Narrow" w:hAnsi="Arial Narrow" w:cs="Arial"/>
                <w:color w:val="000000"/>
              </w:rPr>
            </w:pPr>
            <w:r>
              <w:rPr>
                <w:rFonts w:ascii="Arial Narrow" w:hAnsi="Arial Narrow" w:cs="Arial"/>
                <w:color w:val="000000"/>
              </w:rPr>
              <w:t>2</w:t>
            </w:r>
          </w:p>
        </w:tc>
        <w:tc>
          <w:tcPr>
            <w:tcW w:w="4042" w:type="dxa"/>
            <w:tcMar>
              <w:top w:w="57" w:type="dxa"/>
              <w:left w:w="113" w:type="dxa"/>
              <w:bottom w:w="57" w:type="dxa"/>
            </w:tcMar>
            <w:vAlign w:val="center"/>
          </w:tcPr>
          <w:p w14:paraId="223BE4B3" w14:textId="72583BB1" w:rsidR="00BC7BEF" w:rsidRPr="009A53B7" w:rsidRDefault="00E70052" w:rsidP="00C50116">
            <w:pPr>
              <w:jc w:val="center"/>
              <w:rPr>
                <w:rFonts w:ascii="Arial Narrow" w:hAnsi="Arial Narrow" w:cs="Arial"/>
                <w:color w:val="000000"/>
              </w:rPr>
            </w:pPr>
            <w:r>
              <w:rPr>
                <w:rFonts w:ascii="Arial Narrow" w:hAnsi="Arial Narrow" w:cs="Arial"/>
                <w:color w:val="000000"/>
              </w:rPr>
              <w:t xml:space="preserve">Se </w:t>
            </w:r>
            <w:r w:rsidR="00B20539">
              <w:rPr>
                <w:rFonts w:ascii="Arial Narrow" w:hAnsi="Arial Narrow" w:cs="Arial"/>
                <w:color w:val="000000"/>
              </w:rPr>
              <w:t xml:space="preserve">realizan </w:t>
            </w:r>
            <w:r>
              <w:rPr>
                <w:rFonts w:ascii="Arial Narrow" w:hAnsi="Arial Narrow" w:cs="Arial"/>
                <w:color w:val="000000"/>
              </w:rPr>
              <w:t>a</w:t>
            </w:r>
            <w:r w:rsidR="00BC7BEF">
              <w:rPr>
                <w:rFonts w:ascii="Arial Narrow" w:hAnsi="Arial Narrow" w:cs="Arial"/>
                <w:color w:val="000000"/>
              </w:rPr>
              <w:t>ctualiza</w:t>
            </w:r>
            <w:r w:rsidR="00B20539">
              <w:rPr>
                <w:rFonts w:ascii="Arial Narrow" w:hAnsi="Arial Narrow" w:cs="Arial"/>
                <w:color w:val="000000"/>
              </w:rPr>
              <w:t>ciones</w:t>
            </w:r>
            <w:r w:rsidR="00BC7BEF">
              <w:rPr>
                <w:rFonts w:ascii="Arial Narrow" w:hAnsi="Arial Narrow" w:cs="Arial"/>
                <w:color w:val="000000"/>
              </w:rPr>
              <w:t xml:space="preserve"> y ajust</w:t>
            </w:r>
            <w:r w:rsidR="00B20539">
              <w:rPr>
                <w:rFonts w:ascii="Arial Narrow" w:hAnsi="Arial Narrow" w:cs="Arial"/>
                <w:color w:val="000000"/>
              </w:rPr>
              <w:t>es</w:t>
            </w:r>
            <w:r w:rsidR="00BC7BEF">
              <w:rPr>
                <w:rFonts w:ascii="Arial Narrow" w:hAnsi="Arial Narrow" w:cs="Arial"/>
                <w:color w:val="000000"/>
              </w:rPr>
              <w:t xml:space="preserve"> </w:t>
            </w:r>
            <w:r w:rsidR="00B20539">
              <w:rPr>
                <w:rFonts w:ascii="Arial Narrow" w:hAnsi="Arial Narrow" w:cs="Arial"/>
                <w:color w:val="000000"/>
              </w:rPr>
              <w:t>a</w:t>
            </w:r>
            <w:r w:rsidR="00BC7BEF">
              <w:rPr>
                <w:rFonts w:ascii="Arial Narrow" w:hAnsi="Arial Narrow" w:cs="Arial"/>
                <w:color w:val="000000"/>
              </w:rPr>
              <w:t xml:space="preserve">l documento </w:t>
            </w:r>
          </w:p>
        </w:tc>
        <w:tc>
          <w:tcPr>
            <w:tcW w:w="2380" w:type="dxa"/>
            <w:tcMar>
              <w:top w:w="57" w:type="dxa"/>
              <w:left w:w="113" w:type="dxa"/>
              <w:bottom w:w="57" w:type="dxa"/>
            </w:tcMar>
            <w:vAlign w:val="center"/>
          </w:tcPr>
          <w:p w14:paraId="6EC16571" w14:textId="0D514661" w:rsidR="00BC7BEF" w:rsidRPr="009A53B7" w:rsidRDefault="00BC7BEF" w:rsidP="00CB26AD">
            <w:pPr>
              <w:jc w:val="both"/>
              <w:rPr>
                <w:rFonts w:ascii="Arial Narrow" w:hAnsi="Arial Narrow" w:cs="Arial"/>
              </w:rPr>
            </w:pPr>
            <w:r>
              <w:rPr>
                <w:rFonts w:ascii="Arial Narrow" w:hAnsi="Arial Narrow" w:cs="Arial"/>
              </w:rPr>
              <w:t>Aura Ruth Herrera Cristancho</w:t>
            </w:r>
          </w:p>
        </w:tc>
      </w:tr>
    </w:tbl>
    <w:p w14:paraId="6BA5B91A" w14:textId="77777777" w:rsidR="004E7BF0" w:rsidRPr="009A53B7" w:rsidRDefault="004E7BF0" w:rsidP="00CB26AD">
      <w:pPr>
        <w:jc w:val="both"/>
        <w:rPr>
          <w:rFonts w:ascii="Arial Narrow" w:hAnsi="Arial Narrow" w:cs="Arial"/>
          <w:b/>
          <w:sz w:val="24"/>
          <w:szCs w:val="24"/>
        </w:rPr>
      </w:pPr>
    </w:p>
    <w:p w14:paraId="4FBB05AB" w14:textId="77777777" w:rsidR="0078679A" w:rsidRPr="009A53B7" w:rsidRDefault="0078679A" w:rsidP="00CB26AD">
      <w:pPr>
        <w:jc w:val="both"/>
        <w:rPr>
          <w:rFonts w:ascii="Arial Narrow" w:hAnsi="Arial Narrow" w:cs="Arial"/>
          <w:b/>
          <w:sz w:val="24"/>
          <w:szCs w:val="24"/>
        </w:rPr>
      </w:pPr>
    </w:p>
    <w:p w14:paraId="54D54843" w14:textId="77777777" w:rsidR="0078679A" w:rsidRPr="009A53B7" w:rsidRDefault="0078679A" w:rsidP="00CC12BC">
      <w:pPr>
        <w:pStyle w:val="Ttulo1"/>
        <w:numPr>
          <w:ilvl w:val="0"/>
          <w:numId w:val="20"/>
        </w:numPr>
        <w:rPr>
          <w:rFonts w:ascii="Arial Narrow" w:hAnsi="Arial Narrow"/>
          <w:sz w:val="24"/>
          <w:szCs w:val="24"/>
        </w:rPr>
      </w:pPr>
      <w:bookmarkStart w:id="26" w:name="_Toc10047343"/>
      <w:r w:rsidRPr="009A53B7">
        <w:rPr>
          <w:rFonts w:ascii="Arial Narrow" w:hAnsi="Arial Narrow"/>
          <w:sz w:val="24"/>
          <w:szCs w:val="24"/>
        </w:rPr>
        <w:t>APROBACIÓN</w:t>
      </w:r>
      <w:bookmarkEnd w:id="26"/>
    </w:p>
    <w:p w14:paraId="154215B3" w14:textId="77777777" w:rsidR="0078679A" w:rsidRPr="009A53B7" w:rsidRDefault="0078679A" w:rsidP="00CB26AD">
      <w:pPr>
        <w:jc w:val="both"/>
        <w:rPr>
          <w:rFonts w:ascii="Arial Narrow" w:hAnsi="Arial Narrow" w:cs="Arial"/>
          <w:b/>
          <w:sz w:val="24"/>
          <w:szCs w:val="24"/>
        </w:rPr>
      </w:pPr>
    </w:p>
    <w:tbl>
      <w:tblPr>
        <w:tblW w:w="879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4206A1" w:rsidRPr="009A53B7" w14:paraId="6C751494" w14:textId="77777777" w:rsidTr="008B4895">
        <w:trPr>
          <w:trHeight w:val="878"/>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34721F6" w14:textId="77777777" w:rsidR="004206A1" w:rsidRPr="009A53B7" w:rsidRDefault="004206A1" w:rsidP="004206A1">
            <w:pPr>
              <w:pStyle w:val="Piedepgina"/>
              <w:ind w:right="360"/>
              <w:jc w:val="both"/>
              <w:rPr>
                <w:rFonts w:ascii="Arial Narrow" w:hAnsi="Arial Narrow" w:cs="Arial"/>
                <w:b/>
                <w:sz w:val="24"/>
                <w:szCs w:val="24"/>
              </w:rPr>
            </w:pPr>
            <w:r w:rsidRPr="009A53B7">
              <w:rPr>
                <w:rFonts w:ascii="Arial Narrow" w:hAnsi="Arial Narrow" w:cs="Arial"/>
                <w:b/>
                <w:sz w:val="24"/>
                <w:szCs w:val="24"/>
              </w:rPr>
              <w:t xml:space="preserve">ELABORADO POR: </w:t>
            </w:r>
          </w:p>
        </w:tc>
        <w:tc>
          <w:tcPr>
            <w:tcW w:w="5957" w:type="dxa"/>
            <w:tcBorders>
              <w:top w:val="single" w:sz="6" w:space="0" w:color="auto"/>
              <w:left w:val="single" w:sz="6" w:space="0" w:color="auto"/>
              <w:bottom w:val="single" w:sz="6" w:space="0" w:color="auto"/>
              <w:right w:val="single" w:sz="6" w:space="0" w:color="auto"/>
            </w:tcBorders>
            <w:shd w:val="clear" w:color="auto" w:fill="FFFFFF"/>
            <w:vAlign w:val="center"/>
          </w:tcPr>
          <w:p w14:paraId="7AEE9B1A" w14:textId="77777777" w:rsidR="004206A1" w:rsidRPr="009A53B7" w:rsidRDefault="004206A1" w:rsidP="004206A1">
            <w:pPr>
              <w:pStyle w:val="Piedepgina"/>
              <w:ind w:right="360"/>
              <w:jc w:val="both"/>
              <w:rPr>
                <w:rFonts w:ascii="Arial Narrow" w:hAnsi="Arial Narrow" w:cs="Arial"/>
                <w:b/>
                <w:i/>
                <w:color w:val="000000"/>
              </w:rPr>
            </w:pPr>
            <w:r w:rsidRPr="009A53B7">
              <w:rPr>
                <w:rFonts w:ascii="Arial Narrow" w:hAnsi="Arial Narrow" w:cs="Arial"/>
                <w:b/>
                <w:color w:val="000000"/>
              </w:rPr>
              <w:t xml:space="preserve">Nombre: </w:t>
            </w:r>
            <w:r w:rsidR="00C50116" w:rsidRPr="009A53B7">
              <w:rPr>
                <w:rFonts w:ascii="Arial Narrow" w:hAnsi="Arial Narrow" w:cs="Arial"/>
                <w:i/>
                <w:color w:val="000000"/>
              </w:rPr>
              <w:t>Francisco Quiroga</w:t>
            </w:r>
          </w:p>
          <w:p w14:paraId="2EC13240" w14:textId="234435B4" w:rsidR="004206A1" w:rsidRPr="009A53B7" w:rsidRDefault="004206A1" w:rsidP="004206A1">
            <w:pPr>
              <w:pStyle w:val="Piedepgina"/>
              <w:tabs>
                <w:tab w:val="clear" w:pos="4252"/>
                <w:tab w:val="left" w:pos="4536"/>
              </w:tabs>
              <w:ind w:right="71"/>
              <w:jc w:val="both"/>
              <w:rPr>
                <w:rFonts w:ascii="Arial Narrow" w:hAnsi="Arial Narrow" w:cs="Arial"/>
                <w:b/>
                <w:color w:val="000000"/>
              </w:rPr>
            </w:pPr>
            <w:r w:rsidRPr="009A53B7">
              <w:rPr>
                <w:rFonts w:ascii="Arial Narrow" w:hAnsi="Arial Narrow" w:cs="Arial"/>
                <w:b/>
                <w:color w:val="000000"/>
              </w:rPr>
              <w:t xml:space="preserve">Cargo:  </w:t>
            </w:r>
            <w:r w:rsidR="00C50116" w:rsidRPr="009A53B7">
              <w:rPr>
                <w:rFonts w:ascii="Arial Narrow" w:hAnsi="Arial Narrow" w:cs="Arial"/>
                <w:i/>
                <w:color w:val="000000"/>
              </w:rPr>
              <w:t>Asesor DGPE</w:t>
            </w:r>
          </w:p>
          <w:p w14:paraId="44B19A31" w14:textId="2C8E5C9F" w:rsidR="004206A1" w:rsidRPr="009A53B7" w:rsidRDefault="004206A1" w:rsidP="00C50116">
            <w:pPr>
              <w:pStyle w:val="Piedepgina"/>
              <w:ind w:right="360"/>
              <w:jc w:val="both"/>
              <w:rPr>
                <w:rFonts w:ascii="Arial Narrow" w:hAnsi="Arial Narrow" w:cs="Arial"/>
                <w:b/>
                <w:color w:val="000000"/>
              </w:rPr>
            </w:pPr>
            <w:r w:rsidRPr="009A53B7">
              <w:rPr>
                <w:rFonts w:ascii="Arial Narrow" w:hAnsi="Arial Narrow" w:cs="Arial"/>
                <w:b/>
                <w:color w:val="000000"/>
              </w:rPr>
              <w:t xml:space="preserve">Fecha:  </w:t>
            </w:r>
            <w:r w:rsidR="00B20539">
              <w:rPr>
                <w:rFonts w:ascii="Arial Narrow" w:hAnsi="Arial Narrow" w:cs="Arial"/>
                <w:i/>
                <w:color w:val="000000"/>
              </w:rPr>
              <w:t>1</w:t>
            </w:r>
            <w:r w:rsidR="00C50116" w:rsidRPr="009A53B7">
              <w:rPr>
                <w:rFonts w:ascii="Arial Narrow" w:hAnsi="Arial Narrow" w:cs="Arial"/>
                <w:i/>
                <w:color w:val="000000"/>
              </w:rPr>
              <w:t>-</w:t>
            </w:r>
            <w:r w:rsidR="00B20539">
              <w:rPr>
                <w:rFonts w:ascii="Arial Narrow" w:hAnsi="Arial Narrow" w:cs="Arial"/>
                <w:i/>
                <w:color w:val="000000"/>
              </w:rPr>
              <w:t>11</w:t>
            </w:r>
            <w:r w:rsidR="00C50116" w:rsidRPr="009A53B7">
              <w:rPr>
                <w:rFonts w:ascii="Arial Narrow" w:hAnsi="Arial Narrow" w:cs="Arial"/>
                <w:i/>
                <w:color w:val="000000"/>
              </w:rPr>
              <w:t>-20</w:t>
            </w:r>
            <w:r w:rsidR="00B20539">
              <w:rPr>
                <w:rFonts w:ascii="Arial Narrow" w:hAnsi="Arial Narrow" w:cs="Arial"/>
                <w:i/>
                <w:color w:val="000000"/>
              </w:rPr>
              <w:t>22</w:t>
            </w:r>
          </w:p>
        </w:tc>
      </w:tr>
      <w:tr w:rsidR="004206A1" w:rsidRPr="009A53B7" w14:paraId="54742BEA" w14:textId="77777777" w:rsidTr="008B4895">
        <w:trPr>
          <w:trHeight w:val="821"/>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62A3563E" w14:textId="77777777" w:rsidR="004206A1" w:rsidRPr="009A53B7" w:rsidRDefault="004206A1" w:rsidP="004206A1">
            <w:pPr>
              <w:pStyle w:val="Piedepgina"/>
              <w:ind w:right="360"/>
              <w:jc w:val="both"/>
              <w:rPr>
                <w:rFonts w:ascii="Arial Narrow" w:hAnsi="Arial Narrow" w:cs="Arial"/>
                <w:b/>
                <w:sz w:val="24"/>
                <w:szCs w:val="24"/>
              </w:rPr>
            </w:pPr>
            <w:r w:rsidRPr="009A53B7">
              <w:rPr>
                <w:rFonts w:ascii="Arial Narrow" w:hAnsi="Arial Narrow" w:cs="Arial"/>
                <w:b/>
                <w:sz w:val="24"/>
                <w:szCs w:val="24"/>
              </w:rPr>
              <w:t>REVISADO POR:</w:t>
            </w:r>
          </w:p>
        </w:tc>
        <w:tc>
          <w:tcPr>
            <w:tcW w:w="5957" w:type="dxa"/>
            <w:tcBorders>
              <w:top w:val="single" w:sz="6" w:space="0" w:color="auto"/>
              <w:left w:val="single" w:sz="6" w:space="0" w:color="auto"/>
              <w:bottom w:val="single" w:sz="6" w:space="0" w:color="auto"/>
              <w:right w:val="single" w:sz="6" w:space="0" w:color="auto"/>
            </w:tcBorders>
            <w:vAlign w:val="center"/>
          </w:tcPr>
          <w:p w14:paraId="2F3078B1" w14:textId="77777777" w:rsidR="004206A1" w:rsidRPr="009A53B7" w:rsidRDefault="004206A1" w:rsidP="004206A1">
            <w:pPr>
              <w:pStyle w:val="Piedepgina"/>
              <w:ind w:right="360"/>
              <w:jc w:val="both"/>
              <w:rPr>
                <w:rFonts w:ascii="Arial Narrow" w:hAnsi="Arial Narrow" w:cs="Arial"/>
                <w:b/>
                <w:color w:val="000000"/>
              </w:rPr>
            </w:pPr>
            <w:r w:rsidRPr="009A53B7">
              <w:rPr>
                <w:rFonts w:ascii="Arial Narrow" w:hAnsi="Arial Narrow" w:cs="Arial"/>
                <w:b/>
                <w:color w:val="000000"/>
              </w:rPr>
              <w:t xml:space="preserve">Nombre: </w:t>
            </w:r>
            <w:r w:rsidR="00C50116" w:rsidRPr="009A53B7">
              <w:rPr>
                <w:rFonts w:ascii="Arial Narrow" w:hAnsi="Arial Narrow" w:cs="Arial"/>
                <w:i/>
                <w:color w:val="000000"/>
              </w:rPr>
              <w:t>Javier Mendez</w:t>
            </w:r>
          </w:p>
          <w:p w14:paraId="7192F4EA" w14:textId="77777777" w:rsidR="004206A1" w:rsidRPr="009A53B7" w:rsidRDefault="004206A1" w:rsidP="004206A1">
            <w:pPr>
              <w:pStyle w:val="Piedepgina"/>
              <w:tabs>
                <w:tab w:val="clear" w:pos="4252"/>
                <w:tab w:val="left" w:pos="4536"/>
              </w:tabs>
              <w:ind w:right="71"/>
              <w:jc w:val="both"/>
              <w:rPr>
                <w:rFonts w:ascii="Arial Narrow" w:hAnsi="Arial Narrow" w:cs="Arial"/>
                <w:b/>
                <w:color w:val="000000"/>
              </w:rPr>
            </w:pPr>
            <w:r w:rsidRPr="009A53B7">
              <w:rPr>
                <w:rFonts w:ascii="Arial Narrow" w:hAnsi="Arial Narrow" w:cs="Arial"/>
                <w:b/>
                <w:color w:val="000000"/>
              </w:rPr>
              <w:t xml:space="preserve">Cargo: </w:t>
            </w:r>
            <w:r w:rsidR="00C50116" w:rsidRPr="009A53B7">
              <w:rPr>
                <w:rFonts w:ascii="Arial Narrow" w:hAnsi="Arial Narrow" w:cs="Arial"/>
                <w:i/>
                <w:color w:val="000000"/>
              </w:rPr>
              <w:t>Asesor DGPE</w:t>
            </w:r>
            <w:r w:rsidRPr="009A53B7">
              <w:rPr>
                <w:rFonts w:ascii="Arial Narrow" w:hAnsi="Arial Narrow" w:cs="Arial"/>
                <w:b/>
                <w:color w:val="000000"/>
              </w:rPr>
              <w:t xml:space="preserve"> </w:t>
            </w:r>
          </w:p>
          <w:p w14:paraId="2DCAB450" w14:textId="6649B743" w:rsidR="004206A1" w:rsidRPr="009A53B7" w:rsidRDefault="004206A1" w:rsidP="004206A1">
            <w:pPr>
              <w:pStyle w:val="Piedepgina"/>
              <w:ind w:right="360"/>
              <w:jc w:val="both"/>
              <w:rPr>
                <w:rFonts w:ascii="Arial Narrow" w:hAnsi="Arial Narrow" w:cs="Arial"/>
                <w:b/>
                <w:color w:val="000000"/>
              </w:rPr>
            </w:pPr>
            <w:r w:rsidRPr="009A53B7">
              <w:rPr>
                <w:rFonts w:ascii="Arial Narrow" w:hAnsi="Arial Narrow" w:cs="Arial"/>
                <w:b/>
                <w:color w:val="000000"/>
              </w:rPr>
              <w:t xml:space="preserve">Fecha: </w:t>
            </w:r>
            <w:r w:rsidR="00B20539">
              <w:rPr>
                <w:rFonts w:ascii="Arial Narrow" w:hAnsi="Arial Narrow" w:cs="Arial"/>
                <w:i/>
                <w:color w:val="000000"/>
              </w:rPr>
              <w:t>1</w:t>
            </w:r>
            <w:r w:rsidR="00C50116" w:rsidRPr="009A53B7">
              <w:rPr>
                <w:rFonts w:ascii="Arial Narrow" w:hAnsi="Arial Narrow" w:cs="Arial"/>
                <w:i/>
                <w:color w:val="000000"/>
              </w:rPr>
              <w:t>-</w:t>
            </w:r>
            <w:r w:rsidR="00B20539">
              <w:rPr>
                <w:rFonts w:ascii="Arial Narrow" w:hAnsi="Arial Narrow" w:cs="Arial"/>
                <w:i/>
                <w:color w:val="000000"/>
              </w:rPr>
              <w:t>11</w:t>
            </w:r>
            <w:r w:rsidR="00C50116" w:rsidRPr="009A53B7">
              <w:rPr>
                <w:rFonts w:ascii="Arial Narrow" w:hAnsi="Arial Narrow" w:cs="Arial"/>
                <w:i/>
                <w:color w:val="000000"/>
              </w:rPr>
              <w:t>-20</w:t>
            </w:r>
            <w:r w:rsidR="00B20539">
              <w:rPr>
                <w:rFonts w:ascii="Arial Narrow" w:hAnsi="Arial Narrow" w:cs="Arial"/>
                <w:i/>
                <w:color w:val="000000"/>
              </w:rPr>
              <w:t>22</w:t>
            </w:r>
          </w:p>
        </w:tc>
      </w:tr>
      <w:tr w:rsidR="004206A1" w:rsidRPr="009A53B7" w14:paraId="0855DB93" w14:textId="77777777" w:rsidTr="008B4895">
        <w:trPr>
          <w:trHeight w:val="846"/>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07C59B75" w14:textId="77777777" w:rsidR="004206A1" w:rsidRPr="009A53B7" w:rsidRDefault="004206A1" w:rsidP="004206A1">
            <w:pPr>
              <w:pStyle w:val="Piedepgina"/>
              <w:ind w:right="360"/>
              <w:jc w:val="both"/>
              <w:rPr>
                <w:rFonts w:ascii="Arial Narrow" w:hAnsi="Arial Narrow" w:cs="Arial"/>
                <w:b/>
                <w:sz w:val="24"/>
                <w:szCs w:val="24"/>
              </w:rPr>
            </w:pPr>
            <w:r w:rsidRPr="009A53B7">
              <w:rPr>
                <w:rFonts w:ascii="Arial Narrow" w:hAnsi="Arial Narrow" w:cs="Arial"/>
                <w:b/>
                <w:sz w:val="24"/>
                <w:szCs w:val="24"/>
              </w:rPr>
              <w:t>APROBADO POR:</w:t>
            </w:r>
          </w:p>
        </w:tc>
        <w:tc>
          <w:tcPr>
            <w:tcW w:w="5957" w:type="dxa"/>
            <w:tcBorders>
              <w:top w:val="single" w:sz="6" w:space="0" w:color="auto"/>
              <w:left w:val="single" w:sz="6" w:space="0" w:color="auto"/>
              <w:bottom w:val="single" w:sz="6" w:space="0" w:color="auto"/>
              <w:right w:val="single" w:sz="6" w:space="0" w:color="auto"/>
            </w:tcBorders>
            <w:vAlign w:val="center"/>
          </w:tcPr>
          <w:p w14:paraId="42E99D1D" w14:textId="77777777" w:rsidR="004206A1" w:rsidRPr="009A53B7" w:rsidRDefault="004206A1" w:rsidP="004206A1">
            <w:pPr>
              <w:pStyle w:val="Piedepgina"/>
              <w:ind w:right="360"/>
              <w:jc w:val="both"/>
              <w:rPr>
                <w:rFonts w:ascii="Arial Narrow" w:hAnsi="Arial Narrow" w:cs="Arial"/>
                <w:i/>
                <w:color w:val="000000"/>
              </w:rPr>
            </w:pPr>
            <w:r w:rsidRPr="009A53B7">
              <w:rPr>
                <w:rFonts w:ascii="Arial Narrow" w:hAnsi="Arial Narrow" w:cs="Arial"/>
                <w:b/>
              </w:rPr>
              <w:t xml:space="preserve">Nombre: </w:t>
            </w:r>
            <w:r w:rsidR="00470137" w:rsidRPr="009A53B7">
              <w:rPr>
                <w:rFonts w:ascii="Arial Narrow" w:hAnsi="Arial Narrow" w:cs="Arial"/>
                <w:i/>
                <w:color w:val="000000"/>
              </w:rPr>
              <w:t>Adriana Mazuera Child</w:t>
            </w:r>
          </w:p>
          <w:p w14:paraId="173D3190" w14:textId="77777777" w:rsidR="00470137" w:rsidRPr="009A53B7" w:rsidRDefault="004206A1" w:rsidP="00470137">
            <w:pPr>
              <w:pStyle w:val="Piedepgina"/>
              <w:ind w:right="360"/>
              <w:jc w:val="both"/>
              <w:rPr>
                <w:rFonts w:ascii="Arial Narrow" w:hAnsi="Arial Narrow" w:cs="Arial"/>
                <w:i/>
                <w:color w:val="000000"/>
              </w:rPr>
            </w:pPr>
            <w:r w:rsidRPr="009A53B7">
              <w:rPr>
                <w:rFonts w:ascii="Arial Narrow" w:hAnsi="Arial Narrow" w:cs="Arial"/>
                <w:b/>
                <w:i/>
                <w:color w:val="000000"/>
              </w:rPr>
              <w:t xml:space="preserve">Cargo: </w:t>
            </w:r>
            <w:proofErr w:type="gramStart"/>
            <w:r w:rsidR="00470137" w:rsidRPr="009A53B7">
              <w:rPr>
                <w:rFonts w:ascii="Arial Narrow" w:hAnsi="Arial Narrow" w:cs="Arial"/>
                <w:i/>
                <w:color w:val="000000"/>
              </w:rPr>
              <w:t>Director</w:t>
            </w:r>
            <w:r w:rsidR="009A53B7" w:rsidRPr="009A53B7">
              <w:rPr>
                <w:rFonts w:ascii="Arial Narrow" w:hAnsi="Arial Narrow" w:cs="Arial"/>
                <w:i/>
                <w:color w:val="000000"/>
              </w:rPr>
              <w:t xml:space="preserve"> </w:t>
            </w:r>
            <w:r w:rsidR="00470137" w:rsidRPr="009A53B7">
              <w:rPr>
                <w:rFonts w:ascii="Arial Narrow" w:hAnsi="Arial Narrow" w:cs="Arial"/>
                <w:i/>
                <w:color w:val="000000"/>
              </w:rPr>
              <w:t>Técnico</w:t>
            </w:r>
            <w:proofErr w:type="gramEnd"/>
            <w:r w:rsidR="00470137" w:rsidRPr="009A53B7">
              <w:rPr>
                <w:rFonts w:ascii="Arial Narrow" w:hAnsi="Arial Narrow" w:cs="Arial"/>
                <w:i/>
                <w:color w:val="000000"/>
              </w:rPr>
              <w:t xml:space="preserve"> </w:t>
            </w:r>
          </w:p>
          <w:p w14:paraId="21A3147E" w14:textId="4F394808" w:rsidR="004206A1" w:rsidRPr="009A53B7" w:rsidRDefault="004206A1" w:rsidP="009A53B7">
            <w:pPr>
              <w:pStyle w:val="Piedepgina"/>
              <w:ind w:right="360"/>
              <w:jc w:val="both"/>
              <w:rPr>
                <w:rFonts w:ascii="Arial Narrow" w:hAnsi="Arial Narrow" w:cs="Arial"/>
                <w:b/>
              </w:rPr>
            </w:pPr>
            <w:r w:rsidRPr="009A53B7">
              <w:rPr>
                <w:rFonts w:ascii="Arial Narrow" w:hAnsi="Arial Narrow" w:cs="Arial"/>
                <w:b/>
                <w:i/>
                <w:color w:val="000000"/>
              </w:rPr>
              <w:t>Fecha:</w:t>
            </w:r>
            <w:r w:rsidRPr="009A53B7">
              <w:rPr>
                <w:rFonts w:ascii="Arial Narrow" w:hAnsi="Arial Narrow" w:cs="Arial"/>
                <w:i/>
                <w:color w:val="000000"/>
              </w:rPr>
              <w:t xml:space="preserve"> </w:t>
            </w:r>
            <w:r w:rsidR="00B20539">
              <w:rPr>
                <w:rFonts w:ascii="Arial Narrow" w:hAnsi="Arial Narrow" w:cs="Arial"/>
                <w:i/>
                <w:color w:val="000000"/>
              </w:rPr>
              <w:t>1</w:t>
            </w:r>
            <w:r w:rsidR="009A53B7" w:rsidRPr="009A53B7">
              <w:rPr>
                <w:rFonts w:ascii="Arial Narrow" w:hAnsi="Arial Narrow" w:cs="Arial"/>
                <w:i/>
                <w:color w:val="000000"/>
              </w:rPr>
              <w:t>-</w:t>
            </w:r>
            <w:r w:rsidR="00B20539">
              <w:rPr>
                <w:rFonts w:ascii="Arial Narrow" w:hAnsi="Arial Narrow" w:cs="Arial"/>
                <w:i/>
                <w:color w:val="000000"/>
              </w:rPr>
              <w:t>11</w:t>
            </w:r>
            <w:r w:rsidR="009A53B7" w:rsidRPr="009A53B7">
              <w:rPr>
                <w:rFonts w:ascii="Arial Narrow" w:hAnsi="Arial Narrow" w:cs="Arial"/>
                <w:i/>
                <w:color w:val="000000"/>
              </w:rPr>
              <w:t>-20</w:t>
            </w:r>
            <w:r w:rsidR="00B20539">
              <w:rPr>
                <w:rFonts w:ascii="Arial Narrow" w:hAnsi="Arial Narrow" w:cs="Arial"/>
                <w:i/>
                <w:color w:val="000000"/>
              </w:rPr>
              <w:t>22</w:t>
            </w:r>
          </w:p>
        </w:tc>
      </w:tr>
    </w:tbl>
    <w:p w14:paraId="60D559E9" w14:textId="77777777" w:rsidR="00EE7950" w:rsidRPr="009A53B7" w:rsidRDefault="00EE7950" w:rsidP="00CB26AD">
      <w:pPr>
        <w:jc w:val="both"/>
        <w:rPr>
          <w:rFonts w:ascii="Arial Narrow" w:hAnsi="Arial Narrow" w:cs="Arial"/>
          <w:b/>
          <w:sz w:val="24"/>
          <w:szCs w:val="24"/>
        </w:rPr>
      </w:pPr>
    </w:p>
    <w:sectPr w:rsidR="00EE7950" w:rsidRPr="009A53B7" w:rsidSect="009A53B7">
      <w:headerReference w:type="default" r:id="rId17"/>
      <w:footerReference w:type="default" r:id="rId18"/>
      <w:headerReference w:type="first" r:id="rId19"/>
      <w:footerReference w:type="first" r:id="rId20"/>
      <w:pgSz w:w="12242" w:h="15842"/>
      <w:pgMar w:top="1235" w:right="1701"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B6E92" w14:textId="77777777" w:rsidR="00DB0A47" w:rsidRDefault="00DB0A47">
      <w:r>
        <w:separator/>
      </w:r>
    </w:p>
  </w:endnote>
  <w:endnote w:type="continuationSeparator" w:id="0">
    <w:p w14:paraId="4F8B0B92" w14:textId="77777777" w:rsidR="00DB0A47" w:rsidRDefault="00DB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w:charset w:val="00"/>
    <w:family w:val="auto"/>
    <w:pitch w:val="variable"/>
    <w:sig w:usb0="800000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5924" w14:textId="77777777" w:rsidR="00750E7E" w:rsidRDefault="00750E7E" w:rsidP="004A0461">
    <w:pPr>
      <w:pStyle w:val="Piedepgina"/>
      <w:rPr>
        <w:rFonts w:ascii="Arial Narrow" w:hAnsi="Arial Narrow"/>
        <w:sz w:val="16"/>
        <w:szCs w:val="16"/>
        <w:lang w:val="es-CO"/>
      </w:rPr>
    </w:pPr>
  </w:p>
  <w:p w14:paraId="1283AEE5" w14:textId="77777777" w:rsidR="00750E7E" w:rsidRDefault="00750E7E" w:rsidP="004A0461">
    <w:pPr>
      <w:pStyle w:val="Piedepgina"/>
      <w:rPr>
        <w:rFonts w:ascii="Arial Narrow" w:hAnsi="Arial Narrow"/>
        <w:sz w:val="16"/>
        <w:szCs w:val="16"/>
        <w:lang w:val="es-CO"/>
      </w:rPr>
    </w:pPr>
  </w:p>
  <w:p w14:paraId="60D9417C" w14:textId="77777777" w:rsidR="00750E7E" w:rsidRPr="00B272FD" w:rsidRDefault="00750E7E">
    <w:pPr>
      <w:pStyle w:val="Piedepgina"/>
      <w:rPr>
        <w:lang w:val="en-US"/>
      </w:rPr>
    </w:pPr>
    <w:r w:rsidRPr="00B272FD">
      <w:rPr>
        <w:rFonts w:ascii="Arial Narrow" w:hAnsi="Arial Narrow"/>
        <w:sz w:val="16"/>
        <w:szCs w:val="16"/>
        <w:lang w:val="en-US"/>
      </w:rPr>
      <w:t>Est.1.</w:t>
    </w:r>
    <w:proofErr w:type="gramStart"/>
    <w:r w:rsidRPr="00B272FD">
      <w:rPr>
        <w:rFonts w:ascii="Arial Narrow" w:hAnsi="Arial Narrow"/>
        <w:sz w:val="16"/>
        <w:szCs w:val="16"/>
        <w:lang w:val="en-US"/>
      </w:rPr>
      <w:t>4.Ins.</w:t>
    </w:r>
    <w:proofErr w:type="gramEnd"/>
    <w:r w:rsidRPr="00B272FD">
      <w:rPr>
        <w:rFonts w:ascii="Arial Narrow" w:hAnsi="Arial Narrow"/>
        <w:sz w:val="16"/>
        <w:szCs w:val="16"/>
        <w:lang w:val="en-US"/>
      </w:rPr>
      <w:t>1.Fr.13 Plantilla Manual_V.1</w:t>
    </w:r>
  </w:p>
  <w:p w14:paraId="09B21807" w14:textId="77777777" w:rsidR="00750E7E" w:rsidRPr="00B272FD" w:rsidRDefault="00750E7E">
    <w:pPr>
      <w:pStyle w:val="Piedepgin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0677" w14:textId="77777777" w:rsidR="00750E7E" w:rsidRDefault="00750E7E" w:rsidP="00063D1A">
    <w:pPr>
      <w:pStyle w:val="Piedepgina"/>
      <w:rPr>
        <w:rFonts w:ascii="Arial Narrow" w:hAnsi="Arial Narrow"/>
        <w:sz w:val="16"/>
        <w:szCs w:val="16"/>
        <w:lang w:val="es-CO"/>
      </w:rPr>
    </w:pPr>
  </w:p>
  <w:p w14:paraId="6C2ABD4C" w14:textId="77777777" w:rsidR="00750E7E" w:rsidRPr="00B272FD" w:rsidRDefault="00750E7E" w:rsidP="00063D1A">
    <w:pPr>
      <w:pStyle w:val="Piedepgina"/>
      <w:rPr>
        <w:lang w:val="en-US"/>
      </w:rPr>
    </w:pPr>
    <w:r w:rsidRPr="00B272FD">
      <w:rPr>
        <w:rFonts w:ascii="Arial Narrow" w:hAnsi="Arial Narrow"/>
        <w:sz w:val="16"/>
        <w:szCs w:val="16"/>
        <w:lang w:val="en-US"/>
      </w:rPr>
      <w:t>Est.1.</w:t>
    </w:r>
    <w:proofErr w:type="gramStart"/>
    <w:r w:rsidRPr="00B272FD">
      <w:rPr>
        <w:rFonts w:ascii="Arial Narrow" w:hAnsi="Arial Narrow"/>
        <w:sz w:val="16"/>
        <w:szCs w:val="16"/>
        <w:lang w:val="en-US"/>
      </w:rPr>
      <w:t>4.Ins.</w:t>
    </w:r>
    <w:proofErr w:type="gramEnd"/>
    <w:r w:rsidRPr="00B272FD">
      <w:rPr>
        <w:rFonts w:ascii="Arial Narrow" w:hAnsi="Arial Narrow"/>
        <w:sz w:val="16"/>
        <w:szCs w:val="16"/>
        <w:lang w:val="en-US"/>
      </w:rPr>
      <w:t>1.Fr.13 Plantilla Manual_V.1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0F39" w14:textId="77777777" w:rsidR="00DB0A47" w:rsidRDefault="00DB0A47">
      <w:r>
        <w:separator/>
      </w:r>
    </w:p>
  </w:footnote>
  <w:footnote w:type="continuationSeparator" w:id="0">
    <w:p w14:paraId="0138007B" w14:textId="77777777" w:rsidR="00DB0A47" w:rsidRDefault="00DB0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632"/>
      <w:gridCol w:w="993"/>
      <w:gridCol w:w="1655"/>
    </w:tblGrid>
    <w:tr w:rsidR="00750E7E" w14:paraId="2B715005" w14:textId="77777777" w:rsidTr="009A53B7">
      <w:trPr>
        <w:cantSplit/>
        <w:trHeight w:val="276"/>
        <w:jc w:val="center"/>
      </w:trPr>
      <w:tc>
        <w:tcPr>
          <w:tcW w:w="2785" w:type="dxa"/>
          <w:vMerge w:val="restart"/>
          <w:vAlign w:val="center"/>
        </w:tcPr>
        <w:p w14:paraId="7189FDB0" w14:textId="77777777" w:rsidR="00091745" w:rsidRDefault="00091745" w:rsidP="00091745">
          <w:pPr>
            <w:pStyle w:val="Encabezado"/>
            <w:jc w:val="center"/>
            <w:rPr>
              <w:noProof/>
              <w:lang w:val="es-CO" w:eastAsia="es-CO"/>
            </w:rPr>
          </w:pPr>
        </w:p>
        <w:p w14:paraId="55D641DF" w14:textId="60106400" w:rsidR="00091745" w:rsidRDefault="00B20539" w:rsidP="00091745">
          <w:pPr>
            <w:pStyle w:val="Encabezado"/>
            <w:jc w:val="center"/>
            <w:rPr>
              <w:noProof/>
              <w:lang w:val="es-CO" w:eastAsia="es-CO"/>
            </w:rPr>
          </w:pPr>
          <w:r>
            <w:rPr>
              <w:noProof/>
            </w:rPr>
            <w:drawing>
              <wp:anchor distT="0" distB="0" distL="114300" distR="114300" simplePos="0" relativeHeight="251657728" behindDoc="0" locked="0" layoutInCell="1" allowOverlap="1" wp14:anchorId="0AA01F26" wp14:editId="645305BF">
                <wp:simplePos x="0" y="0"/>
                <wp:positionH relativeFrom="column">
                  <wp:align>left</wp:align>
                </wp:positionH>
                <wp:positionV relativeFrom="paragraph">
                  <wp:align>outside</wp:align>
                </wp:positionV>
                <wp:extent cx="1678940" cy="28638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940" cy="286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9E872" w14:textId="77777777" w:rsidR="00091745" w:rsidRPr="001823B9" w:rsidRDefault="00091745" w:rsidP="00091745">
          <w:pPr>
            <w:pStyle w:val="Encabezado"/>
            <w:jc w:val="center"/>
            <w:rPr>
              <w:noProof/>
              <w:lang w:val="es-CO" w:eastAsia="es-CO"/>
            </w:rPr>
          </w:pPr>
        </w:p>
      </w:tc>
      <w:tc>
        <w:tcPr>
          <w:tcW w:w="4632" w:type="dxa"/>
          <w:vMerge w:val="restart"/>
          <w:vAlign w:val="center"/>
        </w:tcPr>
        <w:p w14:paraId="6C472E7C" w14:textId="77777777" w:rsidR="00750E7E" w:rsidRPr="00CC3EF1" w:rsidRDefault="00CC3EF1" w:rsidP="00491CD0">
          <w:pPr>
            <w:jc w:val="center"/>
            <w:rPr>
              <w:rFonts w:ascii="Arial" w:hAnsi="Arial" w:cs="Arial"/>
              <w:b/>
              <w:sz w:val="24"/>
              <w:szCs w:val="24"/>
            </w:rPr>
          </w:pPr>
          <w:r w:rsidRPr="00CC3EF1">
            <w:rPr>
              <w:rFonts w:ascii="Arial Narrow" w:hAnsi="Arial Narrow"/>
              <w:b/>
              <w:sz w:val="24"/>
              <w:szCs w:val="24"/>
            </w:rPr>
            <w:t>Manual de adelantar procesos de desinversión y manejo de portafolio</w:t>
          </w:r>
        </w:p>
      </w:tc>
      <w:tc>
        <w:tcPr>
          <w:tcW w:w="993" w:type="dxa"/>
          <w:vAlign w:val="center"/>
        </w:tcPr>
        <w:p w14:paraId="01CF396C" w14:textId="77777777" w:rsidR="00750E7E" w:rsidRDefault="00750E7E" w:rsidP="009371D7">
          <w:pPr>
            <w:pStyle w:val="Encabezado"/>
            <w:rPr>
              <w:rFonts w:ascii="Arial" w:hAnsi="Arial" w:cs="Arial"/>
              <w:b/>
            </w:rPr>
          </w:pPr>
          <w:r>
            <w:rPr>
              <w:rFonts w:ascii="Arial" w:hAnsi="Arial"/>
              <w:b/>
            </w:rPr>
            <w:t>Código:</w:t>
          </w:r>
          <w:r>
            <w:t xml:space="preserve"> </w:t>
          </w:r>
        </w:p>
      </w:tc>
      <w:tc>
        <w:tcPr>
          <w:tcW w:w="1655" w:type="dxa"/>
          <w:vAlign w:val="center"/>
        </w:tcPr>
        <w:p w14:paraId="05DA86C8" w14:textId="77777777" w:rsidR="00750E7E" w:rsidRDefault="009A53B7" w:rsidP="009371D7">
          <w:pPr>
            <w:pStyle w:val="Encabezado"/>
            <w:jc w:val="center"/>
            <w:rPr>
              <w:rFonts w:ascii="Arial" w:hAnsi="Arial" w:cs="Arial"/>
              <w:b/>
            </w:rPr>
          </w:pPr>
          <w:r>
            <w:rPr>
              <w:rFonts w:ascii="Arial" w:hAnsi="Arial" w:cs="Arial"/>
              <w:b/>
            </w:rPr>
            <w:t>Mis.3.</w:t>
          </w:r>
          <w:proofErr w:type="gramStart"/>
          <w:r>
            <w:rPr>
              <w:rFonts w:ascii="Arial" w:hAnsi="Arial" w:cs="Arial"/>
              <w:b/>
            </w:rPr>
            <w:t>7.Man</w:t>
          </w:r>
          <w:proofErr w:type="gramEnd"/>
          <w:r>
            <w:rPr>
              <w:rFonts w:ascii="Arial" w:hAnsi="Arial" w:cs="Arial"/>
              <w:b/>
            </w:rPr>
            <w:t>.4</w:t>
          </w:r>
        </w:p>
      </w:tc>
    </w:tr>
    <w:tr w:rsidR="00750E7E" w14:paraId="6D253B6E" w14:textId="77777777" w:rsidTr="009A53B7">
      <w:trPr>
        <w:cantSplit/>
        <w:trHeight w:val="147"/>
        <w:jc w:val="center"/>
      </w:trPr>
      <w:tc>
        <w:tcPr>
          <w:tcW w:w="2785" w:type="dxa"/>
          <w:vMerge/>
        </w:tcPr>
        <w:p w14:paraId="3517A47A" w14:textId="77777777" w:rsidR="00750E7E" w:rsidRDefault="00750E7E" w:rsidP="009371D7">
          <w:pPr>
            <w:pStyle w:val="Encabezado"/>
            <w:jc w:val="center"/>
            <w:rPr>
              <w:rFonts w:ascii="Arial" w:hAnsi="Arial"/>
            </w:rPr>
          </w:pPr>
        </w:p>
      </w:tc>
      <w:tc>
        <w:tcPr>
          <w:tcW w:w="4632" w:type="dxa"/>
          <w:vMerge/>
        </w:tcPr>
        <w:p w14:paraId="670DB0A6" w14:textId="77777777" w:rsidR="00750E7E" w:rsidRDefault="00750E7E" w:rsidP="009371D7">
          <w:pPr>
            <w:pStyle w:val="Encabezado"/>
            <w:jc w:val="center"/>
            <w:rPr>
              <w:rFonts w:ascii="Arial" w:hAnsi="Arial"/>
              <w:b/>
            </w:rPr>
          </w:pPr>
        </w:p>
      </w:tc>
      <w:tc>
        <w:tcPr>
          <w:tcW w:w="993" w:type="dxa"/>
          <w:vAlign w:val="center"/>
        </w:tcPr>
        <w:p w14:paraId="133ECE13" w14:textId="77777777" w:rsidR="00750E7E" w:rsidRDefault="00750E7E" w:rsidP="009371D7">
          <w:pPr>
            <w:pStyle w:val="Encabezado"/>
            <w:rPr>
              <w:rFonts w:ascii="Arial" w:hAnsi="Arial"/>
              <w:b/>
            </w:rPr>
          </w:pPr>
          <w:r>
            <w:rPr>
              <w:rFonts w:ascii="Arial" w:hAnsi="Arial"/>
              <w:b/>
            </w:rPr>
            <w:t>Fecha:</w:t>
          </w:r>
        </w:p>
      </w:tc>
      <w:tc>
        <w:tcPr>
          <w:tcW w:w="1655" w:type="dxa"/>
          <w:vAlign w:val="center"/>
        </w:tcPr>
        <w:p w14:paraId="6B747123" w14:textId="7D282243" w:rsidR="00750E7E" w:rsidRDefault="009A53B7" w:rsidP="009A53B7">
          <w:pPr>
            <w:pStyle w:val="Encabezado"/>
            <w:jc w:val="center"/>
            <w:rPr>
              <w:rFonts w:ascii="Arial" w:hAnsi="Arial"/>
              <w:b/>
            </w:rPr>
          </w:pPr>
          <w:r>
            <w:rPr>
              <w:rFonts w:ascii="Arial" w:hAnsi="Arial"/>
              <w:b/>
            </w:rPr>
            <w:t>0</w:t>
          </w:r>
          <w:r w:rsidR="00E70052">
            <w:rPr>
              <w:rFonts w:ascii="Arial" w:hAnsi="Arial"/>
              <w:b/>
            </w:rPr>
            <w:t>3</w:t>
          </w:r>
          <w:r>
            <w:rPr>
              <w:rFonts w:ascii="Arial" w:hAnsi="Arial"/>
              <w:b/>
            </w:rPr>
            <w:t>-</w:t>
          </w:r>
          <w:r w:rsidR="00BC7BEF">
            <w:rPr>
              <w:rFonts w:ascii="Arial" w:hAnsi="Arial"/>
              <w:b/>
            </w:rPr>
            <w:t>11</w:t>
          </w:r>
          <w:r>
            <w:rPr>
              <w:rFonts w:ascii="Arial" w:hAnsi="Arial"/>
              <w:b/>
            </w:rPr>
            <w:t>-</w:t>
          </w:r>
          <w:r w:rsidR="00BC7BEF">
            <w:rPr>
              <w:rFonts w:ascii="Arial" w:hAnsi="Arial"/>
              <w:b/>
            </w:rPr>
            <w:t>2022</w:t>
          </w:r>
        </w:p>
      </w:tc>
    </w:tr>
    <w:tr w:rsidR="00750E7E" w14:paraId="636979B7" w14:textId="77777777" w:rsidTr="009A53B7">
      <w:trPr>
        <w:cantSplit/>
        <w:trHeight w:val="147"/>
        <w:jc w:val="center"/>
      </w:trPr>
      <w:tc>
        <w:tcPr>
          <w:tcW w:w="2785" w:type="dxa"/>
          <w:vMerge/>
        </w:tcPr>
        <w:p w14:paraId="4865E492" w14:textId="77777777" w:rsidR="00750E7E" w:rsidRDefault="00750E7E" w:rsidP="009371D7">
          <w:pPr>
            <w:pStyle w:val="Encabezado"/>
            <w:jc w:val="center"/>
            <w:rPr>
              <w:rFonts w:ascii="Arial" w:hAnsi="Arial"/>
            </w:rPr>
          </w:pPr>
        </w:p>
      </w:tc>
      <w:tc>
        <w:tcPr>
          <w:tcW w:w="4632" w:type="dxa"/>
          <w:vMerge/>
        </w:tcPr>
        <w:p w14:paraId="07FE8764" w14:textId="77777777" w:rsidR="00750E7E" w:rsidRDefault="00750E7E" w:rsidP="009371D7">
          <w:pPr>
            <w:pStyle w:val="Encabezado"/>
            <w:jc w:val="center"/>
            <w:rPr>
              <w:rFonts w:ascii="Arial" w:hAnsi="Arial"/>
              <w:b/>
            </w:rPr>
          </w:pPr>
        </w:p>
      </w:tc>
      <w:tc>
        <w:tcPr>
          <w:tcW w:w="993" w:type="dxa"/>
          <w:vAlign w:val="center"/>
        </w:tcPr>
        <w:p w14:paraId="4A9CAC58" w14:textId="77777777" w:rsidR="00750E7E" w:rsidRDefault="00750E7E" w:rsidP="009371D7">
          <w:pPr>
            <w:pStyle w:val="Encabezado"/>
            <w:rPr>
              <w:rFonts w:ascii="Arial" w:hAnsi="Arial"/>
              <w:b/>
            </w:rPr>
          </w:pPr>
          <w:r>
            <w:rPr>
              <w:rFonts w:ascii="Arial" w:hAnsi="Arial"/>
              <w:b/>
            </w:rPr>
            <w:t xml:space="preserve">Versión: </w:t>
          </w:r>
        </w:p>
      </w:tc>
      <w:tc>
        <w:tcPr>
          <w:tcW w:w="1655" w:type="dxa"/>
          <w:vAlign w:val="center"/>
        </w:tcPr>
        <w:p w14:paraId="778C7B77" w14:textId="22D14C18" w:rsidR="00750E7E" w:rsidRDefault="00602D86" w:rsidP="009371D7">
          <w:pPr>
            <w:pStyle w:val="Encabezado"/>
            <w:jc w:val="center"/>
            <w:rPr>
              <w:rFonts w:ascii="Arial" w:hAnsi="Arial"/>
              <w:b/>
            </w:rPr>
          </w:pPr>
          <w:r>
            <w:rPr>
              <w:rFonts w:ascii="Arial" w:hAnsi="Arial"/>
              <w:b/>
            </w:rPr>
            <w:t>2</w:t>
          </w:r>
        </w:p>
      </w:tc>
    </w:tr>
    <w:tr w:rsidR="00750E7E" w14:paraId="249FB426" w14:textId="77777777" w:rsidTr="009A53B7">
      <w:trPr>
        <w:cantSplit/>
        <w:trHeight w:val="148"/>
        <w:jc w:val="center"/>
      </w:trPr>
      <w:tc>
        <w:tcPr>
          <w:tcW w:w="2785" w:type="dxa"/>
          <w:vMerge/>
          <w:tcBorders>
            <w:bottom w:val="single" w:sz="4" w:space="0" w:color="auto"/>
          </w:tcBorders>
        </w:tcPr>
        <w:p w14:paraId="606F5A7D" w14:textId="77777777" w:rsidR="00750E7E" w:rsidRDefault="00750E7E" w:rsidP="009371D7">
          <w:pPr>
            <w:pStyle w:val="Encabezado"/>
            <w:jc w:val="center"/>
            <w:rPr>
              <w:rFonts w:ascii="Arial" w:hAnsi="Arial"/>
              <w:b/>
            </w:rPr>
          </w:pPr>
        </w:p>
      </w:tc>
      <w:tc>
        <w:tcPr>
          <w:tcW w:w="4632" w:type="dxa"/>
          <w:vMerge/>
          <w:tcBorders>
            <w:bottom w:val="single" w:sz="4" w:space="0" w:color="auto"/>
          </w:tcBorders>
        </w:tcPr>
        <w:p w14:paraId="2AEF54AA" w14:textId="77777777" w:rsidR="00750E7E" w:rsidRDefault="00750E7E" w:rsidP="009371D7">
          <w:pPr>
            <w:pStyle w:val="Encabezado"/>
            <w:jc w:val="center"/>
            <w:rPr>
              <w:rFonts w:ascii="Arial" w:hAnsi="Arial"/>
              <w:b/>
            </w:rPr>
          </w:pPr>
        </w:p>
      </w:tc>
      <w:tc>
        <w:tcPr>
          <w:tcW w:w="993" w:type="dxa"/>
          <w:vAlign w:val="center"/>
        </w:tcPr>
        <w:p w14:paraId="3A8FBCC6" w14:textId="77777777" w:rsidR="00750E7E" w:rsidRDefault="00750E7E" w:rsidP="009371D7">
          <w:pPr>
            <w:pStyle w:val="Encabezado"/>
            <w:rPr>
              <w:rFonts w:ascii="Arial" w:hAnsi="Arial"/>
              <w:b/>
            </w:rPr>
          </w:pPr>
          <w:r>
            <w:rPr>
              <w:rFonts w:ascii="Arial" w:hAnsi="Arial"/>
              <w:b/>
            </w:rPr>
            <w:t xml:space="preserve">Página: </w:t>
          </w:r>
        </w:p>
      </w:tc>
      <w:tc>
        <w:tcPr>
          <w:tcW w:w="1655" w:type="dxa"/>
          <w:vAlign w:val="center"/>
        </w:tcPr>
        <w:p w14:paraId="3749C88E" w14:textId="77777777" w:rsidR="00750E7E" w:rsidRDefault="00750E7E" w:rsidP="009371D7">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9A53B7">
            <w:rPr>
              <w:rFonts w:ascii="Arial" w:hAnsi="Arial" w:cs="Arial"/>
              <w:b/>
              <w:noProof/>
            </w:rPr>
            <w:t>4</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9A53B7">
            <w:rPr>
              <w:rFonts w:ascii="Arial" w:hAnsi="Arial" w:cs="Arial"/>
              <w:b/>
              <w:noProof/>
            </w:rPr>
            <w:t>14</w:t>
          </w:r>
          <w:r w:rsidRPr="00472A79">
            <w:rPr>
              <w:rFonts w:ascii="Arial" w:hAnsi="Arial" w:cs="Arial"/>
              <w:b/>
            </w:rPr>
            <w:fldChar w:fldCharType="end"/>
          </w:r>
        </w:p>
      </w:tc>
    </w:tr>
  </w:tbl>
  <w:p w14:paraId="1DCED100" w14:textId="77777777" w:rsidR="00750E7E" w:rsidRDefault="00750E7E" w:rsidP="003A6EE4">
    <w:pPr>
      <w:pStyle w:val="Encabezado"/>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871"/>
      <w:gridCol w:w="992"/>
      <w:gridCol w:w="1417"/>
    </w:tblGrid>
    <w:tr w:rsidR="00750E7E" w14:paraId="187C0E38" w14:textId="77777777" w:rsidTr="005E1CB4">
      <w:trPr>
        <w:cantSplit/>
        <w:trHeight w:val="276"/>
        <w:jc w:val="center"/>
      </w:trPr>
      <w:tc>
        <w:tcPr>
          <w:tcW w:w="2785" w:type="dxa"/>
          <w:vMerge w:val="restart"/>
          <w:vAlign w:val="center"/>
        </w:tcPr>
        <w:p w14:paraId="7B527B63" w14:textId="69F83538" w:rsidR="00750E7E" w:rsidRDefault="00B20539" w:rsidP="00715C69">
          <w:pPr>
            <w:pStyle w:val="Encabezado"/>
            <w:jc w:val="center"/>
            <w:rPr>
              <w:rFonts w:ascii="Arial" w:hAnsi="Arial"/>
            </w:rPr>
          </w:pPr>
          <w:r w:rsidRPr="008E0216">
            <w:rPr>
              <w:noProof/>
              <w:lang w:val="es-CO" w:eastAsia="es-CO"/>
            </w:rPr>
            <w:drawing>
              <wp:inline distT="0" distB="0" distL="0" distR="0" wp14:anchorId="09A39524" wp14:editId="1B175A84">
                <wp:extent cx="1676400" cy="438150"/>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76400" cy="438150"/>
                        </a:xfrm>
                        <a:prstGeom prst="rect">
                          <a:avLst/>
                        </a:prstGeom>
                        <a:noFill/>
                        <a:ln>
                          <a:noFill/>
                        </a:ln>
                      </pic:spPr>
                    </pic:pic>
                  </a:graphicData>
                </a:graphic>
              </wp:inline>
            </w:drawing>
          </w:r>
        </w:p>
      </w:tc>
      <w:tc>
        <w:tcPr>
          <w:tcW w:w="4871" w:type="dxa"/>
          <w:vMerge w:val="restart"/>
          <w:vAlign w:val="center"/>
        </w:tcPr>
        <w:p w14:paraId="26548FE2" w14:textId="77777777" w:rsidR="00750E7E" w:rsidRPr="009A37A7" w:rsidRDefault="00CC3EF1" w:rsidP="004200BA">
          <w:pPr>
            <w:jc w:val="center"/>
            <w:rPr>
              <w:rFonts w:ascii="Arial" w:hAnsi="Arial" w:cs="Arial"/>
              <w:b/>
              <w:sz w:val="24"/>
              <w:szCs w:val="24"/>
            </w:rPr>
          </w:pPr>
          <w:r w:rsidRPr="00CC3EF1">
            <w:rPr>
              <w:rFonts w:ascii="Arial Narrow" w:hAnsi="Arial Narrow"/>
              <w:b/>
              <w:sz w:val="24"/>
              <w:szCs w:val="24"/>
            </w:rPr>
            <w:t>Manual de adelantar procesos de desinversión y manejo de portafolio</w:t>
          </w:r>
        </w:p>
      </w:tc>
      <w:tc>
        <w:tcPr>
          <w:tcW w:w="992" w:type="dxa"/>
          <w:vAlign w:val="center"/>
        </w:tcPr>
        <w:p w14:paraId="1520A1F4" w14:textId="77777777" w:rsidR="00750E7E" w:rsidRDefault="00750E7E" w:rsidP="00715C69">
          <w:pPr>
            <w:pStyle w:val="Encabezado"/>
            <w:rPr>
              <w:rFonts w:ascii="Arial" w:hAnsi="Arial" w:cs="Arial"/>
              <w:b/>
            </w:rPr>
          </w:pPr>
          <w:r>
            <w:rPr>
              <w:rFonts w:ascii="Arial" w:hAnsi="Arial"/>
              <w:b/>
            </w:rPr>
            <w:t>Código:</w:t>
          </w:r>
          <w:r>
            <w:t xml:space="preserve"> </w:t>
          </w:r>
        </w:p>
      </w:tc>
      <w:tc>
        <w:tcPr>
          <w:tcW w:w="1417" w:type="dxa"/>
          <w:vAlign w:val="center"/>
        </w:tcPr>
        <w:p w14:paraId="1FF1C0BE" w14:textId="77777777" w:rsidR="00750E7E" w:rsidRDefault="00750E7E" w:rsidP="00715C69">
          <w:pPr>
            <w:pStyle w:val="Encabezado"/>
            <w:jc w:val="center"/>
            <w:rPr>
              <w:rFonts w:ascii="Arial" w:hAnsi="Arial" w:cs="Arial"/>
              <w:b/>
            </w:rPr>
          </w:pPr>
        </w:p>
      </w:tc>
    </w:tr>
    <w:tr w:rsidR="00750E7E" w14:paraId="0C858368" w14:textId="77777777" w:rsidTr="005E1CB4">
      <w:trPr>
        <w:cantSplit/>
        <w:trHeight w:val="147"/>
        <w:jc w:val="center"/>
      </w:trPr>
      <w:tc>
        <w:tcPr>
          <w:tcW w:w="2785" w:type="dxa"/>
          <w:vMerge/>
        </w:tcPr>
        <w:p w14:paraId="6A3A41F9" w14:textId="77777777" w:rsidR="00750E7E" w:rsidRDefault="00750E7E" w:rsidP="00715C69">
          <w:pPr>
            <w:pStyle w:val="Encabezado"/>
            <w:jc w:val="center"/>
            <w:rPr>
              <w:rFonts w:ascii="Arial" w:hAnsi="Arial"/>
            </w:rPr>
          </w:pPr>
        </w:p>
      </w:tc>
      <w:tc>
        <w:tcPr>
          <w:tcW w:w="4871" w:type="dxa"/>
          <w:vMerge/>
        </w:tcPr>
        <w:p w14:paraId="5801E02C" w14:textId="77777777" w:rsidR="00750E7E" w:rsidRDefault="00750E7E" w:rsidP="00715C69">
          <w:pPr>
            <w:pStyle w:val="Encabezado"/>
            <w:jc w:val="center"/>
            <w:rPr>
              <w:rFonts w:ascii="Arial" w:hAnsi="Arial"/>
              <w:b/>
            </w:rPr>
          </w:pPr>
        </w:p>
      </w:tc>
      <w:tc>
        <w:tcPr>
          <w:tcW w:w="992" w:type="dxa"/>
          <w:vAlign w:val="center"/>
        </w:tcPr>
        <w:p w14:paraId="5B01D558" w14:textId="77777777" w:rsidR="00750E7E" w:rsidRDefault="00750E7E" w:rsidP="00715C69">
          <w:pPr>
            <w:pStyle w:val="Encabezado"/>
            <w:rPr>
              <w:rFonts w:ascii="Arial" w:hAnsi="Arial"/>
              <w:b/>
            </w:rPr>
          </w:pPr>
          <w:r>
            <w:rPr>
              <w:rFonts w:ascii="Arial" w:hAnsi="Arial"/>
              <w:b/>
            </w:rPr>
            <w:t>Fecha:</w:t>
          </w:r>
        </w:p>
      </w:tc>
      <w:tc>
        <w:tcPr>
          <w:tcW w:w="1417" w:type="dxa"/>
          <w:vAlign w:val="center"/>
        </w:tcPr>
        <w:p w14:paraId="7062773E" w14:textId="77777777" w:rsidR="00750E7E" w:rsidRDefault="00750E7E" w:rsidP="00472A79">
          <w:pPr>
            <w:pStyle w:val="Encabezado"/>
            <w:jc w:val="center"/>
            <w:rPr>
              <w:rFonts w:ascii="Arial" w:hAnsi="Arial"/>
              <w:b/>
            </w:rPr>
          </w:pPr>
          <w:proofErr w:type="spellStart"/>
          <w:r>
            <w:rPr>
              <w:rFonts w:ascii="Arial" w:hAnsi="Arial"/>
              <w:b/>
            </w:rPr>
            <w:t>dd</w:t>
          </w:r>
          <w:proofErr w:type="spellEnd"/>
          <w:r>
            <w:rPr>
              <w:rFonts w:ascii="Arial" w:hAnsi="Arial"/>
              <w:b/>
            </w:rPr>
            <w:t>-mm-</w:t>
          </w:r>
          <w:proofErr w:type="spellStart"/>
          <w:r>
            <w:rPr>
              <w:rFonts w:ascii="Arial" w:hAnsi="Arial"/>
              <w:b/>
            </w:rPr>
            <w:t>aaaa</w:t>
          </w:r>
          <w:proofErr w:type="spellEnd"/>
        </w:p>
      </w:tc>
    </w:tr>
    <w:tr w:rsidR="00750E7E" w14:paraId="39C41408" w14:textId="77777777" w:rsidTr="005E1CB4">
      <w:trPr>
        <w:cantSplit/>
        <w:trHeight w:val="147"/>
        <w:jc w:val="center"/>
      </w:trPr>
      <w:tc>
        <w:tcPr>
          <w:tcW w:w="2785" w:type="dxa"/>
          <w:vMerge/>
        </w:tcPr>
        <w:p w14:paraId="790EE640" w14:textId="77777777" w:rsidR="00750E7E" w:rsidRDefault="00750E7E" w:rsidP="00715C69">
          <w:pPr>
            <w:pStyle w:val="Encabezado"/>
            <w:jc w:val="center"/>
            <w:rPr>
              <w:rFonts w:ascii="Arial" w:hAnsi="Arial"/>
            </w:rPr>
          </w:pPr>
        </w:p>
      </w:tc>
      <w:tc>
        <w:tcPr>
          <w:tcW w:w="4871" w:type="dxa"/>
          <w:vMerge/>
        </w:tcPr>
        <w:p w14:paraId="4BA40B4D" w14:textId="77777777" w:rsidR="00750E7E" w:rsidRDefault="00750E7E" w:rsidP="00715C69">
          <w:pPr>
            <w:pStyle w:val="Encabezado"/>
            <w:jc w:val="center"/>
            <w:rPr>
              <w:rFonts w:ascii="Arial" w:hAnsi="Arial"/>
              <w:b/>
            </w:rPr>
          </w:pPr>
        </w:p>
      </w:tc>
      <w:tc>
        <w:tcPr>
          <w:tcW w:w="992" w:type="dxa"/>
          <w:vAlign w:val="center"/>
        </w:tcPr>
        <w:p w14:paraId="6F527218" w14:textId="77777777" w:rsidR="00750E7E" w:rsidRDefault="00750E7E" w:rsidP="00715C69">
          <w:pPr>
            <w:pStyle w:val="Encabezado"/>
            <w:rPr>
              <w:rFonts w:ascii="Arial" w:hAnsi="Arial"/>
              <w:b/>
            </w:rPr>
          </w:pPr>
          <w:r>
            <w:rPr>
              <w:rFonts w:ascii="Arial" w:hAnsi="Arial"/>
              <w:b/>
            </w:rPr>
            <w:t xml:space="preserve">Versión: </w:t>
          </w:r>
        </w:p>
      </w:tc>
      <w:tc>
        <w:tcPr>
          <w:tcW w:w="1417" w:type="dxa"/>
          <w:vAlign w:val="center"/>
        </w:tcPr>
        <w:p w14:paraId="48EFFCDA" w14:textId="77777777" w:rsidR="00750E7E" w:rsidRDefault="00750E7E" w:rsidP="00715C69">
          <w:pPr>
            <w:pStyle w:val="Encabezado"/>
            <w:jc w:val="center"/>
            <w:rPr>
              <w:rFonts w:ascii="Arial" w:hAnsi="Arial"/>
              <w:b/>
            </w:rPr>
          </w:pPr>
        </w:p>
      </w:tc>
    </w:tr>
    <w:tr w:rsidR="00750E7E" w14:paraId="017ACA99" w14:textId="77777777" w:rsidTr="005E1CB4">
      <w:trPr>
        <w:cantSplit/>
        <w:trHeight w:val="148"/>
        <w:jc w:val="center"/>
      </w:trPr>
      <w:tc>
        <w:tcPr>
          <w:tcW w:w="2785" w:type="dxa"/>
          <w:vMerge/>
          <w:tcBorders>
            <w:bottom w:val="single" w:sz="4" w:space="0" w:color="auto"/>
          </w:tcBorders>
        </w:tcPr>
        <w:p w14:paraId="324152C5" w14:textId="77777777" w:rsidR="00750E7E" w:rsidRDefault="00750E7E" w:rsidP="00715C69">
          <w:pPr>
            <w:pStyle w:val="Encabezado"/>
            <w:jc w:val="center"/>
            <w:rPr>
              <w:rFonts w:ascii="Arial" w:hAnsi="Arial"/>
              <w:b/>
            </w:rPr>
          </w:pPr>
        </w:p>
      </w:tc>
      <w:tc>
        <w:tcPr>
          <w:tcW w:w="4871" w:type="dxa"/>
          <w:vMerge/>
          <w:tcBorders>
            <w:bottom w:val="single" w:sz="4" w:space="0" w:color="auto"/>
          </w:tcBorders>
        </w:tcPr>
        <w:p w14:paraId="0F111D92" w14:textId="77777777" w:rsidR="00750E7E" w:rsidRDefault="00750E7E" w:rsidP="00715C69">
          <w:pPr>
            <w:pStyle w:val="Encabezado"/>
            <w:jc w:val="center"/>
            <w:rPr>
              <w:rFonts w:ascii="Arial" w:hAnsi="Arial"/>
              <w:b/>
            </w:rPr>
          </w:pPr>
        </w:p>
      </w:tc>
      <w:tc>
        <w:tcPr>
          <w:tcW w:w="992" w:type="dxa"/>
          <w:vAlign w:val="center"/>
        </w:tcPr>
        <w:p w14:paraId="1EA820E4" w14:textId="77777777" w:rsidR="00750E7E" w:rsidRDefault="00750E7E" w:rsidP="00715C69">
          <w:pPr>
            <w:pStyle w:val="Encabezado"/>
            <w:rPr>
              <w:rFonts w:ascii="Arial" w:hAnsi="Arial"/>
              <w:b/>
            </w:rPr>
          </w:pPr>
          <w:r>
            <w:rPr>
              <w:rFonts w:ascii="Arial" w:hAnsi="Arial"/>
              <w:b/>
            </w:rPr>
            <w:t xml:space="preserve">Página: </w:t>
          </w:r>
        </w:p>
      </w:tc>
      <w:tc>
        <w:tcPr>
          <w:tcW w:w="1417" w:type="dxa"/>
          <w:vAlign w:val="center"/>
        </w:tcPr>
        <w:p w14:paraId="33027CCE" w14:textId="77777777" w:rsidR="00750E7E" w:rsidRDefault="00750E7E" w:rsidP="00472A79">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9A53B7">
            <w:rPr>
              <w:rFonts w:ascii="Arial" w:hAnsi="Arial" w:cs="Arial"/>
              <w:b/>
              <w:noProof/>
            </w:rPr>
            <w:t>1</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9A53B7">
            <w:rPr>
              <w:rFonts w:ascii="Arial" w:hAnsi="Arial" w:cs="Arial"/>
              <w:b/>
              <w:noProof/>
            </w:rPr>
            <w:t>14</w:t>
          </w:r>
          <w:r w:rsidRPr="00472A79">
            <w:rPr>
              <w:rFonts w:ascii="Arial" w:hAnsi="Arial" w:cs="Arial"/>
              <w:b/>
            </w:rPr>
            <w:fldChar w:fldCharType="end"/>
          </w:r>
        </w:p>
      </w:tc>
    </w:tr>
  </w:tbl>
  <w:p w14:paraId="5EBB084D" w14:textId="77777777" w:rsidR="00750E7E" w:rsidRDefault="00750E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AF74F9"/>
    <w:multiLevelType w:val="hybridMultilevel"/>
    <w:tmpl w:val="E870BEE6"/>
    <w:lvl w:ilvl="0" w:tplc="ED961506">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713D63"/>
    <w:multiLevelType w:val="hybridMultilevel"/>
    <w:tmpl w:val="6BB21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026BC1"/>
    <w:multiLevelType w:val="hybridMultilevel"/>
    <w:tmpl w:val="2D14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32C3405"/>
    <w:multiLevelType w:val="hybridMultilevel"/>
    <w:tmpl w:val="8BF0F6CE"/>
    <w:lvl w:ilvl="0" w:tplc="F8EE816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AFA29F0"/>
    <w:multiLevelType w:val="hybridMultilevel"/>
    <w:tmpl w:val="2AA436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F4CAC"/>
    <w:multiLevelType w:val="hybridMultilevel"/>
    <w:tmpl w:val="F86CD506"/>
    <w:lvl w:ilvl="0" w:tplc="C7E89132">
      <w:start w:val="1"/>
      <w:numFmt w:val="decimal"/>
      <w:lvlText w:val="%1."/>
      <w:lvlJc w:val="left"/>
      <w:pPr>
        <w:ind w:left="720" w:hanging="360"/>
      </w:pPr>
      <w:rPr>
        <w:rFonts w:ascii="Arial Narrow" w:hAnsi="Arial Narrow"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5FE077E"/>
    <w:multiLevelType w:val="hybridMultilevel"/>
    <w:tmpl w:val="2346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F5C60"/>
    <w:multiLevelType w:val="hybridMultilevel"/>
    <w:tmpl w:val="50346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185200"/>
    <w:multiLevelType w:val="multilevel"/>
    <w:tmpl w:val="56B832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04605D5"/>
    <w:multiLevelType w:val="hybridMultilevel"/>
    <w:tmpl w:val="DCB4696A"/>
    <w:lvl w:ilvl="0" w:tplc="4516C7C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5825205"/>
    <w:multiLevelType w:val="hybridMultilevel"/>
    <w:tmpl w:val="677A3DB4"/>
    <w:lvl w:ilvl="0" w:tplc="ED961506">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5EE5F41"/>
    <w:multiLevelType w:val="hybridMultilevel"/>
    <w:tmpl w:val="37484256"/>
    <w:lvl w:ilvl="0" w:tplc="0C0A000F">
      <w:start w:val="1"/>
      <w:numFmt w:val="decimal"/>
      <w:lvlText w:val="%1."/>
      <w:lvlJc w:val="left"/>
      <w:pPr>
        <w:ind w:left="578" w:hanging="360"/>
      </w:pPr>
    </w:lvl>
    <w:lvl w:ilvl="1" w:tplc="240A0019">
      <w:start w:val="1"/>
      <w:numFmt w:val="lowerLetter"/>
      <w:lvlText w:val="%2."/>
      <w:lvlJc w:val="left"/>
      <w:pPr>
        <w:ind w:left="1298" w:hanging="360"/>
      </w:pPr>
    </w:lvl>
    <w:lvl w:ilvl="2" w:tplc="240A001B">
      <w:start w:val="1"/>
      <w:numFmt w:val="lowerRoman"/>
      <w:lvlText w:val="%3."/>
      <w:lvlJc w:val="right"/>
      <w:pPr>
        <w:ind w:left="2018" w:hanging="180"/>
      </w:pPr>
    </w:lvl>
    <w:lvl w:ilvl="3" w:tplc="240A000F">
      <w:start w:val="1"/>
      <w:numFmt w:val="decimal"/>
      <w:lvlText w:val="%4."/>
      <w:lvlJc w:val="left"/>
      <w:pPr>
        <w:ind w:left="2738" w:hanging="360"/>
      </w:pPr>
    </w:lvl>
    <w:lvl w:ilvl="4" w:tplc="240A0019">
      <w:start w:val="1"/>
      <w:numFmt w:val="lowerLetter"/>
      <w:lvlText w:val="%5."/>
      <w:lvlJc w:val="left"/>
      <w:pPr>
        <w:ind w:left="3458" w:hanging="360"/>
      </w:pPr>
    </w:lvl>
    <w:lvl w:ilvl="5" w:tplc="240A001B">
      <w:start w:val="1"/>
      <w:numFmt w:val="lowerRoman"/>
      <w:lvlText w:val="%6."/>
      <w:lvlJc w:val="right"/>
      <w:pPr>
        <w:ind w:left="4178" w:hanging="180"/>
      </w:pPr>
    </w:lvl>
    <w:lvl w:ilvl="6" w:tplc="240A000F">
      <w:start w:val="1"/>
      <w:numFmt w:val="decimal"/>
      <w:lvlText w:val="%7."/>
      <w:lvlJc w:val="left"/>
      <w:pPr>
        <w:ind w:left="4898" w:hanging="360"/>
      </w:pPr>
    </w:lvl>
    <w:lvl w:ilvl="7" w:tplc="240A0019">
      <w:start w:val="1"/>
      <w:numFmt w:val="lowerLetter"/>
      <w:lvlText w:val="%8."/>
      <w:lvlJc w:val="left"/>
      <w:pPr>
        <w:ind w:left="5618" w:hanging="360"/>
      </w:pPr>
    </w:lvl>
    <w:lvl w:ilvl="8" w:tplc="240A001B">
      <w:start w:val="1"/>
      <w:numFmt w:val="lowerRoman"/>
      <w:lvlText w:val="%9."/>
      <w:lvlJc w:val="right"/>
      <w:pPr>
        <w:ind w:left="6338" w:hanging="180"/>
      </w:pPr>
    </w:lvl>
  </w:abstractNum>
  <w:abstractNum w:abstractNumId="25"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C8407BC"/>
    <w:multiLevelType w:val="hybridMultilevel"/>
    <w:tmpl w:val="E74023A2"/>
    <w:lvl w:ilvl="0" w:tplc="2408CC36">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64EB5715"/>
    <w:multiLevelType w:val="hybridMultilevel"/>
    <w:tmpl w:val="EEBA1C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6174DF6"/>
    <w:multiLevelType w:val="hybridMultilevel"/>
    <w:tmpl w:val="F86CD506"/>
    <w:lvl w:ilvl="0" w:tplc="C7E8913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76DA61BA"/>
    <w:multiLevelType w:val="hybridMultilevel"/>
    <w:tmpl w:val="0B6C69DC"/>
    <w:lvl w:ilvl="0" w:tplc="22B6F31A">
      <w:start w:val="1"/>
      <w:numFmt w:val="decimal"/>
      <w:lvlText w:val="%1."/>
      <w:lvlJc w:val="left"/>
      <w:pPr>
        <w:ind w:left="720" w:hanging="360"/>
      </w:pPr>
      <w:rPr>
        <w:rFonts w:ascii="Arial Narrow" w:hAnsi="Arial Narrow"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7E7396A"/>
    <w:multiLevelType w:val="hybridMultilevel"/>
    <w:tmpl w:val="AF9EAB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CA75C16"/>
    <w:multiLevelType w:val="hybridMultilevel"/>
    <w:tmpl w:val="FB6AA0A0"/>
    <w:lvl w:ilvl="0" w:tplc="A6767A82">
      <w:start w:val="1"/>
      <w:numFmt w:val="decimal"/>
      <w:lvlText w:val="%1."/>
      <w:lvlJc w:val="left"/>
      <w:pPr>
        <w:ind w:left="360" w:hanging="360"/>
      </w:pPr>
      <w:rPr>
        <w:rFonts w:ascii="Arial Narrow" w:eastAsia="Times New Roman" w:hAnsi="Arial Narrow" w:hint="default"/>
        <w:b/>
        <w:i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F0E2040"/>
    <w:multiLevelType w:val="hybridMultilevel"/>
    <w:tmpl w:val="9364D672"/>
    <w:lvl w:ilvl="0" w:tplc="5922DF00">
      <w:start w:val="1"/>
      <w:numFmt w:val="lowerRoman"/>
      <w:lvlText w:val="%1)"/>
      <w:lvlJc w:val="left"/>
      <w:pPr>
        <w:ind w:left="1854" w:hanging="720"/>
      </w:pPr>
      <w:rPr>
        <w:rFonts w:hint="default"/>
        <w:b w:val="0"/>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37"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227573739">
    <w:abstractNumId w:val="31"/>
  </w:num>
  <w:num w:numId="2" w16cid:durableId="58479002">
    <w:abstractNumId w:val="16"/>
  </w:num>
  <w:num w:numId="3" w16cid:durableId="976838678">
    <w:abstractNumId w:val="25"/>
  </w:num>
  <w:num w:numId="4" w16cid:durableId="120224999">
    <w:abstractNumId w:val="5"/>
  </w:num>
  <w:num w:numId="5" w16cid:durableId="1963490520">
    <w:abstractNumId w:val="12"/>
  </w:num>
  <w:num w:numId="6" w16cid:durableId="753892824">
    <w:abstractNumId w:val="9"/>
  </w:num>
  <w:num w:numId="7" w16cid:durableId="684358101">
    <w:abstractNumId w:val="7"/>
  </w:num>
  <w:num w:numId="8" w16cid:durableId="905262449">
    <w:abstractNumId w:val="20"/>
  </w:num>
  <w:num w:numId="9" w16cid:durableId="1648321700">
    <w:abstractNumId w:val="1"/>
  </w:num>
  <w:num w:numId="10" w16cid:durableId="619729422">
    <w:abstractNumId w:val="32"/>
  </w:num>
  <w:num w:numId="11" w16cid:durableId="998116588">
    <w:abstractNumId w:val="0"/>
  </w:num>
  <w:num w:numId="12" w16cid:durableId="2091852337">
    <w:abstractNumId w:val="37"/>
  </w:num>
  <w:num w:numId="13" w16cid:durableId="2075545691">
    <w:abstractNumId w:val="11"/>
  </w:num>
  <w:num w:numId="14" w16cid:durableId="2073112674">
    <w:abstractNumId w:val="23"/>
  </w:num>
  <w:num w:numId="15" w16cid:durableId="1782724016">
    <w:abstractNumId w:val="27"/>
  </w:num>
  <w:num w:numId="16" w16cid:durableId="1674868185">
    <w:abstractNumId w:val="3"/>
  </w:num>
  <w:num w:numId="17" w16cid:durableId="12284914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0689052">
    <w:abstractNumId w:val="18"/>
  </w:num>
  <w:num w:numId="19" w16cid:durableId="541095876">
    <w:abstractNumId w:val="4"/>
  </w:num>
  <w:num w:numId="20" w16cid:durableId="2105953315">
    <w:abstractNumId w:val="19"/>
  </w:num>
  <w:num w:numId="21" w16cid:durableId="656034302">
    <w:abstractNumId w:val="13"/>
  </w:num>
  <w:num w:numId="22" w16cid:durableId="1402749336">
    <w:abstractNumId w:val="17"/>
  </w:num>
  <w:num w:numId="23" w16cid:durableId="668751303">
    <w:abstractNumId w:val="6"/>
  </w:num>
  <w:num w:numId="24" w16cid:durableId="2102333647">
    <w:abstractNumId w:val="15"/>
  </w:num>
  <w:num w:numId="25" w16cid:durableId="243497972">
    <w:abstractNumId w:val="30"/>
  </w:num>
  <w:num w:numId="26" w16cid:durableId="319041957">
    <w:abstractNumId w:val="34"/>
  </w:num>
  <w:num w:numId="27" w16cid:durableId="1368599909">
    <w:abstractNumId w:val="28"/>
  </w:num>
  <w:num w:numId="28" w16cid:durableId="891111288">
    <w:abstractNumId w:val="10"/>
  </w:num>
  <w:num w:numId="29" w16cid:durableId="2136677665">
    <w:abstractNumId w:val="2"/>
  </w:num>
  <w:num w:numId="30" w16cid:durableId="606038489">
    <w:abstractNumId w:val="36"/>
  </w:num>
  <w:num w:numId="31" w16cid:durableId="2076391149">
    <w:abstractNumId w:val="21"/>
  </w:num>
  <w:num w:numId="32" w16cid:durableId="1356346472">
    <w:abstractNumId w:val="33"/>
  </w:num>
  <w:num w:numId="33" w16cid:durableId="809592680">
    <w:abstractNumId w:val="22"/>
  </w:num>
  <w:num w:numId="34" w16cid:durableId="1105658799">
    <w:abstractNumId w:val="35"/>
  </w:num>
  <w:num w:numId="35" w16cid:durableId="305428174">
    <w:abstractNumId w:val="26"/>
  </w:num>
  <w:num w:numId="36" w16cid:durableId="50542416">
    <w:abstractNumId w:val="29"/>
  </w:num>
  <w:num w:numId="37" w16cid:durableId="1161892108">
    <w:abstractNumId w:val="8"/>
  </w:num>
  <w:num w:numId="38" w16cid:durableId="77996018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FB"/>
    <w:rsid w:val="00000AF7"/>
    <w:rsid w:val="00003938"/>
    <w:rsid w:val="000063D5"/>
    <w:rsid w:val="00021888"/>
    <w:rsid w:val="00022B38"/>
    <w:rsid w:val="00022C54"/>
    <w:rsid w:val="00022E7E"/>
    <w:rsid w:val="00022FEC"/>
    <w:rsid w:val="000234B3"/>
    <w:rsid w:val="00025759"/>
    <w:rsid w:val="00035405"/>
    <w:rsid w:val="000363FA"/>
    <w:rsid w:val="00037657"/>
    <w:rsid w:val="00045B39"/>
    <w:rsid w:val="00047A24"/>
    <w:rsid w:val="00051BB2"/>
    <w:rsid w:val="00054C55"/>
    <w:rsid w:val="00063D1A"/>
    <w:rsid w:val="00072085"/>
    <w:rsid w:val="00072C48"/>
    <w:rsid w:val="000778CC"/>
    <w:rsid w:val="000915CA"/>
    <w:rsid w:val="00091745"/>
    <w:rsid w:val="000956E7"/>
    <w:rsid w:val="00095A8F"/>
    <w:rsid w:val="00096BBD"/>
    <w:rsid w:val="000977F7"/>
    <w:rsid w:val="000A42B1"/>
    <w:rsid w:val="000B092A"/>
    <w:rsid w:val="000B16C1"/>
    <w:rsid w:val="000B4F7D"/>
    <w:rsid w:val="000C09D3"/>
    <w:rsid w:val="000C1928"/>
    <w:rsid w:val="000E18F7"/>
    <w:rsid w:val="000E4554"/>
    <w:rsid w:val="000F585F"/>
    <w:rsid w:val="00101B24"/>
    <w:rsid w:val="00102614"/>
    <w:rsid w:val="00106593"/>
    <w:rsid w:val="00120071"/>
    <w:rsid w:val="00131653"/>
    <w:rsid w:val="00137531"/>
    <w:rsid w:val="00143357"/>
    <w:rsid w:val="00144730"/>
    <w:rsid w:val="00147335"/>
    <w:rsid w:val="0015312C"/>
    <w:rsid w:val="00155B8C"/>
    <w:rsid w:val="00175F87"/>
    <w:rsid w:val="0017664E"/>
    <w:rsid w:val="001823B9"/>
    <w:rsid w:val="001825C8"/>
    <w:rsid w:val="00183D82"/>
    <w:rsid w:val="00184FE0"/>
    <w:rsid w:val="001869CF"/>
    <w:rsid w:val="00193A4D"/>
    <w:rsid w:val="0019712C"/>
    <w:rsid w:val="001A1C63"/>
    <w:rsid w:val="001A4C39"/>
    <w:rsid w:val="001A7EDF"/>
    <w:rsid w:val="001C136F"/>
    <w:rsid w:val="001C3D92"/>
    <w:rsid w:val="001D0C57"/>
    <w:rsid w:val="001D0EF5"/>
    <w:rsid w:val="001D6664"/>
    <w:rsid w:val="001E3571"/>
    <w:rsid w:val="001E756F"/>
    <w:rsid w:val="001E7A62"/>
    <w:rsid w:val="001F0483"/>
    <w:rsid w:val="001F289E"/>
    <w:rsid w:val="001F416E"/>
    <w:rsid w:val="001F67F1"/>
    <w:rsid w:val="001F779D"/>
    <w:rsid w:val="002007F5"/>
    <w:rsid w:val="00205A68"/>
    <w:rsid w:val="00210C94"/>
    <w:rsid w:val="00214097"/>
    <w:rsid w:val="002239D8"/>
    <w:rsid w:val="002277F8"/>
    <w:rsid w:val="00235516"/>
    <w:rsid w:val="00236220"/>
    <w:rsid w:val="002400D9"/>
    <w:rsid w:val="002409BB"/>
    <w:rsid w:val="00241A86"/>
    <w:rsid w:val="00243F98"/>
    <w:rsid w:val="002457C1"/>
    <w:rsid w:val="0025351E"/>
    <w:rsid w:val="002648FF"/>
    <w:rsid w:val="00264F65"/>
    <w:rsid w:val="002724A4"/>
    <w:rsid w:val="002830EC"/>
    <w:rsid w:val="00292688"/>
    <w:rsid w:val="00293103"/>
    <w:rsid w:val="00293AFA"/>
    <w:rsid w:val="00295E82"/>
    <w:rsid w:val="002972B9"/>
    <w:rsid w:val="002A417F"/>
    <w:rsid w:val="002A62EE"/>
    <w:rsid w:val="002A7C4C"/>
    <w:rsid w:val="002E041D"/>
    <w:rsid w:val="002E2C76"/>
    <w:rsid w:val="002E556A"/>
    <w:rsid w:val="002F02AA"/>
    <w:rsid w:val="002F271F"/>
    <w:rsid w:val="00314C44"/>
    <w:rsid w:val="00323E77"/>
    <w:rsid w:val="00326F30"/>
    <w:rsid w:val="003278E5"/>
    <w:rsid w:val="00327910"/>
    <w:rsid w:val="00331F46"/>
    <w:rsid w:val="003327D5"/>
    <w:rsid w:val="00333204"/>
    <w:rsid w:val="00335F03"/>
    <w:rsid w:val="003375DF"/>
    <w:rsid w:val="00337E5D"/>
    <w:rsid w:val="0034229F"/>
    <w:rsid w:val="00342616"/>
    <w:rsid w:val="003434BD"/>
    <w:rsid w:val="00353A16"/>
    <w:rsid w:val="00360C32"/>
    <w:rsid w:val="00363BAD"/>
    <w:rsid w:val="00372BE9"/>
    <w:rsid w:val="00373852"/>
    <w:rsid w:val="00375012"/>
    <w:rsid w:val="00375256"/>
    <w:rsid w:val="00377878"/>
    <w:rsid w:val="003823CD"/>
    <w:rsid w:val="00385B09"/>
    <w:rsid w:val="00386147"/>
    <w:rsid w:val="0038616B"/>
    <w:rsid w:val="00386542"/>
    <w:rsid w:val="00387816"/>
    <w:rsid w:val="0039287A"/>
    <w:rsid w:val="00397FC2"/>
    <w:rsid w:val="003A1535"/>
    <w:rsid w:val="003A2C33"/>
    <w:rsid w:val="003A6EE4"/>
    <w:rsid w:val="003B2C01"/>
    <w:rsid w:val="003B4BFB"/>
    <w:rsid w:val="003B729A"/>
    <w:rsid w:val="003B778A"/>
    <w:rsid w:val="003C066E"/>
    <w:rsid w:val="003C686A"/>
    <w:rsid w:val="003D278C"/>
    <w:rsid w:val="003D347E"/>
    <w:rsid w:val="003E28E6"/>
    <w:rsid w:val="003E450F"/>
    <w:rsid w:val="003F1038"/>
    <w:rsid w:val="003F5745"/>
    <w:rsid w:val="003F5C7B"/>
    <w:rsid w:val="00400CB0"/>
    <w:rsid w:val="00401E07"/>
    <w:rsid w:val="00405B5B"/>
    <w:rsid w:val="00410BD2"/>
    <w:rsid w:val="00413AF7"/>
    <w:rsid w:val="00414A58"/>
    <w:rsid w:val="004200BA"/>
    <w:rsid w:val="004206A1"/>
    <w:rsid w:val="00425472"/>
    <w:rsid w:val="00436166"/>
    <w:rsid w:val="00436E0B"/>
    <w:rsid w:val="00452029"/>
    <w:rsid w:val="00456CA7"/>
    <w:rsid w:val="004667EF"/>
    <w:rsid w:val="00466CD5"/>
    <w:rsid w:val="00470137"/>
    <w:rsid w:val="00471453"/>
    <w:rsid w:val="00472365"/>
    <w:rsid w:val="00472A45"/>
    <w:rsid w:val="00472A79"/>
    <w:rsid w:val="00475231"/>
    <w:rsid w:val="00476611"/>
    <w:rsid w:val="004857F2"/>
    <w:rsid w:val="004879BA"/>
    <w:rsid w:val="00491CD0"/>
    <w:rsid w:val="00493006"/>
    <w:rsid w:val="004A02FE"/>
    <w:rsid w:val="004A0461"/>
    <w:rsid w:val="004A361C"/>
    <w:rsid w:val="004A4FCE"/>
    <w:rsid w:val="004B4624"/>
    <w:rsid w:val="004B79F3"/>
    <w:rsid w:val="004C2C37"/>
    <w:rsid w:val="004C5997"/>
    <w:rsid w:val="004D4ED1"/>
    <w:rsid w:val="004E14DA"/>
    <w:rsid w:val="004E5AE1"/>
    <w:rsid w:val="004E7BF0"/>
    <w:rsid w:val="004F44EB"/>
    <w:rsid w:val="00500030"/>
    <w:rsid w:val="0050564C"/>
    <w:rsid w:val="0050701C"/>
    <w:rsid w:val="00510729"/>
    <w:rsid w:val="00510FCF"/>
    <w:rsid w:val="00513A23"/>
    <w:rsid w:val="00514D7B"/>
    <w:rsid w:val="00524CD7"/>
    <w:rsid w:val="00525A90"/>
    <w:rsid w:val="00533CDB"/>
    <w:rsid w:val="00535A29"/>
    <w:rsid w:val="0054571A"/>
    <w:rsid w:val="00547CF9"/>
    <w:rsid w:val="0055158A"/>
    <w:rsid w:val="005519C8"/>
    <w:rsid w:val="005565B2"/>
    <w:rsid w:val="00556D0A"/>
    <w:rsid w:val="00557D06"/>
    <w:rsid w:val="00557E98"/>
    <w:rsid w:val="00560C71"/>
    <w:rsid w:val="00561EE6"/>
    <w:rsid w:val="005666FD"/>
    <w:rsid w:val="00566D2D"/>
    <w:rsid w:val="00574783"/>
    <w:rsid w:val="005755D6"/>
    <w:rsid w:val="005761C3"/>
    <w:rsid w:val="00577909"/>
    <w:rsid w:val="00586CA3"/>
    <w:rsid w:val="00594C8D"/>
    <w:rsid w:val="00596AB0"/>
    <w:rsid w:val="005A7608"/>
    <w:rsid w:val="005B0F9C"/>
    <w:rsid w:val="005C3FA2"/>
    <w:rsid w:val="005D15D1"/>
    <w:rsid w:val="005D2C18"/>
    <w:rsid w:val="005D725E"/>
    <w:rsid w:val="005E1CB4"/>
    <w:rsid w:val="005E4121"/>
    <w:rsid w:val="005E4533"/>
    <w:rsid w:val="005E669E"/>
    <w:rsid w:val="00600BC9"/>
    <w:rsid w:val="00602D86"/>
    <w:rsid w:val="006032C5"/>
    <w:rsid w:val="00604D3C"/>
    <w:rsid w:val="00607015"/>
    <w:rsid w:val="00611C5F"/>
    <w:rsid w:val="00615496"/>
    <w:rsid w:val="00615BD6"/>
    <w:rsid w:val="00620D0C"/>
    <w:rsid w:val="006222AA"/>
    <w:rsid w:val="00622AE5"/>
    <w:rsid w:val="00626373"/>
    <w:rsid w:val="00630D8A"/>
    <w:rsid w:val="00652842"/>
    <w:rsid w:val="0065350D"/>
    <w:rsid w:val="00655C8F"/>
    <w:rsid w:val="006564E6"/>
    <w:rsid w:val="00656CE8"/>
    <w:rsid w:val="006576A0"/>
    <w:rsid w:val="006579B0"/>
    <w:rsid w:val="00670D20"/>
    <w:rsid w:val="0067548E"/>
    <w:rsid w:val="00675582"/>
    <w:rsid w:val="006761A3"/>
    <w:rsid w:val="00676237"/>
    <w:rsid w:val="00676EFE"/>
    <w:rsid w:val="006771ED"/>
    <w:rsid w:val="006865B0"/>
    <w:rsid w:val="00690FF1"/>
    <w:rsid w:val="006A09EA"/>
    <w:rsid w:val="006A1555"/>
    <w:rsid w:val="006B056D"/>
    <w:rsid w:val="006B15F1"/>
    <w:rsid w:val="006B198A"/>
    <w:rsid w:val="006B4B00"/>
    <w:rsid w:val="006B5B82"/>
    <w:rsid w:val="006B7441"/>
    <w:rsid w:val="006C06DA"/>
    <w:rsid w:val="006C5D5F"/>
    <w:rsid w:val="006C63CF"/>
    <w:rsid w:val="006D3997"/>
    <w:rsid w:val="006E3ACC"/>
    <w:rsid w:val="006E3F80"/>
    <w:rsid w:val="006F4C6D"/>
    <w:rsid w:val="006F6E91"/>
    <w:rsid w:val="007007D9"/>
    <w:rsid w:val="007017D6"/>
    <w:rsid w:val="007036E3"/>
    <w:rsid w:val="00703C9C"/>
    <w:rsid w:val="00704835"/>
    <w:rsid w:val="00704BAC"/>
    <w:rsid w:val="007056EA"/>
    <w:rsid w:val="00706325"/>
    <w:rsid w:val="007115E6"/>
    <w:rsid w:val="0071376A"/>
    <w:rsid w:val="00715C69"/>
    <w:rsid w:val="00725B97"/>
    <w:rsid w:val="0072727E"/>
    <w:rsid w:val="00733B53"/>
    <w:rsid w:val="00733C7F"/>
    <w:rsid w:val="00745947"/>
    <w:rsid w:val="00750E7E"/>
    <w:rsid w:val="00755DA2"/>
    <w:rsid w:val="0075716D"/>
    <w:rsid w:val="00773094"/>
    <w:rsid w:val="00780A33"/>
    <w:rsid w:val="00780D87"/>
    <w:rsid w:val="00781E3A"/>
    <w:rsid w:val="0078679A"/>
    <w:rsid w:val="007920F8"/>
    <w:rsid w:val="007963F6"/>
    <w:rsid w:val="007A17A0"/>
    <w:rsid w:val="007A4604"/>
    <w:rsid w:val="007A47A0"/>
    <w:rsid w:val="007A4A9B"/>
    <w:rsid w:val="007A7E06"/>
    <w:rsid w:val="007C5522"/>
    <w:rsid w:val="007C5ADC"/>
    <w:rsid w:val="007C65AF"/>
    <w:rsid w:val="007C71EE"/>
    <w:rsid w:val="007C74E6"/>
    <w:rsid w:val="007D5B30"/>
    <w:rsid w:val="007E0751"/>
    <w:rsid w:val="007E6544"/>
    <w:rsid w:val="007F1B74"/>
    <w:rsid w:val="007F39A4"/>
    <w:rsid w:val="0080382D"/>
    <w:rsid w:val="00804F18"/>
    <w:rsid w:val="008122B1"/>
    <w:rsid w:val="00812745"/>
    <w:rsid w:val="0081339E"/>
    <w:rsid w:val="0081362B"/>
    <w:rsid w:val="0081583A"/>
    <w:rsid w:val="00821D43"/>
    <w:rsid w:val="00826516"/>
    <w:rsid w:val="008265D6"/>
    <w:rsid w:val="0084306A"/>
    <w:rsid w:val="00844A95"/>
    <w:rsid w:val="00845423"/>
    <w:rsid w:val="00854CDF"/>
    <w:rsid w:val="00857116"/>
    <w:rsid w:val="008636B6"/>
    <w:rsid w:val="008653EE"/>
    <w:rsid w:val="00867753"/>
    <w:rsid w:val="00870964"/>
    <w:rsid w:val="00871018"/>
    <w:rsid w:val="0087418B"/>
    <w:rsid w:val="00877FB8"/>
    <w:rsid w:val="008809E7"/>
    <w:rsid w:val="00882366"/>
    <w:rsid w:val="00883C2A"/>
    <w:rsid w:val="008B3BDE"/>
    <w:rsid w:val="008B4895"/>
    <w:rsid w:val="008B58C2"/>
    <w:rsid w:val="008B660F"/>
    <w:rsid w:val="008E0216"/>
    <w:rsid w:val="008E38B4"/>
    <w:rsid w:val="008E44CA"/>
    <w:rsid w:val="008E6BEC"/>
    <w:rsid w:val="008E6E7A"/>
    <w:rsid w:val="008E72B0"/>
    <w:rsid w:val="008F0E72"/>
    <w:rsid w:val="008F55CA"/>
    <w:rsid w:val="009004BB"/>
    <w:rsid w:val="0090151D"/>
    <w:rsid w:val="00903049"/>
    <w:rsid w:val="0091158D"/>
    <w:rsid w:val="00914CC9"/>
    <w:rsid w:val="00917268"/>
    <w:rsid w:val="0092547E"/>
    <w:rsid w:val="009264AA"/>
    <w:rsid w:val="009279C2"/>
    <w:rsid w:val="00932B30"/>
    <w:rsid w:val="009371D7"/>
    <w:rsid w:val="0094407F"/>
    <w:rsid w:val="009563BE"/>
    <w:rsid w:val="00966249"/>
    <w:rsid w:val="00974849"/>
    <w:rsid w:val="009750E0"/>
    <w:rsid w:val="00976124"/>
    <w:rsid w:val="00977B45"/>
    <w:rsid w:val="009808D0"/>
    <w:rsid w:val="009823A9"/>
    <w:rsid w:val="00984AD0"/>
    <w:rsid w:val="009A2244"/>
    <w:rsid w:val="009A37A7"/>
    <w:rsid w:val="009A53B7"/>
    <w:rsid w:val="009B243E"/>
    <w:rsid w:val="009B40A2"/>
    <w:rsid w:val="009C23A7"/>
    <w:rsid w:val="009C420F"/>
    <w:rsid w:val="009C441F"/>
    <w:rsid w:val="009C53A3"/>
    <w:rsid w:val="009D7458"/>
    <w:rsid w:val="009E0FDB"/>
    <w:rsid w:val="00A02F0A"/>
    <w:rsid w:val="00A0515B"/>
    <w:rsid w:val="00A07EED"/>
    <w:rsid w:val="00A10F14"/>
    <w:rsid w:val="00A14ED4"/>
    <w:rsid w:val="00A15198"/>
    <w:rsid w:val="00A21B40"/>
    <w:rsid w:val="00A23D16"/>
    <w:rsid w:val="00A3796D"/>
    <w:rsid w:val="00A50465"/>
    <w:rsid w:val="00A51563"/>
    <w:rsid w:val="00A52CBB"/>
    <w:rsid w:val="00A6161F"/>
    <w:rsid w:val="00A65C7E"/>
    <w:rsid w:val="00A668FF"/>
    <w:rsid w:val="00A67D94"/>
    <w:rsid w:val="00A723B1"/>
    <w:rsid w:val="00A7799C"/>
    <w:rsid w:val="00A848B1"/>
    <w:rsid w:val="00A86001"/>
    <w:rsid w:val="00A86089"/>
    <w:rsid w:val="00A8722D"/>
    <w:rsid w:val="00A95CE9"/>
    <w:rsid w:val="00AA44EF"/>
    <w:rsid w:val="00AB03D9"/>
    <w:rsid w:val="00AB4ECC"/>
    <w:rsid w:val="00AB715C"/>
    <w:rsid w:val="00AB763A"/>
    <w:rsid w:val="00AC74D3"/>
    <w:rsid w:val="00AD5429"/>
    <w:rsid w:val="00AD5662"/>
    <w:rsid w:val="00AD5875"/>
    <w:rsid w:val="00AE5F0A"/>
    <w:rsid w:val="00AE6EF5"/>
    <w:rsid w:val="00AF4B62"/>
    <w:rsid w:val="00B012FC"/>
    <w:rsid w:val="00B07CF2"/>
    <w:rsid w:val="00B1027B"/>
    <w:rsid w:val="00B10CBA"/>
    <w:rsid w:val="00B1289E"/>
    <w:rsid w:val="00B130ED"/>
    <w:rsid w:val="00B20539"/>
    <w:rsid w:val="00B20B34"/>
    <w:rsid w:val="00B234BF"/>
    <w:rsid w:val="00B272FD"/>
    <w:rsid w:val="00B30209"/>
    <w:rsid w:val="00B30928"/>
    <w:rsid w:val="00B41296"/>
    <w:rsid w:val="00B41743"/>
    <w:rsid w:val="00B4360D"/>
    <w:rsid w:val="00B46B0E"/>
    <w:rsid w:val="00B51ACC"/>
    <w:rsid w:val="00B53EA8"/>
    <w:rsid w:val="00B56F8B"/>
    <w:rsid w:val="00B614BC"/>
    <w:rsid w:val="00B62511"/>
    <w:rsid w:val="00B66D95"/>
    <w:rsid w:val="00B76D25"/>
    <w:rsid w:val="00B77336"/>
    <w:rsid w:val="00B91C84"/>
    <w:rsid w:val="00B92904"/>
    <w:rsid w:val="00BA388C"/>
    <w:rsid w:val="00BA5D73"/>
    <w:rsid w:val="00BB09A0"/>
    <w:rsid w:val="00BB7D0E"/>
    <w:rsid w:val="00BC7BEF"/>
    <w:rsid w:val="00BD60F1"/>
    <w:rsid w:val="00BE6950"/>
    <w:rsid w:val="00BE6ABE"/>
    <w:rsid w:val="00BF02B1"/>
    <w:rsid w:val="00BF28DD"/>
    <w:rsid w:val="00BF3745"/>
    <w:rsid w:val="00BF4EEE"/>
    <w:rsid w:val="00BF7F26"/>
    <w:rsid w:val="00C000E5"/>
    <w:rsid w:val="00C164C6"/>
    <w:rsid w:val="00C221C4"/>
    <w:rsid w:val="00C24C9B"/>
    <w:rsid w:val="00C30CC6"/>
    <w:rsid w:val="00C330E4"/>
    <w:rsid w:val="00C3411F"/>
    <w:rsid w:val="00C35F84"/>
    <w:rsid w:val="00C37ED3"/>
    <w:rsid w:val="00C424A7"/>
    <w:rsid w:val="00C43516"/>
    <w:rsid w:val="00C45C23"/>
    <w:rsid w:val="00C47DFB"/>
    <w:rsid w:val="00C50116"/>
    <w:rsid w:val="00C508E6"/>
    <w:rsid w:val="00C5105C"/>
    <w:rsid w:val="00C51843"/>
    <w:rsid w:val="00C5184B"/>
    <w:rsid w:val="00C53565"/>
    <w:rsid w:val="00C55185"/>
    <w:rsid w:val="00C556E0"/>
    <w:rsid w:val="00C579F8"/>
    <w:rsid w:val="00C65D11"/>
    <w:rsid w:val="00C66DFA"/>
    <w:rsid w:val="00C677A7"/>
    <w:rsid w:val="00C72D97"/>
    <w:rsid w:val="00C85F7D"/>
    <w:rsid w:val="00C911A8"/>
    <w:rsid w:val="00C95485"/>
    <w:rsid w:val="00C95C55"/>
    <w:rsid w:val="00C95CE0"/>
    <w:rsid w:val="00CA27AC"/>
    <w:rsid w:val="00CB26AD"/>
    <w:rsid w:val="00CB4196"/>
    <w:rsid w:val="00CB443D"/>
    <w:rsid w:val="00CC12BC"/>
    <w:rsid w:val="00CC3EF1"/>
    <w:rsid w:val="00CC4DD8"/>
    <w:rsid w:val="00CC6DA2"/>
    <w:rsid w:val="00CD3A73"/>
    <w:rsid w:val="00CD797D"/>
    <w:rsid w:val="00CD7AA2"/>
    <w:rsid w:val="00CE1139"/>
    <w:rsid w:val="00CE1921"/>
    <w:rsid w:val="00CE79BB"/>
    <w:rsid w:val="00CF5554"/>
    <w:rsid w:val="00CF6C5F"/>
    <w:rsid w:val="00D03ACB"/>
    <w:rsid w:val="00D10D46"/>
    <w:rsid w:val="00D221DD"/>
    <w:rsid w:val="00D255E3"/>
    <w:rsid w:val="00D26192"/>
    <w:rsid w:val="00D33F4D"/>
    <w:rsid w:val="00D347FC"/>
    <w:rsid w:val="00D4131C"/>
    <w:rsid w:val="00D41D63"/>
    <w:rsid w:val="00D53E73"/>
    <w:rsid w:val="00D548FC"/>
    <w:rsid w:val="00D56B36"/>
    <w:rsid w:val="00D672F8"/>
    <w:rsid w:val="00D733D2"/>
    <w:rsid w:val="00D745CE"/>
    <w:rsid w:val="00D74945"/>
    <w:rsid w:val="00D74D43"/>
    <w:rsid w:val="00D77102"/>
    <w:rsid w:val="00D851BD"/>
    <w:rsid w:val="00D92917"/>
    <w:rsid w:val="00D9330E"/>
    <w:rsid w:val="00D9412B"/>
    <w:rsid w:val="00DA0835"/>
    <w:rsid w:val="00DA13FB"/>
    <w:rsid w:val="00DA72D1"/>
    <w:rsid w:val="00DA7511"/>
    <w:rsid w:val="00DB0A03"/>
    <w:rsid w:val="00DB0A47"/>
    <w:rsid w:val="00DB347D"/>
    <w:rsid w:val="00DC036D"/>
    <w:rsid w:val="00DC3F2C"/>
    <w:rsid w:val="00DC5FFC"/>
    <w:rsid w:val="00DE3810"/>
    <w:rsid w:val="00DE4E79"/>
    <w:rsid w:val="00DE505F"/>
    <w:rsid w:val="00DF5FD9"/>
    <w:rsid w:val="00DF643E"/>
    <w:rsid w:val="00E00CE9"/>
    <w:rsid w:val="00E02FE8"/>
    <w:rsid w:val="00E076DE"/>
    <w:rsid w:val="00E07D63"/>
    <w:rsid w:val="00E10F0C"/>
    <w:rsid w:val="00E11BC1"/>
    <w:rsid w:val="00E11FDA"/>
    <w:rsid w:val="00E16904"/>
    <w:rsid w:val="00E16949"/>
    <w:rsid w:val="00E25DA1"/>
    <w:rsid w:val="00E337CF"/>
    <w:rsid w:val="00E355C8"/>
    <w:rsid w:val="00E50031"/>
    <w:rsid w:val="00E51E1D"/>
    <w:rsid w:val="00E530EF"/>
    <w:rsid w:val="00E6512B"/>
    <w:rsid w:val="00E66534"/>
    <w:rsid w:val="00E70052"/>
    <w:rsid w:val="00E702B9"/>
    <w:rsid w:val="00E7687A"/>
    <w:rsid w:val="00E77DD0"/>
    <w:rsid w:val="00E84233"/>
    <w:rsid w:val="00E923F4"/>
    <w:rsid w:val="00EA4651"/>
    <w:rsid w:val="00EB02D0"/>
    <w:rsid w:val="00EC1FD5"/>
    <w:rsid w:val="00EC4AA7"/>
    <w:rsid w:val="00EC52C8"/>
    <w:rsid w:val="00ED2BFC"/>
    <w:rsid w:val="00EE1127"/>
    <w:rsid w:val="00EE7950"/>
    <w:rsid w:val="00EF5AA4"/>
    <w:rsid w:val="00F006C1"/>
    <w:rsid w:val="00F00DF9"/>
    <w:rsid w:val="00F03326"/>
    <w:rsid w:val="00F13279"/>
    <w:rsid w:val="00F162AF"/>
    <w:rsid w:val="00F20FC3"/>
    <w:rsid w:val="00F25B8A"/>
    <w:rsid w:val="00F368E9"/>
    <w:rsid w:val="00F373F2"/>
    <w:rsid w:val="00F41600"/>
    <w:rsid w:val="00F42314"/>
    <w:rsid w:val="00F46C4E"/>
    <w:rsid w:val="00F5305E"/>
    <w:rsid w:val="00F55465"/>
    <w:rsid w:val="00F62D49"/>
    <w:rsid w:val="00F63578"/>
    <w:rsid w:val="00F6440B"/>
    <w:rsid w:val="00F65272"/>
    <w:rsid w:val="00F65E83"/>
    <w:rsid w:val="00F76949"/>
    <w:rsid w:val="00F82DEA"/>
    <w:rsid w:val="00F83FB3"/>
    <w:rsid w:val="00F94126"/>
    <w:rsid w:val="00F9741E"/>
    <w:rsid w:val="00FA1627"/>
    <w:rsid w:val="00FA2E33"/>
    <w:rsid w:val="00FA3F8C"/>
    <w:rsid w:val="00FA6317"/>
    <w:rsid w:val="00FB16B0"/>
    <w:rsid w:val="00FB181C"/>
    <w:rsid w:val="00FB5252"/>
    <w:rsid w:val="00FB724B"/>
    <w:rsid w:val="00FC0F0B"/>
    <w:rsid w:val="00FC21F1"/>
    <w:rsid w:val="00FC6E04"/>
    <w:rsid w:val="00FC7B17"/>
    <w:rsid w:val="00FD7C27"/>
    <w:rsid w:val="00FE32FC"/>
    <w:rsid w:val="00FE4210"/>
    <w:rsid w:val="00FE52EC"/>
    <w:rsid w:val="00FE7839"/>
    <w:rsid w:val="00FF01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2317F"/>
  <w15:chartTrackingRefBased/>
  <w15:docId w15:val="{96C265C1-4DC0-4F31-A5A2-C31E4D83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uiPriority w:val="99"/>
    <w:rPr>
      <w:color w:val="0000FF"/>
      <w:u w:val="single"/>
    </w:rPr>
  </w:style>
  <w:style w:type="paragraph" w:styleId="TDC1">
    <w:name w:val="toc 1"/>
    <w:basedOn w:val="Normal"/>
    <w:next w:val="Normal"/>
    <w:autoRedefine/>
    <w:uiPriority w:val="39"/>
    <w:rsid w:val="001823B9"/>
    <w:pPr>
      <w:tabs>
        <w:tab w:val="left" w:pos="440"/>
        <w:tab w:val="right" w:leader="dot" w:pos="8830"/>
      </w:tabs>
    </w:pPr>
    <w:rPr>
      <w:rFonts w:ascii="Arial Narrow" w:hAnsi="Arial Narrow" w:cs="Arial"/>
      <w:b/>
      <w:noProof/>
      <w:sz w:val="24"/>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Footnote Text Char Char Char Char Char,Footnote Text Char Char Char Char,FA Fu"/>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FA Fu Car"/>
    <w:link w:val="Textonotapie"/>
    <w:uiPriority w:val="99"/>
    <w:rsid w:val="00472365"/>
    <w:rPr>
      <w:rFonts w:ascii="Calibri" w:hAnsi="Calibri"/>
    </w:rPr>
  </w:style>
  <w:style w:type="character" w:styleId="Refdenotaalpie">
    <w:name w:val="footnote reference"/>
    <w:aliases w:val="Ref,de nota al pie,Texto de nota al pie,Ref. de nota al pie2,referencia nota al pie,Pie de pagina,Nota de pie,Texto nota al pie"/>
    <w:uiPriority w:val="99"/>
    <w:unhideWhenUsed/>
    <w:rsid w:val="00472365"/>
    <w:rPr>
      <w:vertAlign w:val="superscript"/>
    </w:rPr>
  </w:style>
  <w:style w:type="paragraph" w:styleId="Prrafodelista">
    <w:name w:val="List Paragraph"/>
    <w:aliases w:val="Bullet List,FooterText,numbered,List Paragraph1,Paragraphe de liste1,lp1"/>
    <w:basedOn w:val="Normal"/>
    <w:link w:val="PrrafodelistaCar"/>
    <w:uiPriority w:val="34"/>
    <w:qFormat/>
    <w:rsid w:val="004A361C"/>
    <w:pPr>
      <w:ind w:left="708"/>
    </w:pPr>
  </w:style>
  <w:style w:type="paragraph" w:styleId="NormalWeb">
    <w:name w:val="Normal (Web)"/>
    <w:basedOn w:val="Normal"/>
    <w:uiPriority w:val="99"/>
    <w:unhideWhenUsed/>
    <w:rsid w:val="00CB26AD"/>
    <w:pPr>
      <w:spacing w:before="100" w:beforeAutospacing="1" w:after="100" w:afterAutospacing="1"/>
    </w:pPr>
    <w:rPr>
      <w:sz w:val="24"/>
      <w:szCs w:val="24"/>
      <w:lang w:val="en-US" w:eastAsia="en-US"/>
    </w:rPr>
  </w:style>
  <w:style w:type="paragraph" w:styleId="TtuloTDC">
    <w:name w:val="TOC Heading"/>
    <w:basedOn w:val="Ttulo1"/>
    <w:next w:val="Normal"/>
    <w:uiPriority w:val="39"/>
    <w:unhideWhenUsed/>
    <w:qFormat/>
    <w:rsid w:val="0094407F"/>
    <w:pPr>
      <w:keepLines/>
      <w:widowControl/>
      <w:spacing w:before="240" w:line="259" w:lineRule="auto"/>
      <w:jc w:val="left"/>
      <w:outlineLvl w:val="9"/>
    </w:pPr>
    <w:rPr>
      <w:rFonts w:ascii="Calibri Light" w:hAnsi="Calibri Light"/>
      <w:b w:val="0"/>
      <w:color w:val="2E74B5"/>
      <w:sz w:val="32"/>
      <w:szCs w:val="32"/>
      <w:lang w:val="en-US" w:eastAsia="en-US"/>
    </w:rPr>
  </w:style>
  <w:style w:type="paragraph" w:styleId="TDC2">
    <w:name w:val="toc 2"/>
    <w:basedOn w:val="Normal"/>
    <w:next w:val="Normal"/>
    <w:autoRedefine/>
    <w:uiPriority w:val="39"/>
    <w:rsid w:val="0094407F"/>
    <w:pPr>
      <w:tabs>
        <w:tab w:val="left" w:pos="709"/>
        <w:tab w:val="right" w:leader="dot" w:pos="8830"/>
      </w:tabs>
    </w:pPr>
  </w:style>
  <w:style w:type="paragraph" w:styleId="TDC3">
    <w:name w:val="toc 3"/>
    <w:basedOn w:val="Normal"/>
    <w:next w:val="Normal"/>
    <w:autoRedefine/>
    <w:uiPriority w:val="39"/>
    <w:rsid w:val="0094407F"/>
    <w:pPr>
      <w:ind w:left="400"/>
    </w:pPr>
  </w:style>
  <w:style w:type="paragraph" w:customStyle="1" w:styleId="Default">
    <w:name w:val="Default"/>
    <w:rsid w:val="00144730"/>
    <w:pPr>
      <w:autoSpaceDE w:val="0"/>
      <w:autoSpaceDN w:val="0"/>
      <w:adjustRightInd w:val="0"/>
    </w:pPr>
    <w:rPr>
      <w:rFonts w:ascii="Arial" w:hAnsi="Arial" w:cs="Arial"/>
      <w:color w:val="000000"/>
      <w:sz w:val="24"/>
      <w:szCs w:val="24"/>
    </w:rPr>
  </w:style>
  <w:style w:type="table" w:styleId="Tablaconcuadrcula">
    <w:name w:val="Table Grid"/>
    <w:basedOn w:val="Tablanormal"/>
    <w:uiPriority w:val="99"/>
    <w:rsid w:val="002A417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numbered Car,List Paragraph1 Car,Paragraphe de liste1 Car,lp1 Car"/>
    <w:link w:val="Prrafodelista"/>
    <w:uiPriority w:val="34"/>
    <w:rsid w:val="00FA3F8C"/>
    <w:rPr>
      <w:lang w:val="es-ES" w:eastAsia="es-ES"/>
    </w:rPr>
  </w:style>
  <w:style w:type="paragraph" w:styleId="Revisin">
    <w:name w:val="Revision"/>
    <w:hidden/>
    <w:uiPriority w:val="99"/>
    <w:semiHidden/>
    <w:rsid w:val="00A50465"/>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90404">
      <w:bodyDiv w:val="1"/>
      <w:marLeft w:val="0"/>
      <w:marRight w:val="0"/>
      <w:marTop w:val="0"/>
      <w:marBottom w:val="0"/>
      <w:divBdr>
        <w:top w:val="none" w:sz="0" w:space="0" w:color="auto"/>
        <w:left w:val="none" w:sz="0" w:space="0" w:color="auto"/>
        <w:bottom w:val="none" w:sz="0" w:space="0" w:color="auto"/>
        <w:right w:val="none" w:sz="0" w:space="0" w:color="auto"/>
      </w:divBdr>
    </w:div>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029645884">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602715446">
      <w:bodyDiv w:val="1"/>
      <w:marLeft w:val="0"/>
      <w:marRight w:val="0"/>
      <w:marTop w:val="0"/>
      <w:marBottom w:val="0"/>
      <w:divBdr>
        <w:top w:val="none" w:sz="0" w:space="0" w:color="auto"/>
        <w:left w:val="none" w:sz="0" w:space="0" w:color="auto"/>
        <w:bottom w:val="none" w:sz="0" w:space="0" w:color="auto"/>
        <w:right w:val="none" w:sz="0" w:space="0" w:color="auto"/>
      </w:divBdr>
    </w:div>
    <w:div w:id="1725717059">
      <w:bodyDiv w:val="1"/>
      <w:marLeft w:val="0"/>
      <w:marRight w:val="0"/>
      <w:marTop w:val="0"/>
      <w:marBottom w:val="0"/>
      <w:divBdr>
        <w:top w:val="none" w:sz="0" w:space="0" w:color="auto"/>
        <w:left w:val="none" w:sz="0" w:space="0" w:color="auto"/>
        <w:bottom w:val="none" w:sz="0" w:space="0" w:color="auto"/>
        <w:right w:val="none" w:sz="0" w:space="0" w:color="auto"/>
      </w:divBdr>
    </w:div>
    <w:div w:id="1779906112">
      <w:bodyDiv w:val="1"/>
      <w:marLeft w:val="0"/>
      <w:marRight w:val="0"/>
      <w:marTop w:val="0"/>
      <w:marBottom w:val="0"/>
      <w:divBdr>
        <w:top w:val="none" w:sz="0" w:space="0" w:color="auto"/>
        <w:left w:val="none" w:sz="0" w:space="0" w:color="auto"/>
        <w:bottom w:val="none" w:sz="0" w:space="0" w:color="auto"/>
        <w:right w:val="none" w:sz="0" w:space="0" w:color="auto"/>
      </w:divBdr>
    </w:div>
    <w:div w:id="1806967824">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1910459708">
      <w:bodyDiv w:val="1"/>
      <w:marLeft w:val="0"/>
      <w:marRight w:val="0"/>
      <w:marTop w:val="0"/>
      <w:marBottom w:val="0"/>
      <w:divBdr>
        <w:top w:val="none" w:sz="0" w:space="0" w:color="auto"/>
        <w:left w:val="none" w:sz="0" w:space="0" w:color="auto"/>
        <w:bottom w:val="none" w:sz="0" w:space="0" w:color="auto"/>
        <w:right w:val="none" w:sz="0" w:space="0" w:color="auto"/>
      </w:divBdr>
    </w:div>
    <w:div w:id="1938902278">
      <w:bodyDiv w:val="1"/>
      <w:marLeft w:val="0"/>
      <w:marRight w:val="0"/>
      <w:marTop w:val="0"/>
      <w:marBottom w:val="0"/>
      <w:divBdr>
        <w:top w:val="none" w:sz="0" w:space="0" w:color="auto"/>
        <w:left w:val="none" w:sz="0" w:space="0" w:color="auto"/>
        <w:bottom w:val="none" w:sz="0" w:space="0" w:color="auto"/>
        <w:right w:val="none" w:sz="0" w:space="0" w:color="auto"/>
      </w:divBdr>
    </w:div>
    <w:div w:id="1967618564">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BE4FBC-7C9A-44D5-B0C4-341BD6A37A3D}" type="doc">
      <dgm:prSet loTypeId="urn:microsoft.com/office/officeart/2005/8/layout/orgChart1" loCatId="hierarchy" qsTypeId="urn:microsoft.com/office/officeart/2005/8/quickstyle/simple1" qsCatId="simple" csTypeId="urn:microsoft.com/office/officeart/2005/8/colors/accent1_2" csCatId="accent1"/>
      <dgm:spPr/>
    </dgm:pt>
    <dgm:pt modelId="{1B10665F-B95B-43EE-9E7F-47165F33267E}">
      <dgm:prSet/>
      <dgm:spPr/>
      <dgm:t>
        <a:bodyPr/>
        <a:lstStyle/>
        <a:p>
          <a:pPr marR="0" algn="ctr" rtl="0"/>
          <a:r>
            <a:rPr lang="es-CO" b="0" i="0" u="none" strike="noStrike" baseline="0">
              <a:latin typeface="Arial Narrow" panose="020B0606020202030204" pitchFamily="34" charset="0"/>
            </a:rPr>
            <a:t>Enajenación de participaciones accionarias estatales</a:t>
          </a:r>
          <a:endParaRPr lang="es-CO"/>
        </a:p>
      </dgm:t>
    </dgm:pt>
    <dgm:pt modelId="{C6566459-E6FE-457E-8825-1918EBF989AC}" type="parTrans" cxnId="{B56093AC-58CD-4170-9B88-30201AEEAFE8}">
      <dgm:prSet/>
      <dgm:spPr/>
    </dgm:pt>
    <dgm:pt modelId="{9B39F464-C835-48AC-B3F8-464DD3A9B1E4}" type="sibTrans" cxnId="{B56093AC-58CD-4170-9B88-30201AEEAFE8}">
      <dgm:prSet/>
      <dgm:spPr/>
    </dgm:pt>
    <dgm:pt modelId="{11C98E70-5C82-4E16-B43E-30C84CF63CDF}">
      <dgm:prSet/>
      <dgm:spPr/>
      <dgm:t>
        <a:bodyPr/>
        <a:lstStyle/>
        <a:p>
          <a:pPr marR="0" algn="ctr" rtl="0"/>
          <a:r>
            <a:rPr lang="es-CO" b="0" i="0" u="none" strike="noStrike" baseline="0">
              <a:latin typeface="Arial Narrow" panose="020B0606020202030204" pitchFamily="34" charset="0"/>
            </a:rPr>
            <a:t>Participación del Estado mayor al 49% (controlante) y/o donde existió voluntad del Estado de participar en dicha sociedad</a:t>
          </a:r>
          <a:endParaRPr lang="es-CO"/>
        </a:p>
      </dgm:t>
    </dgm:pt>
    <dgm:pt modelId="{2AA112C8-AD97-4F39-A454-B4C6684ED934}" type="parTrans" cxnId="{5EE001D0-19D3-40C2-94AE-027A4C93DE70}">
      <dgm:prSet/>
      <dgm:spPr/>
    </dgm:pt>
    <dgm:pt modelId="{3471D416-BF52-42DF-A0C3-4369CDEA6459}" type="sibTrans" cxnId="{5EE001D0-19D3-40C2-94AE-027A4C93DE70}">
      <dgm:prSet/>
      <dgm:spPr/>
    </dgm:pt>
    <dgm:pt modelId="{79B29C0D-96DF-427E-B312-85081915458E}">
      <dgm:prSet/>
      <dgm:spPr/>
      <dgm:t>
        <a:bodyPr/>
        <a:lstStyle/>
        <a:p>
          <a:pPr marR="0" algn="ctr" rtl="0"/>
          <a:r>
            <a:rPr lang="es-CO" b="0" i="0" u="none" strike="noStrike" baseline="0">
              <a:latin typeface="Arial Narrow" panose="020B0606020202030204" pitchFamily="34" charset="0"/>
            </a:rPr>
            <a:t>Régimen de venta contenido en la Ley 226 de 1995</a:t>
          </a:r>
          <a:endParaRPr lang="es-CO"/>
        </a:p>
      </dgm:t>
    </dgm:pt>
    <dgm:pt modelId="{420B73CB-FDEC-4AA8-A138-6FF2B0E66921}" type="parTrans" cxnId="{9E98E3F5-0719-4285-8E5B-A51CA1F7AEDF}">
      <dgm:prSet/>
      <dgm:spPr/>
    </dgm:pt>
    <dgm:pt modelId="{04FDEE11-F079-4E99-80F4-B64A0F6D9C05}" type="sibTrans" cxnId="{9E98E3F5-0719-4285-8E5B-A51CA1F7AEDF}">
      <dgm:prSet/>
      <dgm:spPr/>
    </dgm:pt>
    <dgm:pt modelId="{CDF17833-2DE8-4EF9-A2F6-E104EE006223}">
      <dgm:prSet/>
      <dgm:spPr/>
      <dgm:t>
        <a:bodyPr/>
        <a:lstStyle/>
        <a:p>
          <a:pPr marR="0" algn="ctr" rtl="0"/>
          <a:r>
            <a:rPr lang="es-CO" b="0" i="0" u="none" strike="noStrike" baseline="0">
              <a:latin typeface="Arial Narrow" panose="020B0606020202030204" pitchFamily="34" charset="0"/>
            </a:rPr>
            <a:t>Participación del Estado menor al 49% y donde no existió voluntad del Estado de participar en dicha sociedad</a:t>
          </a:r>
        </a:p>
      </dgm:t>
    </dgm:pt>
    <dgm:pt modelId="{975F6EC4-E41E-42F5-91D7-414F20E5671A}" type="parTrans" cxnId="{B1A07591-77D1-4B6E-8065-618B1A0196EA}">
      <dgm:prSet/>
      <dgm:spPr/>
    </dgm:pt>
    <dgm:pt modelId="{B1BA6AE3-A271-420E-8506-7C8E5F573204}" type="sibTrans" cxnId="{B1A07591-77D1-4B6E-8065-618B1A0196EA}">
      <dgm:prSet/>
      <dgm:spPr/>
    </dgm:pt>
    <dgm:pt modelId="{F5AF595B-2162-4637-90D3-F112146F4ADF}">
      <dgm:prSet/>
      <dgm:spPr/>
      <dgm:t>
        <a:bodyPr/>
        <a:lstStyle/>
        <a:p>
          <a:pPr marR="0" algn="ctr" rtl="0"/>
          <a:r>
            <a:rPr lang="es-CO" b="0" i="0" u="none" strike="noStrike" baseline="0">
              <a:latin typeface="Arial Narrow" panose="020B0606020202030204" pitchFamily="34" charset="0"/>
            </a:rPr>
            <a:t>Régimen de venta establecido en el artículo 162 de la Ley 1753 de 2015, modificado por el artículo 45 de la Ley del Plan Nacional de Desarrollo 2018-2022</a:t>
          </a:r>
          <a:endParaRPr lang="es-CO" b="0" i="0" u="none" strike="noStrike" baseline="0">
            <a:latin typeface="Times New Roman" panose="02020603050405020304" pitchFamily="18" charset="0"/>
          </a:endParaRPr>
        </a:p>
      </dgm:t>
    </dgm:pt>
    <dgm:pt modelId="{4B875310-C088-48B4-88D1-517B44163642}" type="parTrans" cxnId="{8BD7E146-ECFD-4BE0-9638-69B6E21550BB}">
      <dgm:prSet/>
      <dgm:spPr/>
    </dgm:pt>
    <dgm:pt modelId="{F7980645-A214-49E7-B64E-B4F38D031D29}" type="sibTrans" cxnId="{8BD7E146-ECFD-4BE0-9638-69B6E21550BB}">
      <dgm:prSet/>
      <dgm:spPr/>
    </dgm:pt>
    <dgm:pt modelId="{33D4C07C-889F-4294-8323-4553573F6ACF}" type="pres">
      <dgm:prSet presAssocID="{61BE4FBC-7C9A-44D5-B0C4-341BD6A37A3D}" presName="hierChild1" presStyleCnt="0">
        <dgm:presLayoutVars>
          <dgm:orgChart val="1"/>
          <dgm:chPref val="1"/>
          <dgm:dir/>
          <dgm:animOne val="branch"/>
          <dgm:animLvl val="lvl"/>
          <dgm:resizeHandles/>
        </dgm:presLayoutVars>
      </dgm:prSet>
      <dgm:spPr/>
    </dgm:pt>
    <dgm:pt modelId="{62B00726-DBE8-4C0C-BC5C-3ED65FA0A93B}" type="pres">
      <dgm:prSet presAssocID="{1B10665F-B95B-43EE-9E7F-47165F33267E}" presName="hierRoot1" presStyleCnt="0">
        <dgm:presLayoutVars>
          <dgm:hierBranch/>
        </dgm:presLayoutVars>
      </dgm:prSet>
      <dgm:spPr/>
    </dgm:pt>
    <dgm:pt modelId="{C8DDF947-E482-4E2D-8FC0-2073E8ED5373}" type="pres">
      <dgm:prSet presAssocID="{1B10665F-B95B-43EE-9E7F-47165F33267E}" presName="rootComposite1" presStyleCnt="0"/>
      <dgm:spPr/>
    </dgm:pt>
    <dgm:pt modelId="{6D5366B4-2CB1-4DEE-BD7F-6FC830664EB3}" type="pres">
      <dgm:prSet presAssocID="{1B10665F-B95B-43EE-9E7F-47165F33267E}" presName="rootText1" presStyleLbl="node0" presStyleIdx="0" presStyleCnt="1">
        <dgm:presLayoutVars>
          <dgm:chPref val="3"/>
        </dgm:presLayoutVars>
      </dgm:prSet>
      <dgm:spPr/>
    </dgm:pt>
    <dgm:pt modelId="{B9B7E9BB-B1E7-4C9D-87EF-F1AC2E659C11}" type="pres">
      <dgm:prSet presAssocID="{1B10665F-B95B-43EE-9E7F-47165F33267E}" presName="rootConnector1" presStyleLbl="node1" presStyleIdx="0" presStyleCnt="0"/>
      <dgm:spPr/>
    </dgm:pt>
    <dgm:pt modelId="{CC74ABC2-49BD-4713-82BC-A376A50BC9BB}" type="pres">
      <dgm:prSet presAssocID="{1B10665F-B95B-43EE-9E7F-47165F33267E}" presName="hierChild2" presStyleCnt="0"/>
      <dgm:spPr/>
    </dgm:pt>
    <dgm:pt modelId="{6A065D5F-672B-4A51-9D6B-A2FAF2727ADE}" type="pres">
      <dgm:prSet presAssocID="{2AA112C8-AD97-4F39-A454-B4C6684ED934}" presName="Name35" presStyleLbl="parChTrans1D2" presStyleIdx="0" presStyleCnt="2"/>
      <dgm:spPr/>
    </dgm:pt>
    <dgm:pt modelId="{D1A8C77E-93AA-479E-AE12-24187A349C25}" type="pres">
      <dgm:prSet presAssocID="{11C98E70-5C82-4E16-B43E-30C84CF63CDF}" presName="hierRoot2" presStyleCnt="0">
        <dgm:presLayoutVars>
          <dgm:hierBranch/>
        </dgm:presLayoutVars>
      </dgm:prSet>
      <dgm:spPr/>
    </dgm:pt>
    <dgm:pt modelId="{E224259E-BB77-4272-B878-F2F4B0ED4547}" type="pres">
      <dgm:prSet presAssocID="{11C98E70-5C82-4E16-B43E-30C84CF63CDF}" presName="rootComposite" presStyleCnt="0"/>
      <dgm:spPr/>
    </dgm:pt>
    <dgm:pt modelId="{186AA31B-47A6-4364-9616-06C097879B39}" type="pres">
      <dgm:prSet presAssocID="{11C98E70-5C82-4E16-B43E-30C84CF63CDF}" presName="rootText" presStyleLbl="node2" presStyleIdx="0" presStyleCnt="2">
        <dgm:presLayoutVars>
          <dgm:chPref val="3"/>
        </dgm:presLayoutVars>
      </dgm:prSet>
      <dgm:spPr/>
    </dgm:pt>
    <dgm:pt modelId="{D89C72AF-1866-433D-AE1C-2E3BC0159283}" type="pres">
      <dgm:prSet presAssocID="{11C98E70-5C82-4E16-B43E-30C84CF63CDF}" presName="rootConnector" presStyleLbl="node2" presStyleIdx="0" presStyleCnt="2"/>
      <dgm:spPr/>
    </dgm:pt>
    <dgm:pt modelId="{8E030C16-1317-423A-8AC9-F09B7552C987}" type="pres">
      <dgm:prSet presAssocID="{11C98E70-5C82-4E16-B43E-30C84CF63CDF}" presName="hierChild4" presStyleCnt="0"/>
      <dgm:spPr/>
    </dgm:pt>
    <dgm:pt modelId="{1D8F7DC2-A597-446F-B69B-F804DC4B7534}" type="pres">
      <dgm:prSet presAssocID="{420B73CB-FDEC-4AA8-A138-6FF2B0E66921}" presName="Name35" presStyleLbl="parChTrans1D3" presStyleIdx="0" presStyleCnt="2"/>
      <dgm:spPr/>
    </dgm:pt>
    <dgm:pt modelId="{64715603-F10F-4D09-8136-360FB2280300}" type="pres">
      <dgm:prSet presAssocID="{79B29C0D-96DF-427E-B312-85081915458E}" presName="hierRoot2" presStyleCnt="0">
        <dgm:presLayoutVars>
          <dgm:hierBranch val="r"/>
        </dgm:presLayoutVars>
      </dgm:prSet>
      <dgm:spPr/>
    </dgm:pt>
    <dgm:pt modelId="{43379C7A-CFF7-4958-8806-CF6C2780BF99}" type="pres">
      <dgm:prSet presAssocID="{79B29C0D-96DF-427E-B312-85081915458E}" presName="rootComposite" presStyleCnt="0"/>
      <dgm:spPr/>
    </dgm:pt>
    <dgm:pt modelId="{597E847A-7C96-4C78-97E3-9446EC6F137A}" type="pres">
      <dgm:prSet presAssocID="{79B29C0D-96DF-427E-B312-85081915458E}" presName="rootText" presStyleLbl="node3" presStyleIdx="0" presStyleCnt="2">
        <dgm:presLayoutVars>
          <dgm:chPref val="3"/>
        </dgm:presLayoutVars>
      </dgm:prSet>
      <dgm:spPr/>
    </dgm:pt>
    <dgm:pt modelId="{D5DE970A-8F19-4474-8BB7-0AB6C4FFDBA1}" type="pres">
      <dgm:prSet presAssocID="{79B29C0D-96DF-427E-B312-85081915458E}" presName="rootConnector" presStyleLbl="node3" presStyleIdx="0" presStyleCnt="2"/>
      <dgm:spPr/>
    </dgm:pt>
    <dgm:pt modelId="{CD2AEA19-3203-4B08-B53C-8E7F3B127081}" type="pres">
      <dgm:prSet presAssocID="{79B29C0D-96DF-427E-B312-85081915458E}" presName="hierChild4" presStyleCnt="0"/>
      <dgm:spPr/>
    </dgm:pt>
    <dgm:pt modelId="{EDED8E4C-5DAB-4EDC-AD6B-48C90D7BC1FB}" type="pres">
      <dgm:prSet presAssocID="{79B29C0D-96DF-427E-B312-85081915458E}" presName="hierChild5" presStyleCnt="0"/>
      <dgm:spPr/>
    </dgm:pt>
    <dgm:pt modelId="{36B7917B-603A-418D-A96B-777CC19BDABD}" type="pres">
      <dgm:prSet presAssocID="{11C98E70-5C82-4E16-B43E-30C84CF63CDF}" presName="hierChild5" presStyleCnt="0"/>
      <dgm:spPr/>
    </dgm:pt>
    <dgm:pt modelId="{77E832A8-4583-4578-BBE1-A71129A5EF81}" type="pres">
      <dgm:prSet presAssocID="{975F6EC4-E41E-42F5-91D7-414F20E5671A}" presName="Name35" presStyleLbl="parChTrans1D2" presStyleIdx="1" presStyleCnt="2"/>
      <dgm:spPr/>
    </dgm:pt>
    <dgm:pt modelId="{2FFA0AFE-EE51-450B-970B-1B460258F0EA}" type="pres">
      <dgm:prSet presAssocID="{CDF17833-2DE8-4EF9-A2F6-E104EE006223}" presName="hierRoot2" presStyleCnt="0">
        <dgm:presLayoutVars>
          <dgm:hierBranch/>
        </dgm:presLayoutVars>
      </dgm:prSet>
      <dgm:spPr/>
    </dgm:pt>
    <dgm:pt modelId="{EBE8E1F4-F68E-4EDA-97BB-98728815E90A}" type="pres">
      <dgm:prSet presAssocID="{CDF17833-2DE8-4EF9-A2F6-E104EE006223}" presName="rootComposite" presStyleCnt="0"/>
      <dgm:spPr/>
    </dgm:pt>
    <dgm:pt modelId="{21937A7C-A26E-411A-B491-FE11F68FEA56}" type="pres">
      <dgm:prSet presAssocID="{CDF17833-2DE8-4EF9-A2F6-E104EE006223}" presName="rootText" presStyleLbl="node2" presStyleIdx="1" presStyleCnt="2">
        <dgm:presLayoutVars>
          <dgm:chPref val="3"/>
        </dgm:presLayoutVars>
      </dgm:prSet>
      <dgm:spPr/>
    </dgm:pt>
    <dgm:pt modelId="{06D3AE9B-5ECC-41BF-A8F9-8AD68794A1FD}" type="pres">
      <dgm:prSet presAssocID="{CDF17833-2DE8-4EF9-A2F6-E104EE006223}" presName="rootConnector" presStyleLbl="node2" presStyleIdx="1" presStyleCnt="2"/>
      <dgm:spPr/>
    </dgm:pt>
    <dgm:pt modelId="{4EDB7429-8C86-4C8D-A28A-289655EAD1D2}" type="pres">
      <dgm:prSet presAssocID="{CDF17833-2DE8-4EF9-A2F6-E104EE006223}" presName="hierChild4" presStyleCnt="0"/>
      <dgm:spPr/>
    </dgm:pt>
    <dgm:pt modelId="{14512A81-2725-4EDA-96B9-60AF32F17F76}" type="pres">
      <dgm:prSet presAssocID="{4B875310-C088-48B4-88D1-517B44163642}" presName="Name35" presStyleLbl="parChTrans1D3" presStyleIdx="1" presStyleCnt="2"/>
      <dgm:spPr/>
    </dgm:pt>
    <dgm:pt modelId="{3EDB2C4E-C4DE-4BF8-AD41-16C3D305B20B}" type="pres">
      <dgm:prSet presAssocID="{F5AF595B-2162-4637-90D3-F112146F4ADF}" presName="hierRoot2" presStyleCnt="0">
        <dgm:presLayoutVars>
          <dgm:hierBranch val="r"/>
        </dgm:presLayoutVars>
      </dgm:prSet>
      <dgm:spPr/>
    </dgm:pt>
    <dgm:pt modelId="{931B2A57-67FD-4C0F-A7C0-EB3FC1E8DAF2}" type="pres">
      <dgm:prSet presAssocID="{F5AF595B-2162-4637-90D3-F112146F4ADF}" presName="rootComposite" presStyleCnt="0"/>
      <dgm:spPr/>
    </dgm:pt>
    <dgm:pt modelId="{5EC57B9E-7CF0-46C0-9F34-D63745A6F45D}" type="pres">
      <dgm:prSet presAssocID="{F5AF595B-2162-4637-90D3-F112146F4ADF}" presName="rootText" presStyleLbl="node3" presStyleIdx="1" presStyleCnt="2">
        <dgm:presLayoutVars>
          <dgm:chPref val="3"/>
        </dgm:presLayoutVars>
      </dgm:prSet>
      <dgm:spPr/>
    </dgm:pt>
    <dgm:pt modelId="{035EB9B8-C613-4BED-95EC-AD0AE65F16F7}" type="pres">
      <dgm:prSet presAssocID="{F5AF595B-2162-4637-90D3-F112146F4ADF}" presName="rootConnector" presStyleLbl="node3" presStyleIdx="1" presStyleCnt="2"/>
      <dgm:spPr/>
    </dgm:pt>
    <dgm:pt modelId="{2E897FD8-CFAC-4F65-B629-E1F1139E085B}" type="pres">
      <dgm:prSet presAssocID="{F5AF595B-2162-4637-90D3-F112146F4ADF}" presName="hierChild4" presStyleCnt="0"/>
      <dgm:spPr/>
    </dgm:pt>
    <dgm:pt modelId="{3AFB79FA-4C45-4A74-B64C-CC7FC19EDD2F}" type="pres">
      <dgm:prSet presAssocID="{F5AF595B-2162-4637-90D3-F112146F4ADF}" presName="hierChild5" presStyleCnt="0"/>
      <dgm:spPr/>
    </dgm:pt>
    <dgm:pt modelId="{C182F2A3-C7B1-4F12-8A7B-E62391729733}" type="pres">
      <dgm:prSet presAssocID="{CDF17833-2DE8-4EF9-A2F6-E104EE006223}" presName="hierChild5" presStyleCnt="0"/>
      <dgm:spPr/>
    </dgm:pt>
    <dgm:pt modelId="{65470DA4-5049-4903-AEC1-DDCB8E91AC23}" type="pres">
      <dgm:prSet presAssocID="{1B10665F-B95B-43EE-9E7F-47165F33267E}" presName="hierChild3" presStyleCnt="0"/>
      <dgm:spPr/>
    </dgm:pt>
  </dgm:ptLst>
  <dgm:cxnLst>
    <dgm:cxn modelId="{14821D2D-C64F-4FA8-BE2A-D6498204EBB9}" type="presOf" srcId="{61BE4FBC-7C9A-44D5-B0C4-341BD6A37A3D}" destId="{33D4C07C-889F-4294-8323-4553573F6ACF}" srcOrd="0" destOrd="0" presId="urn:microsoft.com/office/officeart/2005/8/layout/orgChart1"/>
    <dgm:cxn modelId="{EB441F33-C435-4818-BE7B-56CA5ED03F5B}" type="presOf" srcId="{11C98E70-5C82-4E16-B43E-30C84CF63CDF}" destId="{D89C72AF-1866-433D-AE1C-2E3BC0159283}" srcOrd="1" destOrd="0" presId="urn:microsoft.com/office/officeart/2005/8/layout/orgChart1"/>
    <dgm:cxn modelId="{BF07145B-69DF-43BE-9EEF-978C2EA8F153}" type="presOf" srcId="{1B10665F-B95B-43EE-9E7F-47165F33267E}" destId="{B9B7E9BB-B1E7-4C9D-87EF-F1AC2E659C11}" srcOrd="1" destOrd="0" presId="urn:microsoft.com/office/officeart/2005/8/layout/orgChart1"/>
    <dgm:cxn modelId="{8BD7E146-ECFD-4BE0-9638-69B6E21550BB}" srcId="{CDF17833-2DE8-4EF9-A2F6-E104EE006223}" destId="{F5AF595B-2162-4637-90D3-F112146F4ADF}" srcOrd="0" destOrd="0" parTransId="{4B875310-C088-48B4-88D1-517B44163642}" sibTransId="{F7980645-A214-49E7-B64E-B4F38D031D29}"/>
    <dgm:cxn modelId="{869D716B-A469-4B5B-9A44-A54C981CEF7A}" type="presOf" srcId="{420B73CB-FDEC-4AA8-A138-6FF2B0E66921}" destId="{1D8F7DC2-A597-446F-B69B-F804DC4B7534}" srcOrd="0" destOrd="0" presId="urn:microsoft.com/office/officeart/2005/8/layout/orgChart1"/>
    <dgm:cxn modelId="{5DCEA870-E1E2-470D-81E0-B9FFF11279BE}" type="presOf" srcId="{F5AF595B-2162-4637-90D3-F112146F4ADF}" destId="{035EB9B8-C613-4BED-95EC-AD0AE65F16F7}" srcOrd="1" destOrd="0" presId="urn:microsoft.com/office/officeart/2005/8/layout/orgChart1"/>
    <dgm:cxn modelId="{062F5557-9367-493C-8997-C07B19CFC4C2}" type="presOf" srcId="{975F6EC4-E41E-42F5-91D7-414F20E5671A}" destId="{77E832A8-4583-4578-BBE1-A71129A5EF81}" srcOrd="0" destOrd="0" presId="urn:microsoft.com/office/officeart/2005/8/layout/orgChart1"/>
    <dgm:cxn modelId="{5628CF82-6C7B-4210-9F73-00FC73E20B18}" type="presOf" srcId="{CDF17833-2DE8-4EF9-A2F6-E104EE006223}" destId="{06D3AE9B-5ECC-41BF-A8F9-8AD68794A1FD}" srcOrd="1" destOrd="0" presId="urn:microsoft.com/office/officeart/2005/8/layout/orgChart1"/>
    <dgm:cxn modelId="{B1A07591-77D1-4B6E-8065-618B1A0196EA}" srcId="{1B10665F-B95B-43EE-9E7F-47165F33267E}" destId="{CDF17833-2DE8-4EF9-A2F6-E104EE006223}" srcOrd="1" destOrd="0" parTransId="{975F6EC4-E41E-42F5-91D7-414F20E5671A}" sibTransId="{B1BA6AE3-A271-420E-8506-7C8E5F573204}"/>
    <dgm:cxn modelId="{E268A894-4DAE-4C07-995C-F92B29E8D910}" type="presOf" srcId="{4B875310-C088-48B4-88D1-517B44163642}" destId="{14512A81-2725-4EDA-96B9-60AF32F17F76}" srcOrd="0" destOrd="0" presId="urn:microsoft.com/office/officeart/2005/8/layout/orgChart1"/>
    <dgm:cxn modelId="{4529B799-3FCB-471C-BAC6-538D27E5BCA6}" type="presOf" srcId="{2AA112C8-AD97-4F39-A454-B4C6684ED934}" destId="{6A065D5F-672B-4A51-9D6B-A2FAF2727ADE}" srcOrd="0" destOrd="0" presId="urn:microsoft.com/office/officeart/2005/8/layout/orgChart1"/>
    <dgm:cxn modelId="{25ECC0A0-FF5F-4A73-875E-C07E4844EB71}" type="presOf" srcId="{11C98E70-5C82-4E16-B43E-30C84CF63CDF}" destId="{186AA31B-47A6-4364-9616-06C097879B39}" srcOrd="0" destOrd="0" presId="urn:microsoft.com/office/officeart/2005/8/layout/orgChart1"/>
    <dgm:cxn modelId="{B56093AC-58CD-4170-9B88-30201AEEAFE8}" srcId="{61BE4FBC-7C9A-44D5-B0C4-341BD6A37A3D}" destId="{1B10665F-B95B-43EE-9E7F-47165F33267E}" srcOrd="0" destOrd="0" parTransId="{C6566459-E6FE-457E-8825-1918EBF989AC}" sibTransId="{9B39F464-C835-48AC-B3F8-464DD3A9B1E4}"/>
    <dgm:cxn modelId="{641AE6B5-133E-400E-B745-573D0B30A890}" type="presOf" srcId="{1B10665F-B95B-43EE-9E7F-47165F33267E}" destId="{6D5366B4-2CB1-4DEE-BD7F-6FC830664EB3}" srcOrd="0" destOrd="0" presId="urn:microsoft.com/office/officeart/2005/8/layout/orgChart1"/>
    <dgm:cxn modelId="{3B3AAEBF-ED98-47E9-8D28-97D7A164C3AA}" type="presOf" srcId="{F5AF595B-2162-4637-90D3-F112146F4ADF}" destId="{5EC57B9E-7CF0-46C0-9F34-D63745A6F45D}" srcOrd="0" destOrd="0" presId="urn:microsoft.com/office/officeart/2005/8/layout/orgChart1"/>
    <dgm:cxn modelId="{5EE001D0-19D3-40C2-94AE-027A4C93DE70}" srcId="{1B10665F-B95B-43EE-9E7F-47165F33267E}" destId="{11C98E70-5C82-4E16-B43E-30C84CF63CDF}" srcOrd="0" destOrd="0" parTransId="{2AA112C8-AD97-4F39-A454-B4C6684ED934}" sibTransId="{3471D416-BF52-42DF-A0C3-4369CDEA6459}"/>
    <dgm:cxn modelId="{AADF17DD-B8E7-40AD-B4B6-0D95A82B2381}" type="presOf" srcId="{79B29C0D-96DF-427E-B312-85081915458E}" destId="{597E847A-7C96-4C78-97E3-9446EC6F137A}" srcOrd="0" destOrd="0" presId="urn:microsoft.com/office/officeart/2005/8/layout/orgChart1"/>
    <dgm:cxn modelId="{745DF6EF-DDE8-4FD4-845C-00804EBACB55}" type="presOf" srcId="{CDF17833-2DE8-4EF9-A2F6-E104EE006223}" destId="{21937A7C-A26E-411A-B491-FE11F68FEA56}" srcOrd="0" destOrd="0" presId="urn:microsoft.com/office/officeart/2005/8/layout/orgChart1"/>
    <dgm:cxn modelId="{9E98E3F5-0719-4285-8E5B-A51CA1F7AEDF}" srcId="{11C98E70-5C82-4E16-B43E-30C84CF63CDF}" destId="{79B29C0D-96DF-427E-B312-85081915458E}" srcOrd="0" destOrd="0" parTransId="{420B73CB-FDEC-4AA8-A138-6FF2B0E66921}" sibTransId="{04FDEE11-F079-4E99-80F4-B64A0F6D9C05}"/>
    <dgm:cxn modelId="{A94A8BF7-8C62-45D1-A365-5104CEDA9DF5}" type="presOf" srcId="{79B29C0D-96DF-427E-B312-85081915458E}" destId="{D5DE970A-8F19-4474-8BB7-0AB6C4FFDBA1}" srcOrd="1" destOrd="0" presId="urn:microsoft.com/office/officeart/2005/8/layout/orgChart1"/>
    <dgm:cxn modelId="{5EAF7592-85FA-450B-93C5-289CCC3FC2ED}" type="presParOf" srcId="{33D4C07C-889F-4294-8323-4553573F6ACF}" destId="{62B00726-DBE8-4C0C-BC5C-3ED65FA0A93B}" srcOrd="0" destOrd="0" presId="urn:microsoft.com/office/officeart/2005/8/layout/orgChart1"/>
    <dgm:cxn modelId="{8B52EA98-D8F2-4D86-A41A-367CE2200B77}" type="presParOf" srcId="{62B00726-DBE8-4C0C-BC5C-3ED65FA0A93B}" destId="{C8DDF947-E482-4E2D-8FC0-2073E8ED5373}" srcOrd="0" destOrd="0" presId="urn:microsoft.com/office/officeart/2005/8/layout/orgChart1"/>
    <dgm:cxn modelId="{EB7B761E-D085-44F5-B289-093EA9110361}" type="presParOf" srcId="{C8DDF947-E482-4E2D-8FC0-2073E8ED5373}" destId="{6D5366B4-2CB1-4DEE-BD7F-6FC830664EB3}" srcOrd="0" destOrd="0" presId="urn:microsoft.com/office/officeart/2005/8/layout/orgChart1"/>
    <dgm:cxn modelId="{B52F51FF-7CBA-4761-8795-9EC551761091}" type="presParOf" srcId="{C8DDF947-E482-4E2D-8FC0-2073E8ED5373}" destId="{B9B7E9BB-B1E7-4C9D-87EF-F1AC2E659C11}" srcOrd="1" destOrd="0" presId="urn:microsoft.com/office/officeart/2005/8/layout/orgChart1"/>
    <dgm:cxn modelId="{DD0719B9-6D1C-49EC-8391-90F6A2040C35}" type="presParOf" srcId="{62B00726-DBE8-4C0C-BC5C-3ED65FA0A93B}" destId="{CC74ABC2-49BD-4713-82BC-A376A50BC9BB}" srcOrd="1" destOrd="0" presId="urn:microsoft.com/office/officeart/2005/8/layout/orgChart1"/>
    <dgm:cxn modelId="{291BD6F3-91F4-4772-A3E3-CE695A02D6E1}" type="presParOf" srcId="{CC74ABC2-49BD-4713-82BC-A376A50BC9BB}" destId="{6A065D5F-672B-4A51-9D6B-A2FAF2727ADE}" srcOrd="0" destOrd="0" presId="urn:microsoft.com/office/officeart/2005/8/layout/orgChart1"/>
    <dgm:cxn modelId="{8F5185D9-8051-46CA-8CEA-3E597A5AA98E}" type="presParOf" srcId="{CC74ABC2-49BD-4713-82BC-A376A50BC9BB}" destId="{D1A8C77E-93AA-479E-AE12-24187A349C25}" srcOrd="1" destOrd="0" presId="urn:microsoft.com/office/officeart/2005/8/layout/orgChart1"/>
    <dgm:cxn modelId="{F63D06E4-56BA-4266-8377-67B250B9A0AF}" type="presParOf" srcId="{D1A8C77E-93AA-479E-AE12-24187A349C25}" destId="{E224259E-BB77-4272-B878-F2F4B0ED4547}" srcOrd="0" destOrd="0" presId="urn:microsoft.com/office/officeart/2005/8/layout/orgChart1"/>
    <dgm:cxn modelId="{6EA1E491-549B-4D16-8572-9D0209E718D4}" type="presParOf" srcId="{E224259E-BB77-4272-B878-F2F4B0ED4547}" destId="{186AA31B-47A6-4364-9616-06C097879B39}" srcOrd="0" destOrd="0" presId="urn:microsoft.com/office/officeart/2005/8/layout/orgChart1"/>
    <dgm:cxn modelId="{54C672DC-E657-4F3C-A13E-0C982083BF6D}" type="presParOf" srcId="{E224259E-BB77-4272-B878-F2F4B0ED4547}" destId="{D89C72AF-1866-433D-AE1C-2E3BC0159283}" srcOrd="1" destOrd="0" presId="urn:microsoft.com/office/officeart/2005/8/layout/orgChart1"/>
    <dgm:cxn modelId="{936AEE49-B1E3-45A1-8B1D-71BD0950B723}" type="presParOf" srcId="{D1A8C77E-93AA-479E-AE12-24187A349C25}" destId="{8E030C16-1317-423A-8AC9-F09B7552C987}" srcOrd="1" destOrd="0" presId="urn:microsoft.com/office/officeart/2005/8/layout/orgChart1"/>
    <dgm:cxn modelId="{BD9552F4-A69D-48ED-9B0F-23D4A660A97D}" type="presParOf" srcId="{8E030C16-1317-423A-8AC9-F09B7552C987}" destId="{1D8F7DC2-A597-446F-B69B-F804DC4B7534}" srcOrd="0" destOrd="0" presId="urn:microsoft.com/office/officeart/2005/8/layout/orgChart1"/>
    <dgm:cxn modelId="{46B18035-5A9A-40E7-8267-AF92B55BA94B}" type="presParOf" srcId="{8E030C16-1317-423A-8AC9-F09B7552C987}" destId="{64715603-F10F-4D09-8136-360FB2280300}" srcOrd="1" destOrd="0" presId="urn:microsoft.com/office/officeart/2005/8/layout/orgChart1"/>
    <dgm:cxn modelId="{3C9B5623-6320-4CAB-B649-2D755E0598CD}" type="presParOf" srcId="{64715603-F10F-4D09-8136-360FB2280300}" destId="{43379C7A-CFF7-4958-8806-CF6C2780BF99}" srcOrd="0" destOrd="0" presId="urn:microsoft.com/office/officeart/2005/8/layout/orgChart1"/>
    <dgm:cxn modelId="{79C7822D-79B4-4EC0-8EDF-BB095F956603}" type="presParOf" srcId="{43379C7A-CFF7-4958-8806-CF6C2780BF99}" destId="{597E847A-7C96-4C78-97E3-9446EC6F137A}" srcOrd="0" destOrd="0" presId="urn:microsoft.com/office/officeart/2005/8/layout/orgChart1"/>
    <dgm:cxn modelId="{DA2C3A47-AF6F-4485-8CF9-3E467C17E03A}" type="presParOf" srcId="{43379C7A-CFF7-4958-8806-CF6C2780BF99}" destId="{D5DE970A-8F19-4474-8BB7-0AB6C4FFDBA1}" srcOrd="1" destOrd="0" presId="urn:microsoft.com/office/officeart/2005/8/layout/orgChart1"/>
    <dgm:cxn modelId="{88024EDA-C7E8-4697-A3A3-957FB686D9C0}" type="presParOf" srcId="{64715603-F10F-4D09-8136-360FB2280300}" destId="{CD2AEA19-3203-4B08-B53C-8E7F3B127081}" srcOrd="1" destOrd="0" presId="urn:microsoft.com/office/officeart/2005/8/layout/orgChart1"/>
    <dgm:cxn modelId="{95C879B8-B638-4110-8195-A35B196DFC2B}" type="presParOf" srcId="{64715603-F10F-4D09-8136-360FB2280300}" destId="{EDED8E4C-5DAB-4EDC-AD6B-48C90D7BC1FB}" srcOrd="2" destOrd="0" presId="urn:microsoft.com/office/officeart/2005/8/layout/orgChart1"/>
    <dgm:cxn modelId="{26EE5D07-F554-4147-A8CF-0E283287B7EC}" type="presParOf" srcId="{D1A8C77E-93AA-479E-AE12-24187A349C25}" destId="{36B7917B-603A-418D-A96B-777CC19BDABD}" srcOrd="2" destOrd="0" presId="urn:microsoft.com/office/officeart/2005/8/layout/orgChart1"/>
    <dgm:cxn modelId="{56BEFA56-01E3-46B4-B77D-AB4D3849B2A7}" type="presParOf" srcId="{CC74ABC2-49BD-4713-82BC-A376A50BC9BB}" destId="{77E832A8-4583-4578-BBE1-A71129A5EF81}" srcOrd="2" destOrd="0" presId="urn:microsoft.com/office/officeart/2005/8/layout/orgChart1"/>
    <dgm:cxn modelId="{FB622152-F39B-4FA1-83A1-FD619AF4C687}" type="presParOf" srcId="{CC74ABC2-49BD-4713-82BC-A376A50BC9BB}" destId="{2FFA0AFE-EE51-450B-970B-1B460258F0EA}" srcOrd="3" destOrd="0" presId="urn:microsoft.com/office/officeart/2005/8/layout/orgChart1"/>
    <dgm:cxn modelId="{377FE50E-F871-4A5D-96C0-1731AC53CE6D}" type="presParOf" srcId="{2FFA0AFE-EE51-450B-970B-1B460258F0EA}" destId="{EBE8E1F4-F68E-4EDA-97BB-98728815E90A}" srcOrd="0" destOrd="0" presId="urn:microsoft.com/office/officeart/2005/8/layout/orgChart1"/>
    <dgm:cxn modelId="{AD81B2BA-E2A7-44AA-8724-1F2FB289738E}" type="presParOf" srcId="{EBE8E1F4-F68E-4EDA-97BB-98728815E90A}" destId="{21937A7C-A26E-411A-B491-FE11F68FEA56}" srcOrd="0" destOrd="0" presId="urn:microsoft.com/office/officeart/2005/8/layout/orgChart1"/>
    <dgm:cxn modelId="{A41B323E-5C19-4081-9414-1A0931E43C3E}" type="presParOf" srcId="{EBE8E1F4-F68E-4EDA-97BB-98728815E90A}" destId="{06D3AE9B-5ECC-41BF-A8F9-8AD68794A1FD}" srcOrd="1" destOrd="0" presId="urn:microsoft.com/office/officeart/2005/8/layout/orgChart1"/>
    <dgm:cxn modelId="{10C4B471-0A0E-444D-A7BF-8DB391530053}" type="presParOf" srcId="{2FFA0AFE-EE51-450B-970B-1B460258F0EA}" destId="{4EDB7429-8C86-4C8D-A28A-289655EAD1D2}" srcOrd="1" destOrd="0" presId="urn:microsoft.com/office/officeart/2005/8/layout/orgChart1"/>
    <dgm:cxn modelId="{5162EE30-F392-47CA-88CB-A178A07EDBB5}" type="presParOf" srcId="{4EDB7429-8C86-4C8D-A28A-289655EAD1D2}" destId="{14512A81-2725-4EDA-96B9-60AF32F17F76}" srcOrd="0" destOrd="0" presId="urn:microsoft.com/office/officeart/2005/8/layout/orgChart1"/>
    <dgm:cxn modelId="{59CD26A7-FDDF-4298-B6C6-A6A1041276AB}" type="presParOf" srcId="{4EDB7429-8C86-4C8D-A28A-289655EAD1D2}" destId="{3EDB2C4E-C4DE-4BF8-AD41-16C3D305B20B}" srcOrd="1" destOrd="0" presId="urn:microsoft.com/office/officeart/2005/8/layout/orgChart1"/>
    <dgm:cxn modelId="{344BA875-8011-4343-8F8C-95E3710191FB}" type="presParOf" srcId="{3EDB2C4E-C4DE-4BF8-AD41-16C3D305B20B}" destId="{931B2A57-67FD-4C0F-A7C0-EB3FC1E8DAF2}" srcOrd="0" destOrd="0" presId="urn:microsoft.com/office/officeart/2005/8/layout/orgChart1"/>
    <dgm:cxn modelId="{65A8168B-FF3C-45B7-9B95-D357728CC840}" type="presParOf" srcId="{931B2A57-67FD-4C0F-A7C0-EB3FC1E8DAF2}" destId="{5EC57B9E-7CF0-46C0-9F34-D63745A6F45D}" srcOrd="0" destOrd="0" presId="urn:microsoft.com/office/officeart/2005/8/layout/orgChart1"/>
    <dgm:cxn modelId="{022E4A5C-5E7D-4CE9-A0F8-CC5B45C19468}" type="presParOf" srcId="{931B2A57-67FD-4C0F-A7C0-EB3FC1E8DAF2}" destId="{035EB9B8-C613-4BED-95EC-AD0AE65F16F7}" srcOrd="1" destOrd="0" presId="urn:microsoft.com/office/officeart/2005/8/layout/orgChart1"/>
    <dgm:cxn modelId="{916EDECB-1899-4390-9835-D8E998B5EA12}" type="presParOf" srcId="{3EDB2C4E-C4DE-4BF8-AD41-16C3D305B20B}" destId="{2E897FD8-CFAC-4F65-B629-E1F1139E085B}" srcOrd="1" destOrd="0" presId="urn:microsoft.com/office/officeart/2005/8/layout/orgChart1"/>
    <dgm:cxn modelId="{747929F5-8BC3-4563-83AE-BD2606BC9F80}" type="presParOf" srcId="{3EDB2C4E-C4DE-4BF8-AD41-16C3D305B20B}" destId="{3AFB79FA-4C45-4A74-B64C-CC7FC19EDD2F}" srcOrd="2" destOrd="0" presId="urn:microsoft.com/office/officeart/2005/8/layout/orgChart1"/>
    <dgm:cxn modelId="{48AB7D67-9398-4011-AEA1-82FC6C155D17}" type="presParOf" srcId="{2FFA0AFE-EE51-450B-970B-1B460258F0EA}" destId="{C182F2A3-C7B1-4F12-8A7B-E62391729733}" srcOrd="2" destOrd="0" presId="urn:microsoft.com/office/officeart/2005/8/layout/orgChart1"/>
    <dgm:cxn modelId="{122C28AB-FF79-457B-9F3F-863DD9947B12}" type="presParOf" srcId="{62B00726-DBE8-4C0C-BC5C-3ED65FA0A93B}" destId="{65470DA4-5049-4903-AEC1-DDCB8E91AC23}"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512A81-2725-4EDA-96B9-60AF32F17F76}">
      <dsp:nvSpPr>
        <dsp:cNvPr id="0" name=""/>
        <dsp:cNvSpPr/>
      </dsp:nvSpPr>
      <dsp:spPr>
        <a:xfrm>
          <a:off x="4106302" y="2610549"/>
          <a:ext cx="91440" cy="452644"/>
        </a:xfrm>
        <a:custGeom>
          <a:avLst/>
          <a:gdLst/>
          <a:ahLst/>
          <a:cxnLst/>
          <a:rect l="0" t="0" r="0" b="0"/>
          <a:pathLst>
            <a:path>
              <a:moveTo>
                <a:pt x="45720" y="0"/>
              </a:moveTo>
              <a:lnTo>
                <a:pt x="45720" y="45264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E832A8-4583-4578-BBE1-A71129A5EF81}">
      <dsp:nvSpPr>
        <dsp:cNvPr id="0" name=""/>
        <dsp:cNvSpPr/>
      </dsp:nvSpPr>
      <dsp:spPr>
        <a:xfrm>
          <a:off x="2847975" y="1080180"/>
          <a:ext cx="1304047" cy="452644"/>
        </a:xfrm>
        <a:custGeom>
          <a:avLst/>
          <a:gdLst/>
          <a:ahLst/>
          <a:cxnLst/>
          <a:rect l="0" t="0" r="0" b="0"/>
          <a:pathLst>
            <a:path>
              <a:moveTo>
                <a:pt x="0" y="0"/>
              </a:moveTo>
              <a:lnTo>
                <a:pt x="0" y="226322"/>
              </a:lnTo>
              <a:lnTo>
                <a:pt x="1304047" y="226322"/>
              </a:lnTo>
              <a:lnTo>
                <a:pt x="1304047" y="4526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8F7DC2-A597-446F-B69B-F804DC4B7534}">
      <dsp:nvSpPr>
        <dsp:cNvPr id="0" name=""/>
        <dsp:cNvSpPr/>
      </dsp:nvSpPr>
      <dsp:spPr>
        <a:xfrm>
          <a:off x="1498207" y="2610549"/>
          <a:ext cx="91440" cy="452644"/>
        </a:xfrm>
        <a:custGeom>
          <a:avLst/>
          <a:gdLst/>
          <a:ahLst/>
          <a:cxnLst/>
          <a:rect l="0" t="0" r="0" b="0"/>
          <a:pathLst>
            <a:path>
              <a:moveTo>
                <a:pt x="45720" y="0"/>
              </a:moveTo>
              <a:lnTo>
                <a:pt x="45720" y="45264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065D5F-672B-4A51-9D6B-A2FAF2727ADE}">
      <dsp:nvSpPr>
        <dsp:cNvPr id="0" name=""/>
        <dsp:cNvSpPr/>
      </dsp:nvSpPr>
      <dsp:spPr>
        <a:xfrm>
          <a:off x="1543927" y="1080180"/>
          <a:ext cx="1304047" cy="452644"/>
        </a:xfrm>
        <a:custGeom>
          <a:avLst/>
          <a:gdLst/>
          <a:ahLst/>
          <a:cxnLst/>
          <a:rect l="0" t="0" r="0" b="0"/>
          <a:pathLst>
            <a:path>
              <a:moveTo>
                <a:pt x="1304047" y="0"/>
              </a:moveTo>
              <a:lnTo>
                <a:pt x="1304047" y="226322"/>
              </a:lnTo>
              <a:lnTo>
                <a:pt x="0" y="226322"/>
              </a:lnTo>
              <a:lnTo>
                <a:pt x="0" y="4526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5366B4-2CB1-4DEE-BD7F-6FC830664EB3}">
      <dsp:nvSpPr>
        <dsp:cNvPr id="0" name=""/>
        <dsp:cNvSpPr/>
      </dsp:nvSpPr>
      <dsp:spPr>
        <a:xfrm>
          <a:off x="1770250" y="2455"/>
          <a:ext cx="2155449" cy="10777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s-CO" sz="1300" b="0" i="0" u="none" strike="noStrike" kern="1200" baseline="0">
              <a:latin typeface="Arial Narrow" panose="020B0606020202030204" pitchFamily="34" charset="0"/>
            </a:rPr>
            <a:t>Enajenación de participaciones accionarias estatales</a:t>
          </a:r>
          <a:endParaRPr lang="es-CO" sz="1300" kern="1200"/>
        </a:p>
      </dsp:txBody>
      <dsp:txXfrm>
        <a:off x="1770250" y="2455"/>
        <a:ext cx="2155449" cy="1077724"/>
      </dsp:txXfrm>
    </dsp:sp>
    <dsp:sp modelId="{186AA31B-47A6-4364-9616-06C097879B39}">
      <dsp:nvSpPr>
        <dsp:cNvPr id="0" name=""/>
        <dsp:cNvSpPr/>
      </dsp:nvSpPr>
      <dsp:spPr>
        <a:xfrm>
          <a:off x="466202" y="1532825"/>
          <a:ext cx="2155449" cy="10777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s-CO" sz="1300" b="0" i="0" u="none" strike="noStrike" kern="1200" baseline="0">
              <a:latin typeface="Arial Narrow" panose="020B0606020202030204" pitchFamily="34" charset="0"/>
            </a:rPr>
            <a:t>Participación del Estado mayor al 49% (controlante) y/o donde existió voluntad del Estado de participar en dicha sociedad</a:t>
          </a:r>
          <a:endParaRPr lang="es-CO" sz="1300" kern="1200"/>
        </a:p>
      </dsp:txBody>
      <dsp:txXfrm>
        <a:off x="466202" y="1532825"/>
        <a:ext cx="2155449" cy="1077724"/>
      </dsp:txXfrm>
    </dsp:sp>
    <dsp:sp modelId="{597E847A-7C96-4C78-97E3-9446EC6F137A}">
      <dsp:nvSpPr>
        <dsp:cNvPr id="0" name=""/>
        <dsp:cNvSpPr/>
      </dsp:nvSpPr>
      <dsp:spPr>
        <a:xfrm>
          <a:off x="466202" y="3063194"/>
          <a:ext cx="2155449" cy="10777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s-CO" sz="1300" b="0" i="0" u="none" strike="noStrike" kern="1200" baseline="0">
              <a:latin typeface="Arial Narrow" panose="020B0606020202030204" pitchFamily="34" charset="0"/>
            </a:rPr>
            <a:t>Régimen de venta contenido en la Ley 226 de 1995</a:t>
          </a:r>
          <a:endParaRPr lang="es-CO" sz="1300" kern="1200"/>
        </a:p>
      </dsp:txBody>
      <dsp:txXfrm>
        <a:off x="466202" y="3063194"/>
        <a:ext cx="2155449" cy="1077724"/>
      </dsp:txXfrm>
    </dsp:sp>
    <dsp:sp modelId="{21937A7C-A26E-411A-B491-FE11F68FEA56}">
      <dsp:nvSpPr>
        <dsp:cNvPr id="0" name=""/>
        <dsp:cNvSpPr/>
      </dsp:nvSpPr>
      <dsp:spPr>
        <a:xfrm>
          <a:off x="3074297" y="1532825"/>
          <a:ext cx="2155449" cy="10777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s-CO" sz="1300" b="0" i="0" u="none" strike="noStrike" kern="1200" baseline="0">
              <a:latin typeface="Arial Narrow" panose="020B0606020202030204" pitchFamily="34" charset="0"/>
            </a:rPr>
            <a:t>Participación del Estado menor al 49% y donde no existió voluntad del Estado de participar en dicha sociedad</a:t>
          </a:r>
        </a:p>
      </dsp:txBody>
      <dsp:txXfrm>
        <a:off x="3074297" y="1532825"/>
        <a:ext cx="2155449" cy="1077724"/>
      </dsp:txXfrm>
    </dsp:sp>
    <dsp:sp modelId="{5EC57B9E-7CF0-46C0-9F34-D63745A6F45D}">
      <dsp:nvSpPr>
        <dsp:cNvPr id="0" name=""/>
        <dsp:cNvSpPr/>
      </dsp:nvSpPr>
      <dsp:spPr>
        <a:xfrm>
          <a:off x="3074297" y="3063194"/>
          <a:ext cx="2155449" cy="10777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s-CO" sz="1300" b="0" i="0" u="none" strike="noStrike" kern="1200" baseline="0">
              <a:latin typeface="Arial Narrow" panose="020B0606020202030204" pitchFamily="34" charset="0"/>
            </a:rPr>
            <a:t>Régimen de venta establecido en el artículo 162 de la Ley 1753 de 2015, modificado por el artículo 45 de la Ley del Plan Nacional de Desarrollo 2018-2022</a:t>
          </a:r>
          <a:endParaRPr lang="es-CO" sz="1300" b="0" i="0" u="none" strike="noStrike" kern="1200" baseline="0">
            <a:latin typeface="Times New Roman" panose="02020603050405020304" pitchFamily="18" charset="0"/>
          </a:endParaRPr>
        </a:p>
      </dsp:txBody>
      <dsp:txXfrm>
        <a:off x="3074297" y="3063194"/>
        <a:ext cx="2155449" cy="10777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93</Nivel>
    <Idioma_x0020_Documento xmlns="82ecf687-28d5-485b-a37e-d2c94b36a158">Español</Idioma_x0020_Documento>
    <Proceso xmlns="1d121436-e6f9-4fa4-bb3f-81f41704d615">Est.1.4 Administración y mejoramiento del SUG</Proceso>
    <Resumen_x0020_del_x0020_Documento xmlns="82ecf687-28d5-485b-a37e-d2c94b36a158" xsi:nil="true"/>
    <Macroproceso xmlns="1d121436-e6f9-4fa4-bb3f-81f41704d615">Direccionamiento Estratégico</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B6856-6C7F-4FEE-91E6-E087D823DBB4}">
  <ds:schemaRefs>
    <ds:schemaRef ds:uri="http://schemas.openxmlformats.org/officeDocument/2006/bibliography"/>
  </ds:schemaRefs>
</ds:datastoreItem>
</file>

<file path=customXml/itemProps2.xml><?xml version="1.0" encoding="utf-8"?>
<ds:datastoreItem xmlns:ds="http://schemas.openxmlformats.org/officeDocument/2006/customXml" ds:itemID="{3DBA2138-07D9-47BC-9D7E-E68CEC1C8AC7}">
  <ds:schemaRefs>
    <ds:schemaRef ds:uri="http://schemas.microsoft.com/office/2006/metadata/longProperties"/>
  </ds:schemaRefs>
</ds:datastoreItem>
</file>

<file path=customXml/itemProps3.xml><?xml version="1.0" encoding="utf-8"?>
<ds:datastoreItem xmlns:ds="http://schemas.openxmlformats.org/officeDocument/2006/customXml" ds:itemID="{B2BC336D-5038-4CB6-BC30-5DE78FD8858C}">
  <ds:schemaRefs>
    <ds:schemaRef ds:uri="http://schemas.microsoft.com/office/2006/metadata/properties"/>
    <ds:schemaRef ds:uri="http://schemas.microsoft.com/office/infopath/2007/PartnerControls"/>
    <ds:schemaRef ds:uri="82ecf687-28d5-485b-a37e-d2c94b36a158"/>
    <ds:schemaRef ds:uri="1d121436-e6f9-4fa4-bb3f-81f41704d615"/>
  </ds:schemaRefs>
</ds:datastoreItem>
</file>

<file path=customXml/itemProps4.xml><?xml version="1.0" encoding="utf-8"?>
<ds:datastoreItem xmlns:ds="http://schemas.openxmlformats.org/officeDocument/2006/customXml" ds:itemID="{769EBABE-FCB2-4DEF-8A67-72910EDB0D88}">
  <ds:schemaRefs>
    <ds:schemaRef ds:uri="http://schemas.microsoft.com/sharepoint/v3/contenttype/forms"/>
  </ds:schemaRefs>
</ds:datastoreItem>
</file>

<file path=customXml/itemProps5.xml><?xml version="1.0" encoding="utf-8"?>
<ds:datastoreItem xmlns:ds="http://schemas.openxmlformats.org/officeDocument/2006/customXml" ds:itemID="{E85EE4A6-9765-4001-83A9-214D56F26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5597</Words>
  <Characters>31689</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37212</CharactersWithSpaces>
  <SharedDoc>false</SharedDoc>
  <HLinks>
    <vt:vector size="96" baseType="variant">
      <vt:variant>
        <vt:i4>1245234</vt:i4>
      </vt:variant>
      <vt:variant>
        <vt:i4>92</vt:i4>
      </vt:variant>
      <vt:variant>
        <vt:i4>0</vt:i4>
      </vt:variant>
      <vt:variant>
        <vt:i4>5</vt:i4>
      </vt:variant>
      <vt:variant>
        <vt:lpwstr/>
      </vt:variant>
      <vt:variant>
        <vt:lpwstr>_Toc10047343</vt:lpwstr>
      </vt:variant>
      <vt:variant>
        <vt:i4>1179698</vt:i4>
      </vt:variant>
      <vt:variant>
        <vt:i4>86</vt:i4>
      </vt:variant>
      <vt:variant>
        <vt:i4>0</vt:i4>
      </vt:variant>
      <vt:variant>
        <vt:i4>5</vt:i4>
      </vt:variant>
      <vt:variant>
        <vt:lpwstr/>
      </vt:variant>
      <vt:variant>
        <vt:lpwstr>_Toc10047342</vt:lpwstr>
      </vt:variant>
      <vt:variant>
        <vt:i4>1114162</vt:i4>
      </vt:variant>
      <vt:variant>
        <vt:i4>80</vt:i4>
      </vt:variant>
      <vt:variant>
        <vt:i4>0</vt:i4>
      </vt:variant>
      <vt:variant>
        <vt:i4>5</vt:i4>
      </vt:variant>
      <vt:variant>
        <vt:lpwstr/>
      </vt:variant>
      <vt:variant>
        <vt:lpwstr>_Toc10047341</vt:lpwstr>
      </vt:variant>
      <vt:variant>
        <vt:i4>1048626</vt:i4>
      </vt:variant>
      <vt:variant>
        <vt:i4>74</vt:i4>
      </vt:variant>
      <vt:variant>
        <vt:i4>0</vt:i4>
      </vt:variant>
      <vt:variant>
        <vt:i4>5</vt:i4>
      </vt:variant>
      <vt:variant>
        <vt:lpwstr/>
      </vt:variant>
      <vt:variant>
        <vt:lpwstr>_Toc10047340</vt:lpwstr>
      </vt:variant>
      <vt:variant>
        <vt:i4>1638453</vt:i4>
      </vt:variant>
      <vt:variant>
        <vt:i4>68</vt:i4>
      </vt:variant>
      <vt:variant>
        <vt:i4>0</vt:i4>
      </vt:variant>
      <vt:variant>
        <vt:i4>5</vt:i4>
      </vt:variant>
      <vt:variant>
        <vt:lpwstr/>
      </vt:variant>
      <vt:variant>
        <vt:lpwstr>_Toc10047339</vt:lpwstr>
      </vt:variant>
      <vt:variant>
        <vt:i4>1572917</vt:i4>
      </vt:variant>
      <vt:variant>
        <vt:i4>62</vt:i4>
      </vt:variant>
      <vt:variant>
        <vt:i4>0</vt:i4>
      </vt:variant>
      <vt:variant>
        <vt:i4>5</vt:i4>
      </vt:variant>
      <vt:variant>
        <vt:lpwstr/>
      </vt:variant>
      <vt:variant>
        <vt:lpwstr>_Toc10047338</vt:lpwstr>
      </vt:variant>
      <vt:variant>
        <vt:i4>1507381</vt:i4>
      </vt:variant>
      <vt:variant>
        <vt:i4>56</vt:i4>
      </vt:variant>
      <vt:variant>
        <vt:i4>0</vt:i4>
      </vt:variant>
      <vt:variant>
        <vt:i4>5</vt:i4>
      </vt:variant>
      <vt:variant>
        <vt:lpwstr/>
      </vt:variant>
      <vt:variant>
        <vt:lpwstr>_Toc10047337</vt:lpwstr>
      </vt:variant>
      <vt:variant>
        <vt:i4>1441845</vt:i4>
      </vt:variant>
      <vt:variant>
        <vt:i4>50</vt:i4>
      </vt:variant>
      <vt:variant>
        <vt:i4>0</vt:i4>
      </vt:variant>
      <vt:variant>
        <vt:i4>5</vt:i4>
      </vt:variant>
      <vt:variant>
        <vt:lpwstr/>
      </vt:variant>
      <vt:variant>
        <vt:lpwstr>_Toc10047336</vt:lpwstr>
      </vt:variant>
      <vt:variant>
        <vt:i4>1376309</vt:i4>
      </vt:variant>
      <vt:variant>
        <vt:i4>44</vt:i4>
      </vt:variant>
      <vt:variant>
        <vt:i4>0</vt:i4>
      </vt:variant>
      <vt:variant>
        <vt:i4>5</vt:i4>
      </vt:variant>
      <vt:variant>
        <vt:lpwstr/>
      </vt:variant>
      <vt:variant>
        <vt:lpwstr>_Toc10047335</vt:lpwstr>
      </vt:variant>
      <vt:variant>
        <vt:i4>1310773</vt:i4>
      </vt:variant>
      <vt:variant>
        <vt:i4>38</vt:i4>
      </vt:variant>
      <vt:variant>
        <vt:i4>0</vt:i4>
      </vt:variant>
      <vt:variant>
        <vt:i4>5</vt:i4>
      </vt:variant>
      <vt:variant>
        <vt:lpwstr/>
      </vt:variant>
      <vt:variant>
        <vt:lpwstr>_Toc10047334</vt:lpwstr>
      </vt:variant>
      <vt:variant>
        <vt:i4>1245237</vt:i4>
      </vt:variant>
      <vt:variant>
        <vt:i4>32</vt:i4>
      </vt:variant>
      <vt:variant>
        <vt:i4>0</vt:i4>
      </vt:variant>
      <vt:variant>
        <vt:i4>5</vt:i4>
      </vt:variant>
      <vt:variant>
        <vt:lpwstr/>
      </vt:variant>
      <vt:variant>
        <vt:lpwstr>_Toc10047333</vt:lpwstr>
      </vt:variant>
      <vt:variant>
        <vt:i4>1179701</vt:i4>
      </vt:variant>
      <vt:variant>
        <vt:i4>26</vt:i4>
      </vt:variant>
      <vt:variant>
        <vt:i4>0</vt:i4>
      </vt:variant>
      <vt:variant>
        <vt:i4>5</vt:i4>
      </vt:variant>
      <vt:variant>
        <vt:lpwstr/>
      </vt:variant>
      <vt:variant>
        <vt:lpwstr>_Toc10047332</vt:lpwstr>
      </vt:variant>
      <vt:variant>
        <vt:i4>1114165</vt:i4>
      </vt:variant>
      <vt:variant>
        <vt:i4>20</vt:i4>
      </vt:variant>
      <vt:variant>
        <vt:i4>0</vt:i4>
      </vt:variant>
      <vt:variant>
        <vt:i4>5</vt:i4>
      </vt:variant>
      <vt:variant>
        <vt:lpwstr/>
      </vt:variant>
      <vt:variant>
        <vt:lpwstr>_Toc10047331</vt:lpwstr>
      </vt:variant>
      <vt:variant>
        <vt:i4>1048629</vt:i4>
      </vt:variant>
      <vt:variant>
        <vt:i4>14</vt:i4>
      </vt:variant>
      <vt:variant>
        <vt:i4>0</vt:i4>
      </vt:variant>
      <vt:variant>
        <vt:i4>5</vt:i4>
      </vt:variant>
      <vt:variant>
        <vt:lpwstr/>
      </vt:variant>
      <vt:variant>
        <vt:lpwstr>_Toc10047330</vt:lpwstr>
      </vt:variant>
      <vt:variant>
        <vt:i4>1638452</vt:i4>
      </vt:variant>
      <vt:variant>
        <vt:i4>8</vt:i4>
      </vt:variant>
      <vt:variant>
        <vt:i4>0</vt:i4>
      </vt:variant>
      <vt:variant>
        <vt:i4>5</vt:i4>
      </vt:variant>
      <vt:variant>
        <vt:lpwstr/>
      </vt:variant>
      <vt:variant>
        <vt:lpwstr>_Toc10047329</vt:lpwstr>
      </vt:variant>
      <vt:variant>
        <vt:i4>1572916</vt:i4>
      </vt:variant>
      <vt:variant>
        <vt:i4>2</vt:i4>
      </vt:variant>
      <vt:variant>
        <vt:i4>0</vt:i4>
      </vt:variant>
      <vt:variant>
        <vt:i4>5</vt:i4>
      </vt:variant>
      <vt:variant>
        <vt:lpwstr/>
      </vt:variant>
      <vt:variant>
        <vt:lpwstr>_Toc10047328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Aura Ruth Herrera Cristancho</cp:lastModifiedBy>
  <cp:revision>2</cp:revision>
  <cp:lastPrinted>2014-02-06T14:11:00Z</cp:lastPrinted>
  <dcterms:created xsi:type="dcterms:W3CDTF">2022-11-03T12:54:00Z</dcterms:created>
  <dcterms:modified xsi:type="dcterms:W3CDTF">2022-11-03T12:54:00Z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KR33XJ2DTYQK-62-3225</vt:lpwstr>
  </property>
  <property fmtid="{D5CDD505-2E9C-101B-9397-08002B2CF9AE}" pid="3" name="_dlc_DocIdItemGuid">
    <vt:lpwstr>ca3fe030-b5a6-4570-a78a-257849e6c4e9</vt:lpwstr>
  </property>
  <property fmtid="{D5CDD505-2E9C-101B-9397-08002B2CF9AE}" pid="4" name="_dlc_DocIdUrl">
    <vt:lpwstr>http://mintranet/sug/_layouts/DocIdRedir.aspx?ID=KR33XJ2DTYQK-62-3225, KR33XJ2DTYQK-62-3225</vt:lpwstr>
  </property>
</Properties>
</file>