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EC" w:rsidRPr="008C65ED" w:rsidRDefault="00932B30" w:rsidP="00EE6F03">
      <w:pPr>
        <w:jc w:val="center"/>
        <w:rPr>
          <w:rFonts w:ascii="Arial Narrow" w:hAnsi="Arial Narrow" w:cs="Arial"/>
          <w:b/>
          <w:sz w:val="24"/>
          <w:szCs w:val="24"/>
        </w:rPr>
      </w:pPr>
      <w:bookmarkStart w:id="0" w:name="_Toc126147374"/>
      <w:bookmarkStart w:id="1" w:name="_Toc126301040"/>
      <w:r w:rsidRPr="008C65ED">
        <w:rPr>
          <w:rFonts w:ascii="Arial Narrow" w:hAnsi="Arial Narrow"/>
          <w:b/>
          <w:sz w:val="24"/>
          <w:szCs w:val="24"/>
        </w:rPr>
        <w:t>TA</w:t>
      </w:r>
      <w:r w:rsidR="00FE52EC" w:rsidRPr="008C65ED">
        <w:rPr>
          <w:rFonts w:ascii="Arial Narrow" w:hAnsi="Arial Narrow"/>
          <w:b/>
          <w:sz w:val="24"/>
          <w:szCs w:val="24"/>
        </w:rPr>
        <w:t>BLA DE CONTENIDO</w:t>
      </w:r>
    </w:p>
    <w:p w:rsidR="008636B6" w:rsidRPr="008C65ED" w:rsidRDefault="008636B6" w:rsidP="00CB26AD">
      <w:pPr>
        <w:jc w:val="both"/>
        <w:rPr>
          <w:rFonts w:ascii="Arial Narrow" w:hAnsi="Arial Narrow" w:cs="Arial"/>
          <w:sz w:val="24"/>
          <w:szCs w:val="24"/>
        </w:rPr>
      </w:pPr>
    </w:p>
    <w:p w:rsidR="008C65ED" w:rsidRPr="008C65ED" w:rsidRDefault="00954628">
      <w:pPr>
        <w:pStyle w:val="TDC1"/>
        <w:rPr>
          <w:rFonts w:eastAsiaTheme="minorEastAsia" w:cstheme="minorBidi"/>
          <w:b w:val="0"/>
          <w:sz w:val="22"/>
          <w:szCs w:val="22"/>
          <w:lang w:val="es-CO" w:eastAsia="es-CO"/>
        </w:rPr>
      </w:pPr>
      <w:r w:rsidRPr="008C65ED">
        <w:rPr>
          <w:b w:val="0"/>
          <w:szCs w:val="24"/>
        </w:rPr>
        <w:fldChar w:fldCharType="begin"/>
      </w:r>
      <w:r w:rsidRPr="008C65ED">
        <w:rPr>
          <w:b w:val="0"/>
          <w:szCs w:val="24"/>
        </w:rPr>
        <w:instrText xml:space="preserve"> TOC \o "1-6" \h \z \u </w:instrText>
      </w:r>
      <w:r w:rsidRPr="008C65ED">
        <w:rPr>
          <w:b w:val="0"/>
          <w:szCs w:val="24"/>
        </w:rPr>
        <w:fldChar w:fldCharType="separate"/>
      </w:r>
      <w:hyperlink w:anchor="_Toc80191549" w:history="1">
        <w:r w:rsidR="008C65ED" w:rsidRPr="008C65ED">
          <w:rPr>
            <w:rStyle w:val="Hipervnculo"/>
          </w:rPr>
          <w:t>1.</w:t>
        </w:r>
        <w:r w:rsidR="008C65ED" w:rsidRPr="008C65ED">
          <w:rPr>
            <w:rFonts w:eastAsiaTheme="minorEastAsia" w:cstheme="minorBidi"/>
            <w:b w:val="0"/>
            <w:sz w:val="22"/>
            <w:szCs w:val="22"/>
            <w:lang w:val="es-CO" w:eastAsia="es-CO"/>
          </w:rPr>
          <w:tab/>
        </w:r>
        <w:r w:rsidR="008C65ED" w:rsidRPr="008C65ED">
          <w:rPr>
            <w:rStyle w:val="Hipervnculo"/>
          </w:rPr>
          <w:t>INTRODUCCIÓN</w:t>
        </w:r>
        <w:r w:rsidR="008C65ED" w:rsidRPr="008C65ED">
          <w:rPr>
            <w:webHidden/>
          </w:rPr>
          <w:tab/>
        </w:r>
        <w:r w:rsidR="008C65ED" w:rsidRPr="008C65ED">
          <w:rPr>
            <w:webHidden/>
          </w:rPr>
          <w:fldChar w:fldCharType="begin"/>
        </w:r>
        <w:r w:rsidR="008C65ED" w:rsidRPr="008C65ED">
          <w:rPr>
            <w:webHidden/>
          </w:rPr>
          <w:instrText xml:space="preserve"> PAGEREF _Toc80191549 \h </w:instrText>
        </w:r>
        <w:r w:rsidR="008C65ED" w:rsidRPr="008C65ED">
          <w:rPr>
            <w:webHidden/>
          </w:rPr>
        </w:r>
        <w:r w:rsidR="008C65ED" w:rsidRPr="008C65ED">
          <w:rPr>
            <w:webHidden/>
          </w:rPr>
          <w:fldChar w:fldCharType="separate"/>
        </w:r>
        <w:r w:rsidR="008C65ED" w:rsidRPr="008C65ED">
          <w:rPr>
            <w:webHidden/>
          </w:rPr>
          <w:t>3</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50" w:history="1">
        <w:r w:rsidR="008C65ED" w:rsidRPr="008C65ED">
          <w:rPr>
            <w:rStyle w:val="Hipervnculo"/>
          </w:rPr>
          <w:t>2.</w:t>
        </w:r>
        <w:r w:rsidR="008C65ED" w:rsidRPr="008C65ED">
          <w:rPr>
            <w:rFonts w:eastAsiaTheme="minorEastAsia" w:cstheme="minorBidi"/>
            <w:b w:val="0"/>
            <w:sz w:val="22"/>
            <w:szCs w:val="22"/>
            <w:lang w:val="es-CO" w:eastAsia="es-CO"/>
          </w:rPr>
          <w:tab/>
        </w:r>
        <w:r w:rsidR="008C65ED" w:rsidRPr="008C65ED">
          <w:rPr>
            <w:rStyle w:val="Hipervnculo"/>
          </w:rPr>
          <w:t>Objetivos y Principios Rectores de la Administración de Riesgo de Mercado de los Recursos Administrados por la DGCPTN</w:t>
        </w:r>
        <w:r w:rsidR="008C65ED" w:rsidRPr="008C65ED">
          <w:rPr>
            <w:webHidden/>
          </w:rPr>
          <w:tab/>
        </w:r>
        <w:r w:rsidR="008C65ED" w:rsidRPr="008C65ED">
          <w:rPr>
            <w:webHidden/>
          </w:rPr>
          <w:fldChar w:fldCharType="begin"/>
        </w:r>
        <w:r w:rsidR="008C65ED" w:rsidRPr="008C65ED">
          <w:rPr>
            <w:webHidden/>
          </w:rPr>
          <w:instrText xml:space="preserve"> PAGEREF _Toc80191550 \h </w:instrText>
        </w:r>
        <w:r w:rsidR="008C65ED" w:rsidRPr="008C65ED">
          <w:rPr>
            <w:webHidden/>
          </w:rPr>
        </w:r>
        <w:r w:rsidR="008C65ED" w:rsidRPr="008C65ED">
          <w:rPr>
            <w:webHidden/>
          </w:rPr>
          <w:fldChar w:fldCharType="separate"/>
        </w:r>
        <w:r w:rsidR="008C65ED" w:rsidRPr="008C65ED">
          <w:rPr>
            <w:webHidden/>
          </w:rPr>
          <w:t>3</w:t>
        </w:r>
        <w:r w:rsidR="008C65ED" w:rsidRPr="008C65ED">
          <w:rPr>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51" w:history="1">
        <w:r w:rsidR="008C65ED" w:rsidRPr="008C65ED">
          <w:rPr>
            <w:rStyle w:val="Hipervnculo"/>
            <w:rFonts w:ascii="Arial Narrow" w:hAnsi="Arial Narrow"/>
            <w:noProof/>
          </w:rPr>
          <w:t>2.1.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Objetivo General</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_Toc80191551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52" w:history="1">
        <w:r w:rsidR="008C65ED" w:rsidRPr="008C65ED">
          <w:rPr>
            <w:rStyle w:val="Hipervnculo"/>
            <w:rFonts w:ascii="Arial Narrow" w:hAnsi="Arial Narrow"/>
            <w:noProof/>
          </w:rPr>
          <w:t>2.2.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Objetivos Específicos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_Toc80191552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53" w:history="1">
        <w:r w:rsidR="008C65ED" w:rsidRPr="008C65ED">
          <w:rPr>
            <w:rStyle w:val="Hipervnculo"/>
            <w:rFonts w:ascii="Arial Narrow" w:hAnsi="Arial Narrow"/>
            <w:noProof/>
          </w:rPr>
          <w:t>2.3.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Principios Rectores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_Toc80191553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4</w:t>
        </w:r>
        <w:r w:rsidR="008C65ED" w:rsidRPr="008C65ED">
          <w:rPr>
            <w:rFonts w:ascii="Arial Narrow" w:hAnsi="Arial Narrow"/>
            <w:noProof/>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54" w:history="1">
        <w:r w:rsidR="008C65ED" w:rsidRPr="008C65ED">
          <w:rPr>
            <w:rStyle w:val="Hipervnculo"/>
          </w:rPr>
          <w:t>3.</w:t>
        </w:r>
        <w:r w:rsidR="008C65ED" w:rsidRPr="008C65ED">
          <w:rPr>
            <w:rFonts w:eastAsiaTheme="minorEastAsia" w:cstheme="minorBidi"/>
            <w:b w:val="0"/>
            <w:sz w:val="22"/>
            <w:szCs w:val="22"/>
            <w:lang w:val="es-CO" w:eastAsia="es-CO"/>
          </w:rPr>
          <w:tab/>
        </w:r>
        <w:r w:rsidR="008C65ED" w:rsidRPr="008C65ED">
          <w:rPr>
            <w:rStyle w:val="Hipervnculo"/>
          </w:rPr>
          <w:t>ALCANCE</w:t>
        </w:r>
        <w:r w:rsidR="008C65ED" w:rsidRPr="008C65ED">
          <w:rPr>
            <w:webHidden/>
          </w:rPr>
          <w:tab/>
        </w:r>
        <w:r w:rsidR="008C65ED" w:rsidRPr="008C65ED">
          <w:rPr>
            <w:webHidden/>
          </w:rPr>
          <w:fldChar w:fldCharType="begin"/>
        </w:r>
        <w:r w:rsidR="008C65ED" w:rsidRPr="008C65ED">
          <w:rPr>
            <w:webHidden/>
          </w:rPr>
          <w:instrText xml:space="preserve"> PAGEREF _Toc80191554 \h </w:instrText>
        </w:r>
        <w:r w:rsidR="008C65ED" w:rsidRPr="008C65ED">
          <w:rPr>
            <w:webHidden/>
          </w:rPr>
        </w:r>
        <w:r w:rsidR="008C65ED" w:rsidRPr="008C65ED">
          <w:rPr>
            <w:webHidden/>
          </w:rPr>
          <w:fldChar w:fldCharType="separate"/>
        </w:r>
        <w:r w:rsidR="008C65ED" w:rsidRPr="008C65ED">
          <w:rPr>
            <w:webHidden/>
          </w:rPr>
          <w:t>5</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55" w:history="1">
        <w:r w:rsidR="008C65ED" w:rsidRPr="008C65ED">
          <w:rPr>
            <w:rStyle w:val="Hipervnculo"/>
          </w:rPr>
          <w:t>4.</w:t>
        </w:r>
        <w:r w:rsidR="008C65ED" w:rsidRPr="008C65ED">
          <w:rPr>
            <w:rFonts w:eastAsiaTheme="minorEastAsia" w:cstheme="minorBidi"/>
            <w:b w:val="0"/>
            <w:sz w:val="22"/>
            <w:szCs w:val="22"/>
            <w:lang w:val="es-CO" w:eastAsia="es-CO"/>
          </w:rPr>
          <w:tab/>
        </w:r>
        <w:r w:rsidR="008C65ED" w:rsidRPr="008C65ED">
          <w:rPr>
            <w:rStyle w:val="Hipervnculo"/>
          </w:rPr>
          <w:t>PRODUCTOS ESPERADOS</w:t>
        </w:r>
        <w:r w:rsidR="008C65ED" w:rsidRPr="008C65ED">
          <w:rPr>
            <w:webHidden/>
          </w:rPr>
          <w:tab/>
        </w:r>
        <w:r w:rsidR="008C65ED" w:rsidRPr="008C65ED">
          <w:rPr>
            <w:webHidden/>
          </w:rPr>
          <w:fldChar w:fldCharType="begin"/>
        </w:r>
        <w:r w:rsidR="008C65ED" w:rsidRPr="008C65ED">
          <w:rPr>
            <w:webHidden/>
          </w:rPr>
          <w:instrText xml:space="preserve"> PAGEREF _Toc80191555 \h </w:instrText>
        </w:r>
        <w:r w:rsidR="008C65ED" w:rsidRPr="008C65ED">
          <w:rPr>
            <w:webHidden/>
          </w:rPr>
        </w:r>
        <w:r w:rsidR="008C65ED" w:rsidRPr="008C65ED">
          <w:rPr>
            <w:webHidden/>
          </w:rPr>
          <w:fldChar w:fldCharType="separate"/>
        </w:r>
        <w:r w:rsidR="008C65ED" w:rsidRPr="008C65ED">
          <w:rPr>
            <w:webHidden/>
          </w:rPr>
          <w:t>5</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56" w:history="1">
        <w:r w:rsidR="008C65ED" w:rsidRPr="008C65ED">
          <w:rPr>
            <w:rStyle w:val="Hipervnculo"/>
          </w:rPr>
          <w:t>5.</w:t>
        </w:r>
        <w:r w:rsidR="008C65ED" w:rsidRPr="008C65ED">
          <w:rPr>
            <w:rFonts w:eastAsiaTheme="minorEastAsia" w:cstheme="minorBidi"/>
            <w:b w:val="0"/>
            <w:sz w:val="22"/>
            <w:szCs w:val="22"/>
            <w:lang w:val="es-CO" w:eastAsia="es-CO"/>
          </w:rPr>
          <w:tab/>
        </w:r>
        <w:r w:rsidR="008C65ED" w:rsidRPr="008C65ED">
          <w:rPr>
            <w:rStyle w:val="Hipervnculo"/>
          </w:rPr>
          <w:t>TÉRMINOS Y DEFINICIONES</w:t>
        </w:r>
        <w:r w:rsidR="008C65ED" w:rsidRPr="008C65ED">
          <w:rPr>
            <w:webHidden/>
          </w:rPr>
          <w:tab/>
        </w:r>
        <w:r w:rsidR="008C65ED" w:rsidRPr="008C65ED">
          <w:rPr>
            <w:webHidden/>
          </w:rPr>
          <w:fldChar w:fldCharType="begin"/>
        </w:r>
        <w:r w:rsidR="008C65ED" w:rsidRPr="008C65ED">
          <w:rPr>
            <w:webHidden/>
          </w:rPr>
          <w:instrText xml:space="preserve"> PAGEREF _Toc80191556 \h </w:instrText>
        </w:r>
        <w:r w:rsidR="008C65ED" w:rsidRPr="008C65ED">
          <w:rPr>
            <w:webHidden/>
          </w:rPr>
        </w:r>
        <w:r w:rsidR="008C65ED" w:rsidRPr="008C65ED">
          <w:rPr>
            <w:webHidden/>
          </w:rPr>
          <w:fldChar w:fldCharType="separate"/>
        </w:r>
        <w:r w:rsidR="008C65ED" w:rsidRPr="008C65ED">
          <w:rPr>
            <w:webHidden/>
          </w:rPr>
          <w:t>5</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57" w:history="1">
        <w:r w:rsidR="008C65ED" w:rsidRPr="008C65ED">
          <w:rPr>
            <w:rStyle w:val="Hipervnculo"/>
          </w:rPr>
          <w:t>6.</w:t>
        </w:r>
        <w:r w:rsidR="008C65ED" w:rsidRPr="008C65ED">
          <w:rPr>
            <w:rFonts w:eastAsiaTheme="minorEastAsia" w:cstheme="minorBidi"/>
            <w:b w:val="0"/>
            <w:sz w:val="22"/>
            <w:szCs w:val="22"/>
            <w:lang w:val="es-CO" w:eastAsia="es-CO"/>
          </w:rPr>
          <w:tab/>
        </w:r>
        <w:r w:rsidR="008C65ED" w:rsidRPr="008C65ED">
          <w:rPr>
            <w:rStyle w:val="Hipervnculo"/>
          </w:rPr>
          <w:t>POLÍTICAS Y DIRECTRICES PARA LAS OPERACIONES DE LA DGCPTN</w:t>
        </w:r>
        <w:r w:rsidR="008C65ED" w:rsidRPr="008C65ED">
          <w:rPr>
            <w:webHidden/>
          </w:rPr>
          <w:tab/>
        </w:r>
        <w:r w:rsidR="008C65ED" w:rsidRPr="008C65ED">
          <w:rPr>
            <w:webHidden/>
          </w:rPr>
          <w:fldChar w:fldCharType="begin"/>
        </w:r>
        <w:r w:rsidR="008C65ED" w:rsidRPr="008C65ED">
          <w:rPr>
            <w:webHidden/>
          </w:rPr>
          <w:instrText xml:space="preserve"> PAGEREF _Toc80191557 \h </w:instrText>
        </w:r>
        <w:r w:rsidR="008C65ED" w:rsidRPr="008C65ED">
          <w:rPr>
            <w:webHidden/>
          </w:rPr>
        </w:r>
        <w:r w:rsidR="008C65ED" w:rsidRPr="008C65ED">
          <w:rPr>
            <w:webHidden/>
          </w:rPr>
          <w:fldChar w:fldCharType="separate"/>
        </w:r>
        <w:r w:rsidR="008C65ED" w:rsidRPr="008C65ED">
          <w:rPr>
            <w:webHidden/>
          </w:rPr>
          <w:t>6</w:t>
        </w:r>
        <w:r w:rsidR="008C65ED" w:rsidRPr="008C65ED">
          <w:rPr>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58" w:history="1">
        <w:r w:rsidR="008C65ED" w:rsidRPr="008C65ED">
          <w:rPr>
            <w:rStyle w:val="Hipervnculo"/>
            <w:rFonts w:ascii="Arial Narrow" w:hAnsi="Arial Narrow"/>
            <w:noProof/>
          </w:rPr>
          <w:t>6.1.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Estructura Organizacional</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_Toc80191558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6</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59" w:history="1">
        <w:r w:rsidR="008C65ED" w:rsidRPr="008C65ED">
          <w:rPr>
            <w:rStyle w:val="Hipervnculo"/>
            <w:rFonts w:ascii="Arial Narrow" w:hAnsi="Arial Narrow"/>
            <w:noProof/>
          </w:rPr>
          <w:t>6.1.1.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Identificación de los Organismos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_Toc80191559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6</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60" w:history="1">
        <w:r w:rsidR="008C65ED" w:rsidRPr="008C65ED">
          <w:rPr>
            <w:rStyle w:val="Hipervnculo"/>
            <w:rFonts w:ascii="Arial Narrow" w:hAnsi="Arial Narrow"/>
            <w:noProof/>
          </w:rPr>
          <w:t>6.1.2.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Reunión Técnica de Administración de Riesgos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_Toc80191560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7</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1" w:history="1">
        <w:r w:rsidR="008C65ED" w:rsidRPr="008C65ED">
          <w:rPr>
            <w:rStyle w:val="Hipervnculo"/>
            <w:rFonts w:ascii="Arial Narrow" w:hAnsi="Arial Narrow"/>
            <w:noProof/>
          </w:rPr>
          <w:t>6.1.2.1.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Periodicidad</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7</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2" w:history="1">
        <w:r w:rsidR="008C65ED" w:rsidRPr="008C65ED">
          <w:rPr>
            <w:rStyle w:val="Hipervnculo"/>
            <w:rFonts w:ascii="Arial Narrow" w:hAnsi="Arial Narrow"/>
            <w:noProof/>
          </w:rPr>
          <w:t>6.1.2.2.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Integrantes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7</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3" w:history="1">
        <w:r w:rsidR="008C65ED" w:rsidRPr="008C65ED">
          <w:rPr>
            <w:rStyle w:val="Hipervnculo"/>
            <w:rFonts w:ascii="Arial Narrow" w:eastAsia="Calibri" w:hAnsi="Arial Narrow"/>
            <w:noProof/>
            <w:lang w:eastAsia="es-CO"/>
          </w:rPr>
          <w:t>6.1.2.3.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eastAsia="Calibri" w:hAnsi="Arial Narrow"/>
            <w:noProof/>
            <w:lang w:eastAsia="es-CO"/>
          </w:rPr>
          <w:t>Funciones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7</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64" w:history="1">
        <w:r w:rsidR="008C65ED" w:rsidRPr="008C65ED">
          <w:rPr>
            <w:rStyle w:val="Hipervnculo"/>
            <w:rFonts w:ascii="Arial Narrow" w:hAnsi="Arial Narrow"/>
            <w:noProof/>
          </w:rPr>
          <w:t>6.2.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Políticas de Riesgo - MHCPTN</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_Toc80191564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8</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65" w:history="1">
        <w:r w:rsidR="008C65ED" w:rsidRPr="008C65ED">
          <w:rPr>
            <w:rStyle w:val="Hipervnculo"/>
            <w:rFonts w:ascii="Arial Narrow" w:eastAsia="Calibri" w:hAnsi="Arial Narrow" w:cs="Arial"/>
            <w:noProof/>
            <w:lang w:eastAsia="es-CO"/>
          </w:rPr>
          <w:t>6.2.1.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eastAsia="Calibri" w:hAnsi="Arial Narrow"/>
            <w:noProof/>
            <w:lang w:eastAsia="es-CO"/>
          </w:rPr>
          <w:t>Perfil de Riesgo Global</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_Toc80191565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8</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66" w:history="1">
        <w:r w:rsidR="008C65ED" w:rsidRPr="008C65ED">
          <w:rPr>
            <w:rStyle w:val="Hipervnculo"/>
            <w:rFonts w:ascii="Arial Narrow" w:hAnsi="Arial Narrow"/>
            <w:noProof/>
          </w:rPr>
          <w:t>6.2.2.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_Toc80191566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9</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7" w:history="1">
        <w:r w:rsidR="008C65ED" w:rsidRPr="008C65ED">
          <w:rPr>
            <w:rStyle w:val="Hipervnculo"/>
            <w:rFonts w:ascii="Arial Narrow" w:hAnsi="Arial Narrow"/>
            <w:noProof/>
          </w:rPr>
          <w:t>6.2.2.1.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Instancias de Aprobación</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_Toc80191567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9</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8" w:history="1">
        <w:r w:rsidR="008C65ED" w:rsidRPr="008C65ED">
          <w:rPr>
            <w:rStyle w:val="Hipervnculo"/>
            <w:rFonts w:ascii="Arial Narrow" w:hAnsi="Arial Narrow"/>
            <w:noProof/>
          </w:rPr>
          <w:t>6.2.2.2.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Exposición al Riesgo de Mercado</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_Toc80191568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10</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69" w:history="1">
        <w:r w:rsidR="008C65ED" w:rsidRPr="008C65ED">
          <w:rPr>
            <w:rStyle w:val="Hipervnculo"/>
            <w:rFonts w:ascii="Arial Narrow" w:hAnsi="Arial Narrow"/>
            <w:noProof/>
          </w:rPr>
          <w:t>6.2.2.3.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Operaciones Autorizadas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_Toc80191569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10</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70" w:history="1">
        <w:r w:rsidR="008C65ED" w:rsidRPr="008C65ED">
          <w:rPr>
            <w:rStyle w:val="Hipervnculo"/>
            <w:rFonts w:ascii="Arial Narrow" w:hAnsi="Arial Narrow"/>
            <w:noProof/>
          </w:rPr>
          <w:t>6.2.2.4.</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Negociación de Operaciones OTC</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_Toc80191570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11</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71" w:history="1">
        <w:r w:rsidR="008C65ED" w:rsidRPr="008C65ED">
          <w:rPr>
            <w:rStyle w:val="Hipervnculo"/>
            <w:rFonts w:ascii="Arial Narrow" w:hAnsi="Arial Narrow"/>
            <w:noProof/>
          </w:rPr>
          <w:t>6.2.2.5.</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Composición del Portafolio de Inversiones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11</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72" w:history="1">
        <w:r w:rsidR="008C65ED" w:rsidRPr="008C65ED">
          <w:rPr>
            <w:rStyle w:val="Hipervnculo"/>
            <w:rFonts w:ascii="Arial Narrow" w:hAnsi="Arial Narrow"/>
            <w:noProof/>
          </w:rPr>
          <w:t>6.2.2.5.1.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Límites de Composición para Inversiones en Pesos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12</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73" w:history="1">
        <w:r w:rsidR="008C65ED" w:rsidRPr="008C65ED">
          <w:rPr>
            <w:rStyle w:val="Hipervnculo"/>
            <w:rFonts w:ascii="Arial Narrow" w:hAnsi="Arial Narrow"/>
            <w:noProof/>
          </w:rPr>
          <w:t>6.2.2.5.2.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Límites para Inversiones en Moneda Extranjera</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13</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74" w:history="1">
        <w:r w:rsidR="008C65ED" w:rsidRPr="008C65ED">
          <w:rPr>
            <w:rStyle w:val="Hipervnculo"/>
            <w:rFonts w:ascii="Arial Narrow" w:hAnsi="Arial Narrow"/>
            <w:noProof/>
          </w:rPr>
          <w:t>6.2.2.6.</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Cupos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_Toc80191574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13</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75" w:history="1">
        <w:r w:rsidR="008C65ED" w:rsidRPr="008C65ED">
          <w:rPr>
            <w:rStyle w:val="Hipervnculo"/>
            <w:rFonts w:ascii="Arial Narrow" w:hAnsi="Arial Narrow"/>
            <w:noProof/>
          </w:rPr>
          <w:t>6.2.2.7.</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Cumplimiento de Límites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_Toc80191575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18</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76" w:history="1">
        <w:r w:rsidR="008C65ED" w:rsidRPr="008C65ED">
          <w:rPr>
            <w:rStyle w:val="Hipervnculo"/>
            <w:rFonts w:ascii="Arial Narrow" w:hAnsi="Arial Narrow"/>
            <w:noProof/>
          </w:rPr>
          <w:t>6.2.2.7.1.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Gestión de Monitoreo y Cumplimiento de Límites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_Toc80191576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18</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77" w:history="1">
        <w:r w:rsidR="008C65ED" w:rsidRPr="008C65ED">
          <w:rPr>
            <w:rStyle w:val="Hipervnculo"/>
            <w:rFonts w:ascii="Arial Narrow" w:hAnsi="Arial Narrow"/>
            <w:noProof/>
          </w:rPr>
          <w:t>6.2.2.8.</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Sobrepasos Pasivos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_Toc80191577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78" w:history="1">
        <w:r w:rsidR="008C65ED" w:rsidRPr="008C65ED">
          <w:rPr>
            <w:rStyle w:val="Hipervnculo"/>
            <w:rFonts w:ascii="Arial Narrow" w:hAnsi="Arial Narrow"/>
            <w:noProof/>
          </w:rPr>
          <w:t>6.2.2.8.1.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Cupos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_Toc80191578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79" w:history="1">
        <w:r w:rsidR="008C65ED" w:rsidRPr="008C65ED">
          <w:rPr>
            <w:rStyle w:val="Hipervnculo"/>
            <w:rFonts w:ascii="Arial Narrow" w:hAnsi="Arial Narrow"/>
            <w:noProof/>
          </w:rPr>
          <w:t>6.2.2.8.2.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Calificación Emisores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_Toc80191579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5"/>
        <w:tabs>
          <w:tab w:val="left" w:pos="1770"/>
          <w:tab w:val="right" w:leader="dot" w:pos="8830"/>
        </w:tabs>
        <w:rPr>
          <w:rFonts w:ascii="Arial Narrow" w:eastAsiaTheme="minorEastAsia" w:hAnsi="Arial Narrow" w:cstheme="minorBidi"/>
          <w:noProof/>
          <w:sz w:val="22"/>
          <w:szCs w:val="22"/>
          <w:lang w:val="es-CO" w:eastAsia="es-CO"/>
        </w:rPr>
      </w:pPr>
      <w:hyperlink w:anchor="_Toc80191580" w:history="1">
        <w:r w:rsidR="008C65ED" w:rsidRPr="008C65ED">
          <w:rPr>
            <w:rStyle w:val="Hipervnculo"/>
            <w:rFonts w:ascii="Arial Narrow" w:hAnsi="Arial Narrow"/>
            <w:noProof/>
          </w:rPr>
          <w:t>6.2.2.8.3.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Cuentas Operativas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_Toc80191580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4"/>
        <w:tabs>
          <w:tab w:val="left" w:pos="1540"/>
          <w:tab w:val="right" w:leader="dot" w:pos="8830"/>
        </w:tabs>
        <w:rPr>
          <w:rFonts w:ascii="Arial Narrow" w:eastAsiaTheme="minorEastAsia" w:hAnsi="Arial Narrow" w:cstheme="minorBidi"/>
          <w:noProof/>
          <w:sz w:val="22"/>
          <w:szCs w:val="22"/>
          <w:lang w:val="es-CO" w:eastAsia="es-CO"/>
        </w:rPr>
      </w:pPr>
      <w:hyperlink w:anchor="_Toc80191581" w:history="1">
        <w:r w:rsidR="008C65ED" w:rsidRPr="008C65ED">
          <w:rPr>
            <w:rStyle w:val="Hipervnculo"/>
            <w:rFonts w:ascii="Arial Narrow" w:hAnsi="Arial Narrow"/>
            <w:noProof/>
          </w:rPr>
          <w:t>6.2.2.9.</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Directrices en Materia de Perfil de Funcionarios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82" w:history="1">
        <w:r w:rsidR="008C65ED" w:rsidRPr="008C65ED">
          <w:rPr>
            <w:rStyle w:val="Hipervnculo"/>
            <w:rFonts w:ascii="Arial Narrow" w:hAnsi="Arial Narrow"/>
            <w:noProof/>
          </w:rPr>
          <w:t>6.3.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Mecanismos de Seguimiento</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83" w:history="1">
        <w:r w:rsidR="008C65ED" w:rsidRPr="008C65ED">
          <w:rPr>
            <w:rStyle w:val="Hipervnculo"/>
            <w:rFonts w:ascii="Arial Narrow" w:hAnsi="Arial Narrow"/>
            <w:noProof/>
          </w:rPr>
          <w:t>6.3.1.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Infraestructura Tecnológica</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21</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84" w:history="1">
        <w:r w:rsidR="008C65ED" w:rsidRPr="008C65ED">
          <w:rPr>
            <w:rStyle w:val="Hipervnculo"/>
            <w:rFonts w:ascii="Arial Narrow" w:hAnsi="Arial Narrow"/>
            <w:noProof/>
          </w:rPr>
          <w:t>6.3.2.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Flujo de Información y Puntos de Control</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_Toc80191584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22</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85" w:history="1">
        <w:r w:rsidR="008C65ED" w:rsidRPr="008C65ED">
          <w:rPr>
            <w:rStyle w:val="Hipervnculo"/>
            <w:rFonts w:ascii="Arial Narrow" w:hAnsi="Arial Narrow"/>
            <w:noProof/>
          </w:rPr>
          <w:t>6.3.3.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Reportes de Información sobre las Operaciones de Tesorería</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_Toc80191585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23</w:t>
        </w:r>
        <w:r w:rsidR="008C65ED" w:rsidRPr="008C65ED">
          <w:rPr>
            <w:rFonts w:ascii="Arial Narrow" w:hAnsi="Arial Narrow"/>
            <w:noProof/>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86" w:history="1">
        <w:r w:rsidR="008C65ED" w:rsidRPr="008C65ED">
          <w:rPr>
            <w:rStyle w:val="Hipervnculo"/>
          </w:rPr>
          <w:t>7.</w:t>
        </w:r>
        <w:r w:rsidR="008C65ED" w:rsidRPr="008C65ED">
          <w:rPr>
            <w:rFonts w:eastAsiaTheme="minorEastAsia" w:cstheme="minorBidi"/>
            <w:b w:val="0"/>
            <w:sz w:val="22"/>
            <w:szCs w:val="22"/>
            <w:lang w:val="es-CO" w:eastAsia="es-CO"/>
          </w:rPr>
          <w:tab/>
        </w:r>
        <w:r w:rsidR="008C65ED" w:rsidRPr="008C65ED">
          <w:rPr>
            <w:rStyle w:val="Hipervnculo"/>
          </w:rPr>
          <w:t>DEFINICIÓN DE LÍMITES PARA EL RIESGO DE MERCADO</w:t>
        </w:r>
        <w:r w:rsidR="008C65ED" w:rsidRPr="008C65ED">
          <w:rPr>
            <w:webHidden/>
          </w:rPr>
          <w:tab/>
        </w:r>
        <w:r w:rsidR="008C65ED" w:rsidRPr="008C65ED">
          <w:rPr>
            <w:webHidden/>
          </w:rPr>
          <w:fldChar w:fldCharType="begin"/>
        </w:r>
        <w:r w:rsidR="008C65ED" w:rsidRPr="008C65ED">
          <w:rPr>
            <w:webHidden/>
          </w:rPr>
          <w:instrText xml:space="preserve"> PAGEREF _Toc80191586 \h </w:instrText>
        </w:r>
        <w:r w:rsidR="008C65ED" w:rsidRPr="008C65ED">
          <w:rPr>
            <w:webHidden/>
          </w:rPr>
        </w:r>
        <w:r w:rsidR="008C65ED" w:rsidRPr="008C65ED">
          <w:rPr>
            <w:webHidden/>
          </w:rPr>
          <w:fldChar w:fldCharType="separate"/>
        </w:r>
        <w:r w:rsidR="008C65ED" w:rsidRPr="008C65ED">
          <w:rPr>
            <w:webHidden/>
          </w:rPr>
          <w:t>24</w:t>
        </w:r>
        <w:r w:rsidR="008C65ED" w:rsidRPr="008C65ED">
          <w:rPr>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87" w:history="1">
        <w:r w:rsidR="008C65ED" w:rsidRPr="008C65ED">
          <w:rPr>
            <w:rStyle w:val="Hipervnculo"/>
            <w:rFonts w:ascii="Arial Narrow" w:hAnsi="Arial Narrow"/>
            <w:noProof/>
          </w:rPr>
          <w:t>7.1.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Límites por Composición del Portafolio de Inversiones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_Toc80191587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24</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88" w:history="1">
        <w:r w:rsidR="008C65ED" w:rsidRPr="008C65ED">
          <w:rPr>
            <w:rStyle w:val="Hipervnculo"/>
            <w:rFonts w:ascii="Arial Narrow" w:hAnsi="Arial Narrow"/>
            <w:noProof/>
          </w:rPr>
          <w:t>7.1.1.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Composición del Portafolio en Moneda Local</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_Toc80191588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24</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89" w:history="1">
        <w:r w:rsidR="008C65ED" w:rsidRPr="008C65ED">
          <w:rPr>
            <w:rStyle w:val="Hipervnculo"/>
            <w:rFonts w:ascii="Arial Narrow" w:hAnsi="Arial Narrow"/>
            <w:noProof/>
          </w:rPr>
          <w:t>7.1.2.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Composición del Portafolio en Moneda Extranjera</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_Toc80191589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25</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90" w:history="1">
        <w:r w:rsidR="008C65ED" w:rsidRPr="008C65ED">
          <w:rPr>
            <w:rStyle w:val="Hipervnculo"/>
            <w:rFonts w:ascii="Arial Narrow" w:hAnsi="Arial Narrow"/>
            <w:noProof/>
          </w:rPr>
          <w:t>7.2.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Límites por Calificación Crediticia para la Asignación de Cupos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_Toc80191590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26</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1" w:history="1">
        <w:r w:rsidR="008C65ED" w:rsidRPr="008C65ED">
          <w:rPr>
            <w:rStyle w:val="Hipervnculo"/>
            <w:rFonts w:ascii="Arial Narrow" w:hAnsi="Arial Narrow"/>
            <w:noProof/>
            <w:lang w:val="es-CO"/>
          </w:rPr>
          <w:t>7.2.1.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lang w:val="es-CO"/>
          </w:rPr>
          <w:t>Calificación Admisible para Entidades Locales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26</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2" w:history="1">
        <w:r w:rsidR="008C65ED" w:rsidRPr="008C65ED">
          <w:rPr>
            <w:rStyle w:val="Hipervnculo"/>
            <w:rFonts w:ascii="Arial Narrow" w:hAnsi="Arial Narrow"/>
            <w:noProof/>
            <w:lang w:val="es-CO"/>
          </w:rPr>
          <w:t>7.2.2.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lang w:val="es-CO"/>
          </w:rPr>
          <w:t>Calificación Admisible para Entidades Extranjeras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26</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93" w:history="1">
        <w:r w:rsidR="008C65ED" w:rsidRPr="008C65ED">
          <w:rPr>
            <w:rStyle w:val="Hipervnculo"/>
            <w:rFonts w:ascii="Arial Narrow" w:hAnsi="Arial Narrow"/>
            <w:noProof/>
          </w:rPr>
          <w:t>7.3.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Lineamientos Generales del Portafolio de Inversiones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27</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594" w:history="1">
        <w:r w:rsidR="008C65ED" w:rsidRPr="008C65ED">
          <w:rPr>
            <w:rStyle w:val="Hipervnculo"/>
            <w:rFonts w:ascii="Arial Narrow" w:hAnsi="Arial Narrow"/>
            <w:noProof/>
          </w:rPr>
          <w:t>7.4.</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Lineamientos Específicos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_Toc80191594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27</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5" w:history="1">
        <w:r w:rsidR="008C65ED" w:rsidRPr="008C65ED">
          <w:rPr>
            <w:rStyle w:val="Hipervnculo"/>
            <w:rFonts w:ascii="Arial Narrow" w:hAnsi="Arial Narrow"/>
            <w:noProof/>
          </w:rPr>
          <w:t>7.4.1.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Límites para Operaciones en Fondos “</w:t>
        </w:r>
        <w:r w:rsidR="008C65ED" w:rsidRPr="008C65ED">
          <w:rPr>
            <w:rStyle w:val="Hipervnculo"/>
            <w:rFonts w:ascii="Arial Narrow" w:hAnsi="Arial Narrow"/>
            <w:i/>
            <w:noProof/>
          </w:rPr>
          <w:t>Money Market</w:t>
        </w:r>
        <w:r w:rsidR="008C65ED" w:rsidRPr="008C65ED">
          <w:rPr>
            <w:rStyle w:val="Hipervnculo"/>
            <w:rFonts w:ascii="Arial Narrow" w:hAnsi="Arial Narrow"/>
            <w:noProof/>
          </w:rPr>
          <w:t>”</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_Toc80191595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27</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6" w:history="1">
        <w:r w:rsidR="008C65ED" w:rsidRPr="008C65ED">
          <w:rPr>
            <w:rStyle w:val="Hipervnculo"/>
            <w:rFonts w:ascii="Arial Narrow" w:hAnsi="Arial Narrow"/>
            <w:noProof/>
          </w:rPr>
          <w:t>7.4.2.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Lineamientos para Operaciones Simultáneas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_Toc80191596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28</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7" w:history="1">
        <w:r w:rsidR="008C65ED" w:rsidRPr="008C65ED">
          <w:rPr>
            <w:rStyle w:val="Hipervnculo"/>
            <w:rFonts w:ascii="Arial Narrow" w:hAnsi="Arial Narrow"/>
            <w:noProof/>
          </w:rPr>
          <w:t>7.4.3.</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Límite para Exposición al Riesgo de Mercado</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_Toc80191597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30</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598" w:history="1">
        <w:r w:rsidR="008C65ED" w:rsidRPr="008C65ED">
          <w:rPr>
            <w:rStyle w:val="Hipervnculo"/>
            <w:rFonts w:ascii="Arial Narrow" w:hAnsi="Arial Narrow"/>
            <w:noProof/>
          </w:rPr>
          <w:t>7.4.4.</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Atribuciones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_Toc80191598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30</w:t>
        </w:r>
        <w:r w:rsidR="008C65ED" w:rsidRPr="008C65ED">
          <w:rPr>
            <w:rFonts w:ascii="Arial Narrow" w:hAnsi="Arial Narrow"/>
            <w:noProof/>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599" w:history="1">
        <w:r w:rsidR="008C65ED" w:rsidRPr="008C65ED">
          <w:rPr>
            <w:rStyle w:val="Hipervnculo"/>
          </w:rPr>
          <w:t>8.</w:t>
        </w:r>
        <w:r w:rsidR="008C65ED" w:rsidRPr="008C65ED">
          <w:rPr>
            <w:rFonts w:eastAsiaTheme="minorEastAsia" w:cstheme="minorBidi"/>
            <w:b w:val="0"/>
            <w:sz w:val="22"/>
            <w:szCs w:val="22"/>
            <w:lang w:val="es-CO" w:eastAsia="es-CO"/>
          </w:rPr>
          <w:tab/>
        </w:r>
        <w:r w:rsidR="008C65ED" w:rsidRPr="008C65ED">
          <w:rPr>
            <w:rStyle w:val="Hipervnculo"/>
          </w:rPr>
          <w:t>METODOLOGÍAS DE ASIGNACIÓN DE CUPOS</w:t>
        </w:r>
        <w:r w:rsidR="008C65ED" w:rsidRPr="008C65ED">
          <w:rPr>
            <w:webHidden/>
          </w:rPr>
          <w:tab/>
        </w:r>
        <w:r w:rsidR="008C65ED" w:rsidRPr="008C65ED">
          <w:rPr>
            <w:webHidden/>
          </w:rPr>
          <w:fldChar w:fldCharType="begin"/>
        </w:r>
        <w:r w:rsidR="008C65ED" w:rsidRPr="008C65ED">
          <w:rPr>
            <w:webHidden/>
          </w:rPr>
          <w:instrText xml:space="preserve"> PAGEREF _Toc80191599 \h </w:instrText>
        </w:r>
        <w:r w:rsidR="008C65ED" w:rsidRPr="008C65ED">
          <w:rPr>
            <w:webHidden/>
          </w:rPr>
        </w:r>
        <w:r w:rsidR="008C65ED" w:rsidRPr="008C65ED">
          <w:rPr>
            <w:webHidden/>
          </w:rPr>
          <w:fldChar w:fldCharType="separate"/>
        </w:r>
        <w:r w:rsidR="008C65ED" w:rsidRPr="008C65ED">
          <w:rPr>
            <w:webHidden/>
          </w:rPr>
          <w:t>31</w:t>
        </w:r>
        <w:r w:rsidR="008C65ED" w:rsidRPr="008C65ED">
          <w:rPr>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600" w:history="1">
        <w:r w:rsidR="008C65ED" w:rsidRPr="008C65ED">
          <w:rPr>
            <w:rStyle w:val="Hipervnculo"/>
            <w:rFonts w:ascii="Arial Narrow" w:hAnsi="Arial Narrow"/>
            <w:noProof/>
          </w:rPr>
          <w:t>8.1.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Asignación de Cupos para Entidades Locales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_Toc80191600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31</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601" w:history="1">
        <w:r w:rsidR="008C65ED" w:rsidRPr="008C65ED">
          <w:rPr>
            <w:rStyle w:val="Hipervnculo"/>
            <w:rFonts w:ascii="Arial Narrow" w:hAnsi="Arial Narrow"/>
            <w:noProof/>
            <w:lang w:val="es-CO"/>
          </w:rPr>
          <w:t>8.1.1.</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lang w:val="es-CO"/>
          </w:rPr>
          <w:t>Cupos de Contraparte para Operaciones en el Mercado SET FX</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_Toc80191601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31</w:t>
        </w:r>
        <w:r w:rsidR="008C65ED" w:rsidRPr="008C65ED">
          <w:rPr>
            <w:rFonts w:ascii="Arial Narrow" w:hAnsi="Arial Narrow"/>
            <w:noProof/>
            <w:webHidden/>
          </w:rPr>
          <w:fldChar w:fldCharType="end"/>
        </w:r>
      </w:hyperlink>
    </w:p>
    <w:p w:rsidR="008C65ED" w:rsidRPr="008C65ED" w:rsidRDefault="0088679F">
      <w:pPr>
        <w:pStyle w:val="TDC3"/>
        <w:tabs>
          <w:tab w:val="left" w:pos="1100"/>
          <w:tab w:val="right" w:leader="dot" w:pos="8830"/>
        </w:tabs>
        <w:rPr>
          <w:rFonts w:ascii="Arial Narrow" w:eastAsiaTheme="minorEastAsia" w:hAnsi="Arial Narrow" w:cstheme="minorBidi"/>
          <w:noProof/>
          <w:sz w:val="22"/>
          <w:szCs w:val="22"/>
          <w:lang w:val="es-CO" w:eastAsia="es-CO"/>
        </w:rPr>
      </w:pPr>
      <w:hyperlink w:anchor="_Toc80191602" w:history="1">
        <w:r w:rsidR="008C65ED" w:rsidRPr="008C65ED">
          <w:rPr>
            <w:rStyle w:val="Hipervnculo"/>
            <w:rFonts w:ascii="Arial Narrow" w:hAnsi="Arial Narrow"/>
            <w:noProof/>
            <w:lang w:val="es-CO"/>
          </w:rPr>
          <w:t>8.1.2.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lang w:val="es-CO"/>
          </w:rPr>
          <w:t>Cupos de Contraparte para Operaciones Spot en el Sistema MEC – Master Trader</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_Toc80191602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31</w:t>
        </w:r>
        <w:r w:rsidR="008C65ED" w:rsidRPr="008C65ED">
          <w:rPr>
            <w:rFonts w:ascii="Arial Narrow" w:hAnsi="Arial Narrow"/>
            <w:noProof/>
            <w:webHidden/>
          </w:rPr>
          <w:fldChar w:fldCharType="end"/>
        </w:r>
      </w:hyperlink>
    </w:p>
    <w:p w:rsidR="008C65ED" w:rsidRPr="008C65ED" w:rsidRDefault="0088679F">
      <w:pPr>
        <w:pStyle w:val="TDC2"/>
        <w:rPr>
          <w:rFonts w:ascii="Arial Narrow" w:eastAsiaTheme="minorEastAsia" w:hAnsi="Arial Narrow" w:cstheme="minorBidi"/>
          <w:noProof/>
          <w:sz w:val="22"/>
          <w:szCs w:val="22"/>
          <w:lang w:val="es-CO" w:eastAsia="es-CO"/>
        </w:rPr>
      </w:pPr>
      <w:hyperlink w:anchor="_Toc80191603" w:history="1">
        <w:r w:rsidR="008C65ED" w:rsidRPr="008C65ED">
          <w:rPr>
            <w:rStyle w:val="Hipervnculo"/>
            <w:rFonts w:ascii="Arial Narrow" w:hAnsi="Arial Narrow"/>
            <w:noProof/>
          </w:rPr>
          <w:t>8.2.</w:t>
        </w:r>
        <w:r w:rsidR="008C65ED" w:rsidRPr="008C65ED">
          <w:rPr>
            <w:rFonts w:ascii="Arial Narrow" w:eastAsiaTheme="minorEastAsia" w:hAnsi="Arial Narrow" w:cstheme="minorBidi"/>
            <w:noProof/>
            <w:sz w:val="22"/>
            <w:szCs w:val="22"/>
            <w:lang w:val="es-CO" w:eastAsia="es-CO"/>
          </w:rPr>
          <w:tab/>
        </w:r>
        <w:r w:rsidR="008C65ED" w:rsidRPr="008C65ED">
          <w:rPr>
            <w:rStyle w:val="Hipervnculo"/>
            <w:rFonts w:ascii="Arial Narrow" w:hAnsi="Arial Narrow"/>
            <w:noProof/>
          </w:rPr>
          <w:t>Asignación de Cupos para Entidades Extranjeras</w:t>
        </w:r>
        <w:r w:rsidR="008C65ED" w:rsidRPr="008C65ED">
          <w:rPr>
            <w:rFonts w:ascii="Arial Narrow" w:hAnsi="Arial Narrow"/>
            <w:noProof/>
            <w:webHidden/>
          </w:rPr>
          <w:tab/>
        </w:r>
        <w:r w:rsidR="008C65ED" w:rsidRPr="008C65ED">
          <w:rPr>
            <w:rFonts w:ascii="Arial Narrow" w:hAnsi="Arial Narrow"/>
            <w:noProof/>
            <w:webHidden/>
          </w:rPr>
          <w:fldChar w:fldCharType="begin"/>
        </w:r>
        <w:r w:rsidR="008C65ED" w:rsidRPr="008C65ED">
          <w:rPr>
            <w:rFonts w:ascii="Arial Narrow" w:hAnsi="Arial Narrow"/>
            <w:noProof/>
            <w:webHidden/>
          </w:rPr>
          <w:instrText xml:space="preserve"> PAGEREF _Toc80191603 \h </w:instrText>
        </w:r>
        <w:r w:rsidR="008C65ED" w:rsidRPr="008C65ED">
          <w:rPr>
            <w:rFonts w:ascii="Arial Narrow" w:hAnsi="Arial Narrow"/>
            <w:noProof/>
            <w:webHidden/>
          </w:rPr>
        </w:r>
        <w:r w:rsidR="008C65ED" w:rsidRPr="008C65ED">
          <w:rPr>
            <w:rFonts w:ascii="Arial Narrow" w:hAnsi="Arial Narrow"/>
            <w:noProof/>
            <w:webHidden/>
          </w:rPr>
          <w:fldChar w:fldCharType="separate"/>
        </w:r>
        <w:r w:rsidR="008C65ED" w:rsidRPr="008C65ED">
          <w:rPr>
            <w:rFonts w:ascii="Arial Narrow" w:hAnsi="Arial Narrow"/>
            <w:noProof/>
            <w:webHidden/>
          </w:rPr>
          <w:t>33</w:t>
        </w:r>
        <w:r w:rsidR="008C65ED" w:rsidRPr="008C65ED">
          <w:rPr>
            <w:rFonts w:ascii="Arial Narrow" w:hAnsi="Arial Narrow"/>
            <w:noProof/>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604" w:history="1">
        <w:r w:rsidR="008C65ED" w:rsidRPr="008C65ED">
          <w:rPr>
            <w:rStyle w:val="Hipervnculo"/>
          </w:rPr>
          <w:t>9.</w:t>
        </w:r>
        <w:r w:rsidR="008C65ED" w:rsidRPr="008C65ED">
          <w:rPr>
            <w:rFonts w:eastAsiaTheme="minorEastAsia" w:cstheme="minorBidi"/>
            <w:b w:val="0"/>
            <w:sz w:val="22"/>
            <w:szCs w:val="22"/>
            <w:lang w:val="es-CO" w:eastAsia="es-CO"/>
          </w:rPr>
          <w:tab/>
        </w:r>
        <w:r w:rsidR="008C65ED" w:rsidRPr="008C65ED">
          <w:rPr>
            <w:rStyle w:val="Hipervnculo"/>
          </w:rPr>
          <w:t>EXCEPCIONES</w:t>
        </w:r>
        <w:r w:rsidR="008C65ED" w:rsidRPr="008C65ED">
          <w:rPr>
            <w:webHidden/>
          </w:rPr>
          <w:tab/>
        </w:r>
        <w:r w:rsidR="008C65ED" w:rsidRPr="008C65ED">
          <w:rPr>
            <w:webHidden/>
          </w:rPr>
          <w:fldChar w:fldCharType="begin"/>
        </w:r>
        <w:r w:rsidR="008C65ED" w:rsidRPr="008C65ED">
          <w:rPr>
            <w:webHidden/>
          </w:rPr>
          <w:instrText xml:space="preserve"> PAGEREF _Toc80191604 \h </w:instrText>
        </w:r>
        <w:r w:rsidR="008C65ED" w:rsidRPr="008C65ED">
          <w:rPr>
            <w:webHidden/>
          </w:rPr>
        </w:r>
        <w:r w:rsidR="008C65ED" w:rsidRPr="008C65ED">
          <w:rPr>
            <w:webHidden/>
          </w:rPr>
          <w:fldChar w:fldCharType="separate"/>
        </w:r>
        <w:r w:rsidR="008C65ED" w:rsidRPr="008C65ED">
          <w:rPr>
            <w:webHidden/>
          </w:rPr>
          <w:t>34</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605" w:history="1">
        <w:r w:rsidR="008C65ED" w:rsidRPr="008C65ED">
          <w:rPr>
            <w:rStyle w:val="Hipervnculo"/>
          </w:rPr>
          <w:t>10.</w:t>
        </w:r>
        <w:r w:rsidR="008C65ED" w:rsidRPr="008C65ED">
          <w:rPr>
            <w:rFonts w:eastAsiaTheme="minorEastAsia" w:cstheme="minorBidi"/>
            <w:b w:val="0"/>
            <w:sz w:val="22"/>
            <w:szCs w:val="22"/>
            <w:lang w:val="es-CO" w:eastAsia="es-CO"/>
          </w:rPr>
          <w:tab/>
        </w:r>
        <w:r w:rsidR="008C65ED" w:rsidRPr="008C65ED">
          <w:rPr>
            <w:rStyle w:val="Hipervnculo"/>
          </w:rPr>
          <w:t>BIBLIOGRAFÍA</w:t>
        </w:r>
        <w:r w:rsidR="008C65ED" w:rsidRPr="008C65ED">
          <w:rPr>
            <w:webHidden/>
          </w:rPr>
          <w:tab/>
        </w:r>
        <w:r w:rsidR="008C65ED" w:rsidRPr="008C65ED">
          <w:rPr>
            <w:webHidden/>
          </w:rPr>
          <w:fldChar w:fldCharType="begin"/>
        </w:r>
        <w:r w:rsidR="008C65ED" w:rsidRPr="008C65ED">
          <w:rPr>
            <w:webHidden/>
          </w:rPr>
          <w:instrText xml:space="preserve"> PAGEREF _Toc80191605 \h </w:instrText>
        </w:r>
        <w:r w:rsidR="008C65ED" w:rsidRPr="008C65ED">
          <w:rPr>
            <w:webHidden/>
          </w:rPr>
        </w:r>
        <w:r w:rsidR="008C65ED" w:rsidRPr="008C65ED">
          <w:rPr>
            <w:webHidden/>
          </w:rPr>
          <w:fldChar w:fldCharType="separate"/>
        </w:r>
        <w:r w:rsidR="008C65ED" w:rsidRPr="008C65ED">
          <w:rPr>
            <w:webHidden/>
          </w:rPr>
          <w:t>34</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606" w:history="1">
        <w:r w:rsidR="008C65ED" w:rsidRPr="008C65ED">
          <w:rPr>
            <w:rStyle w:val="Hipervnculo"/>
          </w:rPr>
          <w:t>11.</w:t>
        </w:r>
        <w:r w:rsidR="008C65ED" w:rsidRPr="008C65ED">
          <w:rPr>
            <w:rFonts w:eastAsiaTheme="minorEastAsia" w:cstheme="minorBidi"/>
            <w:b w:val="0"/>
            <w:sz w:val="22"/>
            <w:szCs w:val="22"/>
            <w:lang w:val="es-CO" w:eastAsia="es-CO"/>
          </w:rPr>
          <w:tab/>
        </w:r>
        <w:r w:rsidR="008C65ED" w:rsidRPr="008C65ED">
          <w:rPr>
            <w:rStyle w:val="Hipervnculo"/>
          </w:rPr>
          <w:t>HISTORIAL DE CAMBIOS</w:t>
        </w:r>
        <w:r w:rsidR="008C65ED" w:rsidRPr="008C65ED">
          <w:rPr>
            <w:webHidden/>
          </w:rPr>
          <w:tab/>
        </w:r>
        <w:r w:rsidR="008C65ED" w:rsidRPr="008C65ED">
          <w:rPr>
            <w:webHidden/>
          </w:rPr>
          <w:fldChar w:fldCharType="begin"/>
        </w:r>
        <w:r w:rsidR="008C65ED" w:rsidRPr="008C65ED">
          <w:rPr>
            <w:webHidden/>
          </w:rPr>
          <w:instrText xml:space="preserve"> PAGEREF _Toc80191606 \h </w:instrText>
        </w:r>
        <w:r w:rsidR="008C65ED" w:rsidRPr="008C65ED">
          <w:rPr>
            <w:webHidden/>
          </w:rPr>
        </w:r>
        <w:r w:rsidR="008C65ED" w:rsidRPr="008C65ED">
          <w:rPr>
            <w:webHidden/>
          </w:rPr>
          <w:fldChar w:fldCharType="separate"/>
        </w:r>
        <w:r w:rsidR="008C65ED" w:rsidRPr="008C65ED">
          <w:rPr>
            <w:webHidden/>
          </w:rPr>
          <w:t>34</w:t>
        </w:r>
        <w:r w:rsidR="008C65ED" w:rsidRPr="008C65ED">
          <w:rPr>
            <w:webHidden/>
          </w:rPr>
          <w:fldChar w:fldCharType="end"/>
        </w:r>
      </w:hyperlink>
    </w:p>
    <w:p w:rsidR="008C65ED" w:rsidRPr="008C65ED" w:rsidRDefault="0088679F">
      <w:pPr>
        <w:pStyle w:val="TDC1"/>
        <w:rPr>
          <w:rFonts w:eastAsiaTheme="minorEastAsia" w:cstheme="minorBidi"/>
          <w:b w:val="0"/>
          <w:sz w:val="22"/>
          <w:szCs w:val="22"/>
          <w:lang w:val="es-CO" w:eastAsia="es-CO"/>
        </w:rPr>
      </w:pPr>
      <w:hyperlink w:anchor="_Toc80191607" w:history="1">
        <w:r w:rsidR="008C65ED" w:rsidRPr="008C65ED">
          <w:rPr>
            <w:rStyle w:val="Hipervnculo"/>
          </w:rPr>
          <w:t>12.</w:t>
        </w:r>
        <w:r w:rsidR="008C65ED" w:rsidRPr="008C65ED">
          <w:rPr>
            <w:rFonts w:eastAsiaTheme="minorEastAsia" w:cstheme="minorBidi"/>
            <w:b w:val="0"/>
            <w:sz w:val="22"/>
            <w:szCs w:val="22"/>
            <w:lang w:val="es-CO" w:eastAsia="es-CO"/>
          </w:rPr>
          <w:tab/>
        </w:r>
        <w:r w:rsidR="008C65ED" w:rsidRPr="008C65ED">
          <w:rPr>
            <w:rStyle w:val="Hipervnculo"/>
          </w:rPr>
          <w:t>APROBACIÓN</w:t>
        </w:r>
        <w:r w:rsidR="008C65ED" w:rsidRPr="008C65ED">
          <w:rPr>
            <w:webHidden/>
          </w:rPr>
          <w:tab/>
        </w:r>
        <w:r w:rsidR="008C65ED" w:rsidRPr="008C65ED">
          <w:rPr>
            <w:webHidden/>
          </w:rPr>
          <w:fldChar w:fldCharType="begin"/>
        </w:r>
        <w:r w:rsidR="008C65ED" w:rsidRPr="008C65ED">
          <w:rPr>
            <w:webHidden/>
          </w:rPr>
          <w:instrText xml:space="preserve"> PAGEREF _Toc80191607 \h </w:instrText>
        </w:r>
        <w:r w:rsidR="008C65ED" w:rsidRPr="008C65ED">
          <w:rPr>
            <w:webHidden/>
          </w:rPr>
        </w:r>
        <w:r w:rsidR="008C65ED" w:rsidRPr="008C65ED">
          <w:rPr>
            <w:webHidden/>
          </w:rPr>
          <w:fldChar w:fldCharType="separate"/>
        </w:r>
        <w:r w:rsidR="008C65ED" w:rsidRPr="008C65ED">
          <w:rPr>
            <w:webHidden/>
          </w:rPr>
          <w:t>35</w:t>
        </w:r>
        <w:r w:rsidR="008C65ED" w:rsidRPr="008C65ED">
          <w:rPr>
            <w:webHidden/>
          </w:rPr>
          <w:fldChar w:fldCharType="end"/>
        </w:r>
      </w:hyperlink>
    </w:p>
    <w:p w:rsidR="0094407F" w:rsidRPr="008C65ED" w:rsidRDefault="00954628">
      <w:pPr>
        <w:rPr>
          <w:rFonts w:ascii="Arial Narrow" w:hAnsi="Arial Narrow"/>
          <w:sz w:val="24"/>
          <w:szCs w:val="24"/>
        </w:rPr>
      </w:pPr>
      <w:r w:rsidRPr="008C65ED">
        <w:rPr>
          <w:rFonts w:ascii="Arial Narrow" w:hAnsi="Arial Narrow" w:cs="Arial"/>
          <w:noProof/>
          <w:sz w:val="24"/>
          <w:szCs w:val="24"/>
          <w:lang w:val="es-MX" w:eastAsia="en-US"/>
        </w:rPr>
        <w:fldChar w:fldCharType="end"/>
      </w:r>
    </w:p>
    <w:p w:rsidR="00CC12BC" w:rsidRPr="008C65ED" w:rsidRDefault="00CC12BC" w:rsidP="00CB26AD">
      <w:pPr>
        <w:jc w:val="both"/>
        <w:rPr>
          <w:rFonts w:ascii="Arial Narrow" w:hAnsi="Arial Narrow" w:cs="Arial"/>
          <w:sz w:val="24"/>
          <w:szCs w:val="24"/>
        </w:rPr>
      </w:pPr>
    </w:p>
    <w:p w:rsidR="00EE6F03" w:rsidRPr="008C65ED" w:rsidRDefault="00EE6F03"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rsidP="00CB26AD">
      <w:pPr>
        <w:jc w:val="both"/>
        <w:rPr>
          <w:rFonts w:ascii="Arial Narrow" w:hAnsi="Arial Narrow" w:cs="Arial"/>
          <w:sz w:val="24"/>
          <w:szCs w:val="24"/>
        </w:rPr>
      </w:pPr>
    </w:p>
    <w:p w:rsidR="00171A99" w:rsidRPr="008C65ED" w:rsidRDefault="00171A99">
      <w:pPr>
        <w:rPr>
          <w:rFonts w:ascii="Arial Narrow" w:hAnsi="Arial Narrow" w:cs="Arial"/>
          <w:sz w:val="24"/>
          <w:szCs w:val="24"/>
        </w:rPr>
      </w:pPr>
      <w:r w:rsidRPr="008C65ED">
        <w:rPr>
          <w:rFonts w:ascii="Arial Narrow" w:hAnsi="Arial Narrow" w:cs="Arial"/>
          <w:sz w:val="24"/>
          <w:szCs w:val="24"/>
        </w:rPr>
        <w:br w:type="page"/>
      </w:r>
    </w:p>
    <w:p w:rsidR="00386147" w:rsidRPr="008C65ED" w:rsidRDefault="00E00CE9" w:rsidP="00C408EF">
      <w:pPr>
        <w:pStyle w:val="Ttulo1"/>
        <w:numPr>
          <w:ilvl w:val="0"/>
          <w:numId w:val="1"/>
        </w:numPr>
        <w:rPr>
          <w:rFonts w:ascii="Arial Narrow" w:hAnsi="Arial Narrow"/>
        </w:rPr>
      </w:pPr>
      <w:r w:rsidRPr="008C65ED">
        <w:rPr>
          <w:rFonts w:ascii="Arial Narrow" w:hAnsi="Arial Narrow"/>
          <w:sz w:val="24"/>
          <w:szCs w:val="24"/>
        </w:rPr>
        <w:lastRenderedPageBreak/>
        <w:t xml:space="preserve"> </w:t>
      </w:r>
      <w:bookmarkStart w:id="2" w:name="_Toc80191549"/>
      <w:bookmarkStart w:id="3" w:name="_Toc181004292"/>
      <w:r w:rsidR="00A23D16" w:rsidRPr="008C65ED">
        <w:rPr>
          <w:rFonts w:ascii="Arial Narrow" w:hAnsi="Arial Narrow"/>
          <w:sz w:val="24"/>
          <w:szCs w:val="24"/>
        </w:rPr>
        <w:t>INTRODUCCIÓN</w:t>
      </w:r>
      <w:bookmarkEnd w:id="2"/>
      <w:r w:rsidR="00CB26AD" w:rsidRPr="008C65ED">
        <w:rPr>
          <w:rFonts w:ascii="Arial Narrow" w:hAnsi="Arial Narrow"/>
          <w:sz w:val="24"/>
          <w:szCs w:val="24"/>
        </w:rPr>
        <w:t xml:space="preserve"> </w:t>
      </w:r>
    </w:p>
    <w:p w:rsidR="00FE52EC" w:rsidRPr="008C65ED" w:rsidRDefault="00FE52EC" w:rsidP="00CB26AD">
      <w:pPr>
        <w:jc w:val="both"/>
        <w:rPr>
          <w:rFonts w:ascii="Arial Narrow" w:hAnsi="Arial Narrow" w:cs="Arial"/>
          <w:b/>
          <w:sz w:val="24"/>
          <w:szCs w:val="24"/>
        </w:rPr>
      </w:pPr>
    </w:p>
    <w:p w:rsidR="009F41A3" w:rsidRPr="008C65ED" w:rsidRDefault="009F41A3" w:rsidP="009F41A3">
      <w:pPr>
        <w:jc w:val="both"/>
        <w:rPr>
          <w:rFonts w:ascii="Arial Narrow" w:hAnsi="Arial Narrow" w:cs="Arial"/>
          <w:sz w:val="24"/>
        </w:rPr>
      </w:pPr>
      <w:r w:rsidRPr="008C65ED">
        <w:rPr>
          <w:rFonts w:ascii="Arial Narrow" w:hAnsi="Arial Narrow" w:cs="Arial"/>
          <w:sz w:val="24"/>
        </w:rPr>
        <w:t xml:space="preserve">El Ministerio de Hacienda y Crédito Público (MHCP), a través de la Subdirección de Tesorería de la Dirección General de Crédito Público y Tesoro Nacional (DGCPTN), está encargado de la administración de los excedentes de liquidez de la Nación y de aquellos recursos cuya administración le sea jurídicamente asignada o delegada, siguiendo los criterios de eficiencia y prudencia. </w:t>
      </w:r>
    </w:p>
    <w:p w:rsidR="009F41A3" w:rsidRPr="008C65ED" w:rsidRDefault="009F41A3" w:rsidP="009F41A3">
      <w:pPr>
        <w:jc w:val="both"/>
        <w:rPr>
          <w:rFonts w:ascii="Arial Narrow" w:hAnsi="Arial Narrow" w:cs="Arial"/>
          <w:sz w:val="24"/>
        </w:rPr>
      </w:pPr>
    </w:p>
    <w:p w:rsidR="009F41A3" w:rsidRPr="008C65ED" w:rsidRDefault="009F41A3" w:rsidP="009F41A3">
      <w:pPr>
        <w:jc w:val="both"/>
        <w:rPr>
          <w:rFonts w:ascii="Arial Narrow" w:hAnsi="Arial Narrow" w:cs="Arial"/>
          <w:sz w:val="24"/>
        </w:rPr>
      </w:pPr>
      <w:r w:rsidRPr="008C65ED">
        <w:rPr>
          <w:rFonts w:ascii="Arial Narrow" w:hAnsi="Arial Narrow" w:cs="Arial"/>
          <w:sz w:val="24"/>
        </w:rPr>
        <w:t>El presente Manual pretende definir una adecuada administración de recurs</w:t>
      </w:r>
      <w:r w:rsidR="00DA65AA" w:rsidRPr="008C65ED">
        <w:rPr>
          <w:rFonts w:ascii="Arial Narrow" w:hAnsi="Arial Narrow" w:cs="Arial"/>
          <w:sz w:val="24"/>
        </w:rPr>
        <w:t>o</w:t>
      </w:r>
      <w:r w:rsidRPr="008C65ED">
        <w:rPr>
          <w:rFonts w:ascii="Arial Narrow" w:hAnsi="Arial Narrow" w:cs="Arial"/>
          <w:sz w:val="24"/>
        </w:rPr>
        <w:t>s que permita garantizar la estabilidad del valor de los mismos en el tiempo, de igual forma se busca que la composición de las inversiones corresponda con los objetivos de política gubernamental en materia monetaria, fiscal y cambiaria. De acuerdo con esto, para el MHCP es necesario establecer políticas y directrices en materia de administración de portafolio y de gestión de riesgo, que apunten a mitigar los riesgos inherentes a la actividad financiera en el mercado de valores.</w:t>
      </w:r>
    </w:p>
    <w:p w:rsidR="009F41A3" w:rsidRPr="008C65ED" w:rsidRDefault="009F41A3" w:rsidP="009F41A3">
      <w:pPr>
        <w:jc w:val="both"/>
        <w:rPr>
          <w:rFonts w:ascii="Arial Narrow" w:hAnsi="Arial Narrow" w:cs="Arial"/>
          <w:sz w:val="24"/>
        </w:rPr>
      </w:pPr>
    </w:p>
    <w:p w:rsidR="00C93704" w:rsidRPr="008C65ED" w:rsidRDefault="009F41A3" w:rsidP="009F41A3">
      <w:pPr>
        <w:jc w:val="both"/>
        <w:rPr>
          <w:rFonts w:ascii="Arial Narrow" w:hAnsi="Arial Narrow" w:cs="Arial"/>
          <w:sz w:val="24"/>
        </w:rPr>
      </w:pPr>
      <w:r w:rsidRPr="008C65ED">
        <w:rPr>
          <w:rFonts w:ascii="Arial Narrow" w:hAnsi="Arial Narrow" w:cs="Arial"/>
          <w:sz w:val="24"/>
        </w:rPr>
        <w:t>Uno de los principales factores de riesgo en la actividad financiera lo constituye el riesgo de mercado, definido como la posibilidad de incurrir en pérdidas asociadas a la disminución del valor de los portafolios o recursos de terceros, por efecto de cambios en el precio de los instrumentos financieros en los que se mantienen posiciones. Atendiendo a esto, la Subdirección de Riesgo de la DGCPTN elaboró el presente Manual de Políticas de Administración de Riesgo de Mercado, que establece el conjunto de políticas, procedimientos, metodologías de medición y mecanismos de seguimiento y de control que deben seguir todos los procesos involucrados en la administración de los portafolios que involucren los excedentes de liquidez de la Nación.</w:t>
      </w:r>
    </w:p>
    <w:p w:rsidR="00CB26AD" w:rsidRPr="008C65ED" w:rsidRDefault="00CB26AD" w:rsidP="00CB26AD">
      <w:pPr>
        <w:jc w:val="both"/>
        <w:rPr>
          <w:rFonts w:ascii="Arial Narrow" w:hAnsi="Arial Narrow" w:cs="Arial"/>
          <w:sz w:val="24"/>
          <w:szCs w:val="24"/>
          <w:lang w:val="es-CO"/>
        </w:rPr>
      </w:pPr>
    </w:p>
    <w:p w:rsidR="00FE52EC" w:rsidRPr="008C65ED" w:rsidRDefault="00087A0A" w:rsidP="00C408EF">
      <w:pPr>
        <w:pStyle w:val="Ttulo1"/>
        <w:numPr>
          <w:ilvl w:val="0"/>
          <w:numId w:val="1"/>
        </w:numPr>
        <w:rPr>
          <w:rFonts w:ascii="Arial Narrow" w:hAnsi="Arial Narrow"/>
          <w:sz w:val="24"/>
          <w:szCs w:val="24"/>
        </w:rPr>
      </w:pPr>
      <w:bookmarkStart w:id="4" w:name="_Toc479249100"/>
      <w:bookmarkStart w:id="5" w:name="_Toc80191550"/>
      <w:bookmarkEnd w:id="0"/>
      <w:bookmarkEnd w:id="1"/>
      <w:bookmarkEnd w:id="3"/>
      <w:r w:rsidRPr="008C65ED">
        <w:rPr>
          <w:rFonts w:ascii="Arial Narrow" w:hAnsi="Arial Narrow"/>
          <w:sz w:val="24"/>
          <w:szCs w:val="24"/>
        </w:rPr>
        <w:t xml:space="preserve">Objetivos y Principios Rectores de la Administración de Riesgo de Mercado de los Recursos Administrados por </w:t>
      </w:r>
      <w:bookmarkEnd w:id="4"/>
      <w:r w:rsidRPr="008C65ED">
        <w:rPr>
          <w:rFonts w:ascii="Arial Narrow" w:hAnsi="Arial Narrow"/>
          <w:sz w:val="24"/>
          <w:szCs w:val="24"/>
        </w:rPr>
        <w:t>la DGCPTN</w:t>
      </w:r>
      <w:bookmarkEnd w:id="5"/>
    </w:p>
    <w:p w:rsidR="00FE52EC" w:rsidRPr="008C65ED" w:rsidRDefault="00FE52EC" w:rsidP="00CB26AD">
      <w:pPr>
        <w:ind w:left="360"/>
        <w:jc w:val="both"/>
        <w:rPr>
          <w:rFonts w:ascii="Arial Narrow" w:hAnsi="Arial Narrow" w:cs="Arial"/>
          <w:b/>
          <w:sz w:val="24"/>
          <w:szCs w:val="24"/>
        </w:rPr>
      </w:pPr>
    </w:p>
    <w:p w:rsidR="00087A0A" w:rsidRPr="008C65ED" w:rsidRDefault="00087A0A" w:rsidP="0014258C">
      <w:pPr>
        <w:pStyle w:val="Ttulo2"/>
      </w:pPr>
      <w:bookmarkStart w:id="6" w:name="_Toc80191551"/>
      <w:r w:rsidRPr="008C65ED">
        <w:t>Objetivo General</w:t>
      </w:r>
      <w:bookmarkEnd w:id="6"/>
    </w:p>
    <w:p w:rsidR="00087A0A" w:rsidRPr="008C65ED" w:rsidRDefault="00087A0A" w:rsidP="009F41A3">
      <w:pPr>
        <w:pStyle w:val="Prrafodelista"/>
        <w:ind w:left="0"/>
        <w:jc w:val="both"/>
        <w:rPr>
          <w:rFonts w:ascii="Arial Narrow" w:hAnsi="Arial Narrow" w:cs="Arial"/>
          <w:sz w:val="24"/>
          <w:szCs w:val="24"/>
        </w:rPr>
      </w:pPr>
    </w:p>
    <w:p w:rsidR="00CC12BC" w:rsidRPr="008C65ED" w:rsidRDefault="009F41A3" w:rsidP="009F41A3">
      <w:pPr>
        <w:pStyle w:val="Prrafodelista"/>
        <w:ind w:left="0"/>
        <w:jc w:val="both"/>
        <w:rPr>
          <w:rFonts w:ascii="Arial Narrow" w:hAnsi="Arial Narrow" w:cs="Arial"/>
          <w:sz w:val="24"/>
          <w:szCs w:val="24"/>
        </w:rPr>
      </w:pPr>
      <w:r w:rsidRPr="008C65ED">
        <w:rPr>
          <w:rFonts w:ascii="Arial Narrow" w:hAnsi="Arial Narrow" w:cs="Arial"/>
          <w:sz w:val="24"/>
          <w:szCs w:val="24"/>
        </w:rPr>
        <w:t xml:space="preserve">Administrar el riesgo de mercado de la DGCPTN, </w:t>
      </w:r>
      <w:r w:rsidR="00F312B9" w:rsidRPr="008C65ED">
        <w:rPr>
          <w:rFonts w:ascii="Arial Narrow" w:hAnsi="Arial Narrow" w:cs="Arial"/>
          <w:sz w:val="24"/>
          <w:szCs w:val="24"/>
        </w:rPr>
        <w:t xml:space="preserve">por medio de </w:t>
      </w:r>
      <w:r w:rsidRPr="008C65ED">
        <w:rPr>
          <w:rFonts w:ascii="Arial Narrow" w:hAnsi="Arial Narrow" w:cs="Arial"/>
          <w:sz w:val="24"/>
          <w:szCs w:val="24"/>
        </w:rPr>
        <w:t xml:space="preserve">la identificación, la medición, el control y el monitoreo de los </w:t>
      </w:r>
      <w:r w:rsidR="00F312B9" w:rsidRPr="008C65ED">
        <w:rPr>
          <w:rFonts w:ascii="Arial Narrow" w:hAnsi="Arial Narrow" w:cs="Arial"/>
          <w:sz w:val="24"/>
          <w:szCs w:val="24"/>
        </w:rPr>
        <w:t>riesgos</w:t>
      </w:r>
      <w:r w:rsidRPr="008C65ED">
        <w:rPr>
          <w:rFonts w:ascii="Arial Narrow" w:hAnsi="Arial Narrow" w:cs="Arial"/>
          <w:sz w:val="24"/>
          <w:szCs w:val="24"/>
        </w:rPr>
        <w:t xml:space="preserve"> a los que se encuentran expuestos los recursos administrados por</w:t>
      </w:r>
      <w:r w:rsidR="00F312B9" w:rsidRPr="008C65ED">
        <w:rPr>
          <w:rFonts w:ascii="Arial Narrow" w:hAnsi="Arial Narrow" w:cs="Arial"/>
          <w:sz w:val="24"/>
          <w:szCs w:val="24"/>
        </w:rPr>
        <w:t xml:space="preserve"> </w:t>
      </w:r>
      <w:r w:rsidRPr="008C65ED">
        <w:rPr>
          <w:rFonts w:ascii="Arial Narrow" w:hAnsi="Arial Narrow" w:cs="Arial"/>
          <w:sz w:val="24"/>
          <w:szCs w:val="24"/>
        </w:rPr>
        <w:t>la Tesorería de la Nación.</w:t>
      </w:r>
    </w:p>
    <w:p w:rsidR="009F41A3" w:rsidRPr="008C65ED" w:rsidRDefault="009F41A3" w:rsidP="009F41A3">
      <w:pPr>
        <w:pStyle w:val="Prrafodelista"/>
        <w:ind w:left="0"/>
        <w:jc w:val="both"/>
        <w:rPr>
          <w:rFonts w:ascii="Arial Narrow" w:hAnsi="Arial Narrow" w:cs="Arial"/>
          <w:sz w:val="24"/>
          <w:szCs w:val="24"/>
        </w:rPr>
      </w:pPr>
    </w:p>
    <w:p w:rsidR="00CC12BC" w:rsidRPr="008C65ED" w:rsidRDefault="00CC12BC" w:rsidP="0014258C">
      <w:pPr>
        <w:pStyle w:val="Ttulo2"/>
      </w:pPr>
      <w:bookmarkStart w:id="7" w:name="_Toc80191552"/>
      <w:r w:rsidRPr="008C65ED">
        <w:t>Objetivos Específicos</w:t>
      </w:r>
      <w:bookmarkEnd w:id="7"/>
      <w:r w:rsidRPr="008C65ED">
        <w:t xml:space="preserve"> </w:t>
      </w:r>
    </w:p>
    <w:p w:rsidR="00CC12BC" w:rsidRPr="008C65ED" w:rsidRDefault="00CC12BC" w:rsidP="00CC12BC">
      <w:pPr>
        <w:rPr>
          <w:rFonts w:ascii="Arial Narrow" w:hAnsi="Arial Narrow"/>
        </w:rPr>
      </w:pPr>
    </w:p>
    <w:p w:rsidR="007B32F3" w:rsidRPr="008C65ED" w:rsidRDefault="007B32F3" w:rsidP="007B32F3">
      <w:pPr>
        <w:jc w:val="both"/>
        <w:rPr>
          <w:rFonts w:ascii="Arial Narrow" w:hAnsi="Arial Narrow" w:cs="Arial"/>
          <w:sz w:val="24"/>
          <w:szCs w:val="24"/>
        </w:rPr>
      </w:pPr>
      <w:r w:rsidRPr="008C65ED">
        <w:rPr>
          <w:rFonts w:ascii="Arial Narrow" w:hAnsi="Arial Narrow" w:cs="Arial"/>
          <w:sz w:val="24"/>
          <w:szCs w:val="24"/>
        </w:rPr>
        <w:t>Se presentan a continuación los objetivos específicos que permiten a la DGCPTN lograr la adecuada Administración del Riesgo de Mercado:</w:t>
      </w:r>
    </w:p>
    <w:p w:rsidR="007B32F3" w:rsidRPr="008C65ED" w:rsidRDefault="007B32F3" w:rsidP="007B32F3">
      <w:pPr>
        <w:jc w:val="both"/>
        <w:rPr>
          <w:rFonts w:ascii="Arial Narrow" w:hAnsi="Arial Narrow" w:cs="Arial"/>
          <w:sz w:val="24"/>
          <w:szCs w:val="24"/>
        </w:rPr>
      </w:pPr>
    </w:p>
    <w:p w:rsidR="007B32F3" w:rsidRPr="008C65ED" w:rsidRDefault="007B32F3" w:rsidP="00C408EF">
      <w:pPr>
        <w:numPr>
          <w:ilvl w:val="0"/>
          <w:numId w:val="2"/>
        </w:numPr>
        <w:jc w:val="both"/>
        <w:rPr>
          <w:rFonts w:ascii="Arial Narrow" w:hAnsi="Arial Narrow" w:cs="Arial"/>
          <w:sz w:val="24"/>
          <w:szCs w:val="24"/>
        </w:rPr>
      </w:pPr>
      <w:r w:rsidRPr="008C65ED">
        <w:rPr>
          <w:rFonts w:ascii="Arial Narrow" w:hAnsi="Arial Narrow" w:cs="Arial"/>
          <w:sz w:val="24"/>
          <w:szCs w:val="24"/>
        </w:rPr>
        <w:t>Definir políticas claras y específicas para el adecuado funcionamiento de la Administración del Riesgo de Mercado, acorde con la normatividad que le aplica a la DGCPTN;</w:t>
      </w:r>
    </w:p>
    <w:p w:rsidR="007B32F3" w:rsidRPr="008C65ED" w:rsidRDefault="007B32F3" w:rsidP="00C408EF">
      <w:pPr>
        <w:numPr>
          <w:ilvl w:val="0"/>
          <w:numId w:val="2"/>
        </w:numPr>
        <w:jc w:val="both"/>
        <w:rPr>
          <w:rFonts w:ascii="Arial Narrow" w:hAnsi="Arial Narrow" w:cs="Arial"/>
          <w:sz w:val="24"/>
          <w:szCs w:val="24"/>
        </w:rPr>
      </w:pPr>
      <w:r w:rsidRPr="008C65ED">
        <w:rPr>
          <w:rFonts w:ascii="Arial Narrow" w:hAnsi="Arial Narrow" w:cs="Arial"/>
          <w:sz w:val="24"/>
          <w:szCs w:val="24"/>
        </w:rPr>
        <w:t>Determinar límites apropiados que mitiguen el riesgo de mercado asociado a la gestión del portafolio;</w:t>
      </w:r>
    </w:p>
    <w:p w:rsidR="007B32F3" w:rsidRPr="008C65ED" w:rsidRDefault="007B32F3" w:rsidP="00C408EF">
      <w:pPr>
        <w:numPr>
          <w:ilvl w:val="0"/>
          <w:numId w:val="2"/>
        </w:numPr>
        <w:jc w:val="both"/>
        <w:rPr>
          <w:rFonts w:ascii="Arial Narrow" w:hAnsi="Arial Narrow" w:cs="Arial"/>
          <w:sz w:val="24"/>
          <w:szCs w:val="24"/>
        </w:rPr>
      </w:pPr>
      <w:r w:rsidRPr="008C65ED">
        <w:rPr>
          <w:rFonts w:ascii="Arial Narrow" w:hAnsi="Arial Narrow" w:cs="Arial"/>
          <w:sz w:val="24"/>
          <w:szCs w:val="24"/>
        </w:rPr>
        <w:t>Cuantificar la exposición al riesgo;</w:t>
      </w:r>
    </w:p>
    <w:p w:rsidR="007B32F3" w:rsidRPr="008C65ED" w:rsidRDefault="007B32F3" w:rsidP="00C408EF">
      <w:pPr>
        <w:numPr>
          <w:ilvl w:val="0"/>
          <w:numId w:val="2"/>
        </w:numPr>
        <w:jc w:val="both"/>
        <w:rPr>
          <w:rFonts w:ascii="Arial Narrow" w:hAnsi="Arial Narrow" w:cs="Arial"/>
          <w:sz w:val="24"/>
          <w:szCs w:val="24"/>
        </w:rPr>
      </w:pPr>
      <w:r w:rsidRPr="008C65ED">
        <w:rPr>
          <w:rFonts w:ascii="Arial Narrow" w:hAnsi="Arial Narrow" w:cs="Arial"/>
          <w:sz w:val="24"/>
          <w:szCs w:val="24"/>
        </w:rPr>
        <w:t>Realizar el adecuado monitoreo del riesgo;</w:t>
      </w:r>
    </w:p>
    <w:p w:rsidR="00087A0A" w:rsidRPr="008C65ED" w:rsidRDefault="007B32F3" w:rsidP="00087A0A">
      <w:pPr>
        <w:numPr>
          <w:ilvl w:val="0"/>
          <w:numId w:val="2"/>
        </w:numPr>
        <w:jc w:val="both"/>
        <w:rPr>
          <w:rFonts w:ascii="Arial Narrow" w:hAnsi="Arial Narrow" w:cs="Arial"/>
          <w:sz w:val="24"/>
          <w:szCs w:val="24"/>
        </w:rPr>
      </w:pPr>
      <w:r w:rsidRPr="008C65ED">
        <w:rPr>
          <w:rFonts w:ascii="Arial Narrow" w:hAnsi="Arial Narrow" w:cs="Arial"/>
          <w:sz w:val="24"/>
          <w:szCs w:val="24"/>
        </w:rPr>
        <w:t>Asegurar que las áreas involucradas acaten las políticas, los principios y los límites establecidos en el presente Manual.</w:t>
      </w:r>
    </w:p>
    <w:p w:rsidR="00A40086" w:rsidRPr="008C65ED" w:rsidRDefault="00A40086" w:rsidP="00A40086">
      <w:pPr>
        <w:ind w:left="720"/>
        <w:jc w:val="both"/>
        <w:rPr>
          <w:rFonts w:ascii="Arial Narrow" w:hAnsi="Arial Narrow" w:cs="Arial"/>
          <w:sz w:val="24"/>
          <w:szCs w:val="24"/>
        </w:rPr>
      </w:pPr>
    </w:p>
    <w:p w:rsidR="00087A0A" w:rsidRPr="008C65ED" w:rsidRDefault="00087A0A" w:rsidP="0014258C">
      <w:pPr>
        <w:pStyle w:val="Ttulo2"/>
      </w:pPr>
      <w:bookmarkStart w:id="8" w:name="_Toc80191553"/>
      <w:r w:rsidRPr="008C65ED">
        <w:t>Principios Rectores</w:t>
      </w:r>
      <w:bookmarkEnd w:id="8"/>
    </w:p>
    <w:p w:rsidR="00087A0A" w:rsidRPr="008C65ED" w:rsidRDefault="00087A0A" w:rsidP="00087A0A">
      <w:pPr>
        <w:rPr>
          <w:rFonts w:ascii="Arial Narrow" w:hAnsi="Arial Narrow"/>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sz w:val="24"/>
          <w:szCs w:val="24"/>
          <w:lang w:val="es-CO"/>
        </w:rPr>
        <w:t>Para la adecuada administración del riesgo de mercado, se deben aplicar los siguientes principios que permiten la gestión eficiente de los recursos administrados por el Tesoro Nacional.</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Liquidez:</w:t>
      </w:r>
      <w:r w:rsidR="00DA65AA" w:rsidRPr="008C65ED">
        <w:rPr>
          <w:rFonts w:ascii="Arial Narrow" w:hAnsi="Arial Narrow"/>
          <w:sz w:val="24"/>
          <w:szCs w:val="24"/>
          <w:lang w:val="es-CO"/>
        </w:rPr>
        <w:t xml:space="preserve"> L</w:t>
      </w:r>
      <w:r w:rsidRPr="008C65ED">
        <w:rPr>
          <w:rFonts w:ascii="Arial Narrow" w:hAnsi="Arial Narrow"/>
          <w:sz w:val="24"/>
          <w:szCs w:val="24"/>
          <w:lang w:val="es-CO"/>
        </w:rPr>
        <w:t>a DGCPTN debe velar porque las inversiones que realice puedan ser fácilmente liquidadas a precios de mercado, con el fin de dar cumplimiento a los compromisos de la Nación y a los flujos o necesidades de liquidez de los portafolios administrados.</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Independencia:</w:t>
      </w:r>
      <w:r w:rsidR="00DA65AA" w:rsidRPr="008C65ED">
        <w:rPr>
          <w:rFonts w:ascii="Arial Narrow" w:hAnsi="Arial Narrow"/>
          <w:sz w:val="24"/>
          <w:szCs w:val="24"/>
          <w:lang w:val="es-CO"/>
        </w:rPr>
        <w:t xml:space="preserve"> S</w:t>
      </w:r>
      <w:r w:rsidRPr="008C65ED">
        <w:rPr>
          <w:rFonts w:ascii="Arial Narrow" w:hAnsi="Arial Narrow"/>
          <w:sz w:val="24"/>
          <w:szCs w:val="24"/>
          <w:lang w:val="es-CO"/>
        </w:rPr>
        <w:t xml:space="preserve">e definen las responsabilidades que las áreas de </w:t>
      </w:r>
      <w:r w:rsidRPr="008C65ED">
        <w:rPr>
          <w:rFonts w:ascii="Arial Narrow" w:hAnsi="Arial Narrow"/>
          <w:i/>
          <w:sz w:val="24"/>
          <w:szCs w:val="24"/>
          <w:lang w:val="es-CO"/>
        </w:rPr>
        <w:t>Front, Middle y Back</w:t>
      </w:r>
      <w:r w:rsidRPr="008C65ED">
        <w:rPr>
          <w:rFonts w:ascii="Arial Narrow" w:hAnsi="Arial Narrow"/>
          <w:sz w:val="24"/>
          <w:szCs w:val="24"/>
          <w:lang w:val="es-CO"/>
        </w:rPr>
        <w:t xml:space="preserve"> Office deben realizar para mantener independencia tanto funcional como organizacional, de la siguiente manera:</w:t>
      </w:r>
    </w:p>
    <w:p w:rsidR="00087A0A" w:rsidRPr="008C65ED" w:rsidRDefault="00087A0A" w:rsidP="00087A0A">
      <w:pPr>
        <w:jc w:val="both"/>
        <w:rPr>
          <w:rFonts w:ascii="Arial Narrow" w:hAnsi="Arial Narrow"/>
          <w:sz w:val="24"/>
          <w:szCs w:val="24"/>
          <w:lang w:val="es-CO"/>
        </w:rPr>
      </w:pPr>
    </w:p>
    <w:p w:rsidR="00087A0A" w:rsidRPr="008C65ED" w:rsidRDefault="00087A0A" w:rsidP="00C408EF">
      <w:pPr>
        <w:numPr>
          <w:ilvl w:val="0"/>
          <w:numId w:val="3"/>
        </w:numPr>
        <w:jc w:val="both"/>
        <w:rPr>
          <w:rFonts w:ascii="Arial Narrow" w:hAnsi="Arial Narrow"/>
          <w:sz w:val="24"/>
          <w:szCs w:val="24"/>
          <w:lang w:val="es-CO"/>
        </w:rPr>
      </w:pPr>
      <w:r w:rsidRPr="008C65ED">
        <w:rPr>
          <w:rFonts w:ascii="Arial Narrow" w:hAnsi="Arial Narrow"/>
          <w:i/>
          <w:sz w:val="24"/>
          <w:szCs w:val="24"/>
          <w:lang w:val="es-CO"/>
        </w:rPr>
        <w:t>Front Office</w:t>
      </w:r>
      <w:r w:rsidRPr="008C65ED">
        <w:rPr>
          <w:rFonts w:ascii="Arial Narrow" w:hAnsi="Arial Narrow"/>
          <w:sz w:val="24"/>
          <w:szCs w:val="24"/>
          <w:lang w:val="es-CO"/>
        </w:rPr>
        <w:t>: Área donde se realiza la colocación directa o a través de intermediarios especializados de los excedentes de liquidez y de los portafolios administrados. Las funciones de administración de los recursos son desarrolladas por la Subdirección de Tesorería de la DGCPTN.</w:t>
      </w:r>
    </w:p>
    <w:p w:rsidR="00087A0A" w:rsidRPr="008C65ED" w:rsidRDefault="00087A0A" w:rsidP="00087A0A">
      <w:pPr>
        <w:jc w:val="both"/>
        <w:rPr>
          <w:rFonts w:ascii="Arial Narrow" w:hAnsi="Arial Narrow"/>
          <w:sz w:val="24"/>
          <w:szCs w:val="24"/>
          <w:lang w:val="es-CO"/>
        </w:rPr>
      </w:pPr>
    </w:p>
    <w:p w:rsidR="00087A0A" w:rsidRPr="008C65ED" w:rsidRDefault="00087A0A" w:rsidP="00C408EF">
      <w:pPr>
        <w:numPr>
          <w:ilvl w:val="0"/>
          <w:numId w:val="3"/>
        </w:numPr>
        <w:jc w:val="both"/>
        <w:rPr>
          <w:rFonts w:ascii="Arial Narrow" w:hAnsi="Arial Narrow"/>
          <w:sz w:val="24"/>
          <w:szCs w:val="24"/>
          <w:lang w:val="es-CO"/>
        </w:rPr>
      </w:pPr>
      <w:r w:rsidRPr="008C65ED">
        <w:rPr>
          <w:rFonts w:ascii="Arial Narrow" w:hAnsi="Arial Narrow"/>
          <w:i/>
          <w:sz w:val="24"/>
          <w:szCs w:val="24"/>
          <w:lang w:val="es-CO"/>
        </w:rPr>
        <w:t>Middle Office</w:t>
      </w:r>
      <w:r w:rsidRPr="008C65ED">
        <w:rPr>
          <w:rFonts w:ascii="Arial Narrow" w:hAnsi="Arial Narrow"/>
          <w:sz w:val="24"/>
          <w:szCs w:val="24"/>
          <w:lang w:val="es-CO"/>
        </w:rPr>
        <w:t>: Área encargada del control y monitoreo, así como de definir las directrices, políticas y estrategias de riesgo, relacionadas con las operaciones de Tesorería. Dichas funciones son ejercidas por la Subdirección de Riesgo de la DGCPTN.</w:t>
      </w:r>
    </w:p>
    <w:p w:rsidR="00087A0A" w:rsidRPr="008C65ED" w:rsidRDefault="00087A0A" w:rsidP="00087A0A">
      <w:pPr>
        <w:jc w:val="both"/>
        <w:rPr>
          <w:rFonts w:ascii="Arial Narrow" w:hAnsi="Arial Narrow"/>
          <w:sz w:val="24"/>
          <w:szCs w:val="24"/>
          <w:lang w:val="es-CO"/>
        </w:rPr>
      </w:pPr>
    </w:p>
    <w:p w:rsidR="00087A0A" w:rsidRPr="008C65ED" w:rsidRDefault="00087A0A" w:rsidP="00C408EF">
      <w:pPr>
        <w:numPr>
          <w:ilvl w:val="0"/>
          <w:numId w:val="3"/>
        </w:numPr>
        <w:jc w:val="both"/>
        <w:rPr>
          <w:rFonts w:ascii="Arial Narrow" w:hAnsi="Arial Narrow"/>
          <w:sz w:val="24"/>
          <w:szCs w:val="24"/>
          <w:lang w:val="es-CO"/>
        </w:rPr>
      </w:pPr>
      <w:r w:rsidRPr="008C65ED">
        <w:rPr>
          <w:rFonts w:ascii="Arial Narrow" w:hAnsi="Arial Narrow"/>
          <w:i/>
          <w:sz w:val="24"/>
          <w:szCs w:val="24"/>
          <w:lang w:val="es-CO"/>
        </w:rPr>
        <w:t>Back Office</w:t>
      </w:r>
      <w:r w:rsidRPr="008C65ED">
        <w:rPr>
          <w:rFonts w:ascii="Arial Narrow" w:hAnsi="Arial Narrow"/>
          <w:sz w:val="24"/>
          <w:szCs w:val="24"/>
          <w:lang w:val="es-CO"/>
        </w:rPr>
        <w:t>: Área encargada del procesamiento y ejecución de las operaciones de Tesorería, en cuanto al control y ejecución de los pagos y el debido registro y cumplimiento de todas las operaciones de la Dirección, así como de su debido cierre y registro contable. Dichas funciones son ejercidas por la Subdirección de Operaciones de la DGCPTN.</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Seguridad:</w:t>
      </w:r>
      <w:r w:rsidRPr="008C65ED">
        <w:rPr>
          <w:rFonts w:ascii="Arial Narrow" w:hAnsi="Arial Narrow"/>
          <w:sz w:val="24"/>
          <w:szCs w:val="24"/>
          <w:lang w:val="es-CO"/>
        </w:rPr>
        <w:t xml:space="preserve"> Las contrapartes e inversiones que realice la DGCPTN deberán estar respaldadas por los mejores perfiles crediticios, que garanticen el cumplimiento de los compromisos adquiridos con recursos públicos.</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Transparencia:</w:t>
      </w:r>
      <w:r w:rsidRPr="008C65ED">
        <w:rPr>
          <w:rFonts w:ascii="Arial Narrow" w:hAnsi="Arial Narrow"/>
          <w:sz w:val="24"/>
          <w:szCs w:val="24"/>
          <w:lang w:val="es-CO"/>
        </w:rPr>
        <w:t xml:space="preserve"> Las áreas de </w:t>
      </w:r>
      <w:r w:rsidRPr="008C65ED">
        <w:rPr>
          <w:rFonts w:ascii="Arial Narrow" w:hAnsi="Arial Narrow"/>
          <w:i/>
          <w:sz w:val="24"/>
          <w:szCs w:val="24"/>
          <w:lang w:val="es-CO"/>
        </w:rPr>
        <w:t>Front, Middle</w:t>
      </w:r>
      <w:r w:rsidRPr="008C65ED">
        <w:rPr>
          <w:rFonts w:ascii="Arial Narrow" w:hAnsi="Arial Narrow"/>
          <w:sz w:val="24"/>
          <w:szCs w:val="24"/>
          <w:lang w:val="es-CO"/>
        </w:rPr>
        <w:t xml:space="preserve"> y </w:t>
      </w:r>
      <w:r w:rsidRPr="008C65ED">
        <w:rPr>
          <w:rFonts w:ascii="Arial Narrow" w:hAnsi="Arial Narrow"/>
          <w:i/>
          <w:sz w:val="24"/>
          <w:szCs w:val="24"/>
          <w:lang w:val="es-CO"/>
        </w:rPr>
        <w:t>Back Office</w:t>
      </w:r>
      <w:r w:rsidRPr="008C65ED">
        <w:rPr>
          <w:rFonts w:ascii="Arial Narrow" w:hAnsi="Arial Narrow"/>
          <w:sz w:val="24"/>
          <w:szCs w:val="24"/>
          <w:lang w:val="es-CO"/>
        </w:rPr>
        <w:t xml:space="preserve"> deben acatar las políticas y procedimientos contemplados en el presente Manual, así como las directrices impartidas por el Director General de Crédito Público y Tesoro Nacional y por el Ministro de Hacienda y Crédito Público. Así mismo, los informes de seguimiento del área de riesgos deben ser conocidos por el Director General de Crédito Público y Tesoro Nacional y por el Comité de Tesorería.</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Rentabilidad:</w:t>
      </w:r>
      <w:r w:rsidRPr="008C65ED">
        <w:rPr>
          <w:rFonts w:ascii="Arial Narrow" w:hAnsi="Arial Narrow"/>
          <w:sz w:val="24"/>
          <w:szCs w:val="24"/>
          <w:lang w:val="es-CO"/>
        </w:rPr>
        <w:t xml:space="preserve"> Las inversiones que realice la DGCPTN deberán generar una rentabilidad acorde con el perfil de riesgo del emisor, el plazo, el tipo de instrumento o el mercado seleccionado. </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Diligencia:</w:t>
      </w:r>
      <w:r w:rsidRPr="008C65ED">
        <w:rPr>
          <w:rFonts w:ascii="Arial Narrow" w:hAnsi="Arial Narrow"/>
          <w:sz w:val="24"/>
          <w:szCs w:val="24"/>
          <w:lang w:val="es-CO"/>
        </w:rPr>
        <w:t xml:space="preserve"> Todos los recursos deberán ser invertidos en condiciones que aseguren que el riesgo de mercado sea gestionable y que se encuentre dentro de los parámetros de la política establecida.</w:t>
      </w:r>
    </w:p>
    <w:p w:rsidR="00087A0A" w:rsidRPr="008C65ED" w:rsidRDefault="00087A0A" w:rsidP="00087A0A">
      <w:pPr>
        <w:jc w:val="both"/>
        <w:rPr>
          <w:rFonts w:ascii="Arial Narrow" w:hAnsi="Arial Narrow"/>
          <w:sz w:val="24"/>
          <w:szCs w:val="24"/>
          <w:lang w:val="es-CO"/>
        </w:rPr>
      </w:pPr>
    </w:p>
    <w:p w:rsidR="00087A0A" w:rsidRPr="008C65ED" w:rsidRDefault="00087A0A" w:rsidP="00087A0A">
      <w:pPr>
        <w:jc w:val="both"/>
        <w:rPr>
          <w:rFonts w:ascii="Arial Narrow" w:hAnsi="Arial Narrow"/>
          <w:sz w:val="24"/>
          <w:szCs w:val="24"/>
          <w:lang w:val="es-CO"/>
        </w:rPr>
      </w:pPr>
      <w:r w:rsidRPr="008C65ED">
        <w:rPr>
          <w:rFonts w:ascii="Arial Narrow" w:hAnsi="Arial Narrow"/>
          <w:b/>
          <w:sz w:val="24"/>
          <w:szCs w:val="24"/>
          <w:u w:val="single"/>
          <w:lang w:val="es-CO"/>
        </w:rPr>
        <w:t>Principio de Autocontrol:</w:t>
      </w:r>
      <w:r w:rsidRPr="008C65ED">
        <w:rPr>
          <w:rFonts w:ascii="Arial Narrow" w:hAnsi="Arial Narrow"/>
          <w:sz w:val="24"/>
          <w:szCs w:val="24"/>
          <w:lang w:val="es-CO"/>
        </w:rPr>
        <w:t xml:space="preserve"> La DGCPTN debe promover la conciencia de dar cumplimiento estricto de la legislación relacionada e impulsar la adopción de la autodisciplina, la cual permite la elevación de estándares que conllevan a un mejoramiento continuo.</w:t>
      </w:r>
    </w:p>
    <w:p w:rsidR="0094407F" w:rsidRPr="008C65ED" w:rsidRDefault="0094407F" w:rsidP="00CC12BC">
      <w:pPr>
        <w:jc w:val="both"/>
        <w:rPr>
          <w:rFonts w:ascii="Arial Narrow" w:hAnsi="Arial Narrow"/>
          <w:sz w:val="24"/>
        </w:rPr>
      </w:pPr>
    </w:p>
    <w:p w:rsidR="0078679A" w:rsidRPr="008C65ED" w:rsidRDefault="0078679A" w:rsidP="006E73FB">
      <w:pPr>
        <w:pStyle w:val="Ttulo1"/>
        <w:numPr>
          <w:ilvl w:val="0"/>
          <w:numId w:val="1"/>
        </w:numPr>
        <w:jc w:val="left"/>
        <w:rPr>
          <w:rFonts w:ascii="Arial Narrow" w:hAnsi="Arial Narrow"/>
          <w:sz w:val="24"/>
          <w:szCs w:val="24"/>
        </w:rPr>
      </w:pPr>
      <w:bookmarkStart w:id="9" w:name="_Toc80191554"/>
      <w:r w:rsidRPr="008C65ED">
        <w:rPr>
          <w:rFonts w:ascii="Arial Narrow" w:hAnsi="Arial Narrow"/>
          <w:sz w:val="24"/>
          <w:szCs w:val="24"/>
        </w:rPr>
        <w:t>ALCANCE</w:t>
      </w:r>
      <w:bookmarkEnd w:id="9"/>
    </w:p>
    <w:p w:rsidR="00FE52EC" w:rsidRPr="008C65ED" w:rsidRDefault="00FE52EC" w:rsidP="00CB26AD">
      <w:pPr>
        <w:jc w:val="both"/>
        <w:rPr>
          <w:rFonts w:ascii="Arial Narrow" w:hAnsi="Arial Narrow" w:cs="Arial"/>
          <w:b/>
          <w:sz w:val="24"/>
          <w:szCs w:val="24"/>
        </w:rPr>
      </w:pPr>
    </w:p>
    <w:p w:rsidR="00386147" w:rsidRPr="008C65ED" w:rsidRDefault="00B65552" w:rsidP="00CC12BC">
      <w:pPr>
        <w:jc w:val="both"/>
        <w:rPr>
          <w:rFonts w:ascii="Arial Narrow" w:hAnsi="Arial Narrow" w:cs="Arial"/>
          <w:sz w:val="24"/>
          <w:szCs w:val="24"/>
        </w:rPr>
      </w:pPr>
      <w:r w:rsidRPr="008C65ED">
        <w:rPr>
          <w:rFonts w:ascii="Arial Narrow" w:hAnsi="Arial Narrow" w:cs="Arial"/>
          <w:sz w:val="24"/>
          <w:szCs w:val="24"/>
        </w:rPr>
        <w:t xml:space="preserve">Desde la definición de políticas </w:t>
      </w:r>
      <w:r w:rsidR="00892F0B" w:rsidRPr="008C65ED">
        <w:rPr>
          <w:rFonts w:ascii="Arial Narrow" w:hAnsi="Arial Narrow" w:cs="Arial"/>
          <w:sz w:val="24"/>
          <w:szCs w:val="24"/>
        </w:rPr>
        <w:t>a implementar a las operaciones de inversión de la Tesorería de la Nación</w:t>
      </w:r>
      <w:r w:rsidR="00C6353D" w:rsidRPr="008C65ED">
        <w:rPr>
          <w:rFonts w:ascii="Arial Narrow" w:hAnsi="Arial Narrow" w:cs="Arial"/>
          <w:sz w:val="24"/>
          <w:szCs w:val="24"/>
        </w:rPr>
        <w:t>, hasta la definición de lineamientos de riesgo y los mecanismos de seguimiento a los controles establecidos en el presente manual para dichas operaciones.</w:t>
      </w:r>
    </w:p>
    <w:p w:rsidR="00B65552" w:rsidRPr="008C65ED" w:rsidRDefault="00B65552" w:rsidP="00CC12BC">
      <w:pPr>
        <w:jc w:val="both"/>
        <w:rPr>
          <w:rFonts w:ascii="Arial Narrow" w:hAnsi="Arial Narrow" w:cs="Arial"/>
          <w:sz w:val="24"/>
          <w:szCs w:val="24"/>
        </w:rPr>
      </w:pPr>
    </w:p>
    <w:p w:rsidR="00CC12BC" w:rsidRPr="008C65ED" w:rsidRDefault="00CC12BC" w:rsidP="006E73FB">
      <w:pPr>
        <w:pStyle w:val="Ttulo1"/>
        <w:numPr>
          <w:ilvl w:val="0"/>
          <w:numId w:val="1"/>
        </w:numPr>
        <w:jc w:val="left"/>
        <w:rPr>
          <w:rFonts w:ascii="Arial Narrow" w:hAnsi="Arial Narrow"/>
          <w:sz w:val="24"/>
          <w:szCs w:val="24"/>
        </w:rPr>
      </w:pPr>
      <w:bookmarkStart w:id="10" w:name="_Toc80191555"/>
      <w:r w:rsidRPr="008C65ED">
        <w:rPr>
          <w:rFonts w:ascii="Arial Narrow" w:hAnsi="Arial Narrow"/>
          <w:sz w:val="24"/>
          <w:szCs w:val="24"/>
        </w:rPr>
        <w:t>PRODUCTOS ESPERADOS</w:t>
      </w:r>
      <w:bookmarkEnd w:id="10"/>
      <w:r w:rsidRPr="008C65ED">
        <w:rPr>
          <w:rFonts w:ascii="Arial Narrow" w:hAnsi="Arial Narrow"/>
          <w:sz w:val="24"/>
          <w:szCs w:val="24"/>
        </w:rPr>
        <w:t xml:space="preserve"> </w:t>
      </w:r>
    </w:p>
    <w:p w:rsidR="00CC12BC" w:rsidRPr="008C65ED" w:rsidRDefault="00CC12BC" w:rsidP="00CC12BC">
      <w:pPr>
        <w:rPr>
          <w:rFonts w:ascii="Arial Narrow" w:hAnsi="Arial Narrow"/>
        </w:rPr>
      </w:pPr>
    </w:p>
    <w:p w:rsidR="00991636" w:rsidRPr="008C65ED" w:rsidRDefault="00991636" w:rsidP="00991636">
      <w:pPr>
        <w:jc w:val="both"/>
        <w:rPr>
          <w:rFonts w:ascii="Arial Narrow" w:hAnsi="Arial Narrow"/>
          <w:sz w:val="24"/>
          <w:szCs w:val="24"/>
          <w:lang w:val="es-CO" w:eastAsia="en-US"/>
        </w:rPr>
      </w:pPr>
      <w:r w:rsidRPr="008C65ED">
        <w:rPr>
          <w:rFonts w:ascii="Arial Narrow" w:hAnsi="Arial Narrow"/>
          <w:sz w:val="24"/>
          <w:szCs w:val="24"/>
        </w:rPr>
        <w:t xml:space="preserve">Con la aplicación adecuada de las políticas y directrices descritas en este documento, se espera obtener el siguiente producto: </w:t>
      </w:r>
    </w:p>
    <w:p w:rsidR="00991636" w:rsidRPr="008C65ED" w:rsidRDefault="00991636" w:rsidP="00991636">
      <w:pPr>
        <w:rPr>
          <w:rFonts w:ascii="Arial Narrow" w:hAnsi="Arial Narrow"/>
        </w:rPr>
      </w:pPr>
    </w:p>
    <w:p w:rsidR="00991636" w:rsidRPr="008C65ED" w:rsidRDefault="00991636" w:rsidP="001C488A">
      <w:pPr>
        <w:pStyle w:val="Prrafodelista"/>
        <w:numPr>
          <w:ilvl w:val="0"/>
          <w:numId w:val="29"/>
        </w:numPr>
        <w:jc w:val="both"/>
        <w:rPr>
          <w:rFonts w:ascii="Arial Narrow" w:hAnsi="Arial Narrow"/>
          <w:sz w:val="24"/>
          <w:szCs w:val="24"/>
        </w:rPr>
      </w:pPr>
      <w:r w:rsidRPr="008C65ED">
        <w:rPr>
          <w:rFonts w:ascii="Arial Narrow" w:hAnsi="Arial Narrow"/>
          <w:sz w:val="24"/>
          <w:szCs w:val="24"/>
        </w:rPr>
        <w:t>Cumplimiento de las políticas de riesgo</w:t>
      </w:r>
      <w:r w:rsidR="009529B4" w:rsidRPr="008C65ED">
        <w:rPr>
          <w:rFonts w:ascii="Arial Narrow" w:hAnsi="Arial Narrow"/>
          <w:sz w:val="24"/>
          <w:szCs w:val="24"/>
        </w:rPr>
        <w:t xml:space="preserve"> de mercado</w:t>
      </w:r>
      <w:r w:rsidRPr="008C65ED">
        <w:rPr>
          <w:rFonts w:ascii="Arial Narrow" w:hAnsi="Arial Narrow"/>
          <w:sz w:val="24"/>
          <w:szCs w:val="24"/>
        </w:rPr>
        <w:t xml:space="preserve"> por parte de las áreas que interactúan en el proceso de </w:t>
      </w:r>
      <w:r w:rsidR="009529B4" w:rsidRPr="008C65ED">
        <w:rPr>
          <w:rFonts w:ascii="Arial Narrow" w:hAnsi="Arial Narrow"/>
          <w:sz w:val="24"/>
          <w:szCs w:val="24"/>
        </w:rPr>
        <w:t xml:space="preserve">administración de los recursos </w:t>
      </w:r>
      <w:r w:rsidR="00A57890" w:rsidRPr="008C65ED">
        <w:rPr>
          <w:rFonts w:ascii="Arial Narrow" w:hAnsi="Arial Narrow"/>
          <w:sz w:val="24"/>
          <w:szCs w:val="24"/>
        </w:rPr>
        <w:t xml:space="preserve">de </w:t>
      </w:r>
      <w:r w:rsidR="009529B4" w:rsidRPr="008C65ED">
        <w:rPr>
          <w:rFonts w:ascii="Arial Narrow" w:hAnsi="Arial Narrow"/>
          <w:sz w:val="24"/>
          <w:szCs w:val="24"/>
        </w:rPr>
        <w:t>la Dirección General de Crédito Público y Tesoro Nacional.</w:t>
      </w:r>
    </w:p>
    <w:p w:rsidR="006E73FB" w:rsidRPr="008C65ED" w:rsidRDefault="006E73FB" w:rsidP="006E73FB">
      <w:pPr>
        <w:pStyle w:val="Prrafodelista"/>
        <w:ind w:left="720"/>
        <w:jc w:val="both"/>
        <w:rPr>
          <w:rFonts w:ascii="Arial Narrow" w:hAnsi="Arial Narrow"/>
          <w:sz w:val="24"/>
          <w:szCs w:val="24"/>
        </w:rPr>
      </w:pPr>
    </w:p>
    <w:p w:rsidR="00386147" w:rsidRPr="008C65ED" w:rsidRDefault="00386147" w:rsidP="006E73FB">
      <w:pPr>
        <w:pStyle w:val="Ttulo1"/>
        <w:numPr>
          <w:ilvl w:val="0"/>
          <w:numId w:val="1"/>
        </w:numPr>
        <w:jc w:val="left"/>
        <w:rPr>
          <w:rFonts w:ascii="Arial Narrow" w:hAnsi="Arial Narrow"/>
          <w:sz w:val="24"/>
          <w:szCs w:val="24"/>
        </w:rPr>
      </w:pPr>
      <w:bookmarkStart w:id="11" w:name="_Toc80191556"/>
      <w:r w:rsidRPr="008C65ED">
        <w:rPr>
          <w:rFonts w:ascii="Arial Narrow" w:hAnsi="Arial Narrow"/>
          <w:sz w:val="24"/>
          <w:szCs w:val="24"/>
        </w:rPr>
        <w:t>TÉRMINOS Y DEFINICIONES</w:t>
      </w:r>
      <w:bookmarkEnd w:id="11"/>
    </w:p>
    <w:p w:rsidR="00534C2C" w:rsidRPr="008C65ED" w:rsidRDefault="00534C2C" w:rsidP="00534C2C">
      <w:pPr>
        <w:rPr>
          <w:rFonts w:ascii="Arial Narrow" w:hAnsi="Arial Narrow"/>
        </w:rPr>
      </w:pPr>
    </w:p>
    <w:p w:rsidR="00C93704" w:rsidRPr="008C65ED" w:rsidRDefault="00C93704" w:rsidP="006E73FB">
      <w:pPr>
        <w:pStyle w:val="Prrafodelista"/>
        <w:numPr>
          <w:ilvl w:val="0"/>
          <w:numId w:val="29"/>
        </w:numPr>
        <w:jc w:val="both"/>
        <w:rPr>
          <w:rFonts w:ascii="Arial Narrow" w:hAnsi="Arial Narrow" w:cs="Arial"/>
          <w:sz w:val="24"/>
          <w:szCs w:val="24"/>
        </w:rPr>
      </w:pPr>
      <w:r w:rsidRPr="008C65ED">
        <w:rPr>
          <w:rFonts w:ascii="Arial Narrow" w:hAnsi="Arial Narrow" w:cs="Arial"/>
          <w:b/>
          <w:sz w:val="24"/>
          <w:szCs w:val="24"/>
        </w:rPr>
        <w:t>ASCR:</w:t>
      </w:r>
      <w:r w:rsidRPr="008C65ED">
        <w:rPr>
          <w:rFonts w:ascii="Arial Narrow" w:hAnsi="Arial Narrow" w:cs="Arial"/>
          <w:sz w:val="24"/>
          <w:szCs w:val="24"/>
        </w:rPr>
        <w:t xml:space="preserve"> Rueda de simultáneas a través de la Cámara de Riesgo Central de Contraparte.</w:t>
      </w:r>
    </w:p>
    <w:p w:rsidR="00242C43" w:rsidRPr="008C65ED" w:rsidRDefault="00242C43" w:rsidP="00242C43">
      <w:pPr>
        <w:pStyle w:val="Prrafodelista"/>
        <w:ind w:left="720"/>
        <w:jc w:val="both"/>
        <w:rPr>
          <w:rFonts w:ascii="Arial Narrow" w:hAnsi="Arial Narrow" w:cs="Arial"/>
          <w:sz w:val="24"/>
          <w:szCs w:val="24"/>
        </w:rPr>
      </w:pPr>
    </w:p>
    <w:p w:rsidR="00C93704" w:rsidRPr="008C65ED" w:rsidRDefault="00C93704" w:rsidP="006E73FB">
      <w:pPr>
        <w:pStyle w:val="Prrafodelista"/>
        <w:numPr>
          <w:ilvl w:val="0"/>
          <w:numId w:val="29"/>
        </w:numPr>
        <w:jc w:val="both"/>
        <w:rPr>
          <w:rFonts w:ascii="Arial Narrow" w:hAnsi="Arial Narrow" w:cs="Arial"/>
          <w:sz w:val="24"/>
          <w:szCs w:val="24"/>
        </w:rPr>
      </w:pPr>
      <w:r w:rsidRPr="008C65ED">
        <w:rPr>
          <w:rFonts w:ascii="Arial Narrow" w:hAnsi="Arial Narrow" w:cs="Arial"/>
          <w:b/>
          <w:sz w:val="24"/>
          <w:szCs w:val="24"/>
        </w:rPr>
        <w:t>Master Trader:</w:t>
      </w:r>
      <w:r w:rsidRPr="008C65ED">
        <w:rPr>
          <w:rFonts w:ascii="Arial Narrow" w:hAnsi="Arial Narrow" w:cs="Arial"/>
          <w:sz w:val="24"/>
          <w:szCs w:val="24"/>
        </w:rPr>
        <w:t xml:space="preserve"> Sistema transaccional de la Bolsa de Valores de Colombia.</w:t>
      </w:r>
    </w:p>
    <w:p w:rsidR="00242C43" w:rsidRPr="008C65ED" w:rsidRDefault="00242C43" w:rsidP="00242C43">
      <w:pPr>
        <w:pStyle w:val="Prrafodelista"/>
        <w:ind w:left="720"/>
        <w:jc w:val="both"/>
        <w:rPr>
          <w:rFonts w:ascii="Arial Narrow" w:hAnsi="Arial Narrow" w:cs="Arial"/>
          <w:sz w:val="24"/>
          <w:szCs w:val="24"/>
        </w:rPr>
      </w:pPr>
    </w:p>
    <w:p w:rsidR="00C93704" w:rsidRPr="008C65ED" w:rsidRDefault="00C93704" w:rsidP="006E73FB">
      <w:pPr>
        <w:pStyle w:val="Prrafodelista"/>
        <w:numPr>
          <w:ilvl w:val="0"/>
          <w:numId w:val="29"/>
        </w:numPr>
        <w:jc w:val="both"/>
        <w:rPr>
          <w:rFonts w:ascii="Arial Narrow" w:hAnsi="Arial Narrow" w:cs="Arial"/>
          <w:sz w:val="24"/>
          <w:szCs w:val="24"/>
        </w:rPr>
      </w:pPr>
      <w:r w:rsidRPr="008C65ED">
        <w:rPr>
          <w:rFonts w:ascii="Arial Narrow" w:hAnsi="Arial Narrow" w:cs="Arial"/>
          <w:b/>
          <w:sz w:val="24"/>
          <w:szCs w:val="24"/>
        </w:rPr>
        <w:t>Riesgo de Mercado:</w:t>
      </w:r>
      <w:r w:rsidRPr="008C65ED">
        <w:rPr>
          <w:rFonts w:ascii="Arial Narrow" w:hAnsi="Arial Narrow" w:cs="Arial"/>
          <w:sz w:val="24"/>
          <w:szCs w:val="24"/>
        </w:rPr>
        <w:t xml:space="preserve"> Riesgo que existe a que se den pérdidas de valor de un activo asociado a la fluctuación de su precio en el mercado. O lo que es lo mismo, el riesgo de mercado es el riesgo a que el valor de un activo disminuya debido a las fluctuaciones en las condiciones del mercado como por ejemplo la variación del precio de los valores, del tipo de interés o del tipo de cambio, así como las fluctuaciones en los precios de las materias primas.</w:t>
      </w:r>
    </w:p>
    <w:p w:rsidR="00242C43" w:rsidRPr="008C65ED" w:rsidRDefault="00242C43" w:rsidP="00242C43">
      <w:pPr>
        <w:pStyle w:val="Prrafodelista"/>
        <w:ind w:left="720"/>
        <w:jc w:val="both"/>
        <w:rPr>
          <w:rFonts w:ascii="Arial Narrow" w:hAnsi="Arial Narrow" w:cs="Arial"/>
          <w:sz w:val="24"/>
          <w:szCs w:val="24"/>
        </w:rPr>
      </w:pPr>
    </w:p>
    <w:p w:rsidR="00C93704" w:rsidRPr="008C65ED" w:rsidRDefault="00C93704" w:rsidP="006E73FB">
      <w:pPr>
        <w:pStyle w:val="Prrafodelista"/>
        <w:numPr>
          <w:ilvl w:val="0"/>
          <w:numId w:val="29"/>
        </w:numPr>
        <w:jc w:val="both"/>
        <w:rPr>
          <w:rFonts w:ascii="Arial Narrow" w:hAnsi="Arial Narrow" w:cs="Arial"/>
          <w:sz w:val="24"/>
          <w:szCs w:val="24"/>
        </w:rPr>
      </w:pPr>
      <w:r w:rsidRPr="008C65ED">
        <w:rPr>
          <w:rFonts w:ascii="Arial Narrow" w:hAnsi="Arial Narrow" w:cs="Arial"/>
          <w:b/>
          <w:sz w:val="24"/>
          <w:szCs w:val="24"/>
        </w:rPr>
        <w:t>SEN:</w:t>
      </w:r>
      <w:r w:rsidRPr="008C65ED">
        <w:rPr>
          <w:rFonts w:ascii="Arial Narrow" w:hAnsi="Arial Narrow" w:cs="Arial"/>
          <w:sz w:val="24"/>
          <w:szCs w:val="24"/>
        </w:rPr>
        <w:t xml:space="preserve"> Sistema electrónico de negociación del Banco de la República</w:t>
      </w:r>
    </w:p>
    <w:p w:rsidR="00242C43" w:rsidRPr="008C65ED" w:rsidRDefault="00242C43" w:rsidP="00242C43">
      <w:pPr>
        <w:pStyle w:val="Prrafodelista"/>
        <w:ind w:left="720"/>
        <w:jc w:val="both"/>
        <w:rPr>
          <w:rFonts w:ascii="Arial Narrow" w:hAnsi="Arial Narrow" w:cs="Arial"/>
          <w:sz w:val="24"/>
          <w:szCs w:val="24"/>
        </w:rPr>
      </w:pPr>
    </w:p>
    <w:p w:rsidR="00C93704" w:rsidRPr="008C65ED" w:rsidRDefault="00C93704" w:rsidP="006E73FB">
      <w:pPr>
        <w:pStyle w:val="Prrafodelista"/>
        <w:numPr>
          <w:ilvl w:val="0"/>
          <w:numId w:val="29"/>
        </w:numPr>
        <w:jc w:val="both"/>
        <w:rPr>
          <w:rFonts w:ascii="Arial Narrow" w:hAnsi="Arial Narrow" w:cs="Arial"/>
          <w:sz w:val="24"/>
          <w:szCs w:val="24"/>
        </w:rPr>
      </w:pPr>
      <w:r w:rsidRPr="008C65ED">
        <w:rPr>
          <w:rFonts w:ascii="Arial Narrow" w:hAnsi="Arial Narrow" w:cs="Arial"/>
          <w:b/>
          <w:sz w:val="24"/>
          <w:szCs w:val="24"/>
        </w:rPr>
        <w:t>SET-FX:</w:t>
      </w:r>
      <w:r w:rsidRPr="008C65ED">
        <w:rPr>
          <w:rFonts w:ascii="Arial Narrow" w:hAnsi="Arial Narrow" w:cs="Arial"/>
          <w:sz w:val="24"/>
          <w:szCs w:val="24"/>
        </w:rPr>
        <w:t xml:space="preserve"> Sistema transaccional de divisas</w:t>
      </w:r>
    </w:p>
    <w:p w:rsidR="00242C43" w:rsidRPr="008C65ED" w:rsidRDefault="00242C43" w:rsidP="00242C43">
      <w:pPr>
        <w:pStyle w:val="Prrafodelista"/>
        <w:ind w:left="720"/>
        <w:jc w:val="both"/>
        <w:rPr>
          <w:rFonts w:ascii="Arial Narrow" w:hAnsi="Arial Narrow"/>
        </w:rPr>
      </w:pPr>
    </w:p>
    <w:p w:rsidR="00386147" w:rsidRPr="008C65ED" w:rsidRDefault="00C93704" w:rsidP="006E73FB">
      <w:pPr>
        <w:pStyle w:val="Prrafodelista"/>
        <w:numPr>
          <w:ilvl w:val="0"/>
          <w:numId w:val="29"/>
        </w:numPr>
        <w:jc w:val="both"/>
        <w:rPr>
          <w:rFonts w:ascii="Arial Narrow" w:hAnsi="Arial Narrow"/>
        </w:rPr>
      </w:pPr>
      <w:r w:rsidRPr="008C65ED">
        <w:rPr>
          <w:rFonts w:ascii="Arial Narrow" w:hAnsi="Arial Narrow" w:cs="Arial"/>
          <w:b/>
          <w:sz w:val="24"/>
          <w:szCs w:val="24"/>
        </w:rPr>
        <w:t>VaR:</w:t>
      </w:r>
      <w:r w:rsidRPr="008C65ED">
        <w:rPr>
          <w:rFonts w:ascii="Arial Narrow" w:hAnsi="Arial Narrow" w:cs="Arial"/>
          <w:sz w:val="24"/>
          <w:szCs w:val="24"/>
        </w:rPr>
        <w:t xml:space="preserve"> Valor en Riesgo. Metodología de medición del riesgo de mercado.</w:t>
      </w:r>
    </w:p>
    <w:p w:rsidR="0094407F" w:rsidRPr="008C65ED" w:rsidRDefault="0094407F" w:rsidP="00CC12BC">
      <w:pPr>
        <w:jc w:val="both"/>
        <w:rPr>
          <w:rFonts w:ascii="Arial Narrow" w:hAnsi="Arial Narrow" w:cs="Arial"/>
          <w:sz w:val="24"/>
          <w:szCs w:val="24"/>
        </w:rPr>
      </w:pPr>
    </w:p>
    <w:p w:rsidR="00242C43" w:rsidRPr="008C65ED" w:rsidRDefault="00242C43" w:rsidP="00CC12BC">
      <w:pPr>
        <w:jc w:val="both"/>
        <w:rPr>
          <w:rFonts w:ascii="Arial Narrow" w:hAnsi="Arial Narrow" w:cs="Arial"/>
          <w:sz w:val="24"/>
          <w:szCs w:val="24"/>
        </w:rPr>
      </w:pPr>
    </w:p>
    <w:p w:rsidR="00B6053B" w:rsidRPr="008C65ED" w:rsidRDefault="00B6053B">
      <w:pPr>
        <w:rPr>
          <w:rFonts w:ascii="Arial Narrow" w:hAnsi="Arial Narrow" w:cs="Arial"/>
          <w:sz w:val="24"/>
          <w:szCs w:val="24"/>
        </w:rPr>
      </w:pPr>
      <w:r w:rsidRPr="008C65ED">
        <w:rPr>
          <w:rFonts w:ascii="Arial Narrow" w:hAnsi="Arial Narrow" w:cs="Arial"/>
          <w:sz w:val="24"/>
          <w:szCs w:val="24"/>
        </w:rPr>
        <w:br w:type="page"/>
      </w:r>
    </w:p>
    <w:p w:rsidR="00064D60" w:rsidRPr="008C65ED" w:rsidRDefault="00064D60" w:rsidP="00C408EF">
      <w:pPr>
        <w:pStyle w:val="Ttulo1"/>
        <w:numPr>
          <w:ilvl w:val="0"/>
          <w:numId w:val="1"/>
        </w:numPr>
        <w:rPr>
          <w:rFonts w:ascii="Arial Narrow" w:hAnsi="Arial Narrow"/>
          <w:sz w:val="24"/>
          <w:szCs w:val="24"/>
        </w:rPr>
      </w:pPr>
      <w:bookmarkStart w:id="12" w:name="_Toc80191557"/>
      <w:bookmarkStart w:id="13" w:name="_Toc126143692"/>
      <w:bookmarkStart w:id="14" w:name="_Toc126144694"/>
      <w:bookmarkStart w:id="15" w:name="_Toc126144876"/>
      <w:bookmarkStart w:id="16" w:name="_Toc126144946"/>
      <w:bookmarkStart w:id="17" w:name="_Toc126147376"/>
      <w:bookmarkStart w:id="18" w:name="_Toc126301042"/>
      <w:r w:rsidRPr="008C65ED">
        <w:rPr>
          <w:rFonts w:ascii="Arial Narrow" w:hAnsi="Arial Narrow"/>
          <w:sz w:val="24"/>
          <w:szCs w:val="24"/>
        </w:rPr>
        <w:lastRenderedPageBreak/>
        <w:t>POLÍTICAS Y DIRECTRICES</w:t>
      </w:r>
      <w:r w:rsidR="003E1FF1" w:rsidRPr="008C65ED">
        <w:rPr>
          <w:rFonts w:ascii="Arial Narrow" w:hAnsi="Arial Narrow"/>
          <w:sz w:val="24"/>
          <w:szCs w:val="24"/>
        </w:rPr>
        <w:t xml:space="preserve"> PARA LAS OPERACIONES DE LA DGCPTN</w:t>
      </w:r>
      <w:bookmarkEnd w:id="12"/>
    </w:p>
    <w:p w:rsidR="004A361C" w:rsidRPr="008C65ED" w:rsidRDefault="004A361C" w:rsidP="00CB26AD">
      <w:pPr>
        <w:ind w:left="360"/>
        <w:jc w:val="both"/>
        <w:rPr>
          <w:rFonts w:ascii="Arial Narrow" w:hAnsi="Arial Narrow" w:cs="Arial"/>
          <w:b/>
          <w:sz w:val="24"/>
          <w:szCs w:val="24"/>
        </w:rPr>
      </w:pPr>
    </w:p>
    <w:p w:rsidR="008636B6" w:rsidRPr="008C65ED" w:rsidRDefault="00EA3232" w:rsidP="0014258C">
      <w:pPr>
        <w:pStyle w:val="Ttulo2"/>
      </w:pPr>
      <w:bookmarkStart w:id="19" w:name="_Toc479249101"/>
      <w:bookmarkStart w:id="20" w:name="_Toc80191558"/>
      <w:r w:rsidRPr="008C65ED">
        <w:t>Estructura Organizacional</w:t>
      </w:r>
      <w:bookmarkEnd w:id="19"/>
      <w:bookmarkEnd w:id="20"/>
    </w:p>
    <w:p w:rsidR="00EA3232" w:rsidRPr="008C65ED" w:rsidRDefault="00EA3232" w:rsidP="00EA3232">
      <w:pPr>
        <w:rPr>
          <w:rFonts w:ascii="Arial Narrow" w:hAnsi="Arial Narrow"/>
          <w:lang w:val="es-CO"/>
        </w:rPr>
      </w:pPr>
    </w:p>
    <w:p w:rsidR="00171A99" w:rsidRPr="008C65ED" w:rsidRDefault="00EA3232" w:rsidP="00171A99">
      <w:pPr>
        <w:jc w:val="both"/>
        <w:rPr>
          <w:rFonts w:ascii="Arial Narrow" w:hAnsi="Arial Narrow" w:cs="Arial"/>
          <w:sz w:val="24"/>
        </w:rPr>
      </w:pPr>
      <w:r w:rsidRPr="008C65ED">
        <w:rPr>
          <w:rFonts w:ascii="Arial Narrow" w:hAnsi="Arial Narrow" w:cs="Arial"/>
          <w:sz w:val="24"/>
        </w:rPr>
        <w:t>Esta sección describe las funciones de los diferentes organismos involucrados en la gestión de los recursos a cargo de la DGCPTN. Se presenta la estructura organizacional, las líneas de autoridad y de control y las responsabilidades asociadas a cada uno de los organismos del MHCP involucrados en los procesos de direccionamiento, de gestión y/o de control de las actividades de la Tesorería. Se dedicará una sección del capítulo para enumerar las responsabilidades y funciones de cada uno de ellos dentro del Sistema de Administración de Riesgo de Mercado (SARM) diseñado para esta Tesorería.</w:t>
      </w:r>
    </w:p>
    <w:p w:rsidR="00171A99" w:rsidRPr="008C65ED" w:rsidRDefault="00171A99" w:rsidP="00171A99">
      <w:pPr>
        <w:jc w:val="both"/>
        <w:rPr>
          <w:rFonts w:ascii="Arial Narrow" w:hAnsi="Arial Narrow"/>
        </w:rPr>
      </w:pPr>
    </w:p>
    <w:p w:rsidR="00EA3232" w:rsidRPr="008C65ED" w:rsidRDefault="00EA3232" w:rsidP="00BC5018">
      <w:pPr>
        <w:pStyle w:val="Ttulo3"/>
      </w:pPr>
      <w:bookmarkStart w:id="21" w:name="_Toc80191559"/>
      <w:r w:rsidRPr="008C65ED">
        <w:t>Identificación de los Organismos</w:t>
      </w:r>
      <w:bookmarkEnd w:id="21"/>
    </w:p>
    <w:p w:rsidR="00EA3232" w:rsidRPr="008C65ED" w:rsidRDefault="00EA3232" w:rsidP="00EA3232">
      <w:pPr>
        <w:rPr>
          <w:rFonts w:ascii="Arial Narrow" w:hAnsi="Arial Narrow"/>
        </w:rPr>
      </w:pPr>
    </w:p>
    <w:p w:rsidR="00EA3232" w:rsidRPr="008C65ED" w:rsidRDefault="00EA3232" w:rsidP="00C93704">
      <w:pPr>
        <w:jc w:val="both"/>
        <w:rPr>
          <w:rFonts w:ascii="Arial Narrow" w:hAnsi="Arial Narrow" w:cs="Arial"/>
        </w:rPr>
      </w:pPr>
      <w:r w:rsidRPr="008C65ED">
        <w:rPr>
          <w:rFonts w:ascii="Arial Narrow" w:hAnsi="Arial Narrow" w:cs="Arial"/>
          <w:sz w:val="24"/>
        </w:rPr>
        <w:t xml:space="preserve">Los principales agentes u organismos identificados en el proceso de gestión de tesorería que adelanta la DGCPTN son: 1. Reunión de Administración de Riesgos, 2. El Director General de Crédito Público y Tesoro Nacional, 3. La Subdirección de Tesorería, 4. La Subdirección de Riesgo, y 5. La Subdirección de Operaciones. Cada uno de estos organismos tiene asignadas funciones análogas a las de </w:t>
      </w:r>
      <w:r w:rsidRPr="008C65ED">
        <w:rPr>
          <w:rFonts w:ascii="Arial Narrow" w:hAnsi="Arial Narrow" w:cs="Arial"/>
          <w:i/>
          <w:sz w:val="24"/>
        </w:rPr>
        <w:t>Front, Middle</w:t>
      </w:r>
      <w:r w:rsidRPr="008C65ED">
        <w:rPr>
          <w:rFonts w:ascii="Arial Narrow" w:hAnsi="Arial Narrow" w:cs="Arial"/>
          <w:sz w:val="24"/>
        </w:rPr>
        <w:t xml:space="preserve"> y </w:t>
      </w:r>
      <w:r w:rsidRPr="008C65ED">
        <w:rPr>
          <w:rFonts w:ascii="Arial Narrow" w:hAnsi="Arial Narrow" w:cs="Arial"/>
          <w:i/>
          <w:sz w:val="24"/>
        </w:rPr>
        <w:t>Back Office</w:t>
      </w:r>
      <w:r w:rsidRPr="008C65ED">
        <w:rPr>
          <w:rFonts w:ascii="Arial Narrow" w:hAnsi="Arial Narrow" w:cs="Arial"/>
          <w:sz w:val="24"/>
        </w:rPr>
        <w:t xml:space="preserve"> contempladas para la Tesorería. El siguiente esquema resume las relaciones de autoridad y control de estos organismos, con respecto a las actividades que se desarrollan en la Tesorería.</w:t>
      </w:r>
    </w:p>
    <w:p w:rsidR="00EA3232" w:rsidRPr="008C65ED" w:rsidRDefault="00282A5C" w:rsidP="00EA3232">
      <w:pPr>
        <w:jc w:val="cente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3820795</wp:posOffset>
                </wp:positionH>
                <wp:positionV relativeFrom="paragraph">
                  <wp:posOffset>157480</wp:posOffset>
                </wp:positionV>
                <wp:extent cx="1390650" cy="503555"/>
                <wp:effectExtent l="0" t="0" r="0" b="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0355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053B" w:rsidRPr="009B3218" w:rsidRDefault="00B6053B" w:rsidP="00EA3232">
                            <w:pPr>
                              <w:jc w:val="center"/>
                              <w:rPr>
                                <w:rFonts w:ascii="Arial Narrow" w:hAnsi="Arial Narrow"/>
                                <w:sz w:val="24"/>
                                <w:szCs w:val="26"/>
                              </w:rPr>
                            </w:pPr>
                            <w:r w:rsidRPr="009B3218">
                              <w:rPr>
                                <w:rFonts w:ascii="Arial Narrow" w:hAnsi="Arial Narrow"/>
                                <w:sz w:val="24"/>
                                <w:szCs w:val="26"/>
                              </w:rPr>
                              <w:t>Reunión</w:t>
                            </w:r>
                            <w:r>
                              <w:rPr>
                                <w:rFonts w:ascii="Arial Narrow" w:hAnsi="Arial Narrow"/>
                                <w:sz w:val="24"/>
                                <w:szCs w:val="26"/>
                              </w:rPr>
                              <w:t xml:space="preserve"> Técnica</w:t>
                            </w:r>
                            <w:r w:rsidRPr="009B3218">
                              <w:rPr>
                                <w:rFonts w:ascii="Arial Narrow" w:hAnsi="Arial Narrow"/>
                                <w:sz w:val="24"/>
                                <w:szCs w:val="26"/>
                              </w:rPr>
                              <w:t xml:space="preserve"> de Admón. de Riesgos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00.85pt;margin-top:12.4pt;width:109.5pt;height:3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">
                <v:textbox>
                  <w:txbxContent>
                    <w:p w:rsidR="00B6053B" w:rsidRPr="009B3218" w:rsidRDefault="00B6053B" w:rsidP="00EA3232">
                      <w:pPr>
                        <w:jc w:val="center"/>
                        <w:rPr>
                          <w:rFonts w:ascii="Arial Narrow" w:hAnsi="Arial Narrow"/>
                          <w:sz w:val="24"/>
                          <w:szCs w:val="26"/>
                        </w:rPr>
                      </w:pPr>
                      <w:r w:rsidRPr="009B3218">
                        <w:rPr>
                          <w:rFonts w:ascii="Arial Narrow" w:hAnsi="Arial Narrow"/>
                          <w:sz w:val="24"/>
                          <w:szCs w:val="26"/>
                        </w:rPr>
                        <w:t>Reunión</w:t>
                      </w:r>
                      <w:r>
                        <w:rPr>
                          <w:rFonts w:ascii="Arial Narrow" w:hAnsi="Arial Narrow"/>
                          <w:sz w:val="24"/>
                          <w:szCs w:val="26"/>
                        </w:rPr>
                        <w:t xml:space="preserve"> Técnica</w:t>
                      </w:r>
                      <w:r w:rsidRPr="009B3218">
                        <w:rPr>
                          <w:rFonts w:ascii="Arial Narrow" w:hAnsi="Arial Narrow"/>
                          <w:sz w:val="24"/>
                          <w:szCs w:val="26"/>
                        </w:rPr>
                        <w:t xml:space="preserve"> de Admón. de Riesgos</w:t>
                      </w:r>
                    </w:p>
                  </w:txbxContent>
                </v:textbox>
              </v:shape>
            </w:pict>
          </mc:Fallback>
        </mc:AlternateContent>
      </w:r>
      <w:r w:rsidRPr="008C65ED">
        <w:rPr>
          <w:rFonts w:ascii="Arial Narrow" w:hAnsi="Arial Narrow"/>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1535430</wp:posOffset>
                </wp:positionH>
                <wp:positionV relativeFrom="paragraph">
                  <wp:posOffset>146050</wp:posOffset>
                </wp:positionV>
                <wp:extent cx="1984375" cy="516890"/>
                <wp:effectExtent l="0" t="0" r="15875" b="16510"/>
                <wp:wrapNone/>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516890"/>
                        </a:xfrm>
                        <a:prstGeom prst="rect">
                          <a:avLst/>
                        </a:prstGeom>
                        <a:solidFill>
                          <a:srgbClr val="FFFFFF"/>
                        </a:solidFill>
                        <a:ln w="9525">
                          <a:solidFill>
                            <a:srgbClr val="000000"/>
                          </a:solidFill>
                          <a:miter lim="800000"/>
                          <a:headEnd/>
                          <a:tailEnd/>
                        </a:ln>
                      </wps:spPr>
                      <wps:txbx>
                        <w:txbxContent>
                          <w:p w:rsidR="00B6053B" w:rsidRPr="009B3218" w:rsidRDefault="00B6053B" w:rsidP="00EA3232">
                            <w:pPr>
                              <w:jc w:val="center"/>
                              <w:rPr>
                                <w:rFonts w:ascii="Arial Narrow" w:hAnsi="Arial Narrow"/>
                                <w:b/>
                                <w:sz w:val="24"/>
                                <w:szCs w:val="26"/>
                              </w:rPr>
                            </w:pPr>
                            <w:r w:rsidRPr="009B3218">
                              <w:rPr>
                                <w:rFonts w:ascii="Arial Narrow" w:hAnsi="Arial Narrow"/>
                                <w:b/>
                                <w:sz w:val="24"/>
                                <w:szCs w:val="26"/>
                              </w:rPr>
                              <w:t>Director General de Crédito Público y Tesoro Nacional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120.9pt;margin-top:11.5pt;width:156.25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">
                <v:textbox>
                  <w:txbxContent>
                    <w:p w:rsidR="00B6053B" w:rsidRPr="009B3218" w:rsidRDefault="00B6053B" w:rsidP="00EA3232">
                      <w:pPr>
                        <w:jc w:val="center"/>
                        <w:rPr>
                          <w:rFonts w:ascii="Arial Narrow" w:hAnsi="Arial Narrow"/>
                          <w:b/>
                          <w:sz w:val="24"/>
                          <w:szCs w:val="26"/>
                        </w:rPr>
                      </w:pPr>
                      <w:r w:rsidRPr="009B3218">
                        <w:rPr>
                          <w:rFonts w:ascii="Arial Narrow" w:hAnsi="Arial Narrow"/>
                          <w:b/>
                          <w:sz w:val="24"/>
                          <w:szCs w:val="26"/>
                        </w:rPr>
                        <w:t>Director General de Crédito Público y Tesoro Nacional</w:t>
                      </w:r>
                    </w:p>
                  </w:txbxContent>
                </v:textbox>
              </v:shape>
            </w:pict>
          </mc:Fallback>
        </mc:AlternateContent>
      </w:r>
    </w:p>
    <w:p w:rsidR="00EA3232" w:rsidRPr="008C65ED" w:rsidRDefault="00EA3232" w:rsidP="00EA3232">
      <w:pPr>
        <w:jc w:val="center"/>
        <w:rPr>
          <w:rFonts w:ascii="Arial Narrow" w:hAnsi="Arial Narrow" w:cs="Arial"/>
        </w:rPr>
      </w:pPr>
    </w:p>
    <w:p w:rsidR="00EA3232" w:rsidRPr="008C65ED" w:rsidRDefault="00EA3232" w:rsidP="00EA3232">
      <w:pPr>
        <w:jc w:val="center"/>
        <w:rPr>
          <w:rFonts w:ascii="Arial Narrow" w:hAnsi="Arial Narrow" w:cs="Arial"/>
        </w:rPr>
      </w:pPr>
    </w:p>
    <w:p w:rsidR="00EA3232" w:rsidRPr="008C65ED" w:rsidRDefault="00282A5C" w:rsidP="00EA3232">
      <w:pPr>
        <w:jc w:val="cente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2529840</wp:posOffset>
                </wp:positionH>
                <wp:positionV relativeFrom="paragraph">
                  <wp:posOffset>137160</wp:posOffset>
                </wp:positionV>
                <wp:extent cx="2028825" cy="187325"/>
                <wp:effectExtent l="38100" t="0" r="47625" b="98425"/>
                <wp:wrapNone/>
                <wp:docPr id="5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28825" cy="187325"/>
                        </a:xfrm>
                        <a:prstGeom prst="bentConnector3">
                          <a:avLst>
                            <a:gd name="adj1" fmla="val -597"/>
                          </a:avLst>
                        </a:prstGeom>
                        <a:noFill/>
                        <a:ln w="25400">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17B0AD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 o:spid="_x0000_s1026" type="#_x0000_t34" style="position:absolute;margin-left:199.2pt;margin-top:10.8pt;width:159.75pt;height:14.7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UfcgIAAM0EAAAOAAAAZHJzL2Uyb0RvYy54bWysVEtv2zAMvg/YfxB0T/2I07pGnaKwk126 rUC73RVLjrXpBUmNEwz776NkN1u3yzAsB4USyY/8+PDN7VEKdGDWca1qnF2kGDHVacrVvsafnraL EiPniaJEaMVqfGIO367fvrkZTcVyPWhBmUUAolw1mhoP3psqSVw3MEnchTZMgbLXVhIPV7tPqCUj oEuR5Gl6mYzaUmN1x5yD13ZS4nXE73vW+Y9975hHosaQm4+njecunMn6hlR7S8zAuzkN8g9ZSMIV BD1DtcQT9Gz5H1CSd1Y73fuLTstE9z3vWOQAbLL0NzaPAzEscoHiOHMuk/t/sN2Hw4NFnNZ4lWOk iIQe3T17HUOjYhkKNBpXgV2jHmyg2B3Vo7nX3VeHlG4GovYsWj+dDDhnwSN55RIuzkCY3fheU7Ah ECBW69hbiayGrmRpmYYfRr3g5nPACbGgQOgYu3U6d4sdPergMU/zssxXGHWgy8qrJcghNqkCbPA2 1vl3TEsUhBrvmPKNVgqGQttlxCeHe+dj3+hMntAvGSQhBYzBgQi0WF1fzbCzMQR4AQ6eSm+5EHGO hEIj5LUqgEdQOS04Ddp4sftdIywCUKAykZ3SfWUWoFvihsnOnVyrfYhPKsk9rIrgssZzreLzwAjd KBplT7gAGfnYCm85NEcwHLKSjGIkGCxpkKbAQgVcqOdchFDZOLTfrtPrTbkpi0WRX24WRdq2i7tt Uywut9nVql22TdNm3wPHrKgGTilTgebLAmXF3w3ovMrT6J9X6FzQ5DV6bC2k+PIfk46TFoZrGtOd pqcHG9iFoYOdicbzfoel/PUerX5+hdY/AAAA//8DAFBLAwQUAAYACAAAACEASEfsPuAAAAAJAQAA DwAAAGRycy9kb3ducmV2LnhtbEyPQU+DQBCF7yb+h82YeLPLVi0UWRrbpIkHL60m7XELI2DZWWS3 gP/e8aTHyfvy3jfZarKtGLD3jSMNahaBQCpc2VCl4f1te5eA8MFQaVpHqOEbPazy66vMpKUbaYfD PlSCS8inRkMdQpdK6YsarfEz1yFx9uF6awKffSXL3oxcbls5j6KFtKYhXqhNh5sai/P+YnlkKga5 xeTza70ZX9fJ4VjF5xetb2+m5ycQAafwB8OvPqtDzk4nd6HSi1bD/TJ5YFTDXC1AMBCreAnipOFR KZB5Jv9/kP8AAAD//wMAUEsBAi0AFAAGAAgAAAAhALaDOJL+AAAA4QEAABMAAAAAAAAAAAAAAAAA AAAAAFtDb250ZW50X1R5cGVzXS54bWxQSwECLQAUAAYACAAAACEAOP0h/9YAAACUAQAACwAAAAAA AAAAAAAAAAAvAQAAX3JlbHMvLnJlbHNQSwECLQAUAAYACAAAACEAfhwVH3ICAADNBAAADgAAAAAA AAAAAAAAAAAuAgAAZHJzL2Uyb0RvYy54bWxQSwECLQAUAAYACAAAACEASEfsPuAAAAAJAQAADwAA AAAAAAAAAAAAAADMBAAAZHJzL2Rvd25yZXYueG1sUEsFBgAAAAAEAAQA8wAAANkFAAAAAA== " adj="-129" strokeweight="2pt">
                <v:stroke dashstyle="1 1" endarrow="block"/>
              </v:shape>
            </w:pict>
          </mc:Fallback>
        </mc:AlternateContent>
      </w:r>
    </w:p>
    <w:p w:rsidR="00EA3232" w:rsidRPr="008C65ED" w:rsidRDefault="00282A5C" w:rsidP="00EA3232">
      <w:pPr>
        <w:jc w:val="cente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2529840</wp:posOffset>
                </wp:positionH>
                <wp:positionV relativeFrom="paragraph">
                  <wp:posOffset>92075</wp:posOffset>
                </wp:positionV>
                <wp:extent cx="8890" cy="587375"/>
                <wp:effectExtent l="38100" t="0" r="67310" b="60325"/>
                <wp:wrapNone/>
                <wp:docPr id="51"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58737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FA564D2" id="_x0000_t32" coordsize="21600,21600" o:spt="32" o:oned="t" path="m,l21600,21600e" filled="f">
                <v:path arrowok="t" fillok="f" o:connecttype="none"/>
                <o:lock v:ext="edit" shapetype="t"/>
              </v:shapetype>
              <v:shape id="Conector recto de flecha 4" o:spid="_x0000_s1026" type="#_x0000_t32" style="position:absolute;margin-left:199.2pt;margin-top:7.25pt;width:.7pt;height:4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NQ4BKAIAAEwEAAAOAAAAZHJzL2Uyb0RvYy54bWysVEuP2yAQvlfqf0DcE9tZJ5tYcVaVnfSy aiNt+wMIYBsVAwI2D1X97x2wk23aS1XVB5hhXt+8vH469xIduXVCqxJn0xQjrqhmQrUl/vplN1li 5DxRjEiteIkv3OGnzft365Mp+Ex3WjJuEThRrjiZEnfemyJJHO14T9xUG65A2GjbEw+sbRNmyQm8 9zKZpekiOWnLjNWUOwev9SDEm+i/aTj1n5vGcY9kiQGbj6eN5yGcyWZNitYS0wk6wiD/gKInQkHQ m6uaeIJerfjDVS+o1U43fkp1n+imEZTHHCCbLP0tm5eOGB5zgeI4cyuT+39u6afj3iLBSjzPMFKk hx5V0CnqtUU2XIhx1EhOO4LyUK6TcQVYVWpvQ8L0rF7Ms6bfHMiSO2FgnBnUzo3tgzpkjM6x/Jdb +fnZIwqPy+UKWkRBMF8+PjzOQ7SEFFdTY53/yHWPAlFi5y0RbecB7QA3iw0gx2fnB8OrQYir9E5I Ce+kkAqdSjyb52kaLZyWggVpEDrbHipp0ZGEgYnfCONOzepXxaK3jhO2HWlPhAQa+YuBMnoriGol xyFczxlGksOOBGrAJ1WICNkD4pEaZub7Kl1tl9tlPslni+0kT+t68mFX5ZPFLnuc1w91VdXZjwA+ y4tOMMZVwH+d3yz/u/kYN2mYvNsE3yqV3HuPvQCw1zuCjg0fehy6fdDssrchu8DByEblcb3CTvzK R623n8DmJwAAAP//AwBQSwMEFAAGAAgAAAAhADg5yJLfAAAACgEAAA8AAABkcnMvZG93bnJldi54 bWxMj8FOwzAQRO9I/IO1SNyoXdpCEuJUqALlSGkrcXViN7Gw11Hstunfs5zguDNPszPlevKOnc0Y bUAJ85kAZrAN2mIn4bB/f8iAxaRQKxfQSLiaCOvq9qZUhQ4X/DTnXeoYhWAslIQ+paHgPLa98SrO wmCQvGMYvUp0jh3Xo7pQuHf8UYgn7pVF+tCrwWx6037vTl5C/XWoN9upbvbuKObeflxXb5mV8v5u en0BlsyU/mD4rU/VoaJOTTihjsxJWOTZklAylitgBCzynLY0JIhnAbwq+f8J1Q8AAAD//wMAUEsB Ai0AFAAGAAgAAAAhALaDOJL+AAAA4QEAABMAAAAAAAAAAAAAAAAAAAAAAFtDb250ZW50X1R5cGVz XS54bWxQSwECLQAUAAYACAAAACEAOP0h/9YAAACUAQAACwAAAAAAAAAAAAAAAAAvAQAAX3JlbHMv LnJlbHNQSwECLQAUAAYACAAAACEATjUOASgCAABMBAAADgAAAAAAAAAAAAAAAAAuAgAAZHJzL2Uy b0RvYy54bWxQSwECLQAUAAYACAAAACEAODnIkt8AAAAKAQAADwAAAAAAAAAAAAAAAACCBAAAZHJz L2Rvd25yZXYueG1sUEsFBgAAAAAEAAQA8wAAAI4FAAAAAA== " strokeweight="2pt">
                <v:stroke endarrow="block"/>
                <o:lock v:ext="edit" shapetype="f"/>
              </v:shape>
            </w:pict>
          </mc:Fallback>
        </mc:AlternateContent>
      </w:r>
    </w:p>
    <w:p w:rsidR="00EA3232" w:rsidRPr="008C65ED" w:rsidRDefault="00282A5C" w:rsidP="00EA3232">
      <w:pPr>
        <w:jc w:val="cente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2525395</wp:posOffset>
                </wp:positionH>
                <wp:positionV relativeFrom="paragraph">
                  <wp:posOffset>161925</wp:posOffset>
                </wp:positionV>
                <wp:extent cx="2260600" cy="204470"/>
                <wp:effectExtent l="0" t="0" r="63500" b="62230"/>
                <wp:wrapNone/>
                <wp:docPr id="5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204470"/>
                        </a:xfrm>
                        <a:prstGeom prst="bentConnector3">
                          <a:avLst>
                            <a:gd name="adj1" fmla="val 99606"/>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0C29FE" id="AutoShape 44" o:spid="_x0000_s1026" type="#_x0000_t34" style="position:absolute;margin-left:198.85pt;margin-top:12.75pt;width:178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r9/VAIAAJsEAAAOAAAAZHJzL2Uyb0RvYy54bWysVE1v2zAMvQ/YfxB0T2ynTpoYdYrCTnbp 1gLtfoAiybE2fUFS4wTD/vso1Qna7TIM80GWLPLx8ZH0ze1RSXTgzguja1xMc4y4poYJva/x1+ft ZImRD0QzIo3mNT5xj2/XHz/cDLbiM9MbybhDAKJ9Ndga9yHYKss87bkifmos13DZGadIgKPbZ8yR AdCVzGZ5vsgG45h1hnLv4Wv7eonXCb/rOA0PXed5QLLGwC2k1aV1F9dsfUOqvSO2F3SkQf6BhSJC Q9ALVEsCQS9O/AGlBHXGmy5MqVGZ6TpBecoBsiny37J56onlKRcQx9uLTP7/wdIvh0eHBKvxHOTR REGN7l6CSaFRWUaBBusrsGv0o4sp0qN+sveGfvdIm6Ynes+T9fPJgnMRPbJ3LvHgLYTZDZ8NAxsC AZJax86pCAk6oGMqyulSFH4MiMLH2WyRL3IgR+FulpfldapaRqqzt3U+fOJGobip8Y7r0BitofbG XaU45HDvQyoPG3Mk7FuBUackVPtAJFqtIEqiTqrRGiKckaOrNlshZeoXqdEAXOYl0IpX3kjB4m06 uP2ukQ4BKuSSnhH3nZkSARpfClXj5cWIVD0nbKNZChOIkLBHIQkbnACpJccxtuIMI8lh5OIuKk4q qWN4kG3MNQqYWvDHKl9tlptlOSlni82kzNt2crdtysliW1zP26u2adriZ8ykKKteMMZ1TOY8DkX5 d+02DuZrI18G4iJb9h49UQaK53cinfomtspr0+0MOz26cz/BBCTjcVrjiL09w/7tP2X9CwAA//8D AFBLAwQUAAYACAAAACEAlzJzTN0AAAAJAQAADwAAAGRycy9kb3ducmV2LnhtbEyPwU7DMAyG70i8 Q2QkbiylU+koTSdAAnFlRUzc0iY01RKnSrK18PSYExzt/9Pvz/V2cZaddIijRwHXqwyYxt6rEQcB b+3T1QZYTBKVtB61gC8dYducn9WyUn7GV33apYFRCcZKCjApTRXnsTfaybjyk0bKPn1wMtEYBq6C nKncWZ5n2Q13ckS6YOSkH43uD7ujE/DQmpf9lLffmfXze9cFdyg/noW4vFju74AlvaQ/GH71SR0a cur8EVVkVsD6tiwJFZAXBTACymJNi05AQQFvav7/g+YHAAD//wMAUEsBAi0AFAAGAAgAAAAhALaD OJL+AAAA4QEAABMAAAAAAAAAAAAAAAAAAAAAAFtDb250ZW50X1R5cGVzXS54bWxQSwECLQAUAAYA CAAAACEAOP0h/9YAAACUAQAACwAAAAAAAAAAAAAAAAAvAQAAX3JlbHMvLnJlbHNQSwECLQAUAAYA CAAAACEAhFa/f1QCAACbBAAADgAAAAAAAAAAAAAAAAAuAgAAZHJzL2Uyb0RvYy54bWxQSwECLQAU AAYACAAAACEAlzJzTN0AAAAJAQAADwAAAAAAAAAAAAAAAACuBAAAZHJzL2Rvd25yZXYueG1sUEsF BgAAAAAEAAQA8wAAALgFAAAAAA== " adj="21515" strokeweight="2pt">
                <v:stroke endarrow="block"/>
              </v:shape>
            </w:pict>
          </mc:Fallback>
        </mc:AlternateContent>
      </w:r>
      <w:r w:rsidRPr="008C65ED">
        <w:rPr>
          <w:rFonts w:ascii="Arial Narrow" w:hAnsi="Arial Narrow"/>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567690</wp:posOffset>
                </wp:positionH>
                <wp:positionV relativeFrom="paragraph">
                  <wp:posOffset>161925</wp:posOffset>
                </wp:positionV>
                <wp:extent cx="1958975" cy="204470"/>
                <wp:effectExtent l="76200" t="0" r="22225" b="62230"/>
                <wp:wrapNone/>
                <wp:docPr id="4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58975" cy="204470"/>
                        </a:xfrm>
                        <a:prstGeom prst="bentConnector3">
                          <a:avLst>
                            <a:gd name="adj1" fmla="val 10013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5AAC2E" id="AutoShape 45" o:spid="_x0000_s1026" type="#_x0000_t34" style="position:absolute;margin-left:44.7pt;margin-top:12.75pt;width:154.25pt;height:16.1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sriQZQIAALUEAAAOAAAAZHJzL2Uyb0RvYy54bWysVE1v2zAMvQ/YfxB0T22nTpsYdYrCTnbp tgLtdlckOdamL0hqnGDYfy+lONnaXYZhPsiSRT7yPZK+ud0riXbceWF0jYuLHCOuqWFCb2v85Wk9 mWPkA9GMSKN5jQ/c49vl+3c3g6341PRGMu4QgGhfDbbGfQi2yjJPe66IvzCWa7jsjFMkwNFtM+bI AOhKZtM8v8oG45h1hnLv4Wt7vMTLhN91nIbPXed5QLLGkFtIq0vrJq7Z8oZUW0dsL+iYBvmHLBQR GoKeoVoSCHp24g8oJagz3nThghqVma4TlCcOwKbI37B57InliQuI4+1ZJv//YOmn3YNDgtW4XGCk iYIa3T0Hk0KjchYFGqyvwK7RDy5SpHv9aO8N/e6RNk1P9JYn66eDBeciemSvXOLBWwizGT4aBjYE AiS19p1TyBmoSpHP8/hg1Elhv0acGAsEQvtUrcO5WnwfEIWPxWI2X1zPMKJwN83L8jqVMyNVhI3e 1vnwgRuF4qbGG65DY7SGpjDuMuGT3b0PqW5sJE/YtwKSUBLaYEckKvK8uDwBj+YQ4gQdfbVZCylT J0mNBkhmVgKTeOWNFCzepoPbbhrpEMACmSPdKNYbMyUCjIQUqsajJgm654StNEv7QISEPQpJ8uAE FEFyHGMrzjCSHIYx7o7wUsfwoNtINiqYmvPHIl+s5qt5OSmnV6tJmbft5G7dlJOrdXE9ay/bpmmL n5FJUVa9YIzrSOY0KEX5d404juyxxc+jcpYte42eFIEUT++UdOqo2ETHdtwYdnhwkV1sLpiNZDzO cRy+38/J6tffZvkCAAD//wMAUEsDBBQABgAIAAAAIQC8WY0m3QAAAAgBAAAPAAAAZHJzL2Rvd25y ZXYueG1sTI8xT8MwFIR3JP6D9ZDYqEMhpEnzUqFKMLBQSrs7sZuk2M+R7aTh32MmGE93uvuu3MxG s0k531tCuF8kwBQ1VvbUIhw+X+5WwHwQJIW2pBC+lYdNdX1VikLaC32oaR9aFkvIFwKhC2EoOPdN p4zwCzsoit7JOiNClK7l0olLLDeaL5PkiRvRU1zoxKC2nWq+9qNBGM/T4fXE6+OwfTs6PRLX/e4d 8fZmfl4DC2oOf2H4xY/oUEWm2o4kPdMIq/wxJhGWaQos+g95lgOrEdIsA16V/P+B6gcAAP//AwBQ SwECLQAUAAYACAAAACEAtoM4kv4AAADhAQAAEwAAAAAAAAAAAAAAAAAAAAAAW0NvbnRlbnRfVHlw ZXNdLnhtbFBLAQItABQABgAIAAAAIQA4/SH/1gAAAJQBAAALAAAAAAAAAAAAAAAAAC8BAABfcmVs cy8ucmVsc1BLAQItABQABgAIAAAAIQBGsriQZQIAALUEAAAOAAAAAAAAAAAAAAAAAC4CAABkcnMv ZTJvRG9jLnhtbFBLAQItABQABgAIAAAAIQC8WY0m3QAAAAgBAAAPAAAAAAAAAAAAAAAAAL8EAABk cnMvZG93bnJldi54bWxQSwUGAAAAAAQABADzAAAAyQUAAAAA " adj="21628" strokeweight="2pt">
                <v:stroke endarrow="block"/>
              </v:shape>
            </w:pict>
          </mc:Fallback>
        </mc:AlternateContent>
      </w:r>
    </w:p>
    <w:p w:rsidR="00EA3232" w:rsidRPr="008C65ED" w:rsidRDefault="00EA3232" w:rsidP="00EA3232">
      <w:pPr>
        <w:jc w:val="center"/>
        <w:rPr>
          <w:rFonts w:ascii="Arial Narrow" w:hAnsi="Arial Narrow" w:cs="Arial"/>
        </w:rPr>
      </w:pPr>
    </w:p>
    <w:p w:rsidR="00EA3232" w:rsidRPr="008C65ED" w:rsidRDefault="00EA3232" w:rsidP="00EA3232">
      <w:pPr>
        <w:jc w:val="center"/>
        <w:rPr>
          <w:rFonts w:ascii="Arial Narrow" w:hAnsi="Arial Narrow" w:cs="Arial"/>
        </w:rPr>
      </w:pPr>
    </w:p>
    <w:p w:rsidR="00EA3232" w:rsidRPr="008C65ED" w:rsidRDefault="00D741A5" w:rsidP="00EA3232">
      <w:pPr>
        <w:jc w:val="cente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3874924</wp:posOffset>
                </wp:positionH>
                <wp:positionV relativeFrom="paragraph">
                  <wp:posOffset>85021</wp:posOffset>
                </wp:positionV>
                <wp:extent cx="1327150" cy="704335"/>
                <wp:effectExtent l="0" t="0" r="25400" b="19685"/>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04335"/>
                        </a:xfrm>
                        <a:prstGeom prst="rect">
                          <a:avLst/>
                        </a:prstGeom>
                        <a:solidFill>
                          <a:srgbClr val="FFFFFF"/>
                        </a:solidFill>
                        <a:ln w="9525">
                          <a:solidFill>
                            <a:srgbClr val="000000"/>
                          </a:solidFill>
                          <a:miter lim="800000"/>
                          <a:headEnd/>
                          <a:tailEnd/>
                        </a:ln>
                      </wps:spPr>
                      <wps:txbx>
                        <w:txbxContent>
                          <w:p w:rsidR="00B6053B" w:rsidRPr="009B3218" w:rsidRDefault="00B6053B" w:rsidP="00EA3232">
                            <w:pPr>
                              <w:jc w:val="center"/>
                              <w:rPr>
                                <w:rFonts w:ascii="Arial Narrow" w:hAnsi="Arial Narrow"/>
                                <w:sz w:val="24"/>
                              </w:rPr>
                            </w:pPr>
                            <w:r w:rsidRPr="009B3218">
                              <w:rPr>
                                <w:rFonts w:ascii="Arial Narrow" w:hAnsi="Arial Narrow"/>
                                <w:sz w:val="24"/>
                              </w:rPr>
                              <w:t>S</w:t>
                            </w:r>
                            <w:r>
                              <w:rPr>
                                <w:rFonts w:ascii="Arial Narrow" w:hAnsi="Arial Narrow"/>
                                <w:sz w:val="24"/>
                              </w:rPr>
                              <w:t>ubdirecció</w:t>
                            </w:r>
                            <w:r w:rsidRPr="009B3218">
                              <w:rPr>
                                <w:rFonts w:ascii="Arial Narrow" w:hAnsi="Arial Narrow"/>
                                <w:sz w:val="24"/>
                              </w:rPr>
                              <w:t xml:space="preserve">n de </w:t>
                            </w:r>
                          </w:p>
                          <w:p w:rsidR="00B6053B" w:rsidRDefault="00B6053B" w:rsidP="00EA3232">
                            <w:pPr>
                              <w:jc w:val="center"/>
                              <w:rPr>
                                <w:rFonts w:ascii="Arial Narrow" w:hAnsi="Arial Narrow"/>
                                <w:sz w:val="24"/>
                              </w:rPr>
                            </w:pPr>
                            <w:r w:rsidRPr="009B3218">
                              <w:rPr>
                                <w:rFonts w:ascii="Arial Narrow" w:hAnsi="Arial Narrow"/>
                                <w:sz w:val="24"/>
                              </w:rPr>
                              <w:t>Tesorería</w:t>
                            </w:r>
                          </w:p>
                          <w:p w:rsidR="00B6053B" w:rsidRPr="00DA65AA" w:rsidRDefault="00B6053B" w:rsidP="00EA3232">
                            <w:pPr>
                              <w:jc w:val="center"/>
                              <w:rPr>
                                <w:rFonts w:ascii="Arial Narrow" w:hAnsi="Arial Narrow"/>
                                <w:b/>
                                <w:i/>
                                <w:sz w:val="24"/>
                              </w:rPr>
                            </w:pPr>
                            <w:r w:rsidRPr="00DA65AA">
                              <w:rPr>
                                <w:rFonts w:ascii="Arial Narrow" w:hAnsi="Arial Narrow"/>
                                <w:b/>
                                <w:i/>
                                <w:sz w:val="24"/>
                              </w:rPr>
                              <w:t>Front Office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left:0;text-align:left;margin-left:305.1pt;margin-top:6.7pt;width:104.5pt;height: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">
                <v:textbox>
                  <w:txbxContent>
                    <w:p w:rsidR="00B6053B" w:rsidRPr="009B3218" w:rsidRDefault="00B6053B" w:rsidP="00EA3232">
                      <w:pPr>
                        <w:jc w:val="center"/>
                        <w:rPr>
                          <w:rFonts w:ascii="Arial Narrow" w:hAnsi="Arial Narrow"/>
                          <w:sz w:val="24"/>
                        </w:rPr>
                      </w:pPr>
                      <w:r w:rsidRPr="009B3218">
                        <w:rPr>
                          <w:rFonts w:ascii="Arial Narrow" w:hAnsi="Arial Narrow"/>
                          <w:sz w:val="24"/>
                        </w:rPr>
                        <w:t>S</w:t>
                      </w:r>
                      <w:r>
                        <w:rPr>
                          <w:rFonts w:ascii="Arial Narrow" w:hAnsi="Arial Narrow"/>
                          <w:sz w:val="24"/>
                        </w:rPr>
                        <w:t>ubdirecció</w:t>
                      </w:r>
                      <w:r w:rsidRPr="009B3218">
                        <w:rPr>
                          <w:rFonts w:ascii="Arial Narrow" w:hAnsi="Arial Narrow"/>
                          <w:sz w:val="24"/>
                        </w:rPr>
                        <w:t xml:space="preserve">n de </w:t>
                      </w:r>
                    </w:p>
                    <w:p w:rsidR="00B6053B" w:rsidRDefault="00B6053B" w:rsidP="00EA3232">
                      <w:pPr>
                        <w:jc w:val="center"/>
                        <w:rPr>
                          <w:rFonts w:ascii="Arial Narrow" w:hAnsi="Arial Narrow"/>
                          <w:sz w:val="24"/>
                        </w:rPr>
                      </w:pPr>
                      <w:r w:rsidRPr="009B3218">
                        <w:rPr>
                          <w:rFonts w:ascii="Arial Narrow" w:hAnsi="Arial Narrow"/>
                          <w:sz w:val="24"/>
                        </w:rPr>
                        <w:t>Tesorería</w:t>
                      </w:r>
                    </w:p>
                    <w:p w:rsidR="00B6053B" w:rsidRPr="00DA65AA" w:rsidRDefault="00B6053B" w:rsidP="00EA3232">
                      <w:pPr>
                        <w:jc w:val="center"/>
                        <w:rPr>
                          <w:rFonts w:ascii="Arial Narrow" w:hAnsi="Arial Narrow"/>
                          <w:b/>
                          <w:i/>
                          <w:sz w:val="24"/>
                        </w:rPr>
                      </w:pPr>
                      <w:r w:rsidRPr="00DA65AA">
                        <w:rPr>
                          <w:rFonts w:ascii="Arial Narrow" w:hAnsi="Arial Narrow"/>
                          <w:b/>
                          <w:i/>
                          <w:sz w:val="24"/>
                        </w:rPr>
                        <w:t>Front Office</w:t>
                      </w:r>
                    </w:p>
                  </w:txbxContent>
                </v:textbox>
              </v:shape>
            </w:pict>
          </mc:Fallback>
        </mc:AlternateContent>
      </w:r>
      <w:r w:rsidR="00282A5C" w:rsidRPr="008C65ED">
        <w:rPr>
          <w:rFonts w:ascii="Arial Narrow" w:hAnsi="Arial Narrow"/>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85090</wp:posOffset>
                </wp:positionV>
                <wp:extent cx="1326515" cy="603250"/>
                <wp:effectExtent l="0" t="0" r="26035" b="25400"/>
                <wp:wrapNone/>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03250"/>
                        </a:xfrm>
                        <a:prstGeom prst="rect">
                          <a:avLst/>
                        </a:prstGeom>
                        <a:solidFill>
                          <a:srgbClr val="FFFFFF"/>
                        </a:solidFill>
                        <a:ln w="9525">
                          <a:solidFill>
                            <a:srgbClr val="000000"/>
                          </a:solidFill>
                          <a:miter lim="800000"/>
                          <a:headEnd/>
                          <a:tailEnd/>
                        </a:ln>
                      </wps:spPr>
                      <wps:txbx>
                        <w:txbxContent>
                          <w:p w:rsidR="00B6053B" w:rsidRPr="009B3218" w:rsidRDefault="00B6053B" w:rsidP="00EA3232">
                            <w:pPr>
                              <w:jc w:val="center"/>
                              <w:rPr>
                                <w:rFonts w:ascii="Arial Narrow" w:hAnsi="Arial Narrow"/>
                                <w:sz w:val="24"/>
                              </w:rPr>
                            </w:pPr>
                            <w:r w:rsidRPr="009B3218">
                              <w:rPr>
                                <w:rFonts w:ascii="Arial Narrow" w:hAnsi="Arial Narrow"/>
                                <w:sz w:val="24"/>
                              </w:rPr>
                              <w:t>Subdirección de Operaciones</w:t>
                            </w:r>
                          </w:p>
                          <w:p w:rsidR="00B6053B" w:rsidRPr="00DA65AA" w:rsidRDefault="00B6053B" w:rsidP="00EA3232">
                            <w:pPr>
                              <w:jc w:val="center"/>
                              <w:rPr>
                                <w:rFonts w:ascii="Arial Narrow" w:hAnsi="Arial Narrow"/>
                                <w:b/>
                                <w:i/>
                                <w:sz w:val="24"/>
                              </w:rPr>
                            </w:pPr>
                            <w:r w:rsidRPr="00DA65AA">
                              <w:rPr>
                                <w:rFonts w:ascii="Arial Narrow" w:hAnsi="Arial Narrow"/>
                                <w:b/>
                                <w:i/>
                                <w:sz w:val="24"/>
                              </w:rPr>
                              <w:t>Back Office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left:0;text-align:left;margin-left:.1pt;margin-top:6.7pt;width:104.45pt;height: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">
                <v:textbox>
                  <w:txbxContent>
                    <w:p w:rsidR="00B6053B" w:rsidRPr="009B3218" w:rsidRDefault="00B6053B" w:rsidP="00EA3232">
                      <w:pPr>
                        <w:jc w:val="center"/>
                        <w:rPr>
                          <w:rFonts w:ascii="Arial Narrow" w:hAnsi="Arial Narrow"/>
                          <w:sz w:val="24"/>
                        </w:rPr>
                      </w:pPr>
                      <w:r w:rsidRPr="009B3218">
                        <w:rPr>
                          <w:rFonts w:ascii="Arial Narrow" w:hAnsi="Arial Narrow"/>
                          <w:sz w:val="24"/>
                        </w:rPr>
                        <w:t>Subdirección de Operaciones</w:t>
                      </w:r>
                    </w:p>
                    <w:p w:rsidR="00B6053B" w:rsidRPr="00DA65AA" w:rsidRDefault="00B6053B" w:rsidP="00EA3232">
                      <w:pPr>
                        <w:jc w:val="center"/>
                        <w:rPr>
                          <w:rFonts w:ascii="Arial Narrow" w:hAnsi="Arial Narrow"/>
                          <w:b/>
                          <w:i/>
                          <w:sz w:val="24"/>
                        </w:rPr>
                      </w:pPr>
                      <w:r w:rsidRPr="00DA65AA">
                        <w:rPr>
                          <w:rFonts w:ascii="Arial Narrow" w:hAnsi="Arial Narrow"/>
                          <w:b/>
                          <w:i/>
                          <w:sz w:val="24"/>
                        </w:rPr>
                        <w:t>Back Office</w:t>
                      </w:r>
                    </w:p>
                  </w:txbxContent>
                </v:textbox>
              </v:shape>
            </w:pict>
          </mc:Fallback>
        </mc:AlternateContent>
      </w:r>
      <w:r w:rsidR="00282A5C" w:rsidRPr="008C65ED">
        <w:rPr>
          <w:rFonts w:ascii="Arial Narrow" w:hAnsi="Arial Narrow"/>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1877060</wp:posOffset>
                </wp:positionH>
                <wp:positionV relativeFrom="paragraph">
                  <wp:posOffset>85090</wp:posOffset>
                </wp:positionV>
                <wp:extent cx="1326515" cy="683895"/>
                <wp:effectExtent l="0" t="0" r="0" b="0"/>
                <wp:wrapNone/>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8389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053B" w:rsidRPr="009B3218" w:rsidRDefault="00B6053B" w:rsidP="00EA3232">
                            <w:pPr>
                              <w:jc w:val="center"/>
                              <w:rPr>
                                <w:rFonts w:ascii="Arial Narrow" w:hAnsi="Arial Narrow"/>
                                <w:sz w:val="24"/>
                              </w:rPr>
                            </w:pPr>
                            <w:r w:rsidRPr="009B3218">
                              <w:rPr>
                                <w:rFonts w:ascii="Arial Narrow" w:hAnsi="Arial Narrow"/>
                                <w:sz w:val="24"/>
                              </w:rPr>
                              <w:t>Subdirección de Riesgo</w:t>
                            </w:r>
                          </w:p>
                          <w:p w:rsidR="00B6053B" w:rsidRPr="00DA65AA" w:rsidRDefault="00B6053B" w:rsidP="00EA3232">
                            <w:pPr>
                              <w:jc w:val="center"/>
                              <w:rPr>
                                <w:rFonts w:ascii="Arial Narrow" w:hAnsi="Arial Narrow"/>
                                <w:b/>
                                <w:i/>
                                <w:sz w:val="24"/>
                              </w:rPr>
                            </w:pPr>
                            <w:r w:rsidRPr="00DA65AA">
                              <w:rPr>
                                <w:rFonts w:ascii="Arial Narrow" w:hAnsi="Arial Narrow"/>
                                <w:b/>
                                <w:i/>
                                <w:sz w:val="24"/>
                              </w:rPr>
                              <w:t>Middle Office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147.8pt;margin-top:6.7pt;width:104.4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">
                <v:textbox>
                  <w:txbxContent>
                    <w:p w:rsidR="00B6053B" w:rsidRPr="009B3218" w:rsidRDefault="00B6053B" w:rsidP="00EA3232">
                      <w:pPr>
                        <w:jc w:val="center"/>
                        <w:rPr>
                          <w:rFonts w:ascii="Arial Narrow" w:hAnsi="Arial Narrow"/>
                          <w:sz w:val="24"/>
                        </w:rPr>
                      </w:pPr>
                      <w:r w:rsidRPr="009B3218">
                        <w:rPr>
                          <w:rFonts w:ascii="Arial Narrow" w:hAnsi="Arial Narrow"/>
                          <w:sz w:val="24"/>
                        </w:rPr>
                        <w:t>Subdirección de Riesgo</w:t>
                      </w:r>
                    </w:p>
                    <w:p w:rsidR="00B6053B" w:rsidRPr="00DA65AA" w:rsidRDefault="00B6053B" w:rsidP="00EA3232">
                      <w:pPr>
                        <w:jc w:val="center"/>
                        <w:rPr>
                          <w:rFonts w:ascii="Arial Narrow" w:hAnsi="Arial Narrow"/>
                          <w:b/>
                          <w:i/>
                          <w:sz w:val="24"/>
                        </w:rPr>
                      </w:pPr>
                      <w:r w:rsidRPr="00DA65AA">
                        <w:rPr>
                          <w:rFonts w:ascii="Arial Narrow" w:hAnsi="Arial Narrow"/>
                          <w:b/>
                          <w:i/>
                          <w:sz w:val="24"/>
                        </w:rPr>
                        <w:t>Middle Office</w:t>
                      </w:r>
                    </w:p>
                  </w:txbxContent>
                </v:textbox>
              </v:shape>
            </w:pict>
          </mc:Fallback>
        </mc:AlternateContent>
      </w:r>
      <w:r w:rsidR="00282A5C" w:rsidRPr="008C65ED">
        <w:rPr>
          <w:rFonts w:ascii="Arial Narrow" w:hAnsi="Arial Narrow"/>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3209925</wp:posOffset>
                </wp:positionH>
                <wp:positionV relativeFrom="paragraph">
                  <wp:posOffset>370205</wp:posOffset>
                </wp:positionV>
                <wp:extent cx="614680" cy="635"/>
                <wp:effectExtent l="0" t="76200" r="13970" b="94615"/>
                <wp:wrapNone/>
                <wp:docPr id="4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635"/>
                        </a:xfrm>
                        <a:prstGeom prst="bentConnector3">
                          <a:avLst>
                            <a:gd name="adj1" fmla="val 50000"/>
                          </a:avLst>
                        </a:prstGeom>
                        <a:noFill/>
                        <a:ln w="25400">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F3F617" id="AutoShape 39" o:spid="_x0000_s1026" type="#_x0000_t34" style="position:absolute;margin-left:252.75pt;margin-top:29.15pt;width:48.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9pNXwIAALEEAAAOAAAAZHJzL2Uyb0RvYy54bWysVMuO0zAU3SPxD5b3nSRtWjrRpKNR0rIZ oNIMH+DaTmPwS7anaYX4d67dtDCwQYgsHDs+99x77iN390cl0YE7L4yucXGTY8Q1NUzofY0/P28m S4x8IJoRaTSv8Yl7fL96++ZusBWfmt5Ixh0CEu2rwda4D8FWWeZpzxXxN8ZyDZedcYoEOLp9xhwZ gF3JbJrni2wwjllnKPcevrbnS7xK/F3HafjUdZ4HJGsMsYW0urTu4pqt7ki1d8T2go5hkH+IQhGh wemVqiWBoBcn/qBSgjrjTRduqFGZ6TpBedIAaor8NzVPPbE8aYHkeHtNk/9/tPTjYeuQYDUu5xhp oqBGDy/BJNdodhsTNFhfAa7RWxcl0qN+so+GfvVIm6Ynes8T+vlkwbiIFtkrk3jwFtzshg+GAYaA g5StY+dUpIQ8oGMqyulaFH4MiMLHRVEullA6CleL2TzRk+piaZ0P77lRKG5qvOM6NEZrqLtxs+SD HB59SKVhoz7CvhQYdUpCpQ9EonkOz8g7ojNSXZijqTYbIWXqFanRUOPpvASTeOWNFCzepoPb7xrp ELCCjvSMvK9gkbolvj/j/Mm3JkQcqZQIMA5SqBovr+ak6jlha80SJBAhYY9CSndwAgogOY5RKc4w khwGMe5iHUgldeSFZI5ZiGlNjfntNr9dL9fLclJOF+tJmbft5GHTlJPFpng3b2dt07TF96ixKKte MMZ1lHkZkqL8uyYcx/Xc3tcxuSY0e82eQoYQL+8UdOqm2EDnVtwZdtq6qC42FsxFAo8zHAfv13NC /fzTrH4AAAD//wMAUEsDBBQABgAIAAAAIQB3kVvv3wAAAAkBAAAPAAAAZHJzL2Rvd25yZXYueG1s TI9BT8MwDIXvSPyHyEhc0JZu0Gnqmk4TCKFKXBho56zx2mqJU5p0Lf8e7wS3Z7+n58/5dnJWXLAP rScFi3kCAqnypqVawdfn62wNIkRNRltPqOAHA2yL25tcZ8aP9IGXfawFl1DItIImxi6TMlQNOh3m vkNi7+R7pyOPfS1Nr0cud1Yuk2QlnW6JLzS6w+cGq/N+cApOL/VgH75pd3ifxvFtUZbl4dwpdX83 7TYgIk7xLwxXfEaHgpmOfiAThFWQJmnKURbrRxAcWCVLFsfr4glkkcv/HxS/AAAA//8DAFBLAQIt ABQABgAIAAAAIQC2gziS/gAAAOEBAAATAAAAAAAAAAAAAAAAAAAAAABbQ29udGVudF9UeXBlc10u eG1sUEsBAi0AFAAGAAgAAAAhADj9If/WAAAAlAEAAAsAAAAAAAAAAAAAAAAALwEAAF9yZWxzLy5y ZWxzUEsBAi0AFAAGAAgAAAAhAAQz2k1fAgAAsQQAAA4AAAAAAAAAAAAAAAAALgIAAGRycy9lMm9E b2MueG1sUEsBAi0AFAAGAAgAAAAhAHeRW+/fAAAACQEAAA8AAAAAAAAAAAAAAAAAuQQAAGRycy9k b3ducmV2LnhtbFBLBQYAAAAABAAEAPMAAADFBQAAAAA= " strokeweight="2pt">
                <v:stroke dashstyle="1 1" endarrow="block"/>
              </v:shape>
            </w:pict>
          </mc:Fallback>
        </mc:AlternateContent>
      </w:r>
      <w:r w:rsidR="00282A5C" w:rsidRPr="008C65ED">
        <w:rPr>
          <w:rFonts w:ascii="Arial Narrow" w:hAnsi="Arial Narrow"/>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1327785</wp:posOffset>
                </wp:positionH>
                <wp:positionV relativeFrom="paragraph">
                  <wp:posOffset>369570</wp:posOffset>
                </wp:positionV>
                <wp:extent cx="549275" cy="635"/>
                <wp:effectExtent l="38100" t="76200" r="0" b="94615"/>
                <wp:wrapNone/>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49275" cy="635"/>
                        </a:xfrm>
                        <a:prstGeom prst="bentConnector3">
                          <a:avLst>
                            <a:gd name="adj1" fmla="val 49944"/>
                          </a:avLst>
                        </a:prstGeom>
                        <a:noFill/>
                        <a:ln w="25400">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394744" id="AutoShape 38" o:spid="_x0000_s1026" type="#_x0000_t34" style="position:absolute;margin-left:104.55pt;margin-top:29.1pt;width:43.25pt;height:.0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10HpawIAAMAEAAAOAAAAZHJzL2Uyb0RvYy54bWysVE2P2jAQvVfqf7B8Z5NAYCEirFYJ9LLt rrTbH2Bsh7j1R2R7Cajqf+/YydLSXqqqHMzYHr+Z92Ym67uTkujIrRNGlzi7STHimhom9KHEn192 kyVGzhPNiDSal/jMHb7bvH+37ruCT01rJOMWAYh2Rd+VuPW+K5LE0ZYr4m5MxzVcNsYq4mFrDwmz pAd0JZNpmi6S3ljWWUO5c3BaD5d4E/GbhlP/2DSOeyRLDLn5uNq47sOabNakOFjStYKOaZB/yEIR oSHoBaomnqBXK/6AUoJa40zjb6hRiWkaQXnkAGyy9Dc2zy3peOQC4rjuIpP7f7D00/HJIsFKnOcY aaKgRvev3sTQaLYMAvWdK8Cv0k82UKQn/dw9GPrVIW2qlugDj94v5w4eZ+FFcvUkbFwHYfb9R8PA h0CAqNapsQpZA1XJ0mUafvEYZEGnWKPzpUb85BGFw3m+mt7OMaJwtZjNYzRSBKCQW2ed/8CNQsEo 8Z5rXxmtoQ2MnUVscnxwPlaKjXQJ+5Jh1CgJhT8SifLVCrQILEgxeoP1hhyearMTUsbWkRr1JZ7O 8zF1Z6Rg4Tb4OXvYV9IiQAUeA78B98otQNfEtYOfO7va+BCfFEp4mA4pVIlHeeJxywnbahZtT4QE G/movrcC6iE5DlkpzjCSHOYyWENgqQMuiDmqEGSNffptla62y+0yn+TTxXaSp3U9ud9V+WSxy27n 9ayuqjr7HiTM8qIVjHEdaL7NTJb/XU+O0zt0+2VqLoIm1+ixBpDi239MOjZX6KehM/eGnZ9sYBf6 DMYkOo8jHebw1330+vnh2fwAAAD//wMAUEsDBBQABgAIAAAAIQB7RPnz3wAAAAkBAAAPAAAAZHJz L2Rvd25yZXYueG1sTI+xTsMwEIZ3JN7BOiQWRJ0GNUpDnKoqYqkYSmFgdOIjtojPke024e1xJzre 3af/vr/ezHZgZ/TBOBKwXGTAkDqnDPUCPj9eH0tgIUpScnCEAn4xwKa5vallpdxE73g+xp6lEAqV FKBjHCvOQ6fRyrBwI1K6fTtvZUyj77nyckrhduB5lhXcSkPpg5Yj7jR2P8eTFVAeXsKXMXa33+69 ntpDVxYPb0Lc383bZ2AR5/gPw0U/qUOTnFp3IhXYICDP1suECliVObAE5OtVAay9LJ6ANzW/btD8 AQAA//8DAFBLAQItABQABgAIAAAAIQC2gziS/gAAAOEBAAATAAAAAAAAAAAAAAAAAAAAAABbQ29u dGVudF9UeXBlc10ueG1sUEsBAi0AFAAGAAgAAAAhADj9If/WAAAAlAEAAAsAAAAAAAAAAAAAAAAA LwEAAF9yZWxzLy5yZWxzUEsBAi0AFAAGAAgAAAAhAHrXQelrAgAAwAQAAA4AAAAAAAAAAAAAAAAA LgIAAGRycy9lMm9Eb2MueG1sUEsBAi0AFAAGAAgAAAAhAHtE+fPfAAAACQEAAA8AAAAAAAAAAAAA AAAAxQQAAGRycy9kb3ducmV2LnhtbFBLBQYAAAAABAAEAPMAAADRBQAAAAA= " adj="10788" strokeweight="2pt">
                <v:stroke dashstyle="1 1" endarrow="block"/>
              </v:shape>
            </w:pict>
          </mc:Fallback>
        </mc:AlternateContent>
      </w:r>
    </w:p>
    <w:p w:rsidR="00EA3232" w:rsidRPr="008C65ED" w:rsidRDefault="00EA3232" w:rsidP="00EA3232">
      <w:pPr>
        <w:jc w:val="center"/>
        <w:rPr>
          <w:rFonts w:ascii="Arial Narrow" w:hAnsi="Arial Narrow" w:cs="Arial"/>
        </w:rPr>
      </w:pPr>
    </w:p>
    <w:p w:rsidR="00EA3232" w:rsidRPr="008C65ED" w:rsidRDefault="00EA3232" w:rsidP="00EA3232">
      <w:pPr>
        <w:jc w:val="center"/>
        <w:rPr>
          <w:rFonts w:ascii="Arial Narrow" w:hAnsi="Arial Narrow" w:cs="Arial"/>
        </w:rPr>
      </w:pPr>
    </w:p>
    <w:p w:rsidR="00EA3232" w:rsidRPr="008C65ED" w:rsidRDefault="00EA3232" w:rsidP="00EA3232">
      <w:pPr>
        <w:rPr>
          <w:rFonts w:ascii="Arial Narrow" w:hAnsi="Arial Narrow" w:cs="Arial"/>
        </w:rPr>
      </w:pPr>
    </w:p>
    <w:p w:rsidR="00EA3232" w:rsidRPr="008C65ED" w:rsidRDefault="00EA3232" w:rsidP="00EA3232">
      <w:pPr>
        <w:rPr>
          <w:rFonts w:ascii="Arial Narrow" w:hAnsi="Arial Narrow" w:cs="Arial"/>
        </w:rPr>
      </w:pPr>
    </w:p>
    <w:p w:rsidR="00EA3232" w:rsidRPr="008C65ED" w:rsidRDefault="00EA3232" w:rsidP="00EA3232">
      <w:pPr>
        <w:rPr>
          <w:rFonts w:ascii="Arial Narrow" w:hAnsi="Arial Narrow" w:cs="Arial"/>
        </w:rPr>
      </w:pPr>
    </w:p>
    <w:p w:rsidR="00EA3232" w:rsidRPr="008C65ED" w:rsidRDefault="00EA3232" w:rsidP="00EA3232">
      <w:pPr>
        <w:rPr>
          <w:rFonts w:ascii="Arial Narrow" w:hAnsi="Arial Narrow" w:cs="Arial"/>
        </w:rPr>
      </w:pPr>
    </w:p>
    <w:p w:rsidR="00EA3232" w:rsidRPr="008C65ED" w:rsidRDefault="00282A5C" w:rsidP="00EA3232">
      <w:pPr>
        <w:rPr>
          <w:rFonts w:ascii="Arial Narrow" w:hAnsi="Arial Narrow" w:cs="Arial"/>
          <w:sz w:val="24"/>
        </w:rPr>
      </w:pPr>
      <w:r w:rsidRPr="008C65ED">
        <w:rPr>
          <w:rFonts w:ascii="Arial Narrow" w:hAnsi="Arial Narrow" w:cs="Arial"/>
          <w:noProof/>
          <w:sz w:val="24"/>
          <w:lang w:val="en-US" w:eastAsia="en-US"/>
        </w:rPr>
        <mc:AlternateContent>
          <mc:Choice Requires="wps">
            <w:drawing>
              <wp:anchor distT="4294967293" distB="4294967293" distL="114300" distR="114300" simplePos="0" relativeHeight="251662336" behindDoc="0" locked="0" layoutInCell="1" allowOverlap="1">
                <wp:simplePos x="0" y="0"/>
                <wp:positionH relativeFrom="column">
                  <wp:posOffset>1450975</wp:posOffset>
                </wp:positionH>
                <wp:positionV relativeFrom="paragraph">
                  <wp:posOffset>90169</wp:posOffset>
                </wp:positionV>
                <wp:extent cx="528320" cy="0"/>
                <wp:effectExtent l="0" t="76200" r="24130" b="9525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BDE264" id="AutoShape 30" o:spid="_x0000_s1026" type="#_x0000_t32" style="position:absolute;margin-left:114.25pt;margin-top:7.1pt;width:41.6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bJRlNQIAAF8EAAAOAAAAZHJzL2Uyb0RvYy54bWysVNuO2yAQfa/Uf0C8J77E2WatOKuVnfRl 20ba7QcQwDYqBgQkTlT13zuQS3fbl6qqH/DguZ05M+Plw3GQ6MCtE1pVOJumGHFFNROqq/DXl81k gZHzRDEiteIVPnGHH1bv3y1HU/Jc91oybhEEUa4cTYV7702ZJI72fCBuqg1XoGy1HYiHq+0SZskI 0QeZ5Gl6l4zaMmM15c7B1+asxKsYv2059V/a1nGPZIUBm4+njecunMlqScrOEtMLeoFB/gHFQISC pLdQDfEE7a34I9QgqNVOt35K9ZDothWUxxqgmiz9rZrnnhgeawFynLnR5P5fWPr5sLVIsAoXM4wU GaBHj3uvY2o0iwSNxpVgV6utDSXSo3o2T5p+c0jpuieq49H65WTAOQuUJm9cwsUZSLMbP2kGNgQS RLaOrR1CSOABHWNTTrem8KNHFD7O88Ush9bRqyoh5dXPWOc/cj2gIFTYeUtE1/taKwWd1zaLWcjh yfmAipRXh5BU6Y2QMg6AVGiscD4v0jR6OC0FC9pg52y3q6VFBxJmKD6xRtC8NrN6r1iM1nPC1hfZ EyFBRj6S460AuiTHId3AGUaSw9oE6YxPqpARSgfEF+k8Rt/v0/v1Yr0oJkV+t54UadNMHjd1Mbnb ZB/mzayp6yb7EcBnRdkLxrgK+K8jnRV/NzKX5ToP422ob0wlb6NHSgHs9R1Bx96HdocddOVOs9PW hurCDaY4Gl82LqzJ63u0+vVfWP0EAAD//wMAUEsDBBQABgAIAAAAIQB/4VTm3QAAAAkBAAAPAAAA ZHJzL2Rvd25yZXYueG1sTI9NT8MwDIbvSPyHyEjcWNrCoCpNJzSBeoR9SFzTxmsjGqdqsq379xhx gKP9Pnr9uFzNbhAnnIL1pCBdJCCQWm8sdQr2u7e7HESImowePKGCCwZYVddXpS6MP9MGT9vYCS6h UGgFfYxjIWVoe3Q6LPyIxNnBT05HHqdOmkmfudwNMkuSR+m0Jb7Q6xHXPbZf26NTUH/u6/XHXDe7 4ZCkzr5flq+5Ver2Zn55BhFxjn8w/OizOlTs1PgjmSAGBVmWLxnl4CEDwcB9mj6BaH4Xsirl/w+q bwAAAP//AwBQSwECLQAUAAYACAAAACEAtoM4kv4AAADhAQAAEwAAAAAAAAAAAAAAAAAAAAAAW0Nv bnRlbnRfVHlwZXNdLnhtbFBLAQItABQABgAIAAAAIQA4/SH/1gAAAJQBAAALAAAAAAAAAAAAAAAA AC8BAABfcmVscy8ucmVsc1BLAQItABQABgAIAAAAIQA4bJRlNQIAAF8EAAAOAAAAAAAAAAAAAAAA AC4CAABkcnMvZTJvRG9jLnhtbFBLAQItABQABgAIAAAAIQB/4VTm3QAAAAkBAAAPAAAAAAAAAAAA AAAAAI8EAABkcnMvZG93bnJldi54bWxQSwUGAAAAAAQABADzAAAAmQUAAAAA " strokeweight="2pt">
                <v:stroke endarrow="block"/>
              </v:shape>
            </w:pict>
          </mc:Fallback>
        </mc:AlternateContent>
      </w:r>
      <w:r w:rsidR="00EA3232" w:rsidRPr="008C65ED">
        <w:rPr>
          <w:rFonts w:ascii="Arial Narrow" w:hAnsi="Arial Narrow" w:cs="Arial"/>
          <w:sz w:val="24"/>
        </w:rPr>
        <w:t xml:space="preserve">Línea de autoridad: </w:t>
      </w:r>
    </w:p>
    <w:p w:rsidR="00EA3232" w:rsidRPr="008C65ED" w:rsidRDefault="00282A5C" w:rsidP="00EA3232">
      <w:pPr>
        <w:rPr>
          <w:rFonts w:ascii="Arial Narrow" w:hAnsi="Arial Narrow" w:cs="Arial"/>
          <w:sz w:val="24"/>
        </w:rPr>
      </w:pPr>
      <w:r w:rsidRPr="008C65ED">
        <w:rPr>
          <w:rFonts w:ascii="Arial Narrow" w:hAnsi="Arial Narrow" w:cs="Arial"/>
          <w:noProof/>
          <w:sz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1450975</wp:posOffset>
                </wp:positionH>
                <wp:positionV relativeFrom="paragraph">
                  <wp:posOffset>92075</wp:posOffset>
                </wp:positionV>
                <wp:extent cx="539115" cy="635"/>
                <wp:effectExtent l="0" t="76200" r="13335" b="94615"/>
                <wp:wrapNone/>
                <wp:docPr id="4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635"/>
                        </a:xfrm>
                        <a:prstGeom prst="bentConnector3">
                          <a:avLst>
                            <a:gd name="adj1" fmla="val 49940"/>
                          </a:avLst>
                        </a:prstGeom>
                        <a:noFill/>
                        <a:ln w="25400">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9F7A68" id="AutoShape 31" o:spid="_x0000_s1026" type="#_x0000_t34" style="position:absolute;margin-left:114.25pt;margin-top:7.25pt;width:42.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7IDgYQIAALEEAAAOAAAAZHJzL2Uyb0RvYy54bWysVE2P0zAQvSPxHyzfu0natLTRpqtV0nJZ YKVdfoBrO43BX7K9TSvEf2fspoWFC0Lk4NjxzJt5b2Zye3dUEh2488LoGhc3OUZcU8OE3tf48/N2 ssTIB6IZkUbzGp+4x3frt29uB1vxqemNZNwhANG+GmyN+xBslWWe9lwRf2Ms13DZGadIgKPbZ8yR AdCVzKZ5vsgG45h1hnLv4Wt7vsTrhN91nIZPXed5QLLGkFtIq0vrLq7Z+pZUe0dsL+iYBvmHLBQR GoJeoVoSCHpx4g8oJagz3nThhhqVma4TlCcOwKbIf2Pz1BPLExcQx9urTP7/wdKPh0eHBKtxOcVI EwU1un8JJoVGsyIKNFhfgV2jH12kSI/6yT4Y+tUjbZqe6D1P1s8nC87JI3vlEg/eQpjd8MEwsCEQ IKl17JyKkKADOqainK5F4ceAKHycz1ZFMceIwtViNo8JZaS6eFrnw3tuFIqbGu+4Do3RGupu3CzF IIcHH1Jp2MiPsC8FRp2SUOkDkahcrcrUCYA7WsPughxdtdkKKVOvSI2GGk/nZZ4neG+kYPE22nm3 3zXSIUAFHukZ831lFqFb4vuznT/51oRzJyoRYBykUDVeXt1J1XPCNpqlBAIREvYoJLmDE1AAyXHM SnGGkeQwiHF3FkrqmBiIOaoQZU2N+W2VrzbLzbKclNPFZlLmbTu53zblZLEt3s3bWds0bfE9cizK qheMcR1pXoakKP+uCcdxPbf3dUyugmav0VNtIcXLOyWduik20LkVd4adHl1kFxsL5iIZjzMcB+/X c7L6+adZ/wAAAP//AwBQSwMEFAAGAAgAAAAhADrB00DgAAAACQEAAA8AAABkcnMvZG93bnJldi54 bWxMj0FPwzAMhe9I/IfISFwQS9du01SaTmyCAwgJ2CbOaWPaisYpSbaVf493gpNlv6fn7xWr0fbi iD50jhRMJwkIpNqZjhoF+93j7RJEiJqM7h2hgh8MsCovLwqdG3eidzxuYyM4hEKuFbQxDrmUoW7R 6jBxAxJrn85bHXn1jTRenzjc9jJNkoW0uiP+0OoBNy3WX9uDVVCt585lbw/+1X/Tx/PNetM9vXRK XV+N93cgIo7xzwxnfEaHkpkqdyATRK8gTZdztrIw48mGbJrNQFTnwwJkWcj/DcpfAAAA//8DAFBL AQItABQABgAIAAAAIQC2gziS/gAAAOEBAAATAAAAAAAAAAAAAAAAAAAAAABbQ29udGVudF9UeXBl c10ueG1sUEsBAi0AFAAGAAgAAAAhADj9If/WAAAAlAEAAAsAAAAAAAAAAAAAAAAALwEAAF9yZWxz Ly5yZWxzUEsBAi0AFAAGAAgAAAAhAAzsgOBhAgAAsQQAAA4AAAAAAAAAAAAAAAAALgIAAGRycy9l Mm9Eb2MueG1sUEsBAi0AFAAGAAgAAAAhADrB00DgAAAACQEAAA8AAAAAAAAAAAAAAAAAuwQAAGRy cy9kb3ducmV2LnhtbFBLBQYAAAAABAAEAPMAAADIBQAAAAA= " adj="10787" strokeweight="2pt">
                <v:stroke dashstyle="1 1" endarrow="block"/>
              </v:shape>
            </w:pict>
          </mc:Fallback>
        </mc:AlternateContent>
      </w:r>
      <w:r w:rsidR="00EA3232" w:rsidRPr="008C65ED">
        <w:rPr>
          <w:rFonts w:ascii="Arial Narrow" w:hAnsi="Arial Narrow" w:cs="Arial"/>
          <w:sz w:val="24"/>
        </w:rPr>
        <w:t xml:space="preserve">Línea de control:   </w:t>
      </w:r>
    </w:p>
    <w:p w:rsidR="00EA3232" w:rsidRPr="008C65ED" w:rsidRDefault="00EA3232" w:rsidP="007322C8">
      <w:pPr>
        <w:jc w:val="both"/>
        <w:rPr>
          <w:rFonts w:ascii="Arial Narrow" w:hAnsi="Arial Narrow" w:cs="Arial"/>
          <w:sz w:val="24"/>
        </w:rPr>
      </w:pPr>
    </w:p>
    <w:p w:rsidR="00F71F22" w:rsidRDefault="00F71F22" w:rsidP="00F71F22">
      <w:pPr>
        <w:jc w:val="both"/>
        <w:rPr>
          <w:rFonts w:ascii="Arial Narrow" w:hAnsi="Arial Narrow" w:cs="Arial"/>
          <w:i/>
          <w:sz w:val="24"/>
        </w:rPr>
      </w:pPr>
      <w:r w:rsidRPr="00DA65AA">
        <w:rPr>
          <w:rFonts w:ascii="Arial Narrow" w:hAnsi="Arial Narrow" w:cs="Arial"/>
          <w:sz w:val="24"/>
        </w:rPr>
        <w:t>La Subdirección de Riesgo ejerce funciones de control a las actividades de la Subdirección de Operaciones (en el registro, cumplimiento y contabilidad de las operaciones ejecutadas por la Subdirección de Tesorería) y a la Subdirección de Tesorería (en cuanto al cumplimiento de las políticas y directrices en materia de administración de portafolio y gestión de riesgo decretadas por este manual y por el Comité de Tesorería). Por tanto, puede afirmarse que la Subdirección de Riesgo tiene funciones de Middle Office</w:t>
      </w:r>
      <w:r w:rsidRPr="00DA65AA">
        <w:rPr>
          <w:rFonts w:ascii="Arial Narrow" w:hAnsi="Arial Narrow" w:cs="Arial"/>
          <w:i/>
          <w:sz w:val="24"/>
        </w:rPr>
        <w:t>.</w:t>
      </w:r>
    </w:p>
    <w:p w:rsidR="00F71F22" w:rsidRPr="00DA65AA" w:rsidRDefault="00F71F22" w:rsidP="00F71F22">
      <w:pPr>
        <w:jc w:val="both"/>
        <w:rPr>
          <w:rFonts w:ascii="Arial Narrow" w:hAnsi="Arial Narrow"/>
        </w:rPr>
      </w:pPr>
    </w:p>
    <w:p w:rsidR="00EA3232" w:rsidRPr="008C65ED" w:rsidRDefault="00EA3232" w:rsidP="00EA3232">
      <w:pPr>
        <w:rPr>
          <w:rFonts w:ascii="Arial Narrow" w:hAnsi="Arial Narrow"/>
        </w:rPr>
      </w:pPr>
    </w:p>
    <w:p w:rsidR="0014258C" w:rsidRPr="008C65ED" w:rsidRDefault="0014258C" w:rsidP="00BC5018">
      <w:pPr>
        <w:pStyle w:val="Ttulo3"/>
      </w:pPr>
      <w:bookmarkStart w:id="22" w:name="_Toc80191560"/>
      <w:r w:rsidRPr="008C65ED">
        <w:lastRenderedPageBreak/>
        <w:t>Reunión Técnica de Administración de Riesgos</w:t>
      </w:r>
      <w:bookmarkEnd w:id="22"/>
    </w:p>
    <w:p w:rsidR="0014258C" w:rsidRPr="008C65ED" w:rsidRDefault="0014258C" w:rsidP="0014258C">
      <w:pPr>
        <w:pStyle w:val="Ttulo2"/>
        <w:numPr>
          <w:ilvl w:val="0"/>
          <w:numId w:val="0"/>
        </w:numPr>
        <w:ind w:left="426"/>
      </w:pPr>
    </w:p>
    <w:p w:rsidR="0014258C" w:rsidRPr="008C65ED" w:rsidRDefault="0014258C" w:rsidP="0014258C">
      <w:pPr>
        <w:jc w:val="both"/>
        <w:rPr>
          <w:rFonts w:ascii="Arial Narrow" w:hAnsi="Arial Narrow" w:cs="Arial"/>
          <w:sz w:val="24"/>
        </w:rPr>
      </w:pPr>
      <w:r w:rsidRPr="008C65ED">
        <w:rPr>
          <w:rFonts w:ascii="Arial Narrow" w:hAnsi="Arial Narrow" w:cs="Arial"/>
          <w:sz w:val="24"/>
        </w:rPr>
        <w:t>Con el fin de hacer seguimiento y control de los riesgos asociados a las actividades realizadas en la DGCPTN, se establece la Reunión Técnica de Administración de Riesgos.</w:t>
      </w:r>
    </w:p>
    <w:p w:rsidR="0014258C" w:rsidRPr="008C65ED" w:rsidRDefault="0014258C" w:rsidP="0014258C">
      <w:pPr>
        <w:jc w:val="both"/>
        <w:rPr>
          <w:rFonts w:ascii="Arial Narrow" w:hAnsi="Arial Narrow" w:cs="Arial"/>
          <w:sz w:val="24"/>
        </w:rPr>
      </w:pPr>
    </w:p>
    <w:p w:rsidR="0014258C" w:rsidRPr="008C65ED" w:rsidRDefault="0014258C" w:rsidP="0014258C">
      <w:pPr>
        <w:jc w:val="both"/>
        <w:rPr>
          <w:rFonts w:ascii="Arial Narrow" w:hAnsi="Arial Narrow" w:cs="Arial"/>
          <w:sz w:val="24"/>
        </w:rPr>
      </w:pPr>
      <w:r w:rsidRPr="008C65ED">
        <w:rPr>
          <w:rFonts w:ascii="Arial Narrow" w:hAnsi="Arial Narrow" w:cs="Arial"/>
          <w:sz w:val="24"/>
        </w:rPr>
        <w:t>El área responsable de esta reunión será la Subdirección de Riesgo, quien se encargará de citar y coordinar lo relacionado con la agenda y la logística de cada reunión, para lo cual se dejará como memoria el documento objeto de análisis del día.</w:t>
      </w:r>
    </w:p>
    <w:p w:rsidR="009C6EA5" w:rsidRPr="008C65ED" w:rsidRDefault="009C6EA5" w:rsidP="0014258C">
      <w:pPr>
        <w:jc w:val="both"/>
        <w:rPr>
          <w:rFonts w:ascii="Arial Narrow" w:hAnsi="Arial Narrow" w:cs="Arial"/>
          <w:sz w:val="24"/>
        </w:rPr>
      </w:pPr>
    </w:p>
    <w:p w:rsidR="0014258C" w:rsidRPr="008C65ED" w:rsidRDefault="0014258C" w:rsidP="008976E8">
      <w:pPr>
        <w:pStyle w:val="Ttulo4"/>
      </w:pPr>
      <w:bookmarkStart w:id="23" w:name="_Toc80191561"/>
      <w:r w:rsidRPr="008C65ED">
        <w:t>Periodicidad</w:t>
      </w:r>
      <w:bookmarkEnd w:id="23"/>
    </w:p>
    <w:p w:rsidR="0014258C" w:rsidRPr="008C65ED" w:rsidRDefault="0014258C" w:rsidP="0014258C">
      <w:pPr>
        <w:jc w:val="both"/>
        <w:rPr>
          <w:rFonts w:ascii="Arial Narrow" w:hAnsi="Arial Narrow" w:cs="Arial"/>
          <w:sz w:val="24"/>
        </w:rPr>
      </w:pPr>
    </w:p>
    <w:p w:rsidR="0014258C" w:rsidRDefault="00F71F22" w:rsidP="0014258C">
      <w:pPr>
        <w:jc w:val="both"/>
        <w:rPr>
          <w:rFonts w:ascii="Arial Narrow" w:hAnsi="Arial Narrow" w:cs="Arial"/>
          <w:sz w:val="24"/>
        </w:rPr>
      </w:pPr>
      <w:r w:rsidRPr="00F71F22">
        <w:rPr>
          <w:rFonts w:ascii="Arial Narrow" w:hAnsi="Arial Narrow" w:cs="Arial"/>
          <w:sz w:val="24"/>
        </w:rPr>
        <w:t>La Reunión Técnica de Administración de Riesgos será citada de acuerdo a las condiciones de mercado y los temas de gestión de riesgos podrán ser evaluados en el Comité de Tesorería</w:t>
      </w:r>
    </w:p>
    <w:p w:rsidR="00F71F22" w:rsidRPr="008C65ED" w:rsidRDefault="00F71F22" w:rsidP="0014258C">
      <w:pPr>
        <w:jc w:val="both"/>
        <w:rPr>
          <w:rFonts w:ascii="Arial Narrow" w:hAnsi="Arial Narrow" w:cs="Arial"/>
          <w:sz w:val="24"/>
        </w:rPr>
      </w:pPr>
    </w:p>
    <w:p w:rsidR="0014258C" w:rsidRPr="008C65ED" w:rsidRDefault="0014258C" w:rsidP="00D57502">
      <w:pPr>
        <w:pStyle w:val="Ttulo4"/>
      </w:pPr>
      <w:bookmarkStart w:id="24" w:name="_Toc80191562"/>
      <w:r w:rsidRPr="008C65ED">
        <w:t>Integrantes</w:t>
      </w:r>
      <w:bookmarkEnd w:id="24"/>
    </w:p>
    <w:p w:rsidR="0014258C" w:rsidRPr="008C65ED" w:rsidRDefault="0014258C" w:rsidP="0014258C">
      <w:pPr>
        <w:jc w:val="both"/>
        <w:rPr>
          <w:rFonts w:ascii="Arial Narrow" w:hAnsi="Arial Narrow" w:cs="Arial"/>
          <w:sz w:val="24"/>
        </w:rPr>
      </w:pPr>
    </w:p>
    <w:p w:rsidR="0014258C" w:rsidRPr="008C65ED" w:rsidRDefault="0014258C" w:rsidP="0014258C">
      <w:pPr>
        <w:rPr>
          <w:rFonts w:ascii="Arial Narrow" w:hAnsi="Arial Narrow" w:cs="Arial"/>
          <w:sz w:val="24"/>
          <w:szCs w:val="24"/>
        </w:rPr>
      </w:pPr>
      <w:r w:rsidRPr="008C65ED">
        <w:rPr>
          <w:rFonts w:ascii="Arial Narrow" w:hAnsi="Arial Narrow" w:cs="Arial"/>
          <w:sz w:val="24"/>
          <w:szCs w:val="24"/>
        </w:rPr>
        <w:t>La Reunión estará conformada por:</w:t>
      </w:r>
    </w:p>
    <w:p w:rsidR="0014258C" w:rsidRPr="008C65ED" w:rsidRDefault="0014258C" w:rsidP="0014258C">
      <w:pPr>
        <w:rPr>
          <w:rFonts w:ascii="Arial Narrow" w:hAnsi="Arial Narrow" w:cs="Arial"/>
          <w:b/>
          <w:sz w:val="24"/>
          <w:szCs w:val="24"/>
        </w:rPr>
      </w:pPr>
    </w:p>
    <w:p w:rsidR="0014258C" w:rsidRPr="008C65ED" w:rsidRDefault="0014258C" w:rsidP="00C408EF">
      <w:pPr>
        <w:pStyle w:val="Default"/>
        <w:numPr>
          <w:ilvl w:val="0"/>
          <w:numId w:val="4"/>
        </w:numPr>
        <w:ind w:left="567" w:hanging="283"/>
        <w:rPr>
          <w:rFonts w:ascii="Arial Narrow" w:hAnsi="Arial Narrow"/>
          <w:color w:val="auto"/>
        </w:rPr>
      </w:pPr>
      <w:r w:rsidRPr="008C65ED">
        <w:rPr>
          <w:rFonts w:ascii="Arial Narrow" w:hAnsi="Arial Narrow"/>
          <w:color w:val="auto"/>
        </w:rPr>
        <w:t>El Director de Crédito Público y Tesoro Nacional, quien la presidirá.</w:t>
      </w:r>
    </w:p>
    <w:p w:rsidR="0014258C" w:rsidRPr="008C65ED" w:rsidRDefault="0014258C" w:rsidP="00C408EF">
      <w:pPr>
        <w:pStyle w:val="Default"/>
        <w:numPr>
          <w:ilvl w:val="0"/>
          <w:numId w:val="4"/>
        </w:numPr>
        <w:ind w:left="567" w:hanging="283"/>
        <w:rPr>
          <w:rFonts w:ascii="Arial Narrow" w:hAnsi="Arial Narrow"/>
          <w:color w:val="auto"/>
        </w:rPr>
      </w:pPr>
      <w:r w:rsidRPr="008C65ED">
        <w:rPr>
          <w:rFonts w:ascii="Arial Narrow" w:hAnsi="Arial Narrow"/>
          <w:color w:val="auto"/>
        </w:rPr>
        <w:t>El Subdirector de Riesgo.</w:t>
      </w:r>
    </w:p>
    <w:p w:rsidR="0014258C" w:rsidRPr="008C65ED" w:rsidRDefault="0014258C" w:rsidP="00C408EF">
      <w:pPr>
        <w:pStyle w:val="Default"/>
        <w:numPr>
          <w:ilvl w:val="0"/>
          <w:numId w:val="4"/>
        </w:numPr>
        <w:ind w:left="567" w:hanging="283"/>
        <w:rPr>
          <w:rFonts w:ascii="Arial Narrow" w:hAnsi="Arial Narrow"/>
          <w:color w:val="auto"/>
        </w:rPr>
      </w:pPr>
      <w:r w:rsidRPr="008C65ED">
        <w:rPr>
          <w:rFonts w:ascii="Arial Narrow" w:hAnsi="Arial Narrow"/>
          <w:color w:val="auto"/>
        </w:rPr>
        <w:t>El Subdirector de Tesorería.</w:t>
      </w:r>
    </w:p>
    <w:p w:rsidR="0014258C" w:rsidRPr="008C65ED" w:rsidRDefault="0014258C" w:rsidP="00C408EF">
      <w:pPr>
        <w:pStyle w:val="Default"/>
        <w:numPr>
          <w:ilvl w:val="0"/>
          <w:numId w:val="4"/>
        </w:numPr>
        <w:ind w:left="567" w:hanging="283"/>
        <w:rPr>
          <w:rFonts w:ascii="Arial Narrow" w:hAnsi="Arial Narrow"/>
          <w:color w:val="auto"/>
        </w:rPr>
      </w:pPr>
      <w:r w:rsidRPr="008C65ED">
        <w:rPr>
          <w:rFonts w:ascii="Arial Narrow" w:hAnsi="Arial Narrow"/>
          <w:color w:val="auto"/>
        </w:rPr>
        <w:t>El Subdirector de Operaciones.</w:t>
      </w:r>
    </w:p>
    <w:p w:rsidR="0014258C" w:rsidRPr="008C65ED" w:rsidRDefault="0014258C" w:rsidP="0014258C">
      <w:pPr>
        <w:pStyle w:val="Default"/>
        <w:jc w:val="both"/>
        <w:rPr>
          <w:rFonts w:ascii="Arial Narrow" w:hAnsi="Arial Narrow"/>
          <w:color w:val="auto"/>
        </w:rPr>
      </w:pPr>
    </w:p>
    <w:p w:rsidR="0014258C" w:rsidRPr="008C65ED" w:rsidRDefault="0014258C" w:rsidP="0014258C">
      <w:pPr>
        <w:pStyle w:val="Default"/>
        <w:jc w:val="both"/>
        <w:rPr>
          <w:rFonts w:ascii="Arial Narrow" w:eastAsia="Calibri" w:hAnsi="Arial Narrow"/>
          <w:color w:val="auto"/>
          <w:lang w:eastAsia="es-CO"/>
        </w:rPr>
      </w:pPr>
      <w:r w:rsidRPr="008C65ED">
        <w:rPr>
          <w:rFonts w:ascii="Arial Narrow" w:eastAsia="Calibri" w:hAnsi="Arial Narrow"/>
          <w:color w:val="auto"/>
          <w:lang w:eastAsia="es-CO"/>
        </w:rPr>
        <w:t>Podrán asistir como invitados, funcionarios o particulares que puedan hacer aportes en los asuntos tratados en la Reunión Técnica de Administración de Riesgos.</w:t>
      </w:r>
    </w:p>
    <w:p w:rsidR="0014258C" w:rsidRPr="008C65ED" w:rsidRDefault="0014258C" w:rsidP="0014258C">
      <w:pPr>
        <w:pStyle w:val="Default"/>
        <w:jc w:val="both"/>
        <w:rPr>
          <w:rFonts w:ascii="Arial Narrow" w:eastAsia="Calibri" w:hAnsi="Arial Narrow"/>
          <w:color w:val="auto"/>
          <w:lang w:eastAsia="es-CO"/>
        </w:rPr>
      </w:pPr>
    </w:p>
    <w:p w:rsidR="0014258C" w:rsidRPr="008C65ED" w:rsidRDefault="0014258C" w:rsidP="00D57502">
      <w:pPr>
        <w:pStyle w:val="Ttulo4"/>
        <w:rPr>
          <w:rFonts w:eastAsia="Calibri"/>
          <w:lang w:eastAsia="es-CO"/>
        </w:rPr>
      </w:pPr>
      <w:bookmarkStart w:id="25" w:name="_Toc80191563"/>
      <w:r w:rsidRPr="008C65ED">
        <w:rPr>
          <w:rFonts w:eastAsia="Calibri"/>
          <w:lang w:eastAsia="es-CO"/>
        </w:rPr>
        <w:t>Funciones</w:t>
      </w:r>
      <w:bookmarkEnd w:id="25"/>
    </w:p>
    <w:p w:rsidR="0014258C" w:rsidRPr="008C65ED" w:rsidRDefault="0014258C" w:rsidP="0014258C">
      <w:pPr>
        <w:pStyle w:val="Default"/>
        <w:jc w:val="both"/>
        <w:rPr>
          <w:rFonts w:ascii="Arial Narrow" w:eastAsia="Calibri" w:hAnsi="Arial Narrow"/>
          <w:color w:val="auto"/>
          <w:lang w:eastAsia="es-CO"/>
        </w:rPr>
      </w:pPr>
    </w:p>
    <w:p w:rsidR="0014258C" w:rsidRPr="008C65ED" w:rsidRDefault="0014258C" w:rsidP="0014258C">
      <w:pPr>
        <w:pStyle w:val="Default"/>
        <w:jc w:val="both"/>
        <w:rPr>
          <w:rFonts w:ascii="Arial Narrow" w:hAnsi="Arial Narrow"/>
        </w:rPr>
      </w:pPr>
      <w:r w:rsidRPr="008C65ED">
        <w:rPr>
          <w:rFonts w:ascii="Arial Narrow" w:hAnsi="Arial Narrow"/>
        </w:rPr>
        <w:t>Entre las funciones asignadas a esta Reunión, se destacan las siguientes:</w:t>
      </w:r>
    </w:p>
    <w:p w:rsidR="0014258C" w:rsidRPr="008C65ED" w:rsidRDefault="0014258C" w:rsidP="0014258C">
      <w:pPr>
        <w:pStyle w:val="Default"/>
        <w:ind w:left="720"/>
        <w:jc w:val="both"/>
        <w:rPr>
          <w:rFonts w:ascii="Arial Narrow" w:hAnsi="Arial Narrow"/>
        </w:rPr>
      </w:pPr>
    </w:p>
    <w:p w:rsidR="0014258C" w:rsidRPr="008C65ED" w:rsidRDefault="0014258C" w:rsidP="00C408EF">
      <w:pPr>
        <w:pStyle w:val="Default"/>
        <w:numPr>
          <w:ilvl w:val="0"/>
          <w:numId w:val="5"/>
        </w:numPr>
        <w:ind w:left="567" w:hanging="283"/>
        <w:jc w:val="both"/>
        <w:rPr>
          <w:rFonts w:ascii="Arial Narrow" w:hAnsi="Arial Narrow"/>
        </w:rPr>
      </w:pPr>
      <w:r w:rsidRPr="008C65ED">
        <w:rPr>
          <w:rFonts w:ascii="Arial Narrow" w:hAnsi="Arial Narrow"/>
        </w:rPr>
        <w:t>Servir como instancia de apoyo para la adecuada administración del riesgo de mercado, liquidez, emisor y contraparte, operativo, jurídico y demás que se consideren relevantes en relación con las actividades que realice la Dirección General de Crédito Público y Tesoro Nacional.</w:t>
      </w: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 xml:space="preserve">Evaluar y dar concepto para la posterior aprobación del Director General de Crédito Público y Tesoro Nacional acerca del Manual de Políticas de la Dirección en materia de la administración de riesgos, así como los cambios que requiera, en donde se deberá reflejar el nivel de tolerancia frente a dichos riesgos. </w:t>
      </w: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Evaluar propuestas de nuevos límites o modificación de los aprobados y documentados en el Manual de Políticas de Riesgo, evaluar los cupos de crédito y de contraparte de las entidades aprobadas por el Comité de Tesorería.  En caso que se requiera, se evaluarán nuevas entidades para ser presentadas al Comité de Tesorería para su aprobación.</w:t>
      </w:r>
    </w:p>
    <w:p w:rsidR="0014258C" w:rsidRPr="008C65ED" w:rsidRDefault="0014258C" w:rsidP="0014258C">
      <w:pPr>
        <w:pStyle w:val="Prrafodelista"/>
        <w:ind w:left="567" w:hanging="283"/>
        <w:jc w:val="both"/>
        <w:rPr>
          <w:rFonts w:ascii="Arial Narrow" w:hAnsi="Arial Narrow" w:cs="Arial"/>
          <w:sz w:val="24"/>
          <w:szCs w:val="24"/>
        </w:rPr>
      </w:pP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lastRenderedPageBreak/>
        <w:t>Aprobar las metodologías de valoración y de medición de riesgo que debe elaborar la Subdirección de Riesgo. Así mismo, deberá aprobar los procedimientos y mecanismos de seguimiento al riesgo de mercado que proponga dicha Subdirección.</w:t>
      </w: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Analizar los resultados en materia de niveles de riesgo de mercado presentados por la Subdirección de Riesgo y proponer cursos de acción y estrategias relevantes para su mitigación y/o adecuada gestión.</w:t>
      </w: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Analizar las propuestas sobre incursión en nuevos mercados, instrumentos o negocios en los cuales la Dirección de Crédito Público y Tesoro Nacional se encuentre interesada en participar con el objeto de formular las recomendaciones que se consideren pertinentes al Director General de Crédito Público y Tesoro Nacional para ser aprobados posteriormente por el Comité de Tesorería.</w:t>
      </w:r>
    </w:p>
    <w:p w:rsidR="0014258C" w:rsidRPr="008C65ED" w:rsidRDefault="0014258C" w:rsidP="00C408EF">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Analizar cualquier sobrepaso a los límites establecidos y determinar el tratamiento que se les debe dar al mismo.</w:t>
      </w:r>
    </w:p>
    <w:p w:rsidR="0014258C" w:rsidRPr="008C65ED" w:rsidRDefault="0014258C" w:rsidP="00C93704">
      <w:pPr>
        <w:pStyle w:val="Prrafodelista"/>
        <w:numPr>
          <w:ilvl w:val="0"/>
          <w:numId w:val="5"/>
        </w:numPr>
        <w:ind w:left="567" w:hanging="283"/>
        <w:jc w:val="both"/>
        <w:rPr>
          <w:rFonts w:ascii="Arial Narrow" w:hAnsi="Arial Narrow" w:cs="Arial"/>
          <w:sz w:val="24"/>
          <w:szCs w:val="24"/>
        </w:rPr>
      </w:pPr>
      <w:r w:rsidRPr="008C65ED">
        <w:rPr>
          <w:rFonts w:ascii="Arial Narrow" w:hAnsi="Arial Narrow" w:cs="Arial"/>
          <w:sz w:val="24"/>
          <w:szCs w:val="24"/>
        </w:rPr>
        <w:t>Las demás que considere la Reunión Técnica de Administración de Riesgos.</w:t>
      </w:r>
    </w:p>
    <w:p w:rsidR="0014258C" w:rsidRPr="008C65ED" w:rsidRDefault="0014258C" w:rsidP="0014258C">
      <w:pPr>
        <w:pStyle w:val="Prrafodelista"/>
        <w:ind w:left="0"/>
        <w:jc w:val="both"/>
        <w:rPr>
          <w:rFonts w:ascii="Arial Narrow" w:hAnsi="Arial Narrow" w:cs="Arial"/>
          <w:sz w:val="24"/>
          <w:szCs w:val="24"/>
        </w:rPr>
      </w:pPr>
    </w:p>
    <w:p w:rsidR="0014258C" w:rsidRPr="008C65ED" w:rsidRDefault="0014258C" w:rsidP="0014258C">
      <w:pPr>
        <w:pStyle w:val="Ttulo2"/>
      </w:pPr>
      <w:bookmarkStart w:id="26" w:name="_Toc80191564"/>
      <w:r w:rsidRPr="008C65ED">
        <w:t>Políticas de Riesgo - MHCPTN</w:t>
      </w:r>
      <w:bookmarkEnd w:id="26"/>
    </w:p>
    <w:p w:rsidR="0014258C" w:rsidRPr="008C65ED" w:rsidRDefault="0014258C" w:rsidP="0014258C">
      <w:pPr>
        <w:pStyle w:val="Default"/>
        <w:jc w:val="both"/>
        <w:rPr>
          <w:rFonts w:ascii="Arial Narrow" w:eastAsia="Calibri" w:hAnsi="Arial Narrow"/>
          <w:color w:val="auto"/>
          <w:lang w:eastAsia="es-CO"/>
        </w:rPr>
      </w:pPr>
    </w:p>
    <w:p w:rsidR="0014258C" w:rsidRPr="008C65ED" w:rsidRDefault="0014258C" w:rsidP="0014258C">
      <w:pPr>
        <w:jc w:val="both"/>
        <w:rPr>
          <w:rFonts w:ascii="Arial Narrow" w:hAnsi="Arial Narrow" w:cs="Arial"/>
          <w:sz w:val="24"/>
          <w:szCs w:val="24"/>
        </w:rPr>
      </w:pPr>
      <w:r w:rsidRPr="008C65ED">
        <w:rPr>
          <w:rFonts w:ascii="Arial Narrow" w:hAnsi="Arial Narrow" w:cs="Arial"/>
          <w:sz w:val="24"/>
          <w:szCs w:val="24"/>
        </w:rPr>
        <w:t xml:space="preserve">En esta sección se presentan las políticas en materia de prácticas de inversión y de financiamiento permitidas dentro de las operaciones realizadas por Subdirección de Tesorería.  Se define el perfil de riesgo global y las directrices de políticas y tipos de operaciones permitidas. </w:t>
      </w:r>
    </w:p>
    <w:p w:rsidR="0014258C" w:rsidRPr="008C65ED" w:rsidRDefault="0014258C" w:rsidP="0014258C">
      <w:pPr>
        <w:pStyle w:val="Default"/>
        <w:jc w:val="both"/>
        <w:rPr>
          <w:rFonts w:ascii="Arial Narrow" w:eastAsia="Calibri" w:hAnsi="Arial Narrow"/>
          <w:color w:val="auto"/>
          <w:lang w:eastAsia="es-CO"/>
        </w:rPr>
      </w:pPr>
    </w:p>
    <w:p w:rsidR="0014258C" w:rsidRPr="008C65ED" w:rsidRDefault="0014258C" w:rsidP="00BC5018">
      <w:pPr>
        <w:pStyle w:val="Ttulo3"/>
        <w:rPr>
          <w:rFonts w:eastAsia="Calibri" w:cs="Arial"/>
          <w:lang w:eastAsia="es-CO"/>
        </w:rPr>
      </w:pPr>
      <w:bookmarkStart w:id="27" w:name="_Toc80191565"/>
      <w:r w:rsidRPr="008C65ED">
        <w:rPr>
          <w:rFonts w:eastAsia="Calibri"/>
          <w:lang w:eastAsia="es-CO"/>
        </w:rPr>
        <w:t>Perfil de Riesgo Global</w:t>
      </w:r>
      <w:bookmarkEnd w:id="27"/>
    </w:p>
    <w:p w:rsidR="0014258C" w:rsidRPr="008C65ED" w:rsidRDefault="0014258C" w:rsidP="0014258C">
      <w:pPr>
        <w:jc w:val="both"/>
        <w:rPr>
          <w:rFonts w:ascii="Arial Narrow" w:hAnsi="Arial Narrow" w:cs="Arial"/>
          <w:sz w:val="24"/>
        </w:rPr>
      </w:pPr>
    </w:p>
    <w:p w:rsidR="0014258C" w:rsidRPr="008C65ED" w:rsidRDefault="0014258C" w:rsidP="0014258C">
      <w:pPr>
        <w:jc w:val="both"/>
        <w:rPr>
          <w:rFonts w:ascii="Arial Narrow" w:hAnsi="Arial Narrow" w:cs="Arial"/>
          <w:sz w:val="24"/>
          <w:szCs w:val="24"/>
        </w:rPr>
      </w:pPr>
      <w:r w:rsidRPr="008C65ED">
        <w:rPr>
          <w:rFonts w:ascii="Arial Narrow" w:hAnsi="Arial Narrow" w:cs="Arial"/>
          <w:sz w:val="24"/>
          <w:szCs w:val="24"/>
        </w:rPr>
        <w:t>Se destacan entre los objetivos de la Subdirección de Tesorería, los siguientes: 1. Coordinación con las políticas gubernamentales en materia fiscal, monetaria y cambiaria, y 2. Administración de los recursos en orden de asegurar el cumplimiento de las obligaciones de pago y de mantener la liquidez de la Nación.</w:t>
      </w:r>
    </w:p>
    <w:p w:rsidR="0014258C" w:rsidRPr="008C65ED" w:rsidRDefault="0014258C" w:rsidP="0014258C">
      <w:pPr>
        <w:jc w:val="both"/>
        <w:rPr>
          <w:rFonts w:ascii="Arial Narrow" w:hAnsi="Arial Narrow" w:cs="Arial"/>
          <w:sz w:val="24"/>
          <w:szCs w:val="24"/>
        </w:rPr>
      </w:pPr>
    </w:p>
    <w:p w:rsidR="0014258C" w:rsidRPr="008C65ED" w:rsidRDefault="0014258C" w:rsidP="0014258C">
      <w:pPr>
        <w:jc w:val="both"/>
        <w:rPr>
          <w:rFonts w:ascii="Arial Narrow" w:hAnsi="Arial Narrow" w:cs="Arial"/>
          <w:sz w:val="24"/>
          <w:szCs w:val="24"/>
        </w:rPr>
      </w:pPr>
      <w:r w:rsidRPr="008C65ED">
        <w:rPr>
          <w:rFonts w:ascii="Arial Narrow" w:hAnsi="Arial Narrow" w:cs="Arial"/>
          <w:sz w:val="24"/>
          <w:szCs w:val="24"/>
        </w:rPr>
        <w:t>El perfil de riesgo de mercado de la DGCPTN es conservador.  Por tanto, la gestión de los productos, instrumentos financieros y los mercados en que la DGCPTN invierta serán escogidos con criterios de prudencia, seguridad y amplio reconocimiento de las contrapartes.  En resumen, para la DGCPTN prevalecerá una gestión que alcance bajos niveles de exposición a riesgo de mercado más allá que la obtención de beneficios económicos.  De acuerdo con esto, la Subdirección de Riesgo ha identificado dos pilares básicos a partir de los cuales se deben definir el conjunto de operaciones permitidas y los límites de exposición.</w:t>
      </w:r>
    </w:p>
    <w:p w:rsidR="0014258C" w:rsidRPr="008C65ED" w:rsidRDefault="0014258C" w:rsidP="0014258C">
      <w:pPr>
        <w:jc w:val="both"/>
        <w:rPr>
          <w:rFonts w:ascii="Arial Narrow" w:hAnsi="Arial Narrow" w:cs="Arial"/>
          <w:sz w:val="24"/>
          <w:szCs w:val="24"/>
        </w:rPr>
      </w:pPr>
    </w:p>
    <w:p w:rsidR="0014258C" w:rsidRPr="008C65ED" w:rsidRDefault="0014258C" w:rsidP="00C408EF">
      <w:pPr>
        <w:pStyle w:val="Prrafodelista"/>
        <w:numPr>
          <w:ilvl w:val="0"/>
          <w:numId w:val="6"/>
        </w:numPr>
        <w:ind w:left="567" w:hanging="283"/>
        <w:jc w:val="both"/>
        <w:rPr>
          <w:rFonts w:ascii="Arial Narrow" w:hAnsi="Arial Narrow" w:cs="Arial"/>
          <w:sz w:val="24"/>
          <w:szCs w:val="24"/>
        </w:rPr>
      </w:pPr>
      <w:r w:rsidRPr="008C65ED">
        <w:rPr>
          <w:rFonts w:ascii="Arial Narrow" w:hAnsi="Arial Narrow" w:cs="Arial"/>
          <w:sz w:val="24"/>
          <w:szCs w:val="24"/>
        </w:rPr>
        <w:t xml:space="preserve">Correspondencia con el perfil de riesgo (conservador) definido para la gestión de los recursos. De acuerdo con esto, se debe considerar el riesgo según el tipo de activos subyacentes en las posiciones, las contrapartes y los mercados nacionales, entre otros.  </w:t>
      </w:r>
    </w:p>
    <w:p w:rsidR="0014258C" w:rsidRPr="008C65ED" w:rsidRDefault="0014258C" w:rsidP="0014258C">
      <w:pPr>
        <w:pStyle w:val="Prrafodelista"/>
        <w:ind w:left="567"/>
        <w:jc w:val="both"/>
        <w:rPr>
          <w:rFonts w:ascii="Arial Narrow" w:hAnsi="Arial Narrow" w:cs="Arial"/>
          <w:sz w:val="24"/>
          <w:szCs w:val="24"/>
        </w:rPr>
      </w:pPr>
    </w:p>
    <w:p w:rsidR="0014258C" w:rsidRPr="008C65ED" w:rsidRDefault="0014258C" w:rsidP="00C408EF">
      <w:pPr>
        <w:pStyle w:val="Prrafodelista"/>
        <w:numPr>
          <w:ilvl w:val="0"/>
          <w:numId w:val="6"/>
        </w:numPr>
        <w:ind w:left="567" w:hanging="283"/>
        <w:jc w:val="both"/>
        <w:rPr>
          <w:rFonts w:ascii="Arial Narrow" w:hAnsi="Arial Narrow" w:cs="Arial"/>
          <w:sz w:val="24"/>
          <w:szCs w:val="24"/>
        </w:rPr>
      </w:pPr>
      <w:r w:rsidRPr="008C65ED">
        <w:rPr>
          <w:rFonts w:ascii="Arial Narrow" w:hAnsi="Arial Narrow" w:cs="Arial"/>
          <w:sz w:val="24"/>
          <w:szCs w:val="24"/>
        </w:rPr>
        <w:t>Consistencia en el tiempo. Los límites deben determinarse considerando escenarios potenciales de f</w:t>
      </w:r>
      <w:r w:rsidR="00A57890" w:rsidRPr="008C65ED">
        <w:rPr>
          <w:rFonts w:ascii="Arial Narrow" w:hAnsi="Arial Narrow" w:cs="Arial"/>
          <w:sz w:val="24"/>
          <w:szCs w:val="24"/>
        </w:rPr>
        <w:t>lujo de recursos, de forma que e</w:t>
      </w:r>
      <w:r w:rsidRPr="008C65ED">
        <w:rPr>
          <w:rFonts w:ascii="Arial Narrow" w:hAnsi="Arial Narrow" w:cs="Arial"/>
          <w:sz w:val="24"/>
          <w:szCs w:val="24"/>
        </w:rPr>
        <w:t>stos no dependan estrictamente del tamaño del portafolio.</w:t>
      </w:r>
    </w:p>
    <w:p w:rsidR="003C686A" w:rsidRPr="008C65ED" w:rsidRDefault="003C686A" w:rsidP="00BC5018">
      <w:pPr>
        <w:pStyle w:val="Ttulo3"/>
        <w:numPr>
          <w:ilvl w:val="0"/>
          <w:numId w:val="0"/>
        </w:numPr>
      </w:pPr>
    </w:p>
    <w:p w:rsidR="003C686A" w:rsidRPr="008C65ED" w:rsidRDefault="00BC5018" w:rsidP="00BC5018">
      <w:pPr>
        <w:pStyle w:val="Ttulo3"/>
      </w:pPr>
      <w:bookmarkStart w:id="28" w:name="_Toc80191566"/>
      <w:r w:rsidRPr="008C65ED">
        <w:t>Directrices</w:t>
      </w:r>
      <w:bookmarkEnd w:id="28"/>
    </w:p>
    <w:p w:rsidR="00BC5018" w:rsidRPr="008C65ED" w:rsidRDefault="00BC5018" w:rsidP="00BC5018">
      <w:pPr>
        <w:rPr>
          <w:rFonts w:ascii="Arial Narrow" w:hAnsi="Arial Narrow"/>
        </w:rPr>
      </w:pPr>
    </w:p>
    <w:p w:rsidR="00BC5018" w:rsidRPr="008C65ED" w:rsidRDefault="00BC5018" w:rsidP="0046710F">
      <w:pPr>
        <w:pStyle w:val="Ttulo4"/>
      </w:pPr>
      <w:bookmarkStart w:id="29" w:name="_Toc80191567"/>
      <w:r w:rsidRPr="008C65ED">
        <w:t>Directrices en Materia de Instancias de Aprobación</w:t>
      </w:r>
      <w:bookmarkEnd w:id="29"/>
    </w:p>
    <w:p w:rsidR="00BC5018" w:rsidRPr="008C65ED" w:rsidRDefault="00BC5018" w:rsidP="00BC5018">
      <w:pPr>
        <w:jc w:val="both"/>
        <w:rPr>
          <w:rFonts w:ascii="Arial Narrow" w:hAnsi="Arial Narrow" w:cs="Arial"/>
          <w:sz w:val="24"/>
        </w:rPr>
      </w:pPr>
    </w:p>
    <w:p w:rsidR="00BC5018" w:rsidRPr="008C65ED" w:rsidRDefault="00BC5018" w:rsidP="00BC5018">
      <w:pPr>
        <w:pStyle w:val="Prrafodelista"/>
        <w:ind w:left="0"/>
        <w:jc w:val="both"/>
        <w:rPr>
          <w:rFonts w:ascii="Arial Narrow" w:hAnsi="Arial Narrow" w:cs="Arial"/>
          <w:sz w:val="24"/>
          <w:szCs w:val="24"/>
        </w:rPr>
      </w:pPr>
      <w:r w:rsidRPr="008C65ED">
        <w:rPr>
          <w:rFonts w:ascii="Arial Narrow" w:hAnsi="Arial Narrow" w:cs="Arial"/>
          <w:sz w:val="24"/>
          <w:szCs w:val="24"/>
        </w:rPr>
        <w:t xml:space="preserve">Para la implementación de las políticas de riesgo, junto con las directrices y límites establecidos, la Dirección General de Crédito Público y Tesoro Nacional – DGCPTN debe contar con instancias de aprobación que permitan de manera diligente la adecuada gestión del sistema de administración de riesgo.  </w:t>
      </w:r>
    </w:p>
    <w:p w:rsidR="00BC5018" w:rsidRPr="008C65ED" w:rsidRDefault="00BC5018" w:rsidP="00BC5018">
      <w:pPr>
        <w:pStyle w:val="Prrafodelista"/>
        <w:ind w:left="0"/>
        <w:jc w:val="both"/>
        <w:rPr>
          <w:rFonts w:ascii="Arial Narrow" w:hAnsi="Arial Narrow" w:cs="Arial"/>
          <w:sz w:val="24"/>
          <w:szCs w:val="24"/>
        </w:rPr>
      </w:pPr>
    </w:p>
    <w:p w:rsidR="00BC5018" w:rsidRPr="008C65ED" w:rsidRDefault="00BC5018" w:rsidP="00BC5018">
      <w:pPr>
        <w:pStyle w:val="Prrafodelista"/>
        <w:ind w:left="0"/>
        <w:jc w:val="both"/>
        <w:rPr>
          <w:rFonts w:ascii="Arial Narrow" w:hAnsi="Arial Narrow" w:cs="Arial"/>
          <w:sz w:val="24"/>
          <w:szCs w:val="24"/>
        </w:rPr>
      </w:pPr>
      <w:r w:rsidRPr="008C65ED">
        <w:rPr>
          <w:rFonts w:ascii="Arial Narrow" w:hAnsi="Arial Narrow" w:cs="Arial"/>
          <w:sz w:val="24"/>
          <w:szCs w:val="24"/>
        </w:rPr>
        <w:t>Estas instancias constituyen la interacción desde el Comité de Tesorería hacia la DGCPTN, y esta a su vez con la gestión del manejo de los excedentes de liquidez a través de las operaciones de la tesorería y la administración de riesgo de mercado. Estas interacciones se definen de la siguiente manera:</w:t>
      </w:r>
    </w:p>
    <w:p w:rsidR="00BC5018" w:rsidRPr="008C65ED" w:rsidRDefault="00BC5018" w:rsidP="00BC5018">
      <w:pPr>
        <w:pStyle w:val="Prrafodelista"/>
        <w:ind w:left="0"/>
        <w:jc w:val="both"/>
        <w:rPr>
          <w:rFonts w:ascii="Arial Narrow" w:hAnsi="Arial Narrow" w:cs="Arial"/>
          <w:sz w:val="24"/>
          <w:szCs w:val="24"/>
        </w:rPr>
      </w:pP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Consejo Superior de Política Fiscal - CONFIS: </w:t>
      </w:r>
      <w:r w:rsidRPr="008C65ED">
        <w:rPr>
          <w:rFonts w:ascii="Arial Narrow" w:eastAsia="Batang" w:hAnsi="Arial Narrow" w:cs="Arial"/>
          <w:sz w:val="24"/>
          <w:lang w:eastAsia="en-US"/>
        </w:rPr>
        <w:t>El CONFIS, mediante Resolución 002 de 2006 delega en el Comité de Tesorería del MHCP el seguimiento de las operaciones de crédito público de manejo y asunción de deuda y prefinanciamiento y se pronuncie con el fin de establecer que el gasto en intereses, comisiones y gastos de deuda que estas generan se encuentra ajustado al Marco Fiscal de Mediano Plazo.</w:t>
      </w:r>
    </w:p>
    <w:p w:rsidR="00BC5018" w:rsidRPr="008C65ED" w:rsidRDefault="00BC5018" w:rsidP="00BC5018">
      <w:pPr>
        <w:jc w:val="both"/>
        <w:rPr>
          <w:rFonts w:ascii="Arial Narrow" w:hAnsi="Arial Narrow" w:cs="Arial"/>
          <w:b/>
          <w:sz w:val="24"/>
        </w:rPr>
      </w:pP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Comité de Tesorería: </w:t>
      </w:r>
      <w:r w:rsidRPr="008C65ED">
        <w:rPr>
          <w:rFonts w:ascii="Arial Narrow" w:eastAsia="Batang" w:hAnsi="Arial Narrow" w:cs="Arial"/>
          <w:sz w:val="24"/>
          <w:lang w:eastAsia="en-US"/>
        </w:rPr>
        <w:t>Mediante la resolución 143 de 2010 el Comité de Tesorería tiene como función, entre otras, la de proponer las políticas para que las operaciones de tesorería estén coordinadas con las políticas gubernamentales en materia fiscal</w:t>
      </w:r>
      <w:r w:rsidR="00A57890" w:rsidRPr="008C65ED">
        <w:rPr>
          <w:rFonts w:ascii="Arial Narrow" w:eastAsia="Batang" w:hAnsi="Arial Narrow" w:cs="Arial"/>
          <w:sz w:val="24"/>
          <w:lang w:eastAsia="en-US"/>
        </w:rPr>
        <w:t>,</w:t>
      </w:r>
      <w:r w:rsidRPr="008C65ED">
        <w:rPr>
          <w:rFonts w:ascii="Arial Narrow" w:eastAsia="Batang" w:hAnsi="Arial Narrow" w:cs="Arial"/>
          <w:sz w:val="24"/>
          <w:lang w:eastAsia="en-US"/>
        </w:rPr>
        <w:t xml:space="preserve"> monetaria y cambiaria. </w:t>
      </w:r>
    </w:p>
    <w:p w:rsidR="00BC5018" w:rsidRPr="008C65ED" w:rsidRDefault="00BC5018" w:rsidP="00BC5018">
      <w:pPr>
        <w:pStyle w:val="Prrafodelista"/>
        <w:ind w:left="0"/>
        <w:jc w:val="both"/>
        <w:rPr>
          <w:rFonts w:ascii="Arial Narrow" w:hAnsi="Arial Narrow" w:cs="Arial"/>
          <w:sz w:val="24"/>
          <w:szCs w:val="24"/>
        </w:rPr>
      </w:pP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Director DGCPTN: </w:t>
      </w:r>
      <w:r w:rsidRPr="008C65ED">
        <w:rPr>
          <w:rFonts w:ascii="Arial Narrow" w:hAnsi="Arial Narrow" w:cs="Arial"/>
          <w:sz w:val="24"/>
        </w:rPr>
        <w:t>Dirige y administra el diseño, la ejecución, coordinación, vigilancia y políticas de riesgo de las operaciones de la Subdirección de Tesorería.</w:t>
      </w:r>
    </w:p>
    <w:p w:rsidR="00BC5018" w:rsidRPr="008C65ED" w:rsidRDefault="00BC5018" w:rsidP="00BC5018">
      <w:pPr>
        <w:jc w:val="both"/>
        <w:rPr>
          <w:rFonts w:ascii="Arial Narrow" w:hAnsi="Arial Narrow" w:cs="Arial"/>
          <w:b/>
          <w:sz w:val="24"/>
        </w:rPr>
      </w:pP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Subdirector de Tesorería: </w:t>
      </w:r>
      <w:r w:rsidRPr="008C65ED">
        <w:rPr>
          <w:rFonts w:ascii="Arial Narrow" w:hAnsi="Arial Narrow" w:cs="Arial"/>
          <w:sz w:val="24"/>
        </w:rPr>
        <w:t>Dirige, administra y realiza las operaciones de tesorería a que está facultada la DGCPTN, tendientes a la consecución de recursos, a la colocación directa o a través de intermediarios especializados de los excedentes de liquidez y de los portafolios administrados, entre otros aspectos, de conformidad con las disposiciones legales y de las políticas de riesgo definidas en el presente manual.</w:t>
      </w:r>
      <w:r w:rsidRPr="008C65ED">
        <w:rPr>
          <w:rFonts w:ascii="Arial Narrow" w:hAnsi="Arial Narrow" w:cs="Arial"/>
          <w:sz w:val="24"/>
        </w:rPr>
        <w:cr/>
      </w: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Subdirector de Riesgo: </w:t>
      </w:r>
      <w:r w:rsidRPr="008C65ED">
        <w:rPr>
          <w:rFonts w:ascii="Arial Narrow" w:eastAsia="Calibri" w:hAnsi="Arial Narrow" w:cs="Arial"/>
          <w:sz w:val="24"/>
          <w:szCs w:val="24"/>
          <w:lang w:val="es-CO" w:eastAsia="es-CO"/>
        </w:rPr>
        <w:t>Diseña las políticas, directrices y estrategias de administración del riesgo de las operaciones de tesorería, además diseña, propone y controla los límites de riesgo de contraparte y riesgo de mercado en las operaciones de la DGCPTN, realiza su seguimiento y recomienda los ajustes pertinentes. También propone los lineamientos de riesgos aplicables en las negociaciones de contratos relacionados con operaciones de tesorería y verifica su cumplimiento.</w:t>
      </w:r>
    </w:p>
    <w:p w:rsidR="00BC5018" w:rsidRPr="008C65ED" w:rsidRDefault="00BC5018" w:rsidP="00BC5018">
      <w:pPr>
        <w:pStyle w:val="Prrafodelista"/>
        <w:ind w:left="0"/>
        <w:jc w:val="both"/>
        <w:rPr>
          <w:rFonts w:ascii="Arial Narrow" w:hAnsi="Arial Narrow" w:cs="Arial"/>
          <w:b/>
          <w:sz w:val="24"/>
          <w:szCs w:val="24"/>
        </w:rPr>
      </w:pPr>
    </w:p>
    <w:p w:rsidR="00BC5018" w:rsidRPr="008C65ED" w:rsidRDefault="00BC5018" w:rsidP="00C408EF">
      <w:pPr>
        <w:pStyle w:val="Prrafodelista"/>
        <w:numPr>
          <w:ilvl w:val="0"/>
          <w:numId w:val="7"/>
        </w:numPr>
        <w:jc w:val="both"/>
        <w:rPr>
          <w:rFonts w:ascii="Arial Narrow" w:hAnsi="Arial Narrow" w:cs="Arial"/>
          <w:b/>
          <w:sz w:val="24"/>
          <w:szCs w:val="24"/>
        </w:rPr>
      </w:pPr>
      <w:r w:rsidRPr="008C65ED">
        <w:rPr>
          <w:rFonts w:ascii="Arial Narrow" w:hAnsi="Arial Narrow" w:cs="Arial"/>
          <w:b/>
          <w:sz w:val="24"/>
          <w:szCs w:val="24"/>
        </w:rPr>
        <w:t xml:space="preserve">Reunión Técnica de Riesgos: </w:t>
      </w:r>
      <w:r w:rsidRPr="008C65ED">
        <w:rPr>
          <w:rFonts w:ascii="Arial Narrow" w:hAnsi="Arial Narrow" w:cs="Arial"/>
          <w:sz w:val="24"/>
          <w:szCs w:val="24"/>
        </w:rPr>
        <w:t>Evalúa las propuestas y recomendaciones para incorporar o modificar directrices, lineamientos, límites de riesgo, metodologías y procedimientos de los riesgos asociados a las operaciones de tesorería, para su posterior aprobación por las instancias mencionadas anteriormente.</w:t>
      </w:r>
    </w:p>
    <w:p w:rsidR="00BC5018" w:rsidRPr="008C65ED" w:rsidRDefault="00BC5018" w:rsidP="00BC5018">
      <w:pPr>
        <w:jc w:val="both"/>
        <w:rPr>
          <w:rFonts w:ascii="Arial Narrow" w:hAnsi="Arial Narrow" w:cs="Arial"/>
          <w:sz w:val="24"/>
        </w:rPr>
      </w:pPr>
    </w:p>
    <w:p w:rsidR="003C686A" w:rsidRPr="008C65ED" w:rsidRDefault="00BC5018" w:rsidP="0046710F">
      <w:pPr>
        <w:pStyle w:val="Ttulo4"/>
      </w:pPr>
      <w:bookmarkStart w:id="30" w:name="_Toc80191568"/>
      <w:r w:rsidRPr="008C65ED">
        <w:t>Directrices en Materia de Exposición al Riesgo de Mercado</w:t>
      </w:r>
      <w:bookmarkEnd w:id="30"/>
    </w:p>
    <w:p w:rsidR="00BC5018" w:rsidRPr="008C65ED" w:rsidRDefault="00BC5018" w:rsidP="00BC5018">
      <w:pPr>
        <w:rPr>
          <w:rFonts w:ascii="Arial Narrow" w:hAnsi="Arial Narrow"/>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El riesgo de mercado está relacionado con la posibilidad que la DGCPTN incurra en pérdidas asociadas a la disminución significativa del valor de los portafolios que administra, por efecto de cambios en el precio de los instrumentos financieros.</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Por esta razón, la DGCPTN debe aprobar el nivel máximo de exposición al riesgo (pérdida potencial por valoración), el cual podrá ser modificado de acuerdo con la estrategia de deuda y en general las políticas de la Dirección.</w:t>
      </w:r>
    </w:p>
    <w:p w:rsidR="009B3CFC" w:rsidRPr="008C65ED" w:rsidRDefault="009B3CFC" w:rsidP="009B3CFC">
      <w:pPr>
        <w:jc w:val="both"/>
        <w:rPr>
          <w:rFonts w:ascii="Arial Narrow" w:hAnsi="Arial Narrow" w:cs="Arial"/>
          <w:sz w:val="24"/>
          <w:u w:val="single"/>
        </w:rPr>
      </w:pPr>
    </w:p>
    <w:p w:rsidR="009B3CFC" w:rsidRPr="008C65ED" w:rsidRDefault="002811CE" w:rsidP="009B3CFC">
      <w:pPr>
        <w:jc w:val="both"/>
        <w:rPr>
          <w:rFonts w:ascii="Arial Narrow" w:hAnsi="Arial Narrow" w:cs="Arial"/>
          <w:sz w:val="24"/>
        </w:rPr>
      </w:pPr>
      <w:r w:rsidRPr="008C65ED">
        <w:rPr>
          <w:rFonts w:ascii="Arial Narrow" w:hAnsi="Arial Narrow" w:cs="Arial"/>
          <w:sz w:val="24"/>
        </w:rPr>
        <w:t>El D</w:t>
      </w:r>
      <w:r w:rsidR="009B3CFC" w:rsidRPr="008C65ED">
        <w:rPr>
          <w:rFonts w:ascii="Arial Narrow" w:hAnsi="Arial Narrow" w:cs="Arial"/>
          <w:sz w:val="24"/>
        </w:rPr>
        <w:t xml:space="preserve">ecreto 1068 de 2015 define la manera en que la Subdirección de Tesorería realiza el manejo de los excedentes de liquidez obtenidos de los recursos públicos del Sistema de Cuenta Única Nacional (SCUN), de los fondos administrados y del </w:t>
      </w:r>
      <w:r w:rsidRPr="008C65ED">
        <w:rPr>
          <w:rFonts w:ascii="Arial Narrow" w:hAnsi="Arial Narrow" w:cs="Arial"/>
          <w:sz w:val="24"/>
        </w:rPr>
        <w:t>S</w:t>
      </w:r>
      <w:r w:rsidR="009B3CFC" w:rsidRPr="008C65ED">
        <w:rPr>
          <w:rFonts w:ascii="Arial Narrow" w:hAnsi="Arial Narrow" w:cs="Arial"/>
          <w:sz w:val="24"/>
        </w:rPr>
        <w:t xml:space="preserve">istema General de Regalías (SGR), entre otros.  Estos recursos son invertidos en diferentes instrumentos de inversión </w:t>
      </w:r>
      <w:r w:rsidR="00F673BF" w:rsidRPr="008C65ED">
        <w:rPr>
          <w:rFonts w:ascii="Arial Narrow" w:hAnsi="Arial Narrow" w:cs="Arial"/>
          <w:sz w:val="24"/>
        </w:rPr>
        <w:t xml:space="preserve">para obtener una rentabilidad. </w:t>
      </w:r>
      <w:r w:rsidR="009B3CFC" w:rsidRPr="008C65ED">
        <w:rPr>
          <w:rFonts w:ascii="Arial Narrow" w:hAnsi="Arial Narrow" w:cs="Arial"/>
          <w:sz w:val="24"/>
        </w:rPr>
        <w:t xml:space="preserve">No obstante, están expuestos a los cambios en los factores de riesgo de mercado, como tasas de interés, tasas de cambio, índices de precios, entre otros, que pueden afectar significativamente el estado de resultados. </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En consecuencia, se establecerán controles de riesgo al portafolio administrado y se realizará un seguimiento permanente de los mismos.</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En concordancia con el perfil de riesgo, se deben establecer las siguientes actividades por parte de la Subdirección de Riesgo:</w:t>
      </w:r>
    </w:p>
    <w:p w:rsidR="009B3CFC" w:rsidRPr="008C65ED" w:rsidRDefault="009B3CFC" w:rsidP="009B3CFC">
      <w:pPr>
        <w:jc w:val="both"/>
        <w:rPr>
          <w:rFonts w:ascii="Arial Narrow" w:hAnsi="Arial Narrow" w:cs="Arial"/>
          <w:sz w:val="24"/>
        </w:rPr>
      </w:pP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Revisar diariamente la valoración de los instrumentos que se encuentran en el portafolio</w:t>
      </w:r>
      <w:r w:rsidR="00F673BF" w:rsidRPr="008C65ED">
        <w:rPr>
          <w:rFonts w:ascii="Arial Narrow" w:hAnsi="Arial Narrow" w:cs="Arial"/>
          <w:sz w:val="24"/>
          <w:szCs w:val="24"/>
        </w:rPr>
        <w:t>;</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Realizar seguimiento al procedimiento de arqueo de las inversiones realiz</w:t>
      </w:r>
      <w:r w:rsidR="00F673BF" w:rsidRPr="008C65ED">
        <w:rPr>
          <w:rFonts w:ascii="Arial Narrow" w:hAnsi="Arial Narrow" w:cs="Arial"/>
          <w:sz w:val="24"/>
          <w:szCs w:val="24"/>
        </w:rPr>
        <w:t>adas y conciliaciones bancarias;</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Realizar una permanente medición del riesgo al portafolio de la DGCPTN a partir de modelos internos que cuantifiquen las pérdidas potenciales, los cuales son desarrollados, debidamente documentados y cal</w:t>
      </w:r>
      <w:r w:rsidR="002811CE" w:rsidRPr="008C65ED">
        <w:rPr>
          <w:rFonts w:ascii="Arial Narrow" w:hAnsi="Arial Narrow" w:cs="Arial"/>
          <w:sz w:val="24"/>
          <w:szCs w:val="24"/>
        </w:rPr>
        <w:t>ibrados por la Subdirección de R</w:t>
      </w:r>
      <w:r w:rsidRPr="008C65ED">
        <w:rPr>
          <w:rFonts w:ascii="Arial Narrow" w:hAnsi="Arial Narrow" w:cs="Arial"/>
          <w:sz w:val="24"/>
          <w:szCs w:val="24"/>
        </w:rPr>
        <w:t xml:space="preserve">iesgo con el fin de realizar el respectivo control de los </w:t>
      </w:r>
      <w:r w:rsidR="00C9489C" w:rsidRPr="008C65ED">
        <w:rPr>
          <w:rFonts w:ascii="Arial Narrow" w:hAnsi="Arial Narrow" w:cs="Arial"/>
          <w:sz w:val="24"/>
          <w:szCs w:val="24"/>
        </w:rPr>
        <w:t>riesgos asociados al portafolio</w:t>
      </w:r>
      <w:r w:rsidR="00F673BF" w:rsidRPr="008C65ED">
        <w:rPr>
          <w:rFonts w:ascii="Arial Narrow" w:hAnsi="Arial Narrow" w:cs="Arial"/>
          <w:sz w:val="24"/>
          <w:szCs w:val="24"/>
        </w:rPr>
        <w:t>;</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Hacer seguimiento al estado de resultados del portafolio administrado por la Tesorería de la DGCPTN</w:t>
      </w:r>
      <w:r w:rsidR="00F673BF" w:rsidRPr="008C65ED">
        <w:rPr>
          <w:rFonts w:ascii="Arial Narrow" w:hAnsi="Arial Narrow" w:cs="Arial"/>
          <w:sz w:val="24"/>
          <w:szCs w:val="24"/>
        </w:rPr>
        <w:t>;</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 xml:space="preserve">Realizar pruebas de desempeño a los </w:t>
      </w:r>
      <w:r w:rsidR="00C9489C" w:rsidRPr="008C65ED">
        <w:rPr>
          <w:rFonts w:ascii="Arial Narrow" w:hAnsi="Arial Narrow" w:cs="Arial"/>
          <w:sz w:val="24"/>
          <w:szCs w:val="24"/>
        </w:rPr>
        <w:t>modelos internos (Back Testing)</w:t>
      </w:r>
      <w:r w:rsidR="00F673BF" w:rsidRPr="008C65ED">
        <w:rPr>
          <w:rFonts w:ascii="Arial Narrow" w:hAnsi="Arial Narrow" w:cs="Arial"/>
          <w:sz w:val="24"/>
          <w:szCs w:val="24"/>
        </w:rPr>
        <w:t>;</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Realizar escenarios de estrés sobre condiciones adversas al valor del portafolio</w:t>
      </w:r>
      <w:r w:rsidR="00F673BF" w:rsidRPr="008C65ED">
        <w:rPr>
          <w:rFonts w:ascii="Arial Narrow" w:hAnsi="Arial Narrow" w:cs="Arial"/>
          <w:sz w:val="24"/>
          <w:szCs w:val="24"/>
        </w:rPr>
        <w:t>;</w:t>
      </w:r>
    </w:p>
    <w:p w:rsidR="009B3CFC" w:rsidRPr="008C65ED" w:rsidRDefault="009B3CFC" w:rsidP="00C408EF">
      <w:pPr>
        <w:pStyle w:val="Prrafodelista"/>
        <w:numPr>
          <w:ilvl w:val="0"/>
          <w:numId w:val="8"/>
        </w:numPr>
        <w:ind w:left="567" w:hanging="283"/>
        <w:jc w:val="both"/>
        <w:rPr>
          <w:rFonts w:ascii="Arial Narrow" w:hAnsi="Arial Narrow" w:cs="Arial"/>
          <w:sz w:val="24"/>
          <w:szCs w:val="24"/>
        </w:rPr>
      </w:pPr>
      <w:r w:rsidRPr="008C65ED">
        <w:rPr>
          <w:rFonts w:ascii="Arial Narrow" w:hAnsi="Arial Narrow" w:cs="Arial"/>
          <w:sz w:val="24"/>
          <w:szCs w:val="24"/>
        </w:rPr>
        <w:t>M</w:t>
      </w:r>
      <w:r w:rsidR="00C9489C" w:rsidRPr="008C65ED">
        <w:rPr>
          <w:rFonts w:ascii="Arial Narrow" w:hAnsi="Arial Narrow" w:cs="Arial"/>
          <w:sz w:val="24"/>
          <w:szCs w:val="24"/>
        </w:rPr>
        <w:t>onitorear límites al portafolio</w:t>
      </w:r>
      <w:r w:rsidR="00F673BF" w:rsidRPr="008C65ED">
        <w:rPr>
          <w:rFonts w:ascii="Arial Narrow" w:hAnsi="Arial Narrow" w:cs="Arial"/>
          <w:sz w:val="24"/>
          <w:szCs w:val="24"/>
        </w:rPr>
        <w:t>.</w:t>
      </w:r>
    </w:p>
    <w:p w:rsidR="00BC5018" w:rsidRPr="008C65ED" w:rsidRDefault="00BC5018" w:rsidP="00BC5018">
      <w:pPr>
        <w:rPr>
          <w:rFonts w:ascii="Arial Narrow" w:hAnsi="Arial Narrow"/>
        </w:rPr>
      </w:pPr>
    </w:p>
    <w:p w:rsidR="009B3CFC" w:rsidRPr="008C65ED" w:rsidRDefault="00F673BF" w:rsidP="0046710F">
      <w:pPr>
        <w:pStyle w:val="Ttulo4"/>
      </w:pPr>
      <w:bookmarkStart w:id="31" w:name="_Toc80191569"/>
      <w:r w:rsidRPr="008C65ED">
        <w:t>Directrices en M</w:t>
      </w:r>
      <w:r w:rsidR="009B3CFC" w:rsidRPr="008C65ED">
        <w:t>ateria de Operaciones Autorizadas</w:t>
      </w:r>
      <w:bookmarkEnd w:id="31"/>
    </w:p>
    <w:p w:rsidR="009B3CFC" w:rsidRPr="008C65ED" w:rsidRDefault="009B3CFC" w:rsidP="009B3CFC">
      <w:pPr>
        <w:rPr>
          <w:rFonts w:ascii="Arial Narrow" w:hAnsi="Arial Narrow"/>
        </w:rPr>
      </w:pPr>
    </w:p>
    <w:p w:rsidR="001D3638" w:rsidRPr="008C65ED" w:rsidRDefault="001D3638" w:rsidP="001D3638">
      <w:pPr>
        <w:jc w:val="both"/>
        <w:rPr>
          <w:rFonts w:ascii="Arial Narrow" w:hAnsi="Arial Narrow" w:cs="Arial"/>
          <w:sz w:val="24"/>
        </w:rPr>
      </w:pPr>
      <w:r w:rsidRPr="008C65ED">
        <w:rPr>
          <w:rFonts w:ascii="Arial Narrow" w:hAnsi="Arial Narrow" w:cs="Arial"/>
          <w:sz w:val="24"/>
        </w:rPr>
        <w:t>A continuación, se describe el conjunto de instrumentos financieros en los cuales, con previa aprobación por la normatividad vigente, le será permitido a la Tesorería tomar posiciones</w:t>
      </w:r>
      <w:r w:rsidR="006E73FB" w:rsidRPr="008C65ED">
        <w:rPr>
          <w:rFonts w:ascii="Arial Narrow" w:hAnsi="Arial Narrow" w:cs="Arial"/>
          <w:sz w:val="24"/>
        </w:rPr>
        <w:t>, ya sea</w:t>
      </w:r>
      <w:r w:rsidRPr="008C65ED">
        <w:rPr>
          <w:rFonts w:ascii="Arial Narrow" w:hAnsi="Arial Narrow" w:cs="Arial"/>
          <w:sz w:val="24"/>
        </w:rPr>
        <w:t xml:space="preserve"> a través de</w:t>
      </w:r>
      <w:r w:rsidR="006E73FB" w:rsidRPr="008C65ED">
        <w:rPr>
          <w:rFonts w:ascii="Arial Narrow" w:hAnsi="Arial Narrow" w:cs="Arial"/>
          <w:sz w:val="24"/>
        </w:rPr>
        <w:t>l mercado transaccional o el mercado mostrador -</w:t>
      </w:r>
      <w:r w:rsidRPr="008C65ED">
        <w:rPr>
          <w:rFonts w:ascii="Arial Narrow" w:hAnsi="Arial Narrow" w:cs="Arial"/>
          <w:sz w:val="24"/>
        </w:rPr>
        <w:t xml:space="preserve"> operaciones OTC (</w:t>
      </w:r>
      <w:r w:rsidRPr="008C65ED">
        <w:rPr>
          <w:rFonts w:ascii="Arial Narrow" w:hAnsi="Arial Narrow" w:cs="Arial"/>
          <w:i/>
          <w:sz w:val="24"/>
        </w:rPr>
        <w:t>Over the Counter</w:t>
      </w:r>
      <w:r w:rsidRPr="008C65ED">
        <w:rPr>
          <w:rFonts w:ascii="Arial Narrow" w:hAnsi="Arial Narrow" w:cs="Arial"/>
          <w:sz w:val="24"/>
        </w:rPr>
        <w:t>):</w:t>
      </w:r>
    </w:p>
    <w:p w:rsidR="009B3CFC" w:rsidRPr="008C65ED" w:rsidRDefault="009B3CFC" w:rsidP="009B3CFC">
      <w:pPr>
        <w:jc w:val="both"/>
        <w:rPr>
          <w:rFonts w:ascii="Arial Narrow" w:hAnsi="Arial Narrow" w:cs="Arial"/>
          <w:sz w:val="24"/>
        </w:rPr>
      </w:pP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t>Depósitos a término en moneda extranjera con entidades financieras del exterior.</w:t>
      </w: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lastRenderedPageBreak/>
        <w:t>Cuentas remuneradas en bancos extranjeros.</w:t>
      </w: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rPr>
      </w:pPr>
      <w:r w:rsidRPr="008C65ED">
        <w:rPr>
          <w:rFonts w:ascii="Arial Narrow" w:hAnsi="Arial Narrow" w:cs="Arial"/>
          <w:sz w:val="24"/>
        </w:rPr>
        <w:t>Inversiones en instrumentos del mercado monetario administrados por entidades financieras del exterior.</w:t>
      </w: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t xml:space="preserve">Operaciones de compra y venta de divisas. </w:t>
      </w: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t>Operaciones de reporto y simultáneas.</w:t>
      </w:r>
    </w:p>
    <w:p w:rsidR="009B3CFC" w:rsidRPr="008C65ED" w:rsidRDefault="009B3CFC" w:rsidP="00C408EF">
      <w:pPr>
        <w:pStyle w:val="Prrafodelista"/>
        <w:numPr>
          <w:ilvl w:val="0"/>
          <w:numId w:val="9"/>
        </w:numPr>
        <w:tabs>
          <w:tab w:val="clear" w:pos="777"/>
          <w:tab w:val="num" w:pos="567"/>
        </w:tabs>
        <w:ind w:hanging="490"/>
        <w:jc w:val="both"/>
        <w:rPr>
          <w:rFonts w:ascii="Arial Narrow" w:hAnsi="Arial Narrow" w:cs="Arial"/>
          <w:sz w:val="24"/>
          <w:szCs w:val="24"/>
        </w:rPr>
      </w:pPr>
      <w:r w:rsidRPr="008C65ED">
        <w:rPr>
          <w:rFonts w:ascii="Arial Narrow" w:hAnsi="Arial Narrow" w:cs="Arial"/>
          <w:sz w:val="24"/>
          <w:szCs w:val="24"/>
        </w:rPr>
        <w:t>Operaciones de cubrimiento de riesgos.</w:t>
      </w:r>
    </w:p>
    <w:p w:rsidR="009B3CFC" w:rsidRPr="008C65ED" w:rsidRDefault="009B3CFC" w:rsidP="00C408EF">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t>Operaciones de compra y venta al contado de títulos de deuda emitidos por el gobierno nacional o por gobiernos extranjeros.</w:t>
      </w:r>
    </w:p>
    <w:p w:rsidR="009B3CFC" w:rsidRPr="008C65ED" w:rsidRDefault="009B3CFC" w:rsidP="009B3CFC">
      <w:pPr>
        <w:pStyle w:val="Prrafodelista"/>
        <w:numPr>
          <w:ilvl w:val="0"/>
          <w:numId w:val="9"/>
        </w:numPr>
        <w:tabs>
          <w:tab w:val="clear" w:pos="777"/>
          <w:tab w:val="num" w:pos="567"/>
        </w:tabs>
        <w:ind w:left="567" w:hanging="283"/>
        <w:jc w:val="both"/>
        <w:rPr>
          <w:rFonts w:ascii="Arial Narrow" w:hAnsi="Arial Narrow" w:cs="Arial"/>
          <w:sz w:val="24"/>
          <w:szCs w:val="24"/>
        </w:rPr>
      </w:pPr>
      <w:r w:rsidRPr="008C65ED">
        <w:rPr>
          <w:rFonts w:ascii="Arial Narrow" w:hAnsi="Arial Narrow" w:cs="Arial"/>
          <w:sz w:val="24"/>
          <w:szCs w:val="24"/>
        </w:rPr>
        <w:t xml:space="preserve">Préstamos activos y/o pasivos que tengan como contraparte a alguno de los Fondos Administrados por la Tesorería. </w:t>
      </w:r>
    </w:p>
    <w:p w:rsidR="0003479D" w:rsidRPr="008C65ED" w:rsidRDefault="0003479D" w:rsidP="0003479D">
      <w:pPr>
        <w:jc w:val="both"/>
        <w:rPr>
          <w:rFonts w:ascii="Arial Narrow" w:hAnsi="Arial Narrow" w:cs="Arial"/>
          <w:sz w:val="24"/>
          <w:szCs w:val="24"/>
        </w:rPr>
      </w:pPr>
    </w:p>
    <w:p w:rsidR="0003479D" w:rsidRPr="008C65ED" w:rsidRDefault="0003479D" w:rsidP="0046710F">
      <w:pPr>
        <w:pStyle w:val="Ttulo4"/>
      </w:pPr>
      <w:bookmarkStart w:id="32" w:name="_Toc80191570"/>
      <w:r w:rsidRPr="008C65ED">
        <w:t>Directrices en Materia de Negociación de Operaciones OTC</w:t>
      </w:r>
      <w:bookmarkEnd w:id="32"/>
    </w:p>
    <w:p w:rsidR="0003479D" w:rsidRPr="008C65ED" w:rsidRDefault="0003479D" w:rsidP="0003479D">
      <w:pPr>
        <w:jc w:val="both"/>
        <w:rPr>
          <w:rFonts w:ascii="Arial Narrow" w:hAnsi="Arial Narrow" w:cs="Arial"/>
          <w:sz w:val="24"/>
          <w:szCs w:val="24"/>
        </w:rPr>
      </w:pPr>
    </w:p>
    <w:p w:rsidR="00005250" w:rsidRPr="008C65ED" w:rsidRDefault="00005250" w:rsidP="00005250">
      <w:pPr>
        <w:jc w:val="both"/>
        <w:rPr>
          <w:rFonts w:ascii="Arial Narrow" w:hAnsi="Arial Narrow" w:cs="Arial"/>
          <w:sz w:val="24"/>
          <w:szCs w:val="24"/>
        </w:rPr>
      </w:pPr>
      <w:r w:rsidRPr="008C65ED">
        <w:rPr>
          <w:rFonts w:ascii="Arial Narrow" w:hAnsi="Arial Narrow" w:cs="Arial"/>
          <w:sz w:val="24"/>
          <w:szCs w:val="24"/>
        </w:rPr>
        <w:t xml:space="preserve">Se autoriza la negociación directa con Entidades Públicas para realizar operaciones de compra o venta de títulos TES. </w:t>
      </w:r>
      <w:r w:rsidR="00A336CB" w:rsidRPr="008C65ED">
        <w:rPr>
          <w:rFonts w:ascii="Arial Narrow" w:hAnsi="Arial Narrow" w:cs="Arial"/>
          <w:sz w:val="24"/>
          <w:szCs w:val="24"/>
        </w:rPr>
        <w:t>Estas operaciones se podrán registrar en los sistemas transaccionales en las ruedas correspondientes y deberán</w:t>
      </w:r>
      <w:r w:rsidRPr="008C65ED">
        <w:rPr>
          <w:rFonts w:ascii="Arial Narrow" w:hAnsi="Arial Narrow" w:cs="Arial"/>
          <w:sz w:val="24"/>
          <w:szCs w:val="24"/>
        </w:rPr>
        <w:t xml:space="preserve"> conservar la trazabilidad de la negociación respecto a la cotización y cumplimiento. De esta manera, las operaciones se deben negociar a través de cualquier medio verificable</w:t>
      </w:r>
      <w:r w:rsidRPr="008C65ED">
        <w:rPr>
          <w:rStyle w:val="Refdenotaalpie"/>
          <w:rFonts w:ascii="Arial Narrow" w:hAnsi="Arial Narrow" w:cs="Arial"/>
          <w:sz w:val="24"/>
          <w:szCs w:val="24"/>
        </w:rPr>
        <w:footnoteReference w:id="2"/>
      </w:r>
      <w:r w:rsidRPr="008C65ED">
        <w:rPr>
          <w:rFonts w:ascii="Arial Narrow" w:hAnsi="Arial Narrow" w:cs="Arial"/>
          <w:sz w:val="24"/>
          <w:szCs w:val="24"/>
        </w:rPr>
        <w:t xml:space="preserve">, </w:t>
      </w:r>
      <w:r w:rsidR="009211A5" w:rsidRPr="008C65ED">
        <w:rPr>
          <w:rFonts w:ascii="Arial Narrow" w:hAnsi="Arial Narrow" w:cs="Arial"/>
          <w:sz w:val="24"/>
          <w:szCs w:val="24"/>
        </w:rPr>
        <w:t>si se realizan a través de llamadas telefónicas, chat o cualquier  otro medio diferente al mercado organizado, se deberá contar con los soportes y comprobantes para conservar la trazabilidad de las operaciones</w:t>
      </w:r>
      <w:r w:rsidRPr="008C65ED">
        <w:rPr>
          <w:rFonts w:ascii="Arial Narrow" w:hAnsi="Arial Narrow" w:cs="Arial"/>
          <w:sz w:val="24"/>
          <w:szCs w:val="24"/>
        </w:rPr>
        <w:t>. Además, se deberá propor</w:t>
      </w:r>
      <w:r w:rsidR="009211A5" w:rsidRPr="008C65ED">
        <w:rPr>
          <w:rFonts w:ascii="Arial Narrow" w:hAnsi="Arial Narrow" w:cs="Arial"/>
          <w:sz w:val="24"/>
          <w:szCs w:val="24"/>
        </w:rPr>
        <w:t>cionar la siguiente información</w:t>
      </w:r>
      <w:r w:rsidRPr="008C65ED">
        <w:rPr>
          <w:rFonts w:ascii="Arial Narrow" w:hAnsi="Arial Narrow" w:cs="Arial"/>
          <w:sz w:val="24"/>
          <w:szCs w:val="24"/>
        </w:rPr>
        <w:t xml:space="preserve"> en el momento de</w:t>
      </w:r>
      <w:r w:rsidR="009211A5" w:rsidRPr="008C65ED">
        <w:rPr>
          <w:rFonts w:ascii="Arial Narrow" w:hAnsi="Arial Narrow" w:cs="Arial"/>
          <w:sz w:val="24"/>
          <w:szCs w:val="24"/>
        </w:rPr>
        <w:t xml:space="preserve"> </w:t>
      </w:r>
      <w:r w:rsidRPr="008C65ED">
        <w:rPr>
          <w:rFonts w:ascii="Arial Narrow" w:hAnsi="Arial Narrow" w:cs="Arial"/>
          <w:sz w:val="24"/>
          <w:szCs w:val="24"/>
        </w:rPr>
        <w:t>la negociación:</w:t>
      </w:r>
    </w:p>
    <w:p w:rsidR="00005250" w:rsidRPr="008C65ED" w:rsidRDefault="00005250" w:rsidP="00D82736">
      <w:pPr>
        <w:jc w:val="both"/>
        <w:rPr>
          <w:rFonts w:ascii="Arial Narrow" w:hAnsi="Arial Narrow" w:cs="Arial"/>
          <w:sz w:val="24"/>
          <w:szCs w:val="24"/>
        </w:rPr>
      </w:pP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Fecha y hora en la cual la operación se ejecutó, o se registró, por cada contraparte (expresadas en términos de año, mes, día, horas, minutos y segundos)</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Identificación del valor</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Tipo de operación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Precio o tasa de la operación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szCs w:val="24"/>
        </w:rPr>
      </w:pPr>
      <w:r w:rsidRPr="008C65ED">
        <w:rPr>
          <w:rFonts w:ascii="Arial Narrow" w:hAnsi="Arial Narrow" w:cs="Arial"/>
          <w:sz w:val="22"/>
        </w:rPr>
        <w:t>Monto nominal de la operación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Moneda o unidad en la cual está expresado el valor nominal del respectivo valor</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szCs w:val="24"/>
        </w:rPr>
      </w:pPr>
      <w:r w:rsidRPr="008C65ED">
        <w:rPr>
          <w:rFonts w:ascii="Arial Narrow" w:hAnsi="Arial Narrow" w:cs="Arial"/>
          <w:sz w:val="22"/>
        </w:rPr>
        <w:t>Valor transado (Valor Giro)</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Identificación de los operadores participantes en la operación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Identificación de la contraparte</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szCs w:val="24"/>
        </w:rPr>
      </w:pPr>
      <w:r w:rsidRPr="008C65ED">
        <w:rPr>
          <w:rFonts w:ascii="Arial Narrow" w:hAnsi="Arial Narrow" w:cs="Arial"/>
          <w:sz w:val="22"/>
        </w:rPr>
        <w:t>Forma de liquidación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Fecha de la liquidación</w:t>
      </w:r>
    </w:p>
    <w:p w:rsidR="009211A5"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sz w:val="22"/>
        </w:rPr>
      </w:pPr>
      <w:r w:rsidRPr="008C65ED">
        <w:rPr>
          <w:rFonts w:ascii="Arial Narrow" w:hAnsi="Arial Narrow" w:cs="Arial"/>
          <w:sz w:val="22"/>
        </w:rPr>
        <w:t>Fecha y hora del ingreso de las ofertas de compra y de venta (expresada en términos de año, mes, día, horas, minutos y segundos)</w:t>
      </w:r>
    </w:p>
    <w:p w:rsidR="00D82736" w:rsidRPr="008C65ED" w:rsidRDefault="009211A5" w:rsidP="009211A5">
      <w:pPr>
        <w:pStyle w:val="Prrafodelista"/>
        <w:numPr>
          <w:ilvl w:val="0"/>
          <w:numId w:val="33"/>
        </w:numPr>
        <w:autoSpaceDE w:val="0"/>
        <w:autoSpaceDN w:val="0"/>
        <w:adjustRightInd w:val="0"/>
        <w:ind w:left="709" w:right="474" w:hanging="425"/>
        <w:contextualSpacing/>
        <w:jc w:val="both"/>
        <w:rPr>
          <w:rFonts w:ascii="Arial Narrow" w:hAnsi="Arial Narrow" w:cs="Arial"/>
          <w:i/>
          <w:sz w:val="24"/>
        </w:rPr>
      </w:pPr>
      <w:r w:rsidRPr="008C65ED">
        <w:rPr>
          <w:rFonts w:ascii="Arial Narrow" w:hAnsi="Arial Narrow" w:cs="Arial"/>
          <w:sz w:val="22"/>
        </w:rPr>
        <w:t>Se deberá indicar el número de portafolio y la subcuenta DCV asociada.</w:t>
      </w:r>
    </w:p>
    <w:p w:rsidR="00B6053B" w:rsidRPr="008C65ED" w:rsidRDefault="00B6053B">
      <w:pPr>
        <w:rPr>
          <w:rFonts w:ascii="Arial Narrow" w:hAnsi="Arial Narrow"/>
        </w:rPr>
      </w:pPr>
    </w:p>
    <w:p w:rsidR="00C715A6" w:rsidRPr="008C65ED" w:rsidRDefault="00C715A6" w:rsidP="006E73FB">
      <w:pPr>
        <w:rPr>
          <w:rFonts w:ascii="Arial Narrow" w:hAnsi="Arial Narrow"/>
        </w:rPr>
      </w:pPr>
    </w:p>
    <w:p w:rsidR="009B3CFC" w:rsidRPr="008C65ED" w:rsidRDefault="00D82736" w:rsidP="0046710F">
      <w:pPr>
        <w:pStyle w:val="Ttulo4"/>
      </w:pPr>
      <w:bookmarkStart w:id="33" w:name="_Toc80191571"/>
      <w:r w:rsidRPr="008C65ED">
        <w:t>Directrices en M</w:t>
      </w:r>
      <w:r w:rsidR="009B3CFC" w:rsidRPr="008C65ED">
        <w:t>ateria de Composición del Portafolio de Inversiones</w:t>
      </w:r>
      <w:bookmarkEnd w:id="33"/>
    </w:p>
    <w:p w:rsidR="00F673BF" w:rsidRPr="008C65ED" w:rsidRDefault="00F673BF" w:rsidP="00F673BF">
      <w:pPr>
        <w:rPr>
          <w:rFonts w:ascii="Arial Narrow" w:hAnsi="Arial Narrow"/>
        </w:rPr>
      </w:pPr>
    </w:p>
    <w:p w:rsidR="009B3CFC" w:rsidRPr="008C65ED" w:rsidRDefault="009B3CFC" w:rsidP="009B3CFC">
      <w:pPr>
        <w:pStyle w:val="Ttulo"/>
        <w:jc w:val="both"/>
        <w:rPr>
          <w:rFonts w:ascii="Arial Narrow" w:hAnsi="Arial Narrow"/>
          <w:szCs w:val="24"/>
        </w:rPr>
      </w:pPr>
      <w:r w:rsidRPr="008C65ED">
        <w:rPr>
          <w:rFonts w:ascii="Arial Narrow" w:hAnsi="Arial Narrow"/>
          <w:szCs w:val="24"/>
        </w:rPr>
        <w:t>El portafolio que administrará la Subdirección de Tesorería estará conformado por los instrumentos mencionados a</w:t>
      </w:r>
      <w:r w:rsidR="00A57890" w:rsidRPr="008C65ED">
        <w:rPr>
          <w:rFonts w:ascii="Arial Narrow" w:hAnsi="Arial Narrow"/>
          <w:szCs w:val="24"/>
        </w:rPr>
        <w:t>nteriormente y los emisores de e</w:t>
      </w:r>
      <w:r w:rsidRPr="008C65ED">
        <w:rPr>
          <w:rFonts w:ascii="Arial Narrow" w:hAnsi="Arial Narrow"/>
          <w:szCs w:val="24"/>
        </w:rPr>
        <w:t xml:space="preserve">stos deberán tener cupo aprobado. </w:t>
      </w:r>
    </w:p>
    <w:p w:rsidR="009B3CFC" w:rsidRPr="008C65ED" w:rsidRDefault="009B3CFC" w:rsidP="009B3CFC">
      <w:pPr>
        <w:pStyle w:val="Prrafodelista"/>
        <w:ind w:left="567"/>
        <w:rPr>
          <w:rFonts w:ascii="Arial Narrow" w:hAnsi="Arial Narrow" w:cs="Arial"/>
          <w:szCs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Los excedentes de liquidez son administrados por la Subdirección de Tesorería a través del portafolio de inversiones</w:t>
      </w:r>
      <w:r w:rsidR="00F62A68" w:rsidRPr="008C65ED">
        <w:rPr>
          <w:rFonts w:ascii="Arial Narrow" w:hAnsi="Arial Narrow" w:cs="Arial"/>
          <w:sz w:val="24"/>
        </w:rPr>
        <w:t xml:space="preserve"> los cuales provienen </w:t>
      </w:r>
      <w:r w:rsidRPr="008C65ED">
        <w:rPr>
          <w:rFonts w:ascii="Arial Narrow" w:hAnsi="Arial Narrow" w:cs="Arial"/>
          <w:sz w:val="24"/>
        </w:rPr>
        <w:t>de las siguientes fuentes:</w:t>
      </w:r>
    </w:p>
    <w:p w:rsidR="009B3CFC" w:rsidRPr="008C65ED" w:rsidRDefault="009B3CFC" w:rsidP="009B3CFC">
      <w:pPr>
        <w:pStyle w:val="Prrafodelista"/>
        <w:ind w:left="567"/>
        <w:jc w:val="both"/>
        <w:rPr>
          <w:rFonts w:ascii="Arial Narrow" w:hAnsi="Arial Narrow" w:cs="Arial"/>
          <w:sz w:val="24"/>
          <w:szCs w:val="24"/>
        </w:rPr>
      </w:pPr>
    </w:p>
    <w:p w:rsidR="009B3CFC" w:rsidRPr="008C65ED" w:rsidRDefault="009B3CFC" w:rsidP="00C408EF">
      <w:pPr>
        <w:pStyle w:val="Prrafodelista"/>
        <w:numPr>
          <w:ilvl w:val="0"/>
          <w:numId w:val="10"/>
        </w:numPr>
        <w:ind w:left="567" w:hanging="283"/>
        <w:jc w:val="both"/>
        <w:rPr>
          <w:rFonts w:ascii="Arial Narrow" w:hAnsi="Arial Narrow" w:cs="Arial"/>
          <w:sz w:val="24"/>
          <w:szCs w:val="24"/>
        </w:rPr>
      </w:pPr>
      <w:r w:rsidRPr="008C65ED">
        <w:rPr>
          <w:rFonts w:ascii="Arial Narrow" w:hAnsi="Arial Narrow" w:cs="Arial"/>
          <w:sz w:val="24"/>
          <w:szCs w:val="24"/>
        </w:rPr>
        <w:t>Ingresos de la Nación constituidos como recursos de cuenta propia y recursos propios de entidades públicas del orden nacional, los cuales son incluidos dentro del sistema de Cuenta Única Nacional</w:t>
      </w:r>
      <w:r w:rsidR="00C9489C" w:rsidRPr="008C65ED">
        <w:rPr>
          <w:rFonts w:ascii="Arial Narrow" w:hAnsi="Arial Narrow" w:cs="Arial"/>
          <w:sz w:val="24"/>
          <w:szCs w:val="24"/>
        </w:rPr>
        <w:t xml:space="preserve"> (CUN)</w:t>
      </w:r>
      <w:r w:rsidRPr="008C65ED">
        <w:rPr>
          <w:rFonts w:ascii="Arial Narrow" w:hAnsi="Arial Narrow" w:cs="Arial"/>
          <w:sz w:val="24"/>
          <w:szCs w:val="24"/>
        </w:rPr>
        <w:t>.</w:t>
      </w:r>
    </w:p>
    <w:p w:rsidR="009B3CFC" w:rsidRPr="008C65ED" w:rsidRDefault="009B3CFC" w:rsidP="009B3CFC">
      <w:pPr>
        <w:jc w:val="both"/>
        <w:rPr>
          <w:rFonts w:ascii="Arial Narrow" w:hAnsi="Arial Narrow" w:cs="Arial"/>
          <w:sz w:val="24"/>
        </w:rPr>
      </w:pPr>
    </w:p>
    <w:p w:rsidR="009B3CFC" w:rsidRPr="008C65ED" w:rsidRDefault="009B3CFC" w:rsidP="00C408EF">
      <w:pPr>
        <w:pStyle w:val="Prrafodelista"/>
        <w:numPr>
          <w:ilvl w:val="0"/>
          <w:numId w:val="10"/>
        </w:numPr>
        <w:ind w:left="567" w:hanging="283"/>
        <w:jc w:val="both"/>
        <w:rPr>
          <w:rFonts w:ascii="Arial Narrow" w:hAnsi="Arial Narrow" w:cs="Arial"/>
          <w:sz w:val="24"/>
          <w:szCs w:val="24"/>
        </w:rPr>
      </w:pPr>
      <w:r w:rsidRPr="008C65ED">
        <w:rPr>
          <w:rFonts w:ascii="Arial Narrow" w:hAnsi="Arial Narrow" w:cs="Arial"/>
          <w:sz w:val="24"/>
          <w:szCs w:val="24"/>
        </w:rPr>
        <w:t>Fondos administrados bajo su responsabilidad y fondos de terceros delegados en administración.</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Para garantizar que la composición de las inversiones esté orientada hacia la coordinación de los objetivos de política gubernamental en materia monetaria, fiscal y cambiaria, el portafolio deberá estar compuesto por instrumentos que permitan la implementación, entre otros, de los siguientes propósitos:</w:t>
      </w:r>
    </w:p>
    <w:p w:rsidR="009B3CFC" w:rsidRPr="008C65ED" w:rsidRDefault="009B3CFC" w:rsidP="009B3CFC">
      <w:pPr>
        <w:jc w:val="both"/>
        <w:rPr>
          <w:rFonts w:ascii="Arial Narrow" w:hAnsi="Arial Narrow" w:cs="Arial"/>
          <w:sz w:val="24"/>
        </w:rPr>
      </w:pPr>
    </w:p>
    <w:p w:rsidR="009B3CFC" w:rsidRPr="008C65ED" w:rsidRDefault="009B3CFC" w:rsidP="00C408EF">
      <w:pPr>
        <w:pStyle w:val="Prrafodelista"/>
        <w:numPr>
          <w:ilvl w:val="0"/>
          <w:numId w:val="11"/>
        </w:numPr>
        <w:ind w:left="567" w:hanging="283"/>
        <w:jc w:val="both"/>
        <w:rPr>
          <w:rFonts w:ascii="Arial Narrow" w:hAnsi="Arial Narrow" w:cs="Arial"/>
          <w:sz w:val="24"/>
          <w:szCs w:val="24"/>
        </w:rPr>
      </w:pPr>
      <w:r w:rsidRPr="008C65ED">
        <w:rPr>
          <w:rFonts w:ascii="Arial Narrow" w:hAnsi="Arial Narrow" w:cs="Arial"/>
          <w:sz w:val="24"/>
          <w:szCs w:val="24"/>
        </w:rPr>
        <w:t>Realizar operaciones temporales de liquidez acordes con las necesidades de caja.</w:t>
      </w:r>
    </w:p>
    <w:p w:rsidR="009B3CFC" w:rsidRPr="008C65ED" w:rsidRDefault="009B3CFC" w:rsidP="009B3CFC">
      <w:pPr>
        <w:jc w:val="both"/>
        <w:rPr>
          <w:rFonts w:ascii="Arial Narrow" w:hAnsi="Arial Narrow" w:cs="Arial"/>
          <w:sz w:val="24"/>
        </w:rPr>
      </w:pPr>
    </w:p>
    <w:p w:rsidR="009B3CFC" w:rsidRPr="008C65ED" w:rsidRDefault="009B3CFC" w:rsidP="00C408EF">
      <w:pPr>
        <w:pStyle w:val="Prrafodelista"/>
        <w:numPr>
          <w:ilvl w:val="0"/>
          <w:numId w:val="11"/>
        </w:numPr>
        <w:ind w:left="567" w:hanging="283"/>
        <w:jc w:val="both"/>
        <w:rPr>
          <w:rFonts w:ascii="Arial Narrow" w:hAnsi="Arial Narrow" w:cs="Arial"/>
          <w:sz w:val="24"/>
          <w:szCs w:val="24"/>
        </w:rPr>
      </w:pPr>
      <w:r w:rsidRPr="008C65ED">
        <w:rPr>
          <w:rFonts w:ascii="Arial Narrow" w:hAnsi="Arial Narrow" w:cs="Arial"/>
          <w:sz w:val="24"/>
          <w:szCs w:val="24"/>
        </w:rPr>
        <w:t>Adquirir deuda de la Nación cuyo propósito sea la gestión activa de la misma.</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 xml:space="preserve">Las políticas definidas en el presente manual, sus directrices y límites establecidos se aplicarán tanto para los recursos de cuenta propia como para los recursos provenientes de los fondos administrados bajo su responsabilidad y los fondos de terceros delegados en administración.  </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No obstante, en caso que exista una normativa, mandato o política de riesgos aplicada para la administración de recursos de terceros, se llevará a cabo el respectivo control y monitoreo aplicable a los recursos pertenecientes al fondo de forma independiente de acuerdo con la normatividad aplicable.</w:t>
      </w:r>
    </w:p>
    <w:p w:rsidR="009B3CFC" w:rsidRPr="008C65ED" w:rsidRDefault="009B3CFC" w:rsidP="009B3CFC">
      <w:pPr>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Se define además que, para el adecuado uso de los recursos de la Nación, se establecen límites de composición del portafolio, los cuales se describen a continuación:</w:t>
      </w:r>
    </w:p>
    <w:p w:rsidR="009B3CFC" w:rsidRPr="008C65ED" w:rsidRDefault="009B3CFC" w:rsidP="009B3CFC">
      <w:pPr>
        <w:jc w:val="both"/>
        <w:rPr>
          <w:rFonts w:ascii="Arial Narrow" w:hAnsi="Arial Narrow" w:cs="Arial"/>
          <w:sz w:val="24"/>
        </w:rPr>
      </w:pPr>
    </w:p>
    <w:p w:rsidR="009B3CFC" w:rsidRPr="008C65ED" w:rsidRDefault="009B3CFC" w:rsidP="00F673BF">
      <w:pPr>
        <w:pStyle w:val="Ttulo5"/>
      </w:pPr>
      <w:bookmarkStart w:id="34" w:name="_Toc80191572"/>
      <w:r w:rsidRPr="008C65ED">
        <w:t xml:space="preserve">Límites </w:t>
      </w:r>
      <w:r w:rsidR="0046710F" w:rsidRPr="008C65ED">
        <w:t>de C</w:t>
      </w:r>
      <w:r w:rsidR="00F62A68" w:rsidRPr="008C65ED">
        <w:t xml:space="preserve">omposición </w:t>
      </w:r>
      <w:r w:rsidR="0046710F" w:rsidRPr="008C65ED">
        <w:t>para I</w:t>
      </w:r>
      <w:r w:rsidR="005F3D9D" w:rsidRPr="008C65ED">
        <w:t xml:space="preserve">nversiones en </w:t>
      </w:r>
      <w:r w:rsidR="0046710F" w:rsidRPr="008C65ED">
        <w:t>P</w:t>
      </w:r>
      <w:r w:rsidR="005F3D9D" w:rsidRPr="008C65ED">
        <w:t>esos</w:t>
      </w:r>
      <w:bookmarkEnd w:id="34"/>
    </w:p>
    <w:p w:rsidR="005F3D9D" w:rsidRPr="008C65ED" w:rsidRDefault="005F3D9D" w:rsidP="009B3CFC">
      <w:pPr>
        <w:jc w:val="both"/>
        <w:rPr>
          <w:rFonts w:ascii="Arial Narrow" w:hAnsi="Arial Narrow" w:cs="Arial"/>
          <w:b/>
          <w:sz w:val="24"/>
        </w:rPr>
      </w:pPr>
    </w:p>
    <w:p w:rsidR="005F3D9D" w:rsidRPr="008C65ED" w:rsidRDefault="005F3D9D" w:rsidP="009B3CFC">
      <w:pPr>
        <w:jc w:val="both"/>
        <w:rPr>
          <w:rFonts w:ascii="Arial Narrow" w:hAnsi="Arial Narrow" w:cs="Arial"/>
          <w:sz w:val="24"/>
        </w:rPr>
      </w:pPr>
      <w:r w:rsidRPr="008C65ED">
        <w:rPr>
          <w:rFonts w:ascii="Arial Narrow" w:hAnsi="Arial Narrow" w:cs="Arial"/>
          <w:sz w:val="24"/>
        </w:rPr>
        <w:t>Para el portafolio en moneda legal se establecerán límites desagregados de la siguiente manera:</w:t>
      </w:r>
    </w:p>
    <w:p w:rsidR="009B3CFC" w:rsidRPr="008C65ED" w:rsidRDefault="009B3CFC" w:rsidP="009B3CFC">
      <w:pPr>
        <w:jc w:val="both"/>
        <w:rPr>
          <w:rFonts w:ascii="Arial Narrow" w:hAnsi="Arial Narrow" w:cs="Arial"/>
          <w:sz w:val="24"/>
        </w:rPr>
      </w:pPr>
    </w:p>
    <w:p w:rsidR="009B3CFC" w:rsidRPr="008C65ED" w:rsidRDefault="00B6053B" w:rsidP="00B6053B">
      <w:pPr>
        <w:jc w:val="center"/>
        <w:rPr>
          <w:rFonts w:ascii="Arial Narrow" w:hAnsi="Arial Narrow" w:cs="Arial"/>
          <w:sz w:val="24"/>
        </w:rPr>
      </w:pPr>
      <w:r w:rsidRPr="008C65ED">
        <w:rPr>
          <w:rFonts w:ascii="Arial Narrow" w:hAnsi="Arial Narrow" w:cs="Arial"/>
          <w:noProof/>
          <w:sz w:val="24"/>
          <w:lang w:val="en-US" w:eastAsia="en-US"/>
        </w:rPr>
        <w:drawing>
          <wp:inline distT="0" distB="0" distL="0" distR="0" wp14:anchorId="4AC30C7F">
            <wp:extent cx="3230152" cy="172402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4327" cy="1726253"/>
                    </a:xfrm>
                    <a:prstGeom prst="rect">
                      <a:avLst/>
                    </a:prstGeom>
                    <a:noFill/>
                  </pic:spPr>
                </pic:pic>
              </a:graphicData>
            </a:graphic>
          </wp:inline>
        </w:drawing>
      </w:r>
    </w:p>
    <w:p w:rsidR="00B6053B" w:rsidRPr="008C65ED" w:rsidRDefault="00B6053B" w:rsidP="00B6053B">
      <w:pPr>
        <w:jc w:val="center"/>
        <w:rPr>
          <w:rFonts w:ascii="Arial Narrow" w:hAnsi="Arial Narrow" w:cs="Arial"/>
          <w:sz w:val="24"/>
        </w:rPr>
      </w:pPr>
    </w:p>
    <w:p w:rsidR="00ED5697" w:rsidRPr="008C65ED" w:rsidRDefault="009B3CFC" w:rsidP="00B6053B">
      <w:pPr>
        <w:jc w:val="both"/>
        <w:rPr>
          <w:rFonts w:ascii="Arial Narrow" w:hAnsi="Arial Narrow" w:cs="Arial"/>
          <w:sz w:val="24"/>
        </w:rPr>
      </w:pPr>
      <w:r w:rsidRPr="008C65ED">
        <w:rPr>
          <w:rFonts w:ascii="Arial Narrow" w:hAnsi="Arial Narrow" w:cs="Arial"/>
          <w:b/>
          <w:sz w:val="24"/>
        </w:rPr>
        <w:lastRenderedPageBreak/>
        <w:t>Para inversiones cuyo emisor sea diferente a Nación o al Banco de la República:</w:t>
      </w:r>
      <w:r w:rsidRPr="008C65ED">
        <w:rPr>
          <w:rFonts w:ascii="Arial Narrow" w:hAnsi="Arial Narrow" w:cs="Arial"/>
          <w:sz w:val="24"/>
        </w:rPr>
        <w:t xml:space="preserve"> </w:t>
      </w:r>
      <w:r w:rsidR="005F3D9D" w:rsidRPr="008C65ED">
        <w:rPr>
          <w:rFonts w:ascii="Arial Narrow" w:hAnsi="Arial Narrow" w:cs="Arial"/>
          <w:sz w:val="24"/>
        </w:rPr>
        <w:t xml:space="preserve">Se podrá invertir </w:t>
      </w:r>
      <w:r w:rsidRPr="008C65ED">
        <w:rPr>
          <w:rFonts w:ascii="Arial Narrow" w:hAnsi="Arial Narrow" w:cs="Arial"/>
          <w:sz w:val="24"/>
        </w:rPr>
        <w:t xml:space="preserve">en este tipo de instrumentos en caso que exista una normativa, mandato o política de CONFIS, Comité de Tesorería o cualquier otra instancia que apruebe la realización de la inversión. </w:t>
      </w:r>
    </w:p>
    <w:p w:rsidR="009B3CFC" w:rsidRPr="008C65ED" w:rsidRDefault="009B3CFC" w:rsidP="009B3CFC">
      <w:pPr>
        <w:jc w:val="both"/>
        <w:rPr>
          <w:rFonts w:ascii="Arial Narrow" w:hAnsi="Arial Narrow" w:cs="Arial"/>
          <w:sz w:val="24"/>
        </w:rPr>
      </w:pPr>
    </w:p>
    <w:p w:rsidR="009B3CFC" w:rsidRPr="008C65ED" w:rsidRDefault="0046710F" w:rsidP="00F673BF">
      <w:pPr>
        <w:pStyle w:val="Ttulo5"/>
      </w:pPr>
      <w:bookmarkStart w:id="35" w:name="_Toc80191573"/>
      <w:r w:rsidRPr="008C65ED">
        <w:t>Límites para I</w:t>
      </w:r>
      <w:r w:rsidR="009B3CFC" w:rsidRPr="008C65ED">
        <w:t xml:space="preserve">nversiones en </w:t>
      </w:r>
      <w:r w:rsidRPr="008C65ED">
        <w:t>M</w:t>
      </w:r>
      <w:r w:rsidR="009B3CFC" w:rsidRPr="008C65ED">
        <w:t xml:space="preserve">oneda </w:t>
      </w:r>
      <w:r w:rsidRPr="008C65ED">
        <w:t>E</w:t>
      </w:r>
      <w:r w:rsidR="009B3CFC" w:rsidRPr="008C65ED">
        <w:t>xtranjera</w:t>
      </w:r>
      <w:bookmarkEnd w:id="35"/>
    </w:p>
    <w:p w:rsidR="005F3D9D" w:rsidRPr="008C65ED" w:rsidRDefault="005F3D9D" w:rsidP="009B3CFC">
      <w:pPr>
        <w:jc w:val="both"/>
        <w:rPr>
          <w:rFonts w:ascii="Arial Narrow" w:hAnsi="Arial Narrow" w:cs="Arial"/>
          <w:b/>
          <w:sz w:val="24"/>
        </w:rPr>
      </w:pPr>
    </w:p>
    <w:p w:rsidR="009B3CFC" w:rsidRPr="008C65ED" w:rsidRDefault="005F3D9D" w:rsidP="009B3CFC">
      <w:pPr>
        <w:jc w:val="both"/>
        <w:rPr>
          <w:rFonts w:ascii="Arial Narrow" w:hAnsi="Arial Narrow" w:cs="Arial"/>
          <w:sz w:val="24"/>
        </w:rPr>
      </w:pPr>
      <w:r w:rsidRPr="008C65ED">
        <w:rPr>
          <w:rFonts w:ascii="Arial Narrow" w:hAnsi="Arial Narrow" w:cs="Arial"/>
          <w:sz w:val="24"/>
        </w:rPr>
        <w:t xml:space="preserve">Para el portafolio en moneda extranjera se establecerán límites por </w:t>
      </w:r>
      <w:r w:rsidR="00B6053B" w:rsidRPr="008C65ED">
        <w:rPr>
          <w:rFonts w:ascii="Arial Narrow" w:hAnsi="Arial Narrow" w:cs="Arial"/>
          <w:sz w:val="24"/>
        </w:rPr>
        <w:t>emisor y tipo de instrumento</w:t>
      </w:r>
      <w:r w:rsidRPr="008C65ED">
        <w:rPr>
          <w:rFonts w:ascii="Arial Narrow" w:hAnsi="Arial Narrow" w:cs="Arial"/>
          <w:sz w:val="24"/>
        </w:rPr>
        <w:t>, adicionalmente</w:t>
      </w:r>
      <w:r w:rsidR="00C9489C" w:rsidRPr="008C65ED">
        <w:rPr>
          <w:rFonts w:ascii="Arial Narrow" w:hAnsi="Arial Narrow" w:cs="Arial"/>
          <w:sz w:val="24"/>
        </w:rPr>
        <w:t>, las inversiones deberán</w:t>
      </w:r>
      <w:r w:rsidRPr="008C65ED">
        <w:rPr>
          <w:rFonts w:ascii="Arial Narrow" w:hAnsi="Arial Narrow" w:cs="Arial"/>
          <w:sz w:val="24"/>
        </w:rPr>
        <w:t xml:space="preserve"> cumplir con cupos de emisor:</w:t>
      </w:r>
    </w:p>
    <w:p w:rsidR="00B6053B" w:rsidRPr="008C65ED" w:rsidRDefault="00B6053B" w:rsidP="009B3CFC">
      <w:pPr>
        <w:jc w:val="both"/>
        <w:rPr>
          <w:rFonts w:ascii="Arial Narrow" w:hAnsi="Arial Narrow" w:cs="Arial"/>
          <w:sz w:val="24"/>
        </w:rPr>
      </w:pPr>
    </w:p>
    <w:p w:rsidR="009B3CFC" w:rsidRPr="008C65ED" w:rsidRDefault="00B6053B" w:rsidP="00B6053B">
      <w:pPr>
        <w:pStyle w:val="Prrafodelista"/>
        <w:ind w:left="0"/>
        <w:jc w:val="center"/>
        <w:rPr>
          <w:rFonts w:ascii="Arial Narrow" w:hAnsi="Arial Narrow" w:cs="Arial"/>
          <w:sz w:val="24"/>
        </w:rPr>
      </w:pPr>
      <w:r w:rsidRPr="008C65ED">
        <w:rPr>
          <w:rFonts w:ascii="Arial Narrow" w:hAnsi="Arial Narrow" w:cs="Arial"/>
          <w:noProof/>
          <w:sz w:val="24"/>
          <w:lang w:val="en-US" w:eastAsia="en-US"/>
        </w:rPr>
        <w:drawing>
          <wp:inline distT="0" distB="0" distL="0" distR="0" wp14:anchorId="42CF793C">
            <wp:extent cx="3295650" cy="2337213"/>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6421" cy="2344851"/>
                    </a:xfrm>
                    <a:prstGeom prst="rect">
                      <a:avLst/>
                    </a:prstGeom>
                    <a:noFill/>
                  </pic:spPr>
                </pic:pic>
              </a:graphicData>
            </a:graphic>
          </wp:inline>
        </w:drawing>
      </w:r>
    </w:p>
    <w:p w:rsidR="00B6053B" w:rsidRPr="008C65ED" w:rsidRDefault="00B6053B" w:rsidP="00B6053B">
      <w:pPr>
        <w:pStyle w:val="Prrafodelista"/>
        <w:ind w:left="0"/>
        <w:jc w:val="both"/>
        <w:rPr>
          <w:rFonts w:ascii="Arial Narrow" w:hAnsi="Arial Narrow" w:cs="Arial"/>
          <w:sz w:val="24"/>
        </w:rPr>
      </w:pPr>
      <w:r w:rsidRPr="008C65ED">
        <w:rPr>
          <w:rFonts w:ascii="Arial Narrow" w:hAnsi="Arial Narrow" w:cs="Arial"/>
          <w:sz w:val="24"/>
        </w:rPr>
        <w:t>*Las inversiones en bonos globales emitidos por la República de Colombia no tendrán restricción de calificación</w:t>
      </w:r>
    </w:p>
    <w:p w:rsidR="00B6053B" w:rsidRPr="008C65ED" w:rsidRDefault="00B6053B" w:rsidP="00B6053B">
      <w:pPr>
        <w:pStyle w:val="Prrafodelista"/>
        <w:ind w:left="0"/>
        <w:jc w:val="both"/>
        <w:rPr>
          <w:rFonts w:ascii="Arial Narrow" w:hAnsi="Arial Narrow" w:cs="Arial"/>
          <w:sz w:val="24"/>
        </w:rPr>
      </w:pPr>
      <w:r w:rsidRPr="008C65ED">
        <w:rPr>
          <w:rFonts w:ascii="Arial Narrow" w:hAnsi="Arial Narrow" w:cs="Arial"/>
          <w:sz w:val="24"/>
        </w:rPr>
        <w:t>*En caso de tener varias calificaciones se aplica el % de acuerdo a la moda o en su defecto la menor calificación crediticia.</w:t>
      </w:r>
    </w:p>
    <w:p w:rsidR="00B6053B" w:rsidRPr="008C65ED" w:rsidRDefault="00B6053B" w:rsidP="00B6053B">
      <w:pPr>
        <w:pStyle w:val="Prrafodelista"/>
        <w:ind w:left="0"/>
        <w:jc w:val="both"/>
        <w:rPr>
          <w:rFonts w:ascii="Arial Narrow" w:hAnsi="Arial Narrow" w:cs="Arial"/>
          <w:sz w:val="24"/>
        </w:rPr>
      </w:pPr>
    </w:p>
    <w:p w:rsidR="00B6053B" w:rsidRPr="008C65ED" w:rsidRDefault="00B6053B" w:rsidP="00B6053B">
      <w:pPr>
        <w:pStyle w:val="Prrafodelista"/>
        <w:ind w:left="0"/>
        <w:jc w:val="both"/>
        <w:rPr>
          <w:rFonts w:ascii="Arial Narrow" w:hAnsi="Arial Narrow" w:cs="Arial"/>
          <w:sz w:val="24"/>
        </w:rPr>
      </w:pPr>
    </w:p>
    <w:p w:rsidR="009B3CFC" w:rsidRPr="008C65ED" w:rsidRDefault="009B3CFC" w:rsidP="009B3CFC">
      <w:pPr>
        <w:jc w:val="both"/>
        <w:rPr>
          <w:rFonts w:ascii="Arial Narrow" w:hAnsi="Arial Narrow" w:cs="Arial"/>
          <w:sz w:val="24"/>
        </w:rPr>
      </w:pPr>
      <w:r w:rsidRPr="008C65ED">
        <w:rPr>
          <w:rFonts w:ascii="Arial Narrow" w:hAnsi="Arial Narrow" w:cs="Arial"/>
          <w:sz w:val="24"/>
        </w:rPr>
        <w:t>Estos límites tienen como función principal la mitigación del riesgo de concentración y disminución de la exposición crediticia, lo cual propone una política que obedece al principio de diversificación de las inversiones.</w:t>
      </w:r>
    </w:p>
    <w:p w:rsidR="009B3CFC" w:rsidRPr="008C65ED" w:rsidRDefault="009B3CFC" w:rsidP="009B3CFC">
      <w:pPr>
        <w:jc w:val="both"/>
        <w:rPr>
          <w:rFonts w:ascii="Arial Narrow" w:hAnsi="Arial Narrow" w:cs="Arial"/>
          <w:sz w:val="24"/>
        </w:rPr>
      </w:pPr>
    </w:p>
    <w:p w:rsidR="00384F28" w:rsidRPr="008C65ED" w:rsidRDefault="009B3CFC" w:rsidP="009B3CFC">
      <w:pPr>
        <w:pStyle w:val="Prrafodelista"/>
        <w:ind w:left="0"/>
        <w:jc w:val="both"/>
        <w:rPr>
          <w:rFonts w:ascii="Arial Narrow" w:hAnsi="Arial Narrow" w:cs="Arial"/>
          <w:sz w:val="24"/>
          <w:szCs w:val="24"/>
        </w:rPr>
      </w:pPr>
      <w:r w:rsidRPr="008C65ED">
        <w:rPr>
          <w:rFonts w:ascii="Arial Narrow" w:hAnsi="Arial Narrow" w:cs="Arial"/>
          <w:sz w:val="24"/>
          <w:szCs w:val="24"/>
        </w:rPr>
        <w:t xml:space="preserve">Adicionalmente, la Subdirección de Tesorería podrá desarrollar una estrategia de rentabilidad con base en la administración </w:t>
      </w:r>
      <w:r w:rsidR="00C9489C" w:rsidRPr="008C65ED">
        <w:rPr>
          <w:rFonts w:ascii="Arial Narrow" w:hAnsi="Arial Narrow" w:cs="Arial"/>
          <w:sz w:val="24"/>
          <w:szCs w:val="24"/>
        </w:rPr>
        <w:t>de un portafolio estructural en</w:t>
      </w:r>
      <w:r w:rsidRPr="008C65ED">
        <w:rPr>
          <w:rFonts w:ascii="Arial Narrow" w:hAnsi="Arial Narrow" w:cs="Arial"/>
          <w:sz w:val="24"/>
          <w:szCs w:val="24"/>
        </w:rPr>
        <w:t xml:space="preserve"> un horizonte de tiempo, que no involucre necesidades de caja. Para esto, la Subdirección de Riesgo deberá definir lineamientos de riesgos acordes con la gestión que le aplica a este portafolio, los cuales se </w:t>
      </w:r>
      <w:r w:rsidR="00C9489C" w:rsidRPr="008C65ED">
        <w:rPr>
          <w:rFonts w:ascii="Arial Narrow" w:hAnsi="Arial Narrow" w:cs="Arial"/>
          <w:sz w:val="24"/>
          <w:szCs w:val="24"/>
        </w:rPr>
        <w:t xml:space="preserve">incluyen </w:t>
      </w:r>
      <w:r w:rsidRPr="008C65ED">
        <w:rPr>
          <w:rFonts w:ascii="Arial Narrow" w:hAnsi="Arial Narrow" w:cs="Arial"/>
          <w:sz w:val="24"/>
          <w:szCs w:val="24"/>
        </w:rPr>
        <w:t>en el presente manual.</w:t>
      </w:r>
    </w:p>
    <w:p w:rsidR="00384F28" w:rsidRPr="008C65ED" w:rsidRDefault="00384F28" w:rsidP="009B3CFC">
      <w:pPr>
        <w:pStyle w:val="Prrafodelista"/>
        <w:ind w:left="0"/>
        <w:jc w:val="both"/>
        <w:rPr>
          <w:rFonts w:ascii="Arial Narrow" w:hAnsi="Arial Narrow" w:cs="Arial"/>
          <w:sz w:val="24"/>
          <w:szCs w:val="24"/>
        </w:rPr>
      </w:pPr>
    </w:p>
    <w:p w:rsidR="0045365B" w:rsidRPr="008C65ED" w:rsidRDefault="0045365B" w:rsidP="0046710F">
      <w:pPr>
        <w:pStyle w:val="Ttulo4"/>
      </w:pPr>
      <w:bookmarkStart w:id="36" w:name="_Toc80191574"/>
      <w:r w:rsidRPr="008C65ED">
        <w:t>Directrices en Materia de Cupos</w:t>
      </w:r>
      <w:bookmarkEnd w:id="36"/>
    </w:p>
    <w:p w:rsidR="0045365B" w:rsidRPr="008C65ED" w:rsidRDefault="0045365B" w:rsidP="0045365B">
      <w:pPr>
        <w:rPr>
          <w:rFonts w:ascii="Arial Narrow" w:hAnsi="Arial Narrow"/>
        </w:rPr>
      </w:pPr>
    </w:p>
    <w:p w:rsidR="0045365B" w:rsidRPr="008C65ED" w:rsidRDefault="0045365B" w:rsidP="0045365B">
      <w:pPr>
        <w:jc w:val="both"/>
        <w:rPr>
          <w:rFonts w:ascii="Arial Narrow" w:hAnsi="Arial Narrow" w:cs="Arial"/>
          <w:sz w:val="24"/>
          <w:szCs w:val="24"/>
        </w:rPr>
      </w:pPr>
      <w:r w:rsidRPr="008C65ED">
        <w:rPr>
          <w:rFonts w:ascii="Arial Narrow" w:hAnsi="Arial Narrow" w:cs="Arial"/>
          <w:sz w:val="24"/>
          <w:szCs w:val="24"/>
        </w:rPr>
        <w:t>La Subdirección de Riesgo definirá las metodologías concernientes a identificar y asignar cupos a las entidades con las cuales se podrán realizar operaciones, así como mantener posiciones en dichos instrumentos en el portafolio administrado por la DGCPTN.</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45365B">
      <w:pPr>
        <w:pStyle w:val="Ttulo"/>
        <w:jc w:val="both"/>
        <w:rPr>
          <w:rFonts w:ascii="Arial Narrow" w:eastAsia="Calibri" w:hAnsi="Arial Narrow"/>
          <w:szCs w:val="24"/>
          <w:lang w:val="es-CO" w:eastAsia="es-CO"/>
        </w:rPr>
      </w:pPr>
      <w:r w:rsidRPr="008C65ED">
        <w:rPr>
          <w:rFonts w:ascii="Arial Narrow" w:eastAsia="Calibri" w:hAnsi="Arial Narrow"/>
          <w:szCs w:val="24"/>
          <w:lang w:val="es-CO" w:eastAsia="es-CO"/>
        </w:rPr>
        <w:t>Los cupos a asignar y los criterios generales de asignación se definen a continuación:</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C408EF">
      <w:pPr>
        <w:pStyle w:val="Ttulo"/>
        <w:numPr>
          <w:ilvl w:val="0"/>
          <w:numId w:val="15"/>
        </w:numPr>
        <w:jc w:val="both"/>
        <w:rPr>
          <w:rFonts w:ascii="Arial Narrow" w:eastAsia="Calibri" w:hAnsi="Arial Narrow"/>
          <w:b/>
          <w:szCs w:val="24"/>
          <w:lang w:val="es-CO" w:eastAsia="es-CO"/>
        </w:rPr>
      </w:pPr>
      <w:r w:rsidRPr="008C65ED">
        <w:rPr>
          <w:rFonts w:ascii="Arial Narrow" w:eastAsia="Calibri" w:hAnsi="Arial Narrow"/>
          <w:b/>
          <w:szCs w:val="24"/>
          <w:lang w:val="es-CO" w:eastAsia="es-CO"/>
        </w:rPr>
        <w:t>Criterios Generales para Asignación de Cupos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45365B">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Para la asignación de cupos de emisor y de contraparte se deben tener en cuenta los siguientes criterios generales: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C408EF">
      <w:pPr>
        <w:pStyle w:val="Ttulo"/>
        <w:numPr>
          <w:ilvl w:val="0"/>
          <w:numId w:val="20"/>
        </w:numPr>
        <w:ind w:left="70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Los cupos deben cumplir con los criterios de calificación mínima definidos en las políticas de riesgo. </w:t>
      </w:r>
    </w:p>
    <w:p w:rsidR="0045365B" w:rsidRPr="008C65ED" w:rsidRDefault="0045365B" w:rsidP="00C408EF">
      <w:pPr>
        <w:pStyle w:val="Ttulo"/>
        <w:numPr>
          <w:ilvl w:val="0"/>
          <w:numId w:val="20"/>
        </w:numPr>
        <w:ind w:left="70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La entidad debe cumplir con los criterios del modelo de asignación de cupos aprobado para tal fin por la Subdirección de Riesgo.</w:t>
      </w:r>
    </w:p>
    <w:p w:rsidR="0045365B" w:rsidRPr="008C65ED" w:rsidRDefault="0045365B" w:rsidP="0045365B">
      <w:pPr>
        <w:pStyle w:val="Ttulo"/>
        <w:jc w:val="both"/>
        <w:rPr>
          <w:rFonts w:ascii="Arial Narrow" w:eastAsia="Calibri" w:hAnsi="Arial Narrow"/>
          <w:b/>
          <w:szCs w:val="24"/>
          <w:lang w:val="es-CO" w:eastAsia="es-CO"/>
        </w:rPr>
      </w:pPr>
    </w:p>
    <w:p w:rsidR="0045365B" w:rsidRPr="008C65ED" w:rsidRDefault="0045365B" w:rsidP="00C408EF">
      <w:pPr>
        <w:pStyle w:val="Ttulo"/>
        <w:numPr>
          <w:ilvl w:val="0"/>
          <w:numId w:val="15"/>
        </w:numPr>
        <w:jc w:val="both"/>
        <w:rPr>
          <w:rFonts w:ascii="Arial Narrow" w:eastAsia="Calibri" w:hAnsi="Arial Narrow"/>
          <w:b/>
          <w:szCs w:val="24"/>
          <w:lang w:val="es-CO" w:eastAsia="es-CO"/>
        </w:rPr>
      </w:pPr>
      <w:r w:rsidRPr="008C65ED">
        <w:rPr>
          <w:rFonts w:ascii="Arial Narrow" w:eastAsia="Calibri" w:hAnsi="Arial Narrow"/>
          <w:b/>
          <w:szCs w:val="24"/>
          <w:lang w:val="es-CO" w:eastAsia="es-CO"/>
        </w:rPr>
        <w:t>Cupos de Emisor</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D123C4">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Una situación de deterioro de las condiciones financieras de la entidad receptora de recursos de la Nación genera una mayor exposición de riesgo de crédito (o de emisor). Es decir, se podría desencadenar una serie de factores que afectarían la capacidad de cumplir las obligaciones que contrae la entidad emisora o receptora de recursos con terceros.</w:t>
      </w:r>
    </w:p>
    <w:p w:rsidR="0045365B" w:rsidRPr="008C65ED" w:rsidRDefault="0045365B" w:rsidP="00D123C4">
      <w:pPr>
        <w:pStyle w:val="Ttulo"/>
        <w:ind w:left="360"/>
        <w:jc w:val="both"/>
        <w:rPr>
          <w:rFonts w:ascii="Arial Narrow" w:eastAsia="Calibri" w:hAnsi="Arial Narrow"/>
          <w:szCs w:val="24"/>
          <w:lang w:val="es-CO" w:eastAsia="es-CO"/>
        </w:rPr>
      </w:pPr>
    </w:p>
    <w:p w:rsidR="0045365B" w:rsidRPr="008C65ED" w:rsidRDefault="0045365B" w:rsidP="00D123C4">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Para poder evaluar el riesgo de crédito que presenta una entidad financiera se utilizan las calificaciones de riesgo emitidas por las agencias calificadoras internacionales, y se realizan modelos cuantitativos que permiten determinar, con base en la exposición crediticia, el valor de los cupos de emisor.  </w:t>
      </w:r>
    </w:p>
    <w:p w:rsidR="0045365B" w:rsidRPr="008C65ED" w:rsidRDefault="0045365B" w:rsidP="00D123C4">
      <w:pPr>
        <w:pStyle w:val="Ttulo"/>
        <w:ind w:left="360"/>
        <w:jc w:val="both"/>
        <w:rPr>
          <w:rFonts w:ascii="Arial Narrow" w:eastAsia="Calibri" w:hAnsi="Arial Narrow"/>
          <w:szCs w:val="24"/>
          <w:lang w:val="es-CO" w:eastAsia="es-CO"/>
        </w:rPr>
      </w:pPr>
    </w:p>
    <w:p w:rsidR="0045365B" w:rsidRPr="008C65ED" w:rsidRDefault="0045365B" w:rsidP="00D123C4">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Teniendo en cuenta lo anterior, se asignarán cupos de emisor a las entidades nacionales o extranjeras en los siguientes casos: </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B44AF0">
      <w:pPr>
        <w:pStyle w:val="Ttulo"/>
        <w:numPr>
          <w:ilvl w:val="0"/>
          <w:numId w:val="31"/>
        </w:numPr>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Emisores diferentes a la Nación de instrumentos que la DGCPTN requiera adquirir; </w:t>
      </w:r>
    </w:p>
    <w:p w:rsidR="00D123C4" w:rsidRPr="008C65ED" w:rsidRDefault="0045365B" w:rsidP="00B44AF0">
      <w:pPr>
        <w:pStyle w:val="Ttulo"/>
        <w:numPr>
          <w:ilvl w:val="0"/>
          <w:numId w:val="31"/>
        </w:numPr>
        <w:jc w:val="both"/>
        <w:rPr>
          <w:rFonts w:ascii="Arial Narrow" w:eastAsia="Calibri" w:hAnsi="Arial Narrow"/>
          <w:szCs w:val="24"/>
          <w:lang w:val="es-CO" w:eastAsia="es-CO"/>
        </w:rPr>
      </w:pPr>
      <w:r w:rsidRPr="008C65ED">
        <w:rPr>
          <w:rFonts w:ascii="Arial Narrow" w:eastAsia="Calibri" w:hAnsi="Arial Narrow"/>
          <w:szCs w:val="24"/>
          <w:lang w:val="es-CO" w:eastAsia="es-CO"/>
        </w:rPr>
        <w:t>Entidades financieras a las que la DGCPTN le asigne excedentes de liquidez</w:t>
      </w:r>
      <w:r w:rsidR="00D123C4" w:rsidRPr="008C65ED">
        <w:rPr>
          <w:rFonts w:ascii="Arial Narrow" w:eastAsia="Calibri" w:hAnsi="Arial Narrow"/>
          <w:szCs w:val="24"/>
          <w:lang w:val="es-CO" w:eastAsia="es-CO"/>
        </w:rPr>
        <w:t xml:space="preserve"> para que </w:t>
      </w:r>
      <w:r w:rsidRPr="008C65ED">
        <w:rPr>
          <w:rFonts w:ascii="Arial Narrow" w:eastAsia="Calibri" w:hAnsi="Arial Narrow"/>
          <w:szCs w:val="24"/>
          <w:lang w:val="es-CO" w:eastAsia="es-CO"/>
        </w:rPr>
        <w:t>realice las siguientes actividades: administración de r</w:t>
      </w:r>
      <w:r w:rsidR="00BB2909" w:rsidRPr="008C65ED">
        <w:rPr>
          <w:rFonts w:ascii="Arial Narrow" w:eastAsia="Calibri" w:hAnsi="Arial Narrow"/>
          <w:szCs w:val="24"/>
          <w:lang w:val="es-CO" w:eastAsia="es-CO"/>
        </w:rPr>
        <w:t>ecursos u operaciones a término;</w:t>
      </w:r>
    </w:p>
    <w:p w:rsidR="0045365B" w:rsidRPr="008C65ED" w:rsidRDefault="0045365B" w:rsidP="00B44AF0">
      <w:pPr>
        <w:pStyle w:val="Ttulo"/>
        <w:numPr>
          <w:ilvl w:val="0"/>
          <w:numId w:val="31"/>
        </w:numPr>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Fondos </w:t>
      </w:r>
      <w:r w:rsidR="00B44AF0" w:rsidRPr="008C65ED">
        <w:rPr>
          <w:rFonts w:ascii="Arial Narrow" w:eastAsia="Calibri" w:hAnsi="Arial Narrow"/>
          <w:i/>
          <w:szCs w:val="24"/>
          <w:lang w:val="es-CO" w:eastAsia="es-CO"/>
        </w:rPr>
        <w:t>Money M</w:t>
      </w:r>
      <w:r w:rsidRPr="008C65ED">
        <w:rPr>
          <w:rFonts w:ascii="Arial Narrow" w:eastAsia="Calibri" w:hAnsi="Arial Narrow"/>
          <w:i/>
          <w:szCs w:val="24"/>
          <w:lang w:val="es-CO" w:eastAsia="es-CO"/>
        </w:rPr>
        <w:t>arket</w:t>
      </w:r>
      <w:r w:rsidRPr="008C65ED">
        <w:rPr>
          <w:rFonts w:ascii="Arial Narrow" w:eastAsia="Calibri" w:hAnsi="Arial Narrow"/>
          <w:szCs w:val="24"/>
          <w:lang w:val="es-CO" w:eastAsia="es-CO"/>
        </w:rPr>
        <w:t xml:space="preserve"> que cumplan con los lineamientos </w:t>
      </w:r>
      <w:r w:rsidR="00D123C4" w:rsidRPr="008C65ED">
        <w:rPr>
          <w:rFonts w:ascii="Arial Narrow" w:eastAsia="Calibri" w:hAnsi="Arial Narrow"/>
          <w:szCs w:val="24"/>
          <w:lang w:val="es-CO" w:eastAsia="es-CO"/>
        </w:rPr>
        <w:t xml:space="preserve">específicos </w:t>
      </w:r>
      <w:r w:rsidRPr="008C65ED">
        <w:rPr>
          <w:rFonts w:ascii="Arial Narrow" w:eastAsia="Calibri" w:hAnsi="Arial Narrow"/>
          <w:szCs w:val="24"/>
          <w:lang w:val="es-CO" w:eastAsia="es-CO"/>
        </w:rPr>
        <w:t>de inversión aprobados.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C408EF">
      <w:pPr>
        <w:pStyle w:val="Ttulo"/>
        <w:numPr>
          <w:ilvl w:val="0"/>
          <w:numId w:val="15"/>
        </w:numPr>
        <w:jc w:val="both"/>
        <w:rPr>
          <w:rFonts w:ascii="Arial Narrow" w:eastAsia="Calibri" w:hAnsi="Arial Narrow"/>
          <w:b/>
          <w:szCs w:val="24"/>
          <w:lang w:val="es-CO" w:eastAsia="es-CO"/>
        </w:rPr>
      </w:pPr>
      <w:r w:rsidRPr="008C65ED">
        <w:rPr>
          <w:rFonts w:ascii="Arial Narrow" w:eastAsia="Calibri" w:hAnsi="Arial Narrow"/>
          <w:b/>
          <w:szCs w:val="24"/>
          <w:lang w:val="es-CO" w:eastAsia="es-CO"/>
        </w:rPr>
        <w:t>Cupos de Contraparte</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D123C4">
      <w:pPr>
        <w:autoSpaceDE w:val="0"/>
        <w:autoSpaceDN w:val="0"/>
        <w:adjustRightInd w:val="0"/>
        <w:ind w:left="360"/>
        <w:jc w:val="both"/>
        <w:rPr>
          <w:rFonts w:ascii="Arial Narrow" w:hAnsi="Arial Narrow" w:cs="Arial"/>
          <w:color w:val="000000"/>
          <w:sz w:val="24"/>
          <w:szCs w:val="24"/>
        </w:rPr>
      </w:pPr>
      <w:r w:rsidRPr="008C65ED">
        <w:rPr>
          <w:rFonts w:ascii="Arial Narrow" w:hAnsi="Arial Narrow" w:cs="Arial"/>
          <w:color w:val="000000"/>
          <w:sz w:val="24"/>
          <w:szCs w:val="24"/>
        </w:rPr>
        <w:t xml:space="preserve">El riesgo de contraparte se presenta cuando una entidad que realice operaciones con la Nación incumpla con alguna o todas las condiciones acordadas en una operación.  </w:t>
      </w:r>
    </w:p>
    <w:p w:rsidR="0045365B" w:rsidRPr="008C65ED" w:rsidRDefault="0045365B" w:rsidP="00D123C4">
      <w:pPr>
        <w:autoSpaceDE w:val="0"/>
        <w:autoSpaceDN w:val="0"/>
        <w:adjustRightInd w:val="0"/>
        <w:ind w:left="360"/>
        <w:jc w:val="both"/>
        <w:rPr>
          <w:rFonts w:ascii="Arial Narrow" w:hAnsi="Arial Narrow" w:cs="Arial"/>
          <w:color w:val="000000"/>
          <w:sz w:val="24"/>
          <w:szCs w:val="24"/>
        </w:rPr>
      </w:pPr>
    </w:p>
    <w:p w:rsidR="0045365B" w:rsidRPr="008C65ED" w:rsidRDefault="0045365B" w:rsidP="00D123C4">
      <w:pPr>
        <w:autoSpaceDE w:val="0"/>
        <w:autoSpaceDN w:val="0"/>
        <w:adjustRightInd w:val="0"/>
        <w:ind w:left="360"/>
        <w:jc w:val="both"/>
        <w:rPr>
          <w:rFonts w:ascii="Arial Narrow" w:hAnsi="Arial Narrow" w:cs="Arial"/>
          <w:color w:val="000000"/>
          <w:sz w:val="24"/>
          <w:szCs w:val="24"/>
        </w:rPr>
      </w:pPr>
      <w:r w:rsidRPr="008C65ED">
        <w:rPr>
          <w:rFonts w:ascii="Arial Narrow" w:hAnsi="Arial Narrow" w:cs="Arial"/>
          <w:color w:val="000000"/>
          <w:sz w:val="24"/>
          <w:szCs w:val="24"/>
        </w:rPr>
        <w:t>Este puede ser mitigado con mecanismos de compensación y procedimientos de pagos mediante condiciones contra-entrega. No obstante, como una medida prudencial desde el punto de vista del manejo de los riesgos financieros inherentes a las operaciones, se requiere establecer un cupo de contraparte a las entidades con las cuales la Nación realizará operaciones en los siguientes sistemas:</w:t>
      </w:r>
    </w:p>
    <w:p w:rsidR="0045365B" w:rsidRPr="008C65ED" w:rsidRDefault="0045365B" w:rsidP="00D123C4">
      <w:pPr>
        <w:autoSpaceDE w:val="0"/>
        <w:autoSpaceDN w:val="0"/>
        <w:adjustRightInd w:val="0"/>
        <w:ind w:left="360"/>
        <w:jc w:val="both"/>
        <w:rPr>
          <w:rFonts w:ascii="Arial Narrow" w:hAnsi="Arial Narrow" w:cs="Arial"/>
          <w:color w:val="000000"/>
          <w:sz w:val="24"/>
          <w:szCs w:val="24"/>
        </w:rPr>
      </w:pPr>
    </w:p>
    <w:p w:rsidR="0045365B" w:rsidRPr="008C65ED" w:rsidRDefault="00D123C4" w:rsidP="00C408EF">
      <w:pPr>
        <w:pStyle w:val="Prrafodelista"/>
        <w:numPr>
          <w:ilvl w:val="0"/>
          <w:numId w:val="16"/>
        </w:numPr>
        <w:autoSpaceDE w:val="0"/>
        <w:autoSpaceDN w:val="0"/>
        <w:adjustRightInd w:val="0"/>
        <w:ind w:left="1080"/>
        <w:jc w:val="both"/>
        <w:rPr>
          <w:rFonts w:ascii="Arial Narrow" w:hAnsi="Arial Narrow" w:cs="Arial"/>
          <w:color w:val="000000"/>
          <w:sz w:val="24"/>
          <w:szCs w:val="24"/>
        </w:rPr>
      </w:pPr>
      <w:r w:rsidRPr="008C65ED">
        <w:rPr>
          <w:rFonts w:ascii="Arial Narrow" w:hAnsi="Arial Narrow" w:cs="Arial"/>
          <w:color w:val="000000"/>
          <w:sz w:val="24"/>
          <w:szCs w:val="24"/>
        </w:rPr>
        <w:t xml:space="preserve">Set - </w:t>
      </w:r>
      <w:r w:rsidR="0045365B" w:rsidRPr="008C65ED">
        <w:rPr>
          <w:rFonts w:ascii="Arial Narrow" w:hAnsi="Arial Narrow" w:cs="Arial"/>
          <w:color w:val="000000"/>
          <w:sz w:val="24"/>
          <w:szCs w:val="24"/>
        </w:rPr>
        <w:t>FX para operaciones de compra-venta de dólare</w:t>
      </w:r>
      <w:r w:rsidR="001951D4" w:rsidRPr="008C65ED">
        <w:rPr>
          <w:rFonts w:ascii="Arial Narrow" w:hAnsi="Arial Narrow" w:cs="Arial"/>
          <w:color w:val="000000"/>
          <w:sz w:val="24"/>
          <w:szCs w:val="24"/>
        </w:rPr>
        <w:t>s en el mercado Spot y Next Day;</w:t>
      </w:r>
    </w:p>
    <w:p w:rsidR="0045365B" w:rsidRPr="008C65ED" w:rsidRDefault="0045365B" w:rsidP="00C408EF">
      <w:pPr>
        <w:pStyle w:val="Prrafodelista"/>
        <w:numPr>
          <w:ilvl w:val="0"/>
          <w:numId w:val="16"/>
        </w:numPr>
        <w:autoSpaceDE w:val="0"/>
        <w:autoSpaceDN w:val="0"/>
        <w:adjustRightInd w:val="0"/>
        <w:ind w:left="1080"/>
        <w:jc w:val="both"/>
        <w:rPr>
          <w:rFonts w:ascii="Arial Narrow" w:hAnsi="Arial Narrow" w:cs="Arial"/>
          <w:color w:val="000000"/>
          <w:sz w:val="24"/>
          <w:szCs w:val="24"/>
        </w:rPr>
      </w:pPr>
      <w:r w:rsidRPr="008C65ED">
        <w:rPr>
          <w:rFonts w:ascii="Arial Narrow" w:hAnsi="Arial Narrow" w:cs="Arial"/>
          <w:color w:val="000000"/>
          <w:sz w:val="24"/>
          <w:szCs w:val="24"/>
        </w:rPr>
        <w:t>Bloomberg - Reuters para operaciones de com</w:t>
      </w:r>
      <w:r w:rsidR="001951D4" w:rsidRPr="008C65ED">
        <w:rPr>
          <w:rFonts w:ascii="Arial Narrow" w:hAnsi="Arial Narrow" w:cs="Arial"/>
          <w:color w:val="000000"/>
          <w:sz w:val="24"/>
          <w:szCs w:val="24"/>
        </w:rPr>
        <w:t>pra-venta de divisas al contado;</w:t>
      </w:r>
    </w:p>
    <w:p w:rsidR="0045365B" w:rsidRPr="008C65ED" w:rsidRDefault="0045365B" w:rsidP="00C408EF">
      <w:pPr>
        <w:pStyle w:val="Prrafodelista"/>
        <w:numPr>
          <w:ilvl w:val="0"/>
          <w:numId w:val="16"/>
        </w:numPr>
        <w:autoSpaceDE w:val="0"/>
        <w:autoSpaceDN w:val="0"/>
        <w:adjustRightInd w:val="0"/>
        <w:ind w:left="1080"/>
        <w:jc w:val="both"/>
        <w:rPr>
          <w:rFonts w:ascii="Arial Narrow" w:hAnsi="Arial Narrow" w:cs="Arial"/>
          <w:color w:val="000000"/>
          <w:sz w:val="24"/>
          <w:szCs w:val="24"/>
        </w:rPr>
      </w:pPr>
      <w:r w:rsidRPr="008C65ED">
        <w:rPr>
          <w:rFonts w:ascii="Arial Narrow" w:hAnsi="Arial Narrow" w:cs="Arial"/>
          <w:color w:val="000000"/>
          <w:sz w:val="24"/>
          <w:szCs w:val="24"/>
        </w:rPr>
        <w:lastRenderedPageBreak/>
        <w:t>MEC</w:t>
      </w:r>
      <w:r w:rsidR="00D123C4" w:rsidRPr="008C65ED">
        <w:rPr>
          <w:rFonts w:ascii="Arial Narrow" w:hAnsi="Arial Narrow" w:cs="Arial"/>
          <w:color w:val="000000"/>
          <w:sz w:val="24"/>
          <w:szCs w:val="24"/>
        </w:rPr>
        <w:t xml:space="preserve"> – Master Trader</w:t>
      </w:r>
      <w:r w:rsidRPr="008C65ED">
        <w:rPr>
          <w:rFonts w:ascii="Arial Narrow" w:hAnsi="Arial Narrow" w:cs="Arial"/>
          <w:color w:val="000000"/>
          <w:sz w:val="24"/>
          <w:szCs w:val="24"/>
        </w:rPr>
        <w:t xml:space="preserve"> para operaciones de compra-venta al contado de títulos TES</w:t>
      </w:r>
      <w:r w:rsidR="001951D4" w:rsidRPr="008C65ED">
        <w:rPr>
          <w:rFonts w:ascii="Arial Narrow" w:hAnsi="Arial Narrow" w:cs="Arial"/>
          <w:color w:val="000000"/>
          <w:sz w:val="24"/>
          <w:szCs w:val="24"/>
        </w:rPr>
        <w:t xml:space="preserve"> en el mercado transaccional y de registro</w:t>
      </w:r>
      <w:r w:rsidRPr="008C65ED">
        <w:rPr>
          <w:rFonts w:ascii="Arial Narrow" w:hAnsi="Arial Narrow" w:cs="Arial"/>
          <w:color w:val="000000"/>
          <w:sz w:val="24"/>
          <w:szCs w:val="24"/>
        </w:rPr>
        <w:t>.</w:t>
      </w:r>
    </w:p>
    <w:p w:rsidR="0045365B" w:rsidRPr="008C65ED" w:rsidRDefault="0045365B" w:rsidP="00D123C4">
      <w:pPr>
        <w:autoSpaceDE w:val="0"/>
        <w:autoSpaceDN w:val="0"/>
        <w:adjustRightInd w:val="0"/>
        <w:ind w:left="360"/>
        <w:jc w:val="both"/>
        <w:rPr>
          <w:rFonts w:ascii="Arial Narrow" w:hAnsi="Arial Narrow" w:cs="Arial"/>
          <w:color w:val="000000"/>
          <w:sz w:val="24"/>
          <w:szCs w:val="24"/>
        </w:rPr>
      </w:pPr>
    </w:p>
    <w:p w:rsidR="00EB65E5" w:rsidRPr="008C65ED" w:rsidRDefault="0045365B" w:rsidP="00EB65E5">
      <w:pPr>
        <w:tabs>
          <w:tab w:val="left" w:pos="0"/>
        </w:tabs>
        <w:autoSpaceDE w:val="0"/>
        <w:autoSpaceDN w:val="0"/>
        <w:adjustRightInd w:val="0"/>
        <w:ind w:left="360"/>
        <w:contextualSpacing/>
        <w:jc w:val="both"/>
        <w:rPr>
          <w:rFonts w:ascii="Arial Narrow" w:hAnsi="Arial Narrow" w:cs="Arial"/>
          <w:sz w:val="24"/>
          <w:szCs w:val="24"/>
        </w:rPr>
      </w:pPr>
      <w:r w:rsidRPr="008C65ED">
        <w:rPr>
          <w:rFonts w:ascii="Arial Narrow" w:hAnsi="Arial Narrow" w:cs="Arial"/>
          <w:sz w:val="24"/>
          <w:szCs w:val="24"/>
        </w:rPr>
        <w:t>No habrá consumo de cupo de contraparte en operaciones que se realicen mediante el sistema de compensación y liquidación a través de la Cámara de Riesgo Central de Contraparte de Colombia (CRCC).</w:t>
      </w:r>
      <w:r w:rsidR="00EB65E5" w:rsidRPr="008C65ED">
        <w:rPr>
          <w:rFonts w:ascii="Arial Narrow" w:hAnsi="Arial Narrow" w:cs="Arial"/>
          <w:sz w:val="24"/>
          <w:szCs w:val="24"/>
        </w:rPr>
        <w:t xml:space="preserve"> Además, </w:t>
      </w:r>
      <w:r w:rsidR="0050572D" w:rsidRPr="008C65ED">
        <w:rPr>
          <w:rFonts w:ascii="Arial Narrow" w:hAnsi="Arial Narrow" w:cs="Arial"/>
          <w:sz w:val="24"/>
          <w:szCs w:val="24"/>
        </w:rPr>
        <w:t>l</w:t>
      </w:r>
      <w:r w:rsidR="00EB65E5" w:rsidRPr="008C65ED">
        <w:rPr>
          <w:rFonts w:ascii="Arial Narrow" w:hAnsi="Arial Narrow" w:cs="Arial"/>
          <w:sz w:val="24"/>
          <w:szCs w:val="24"/>
        </w:rPr>
        <w:t>as Entidades Públicas que celebren operaciones en el mercado mostrador y se</w:t>
      </w:r>
      <w:r w:rsidR="0050572D" w:rsidRPr="008C65ED">
        <w:rPr>
          <w:rFonts w:ascii="Arial Narrow" w:hAnsi="Arial Narrow" w:cs="Arial"/>
          <w:sz w:val="24"/>
          <w:szCs w:val="24"/>
        </w:rPr>
        <w:t>a necesario el registro</w:t>
      </w:r>
      <w:r w:rsidR="00EB65E5" w:rsidRPr="008C65ED">
        <w:rPr>
          <w:rFonts w:ascii="Arial Narrow" w:hAnsi="Arial Narrow" w:cs="Arial"/>
          <w:sz w:val="24"/>
          <w:szCs w:val="24"/>
        </w:rPr>
        <w:t xml:space="preserve"> en el sistema </w:t>
      </w:r>
      <w:r w:rsidR="00EB65E5" w:rsidRPr="008C65ED">
        <w:rPr>
          <w:rFonts w:ascii="Arial Narrow" w:hAnsi="Arial Narrow" w:cs="Arial"/>
          <w:i/>
          <w:sz w:val="24"/>
          <w:szCs w:val="24"/>
        </w:rPr>
        <w:t>Master Trader</w:t>
      </w:r>
      <w:r w:rsidR="00EB65E5" w:rsidRPr="008C65ED">
        <w:rPr>
          <w:rFonts w:ascii="Arial Narrow" w:hAnsi="Arial Narrow" w:cs="Arial"/>
          <w:sz w:val="24"/>
          <w:szCs w:val="24"/>
        </w:rPr>
        <w:t xml:space="preserve"> no tendrán cupo restrictivo.  </w:t>
      </w:r>
    </w:p>
    <w:p w:rsidR="0045365B" w:rsidRPr="008C65ED" w:rsidRDefault="0045365B" w:rsidP="00D123C4">
      <w:pPr>
        <w:tabs>
          <w:tab w:val="left" w:pos="0"/>
        </w:tabs>
        <w:autoSpaceDE w:val="0"/>
        <w:autoSpaceDN w:val="0"/>
        <w:adjustRightInd w:val="0"/>
        <w:ind w:left="360"/>
        <w:contextualSpacing/>
        <w:jc w:val="both"/>
        <w:rPr>
          <w:rFonts w:ascii="Arial Narrow" w:hAnsi="Arial Narrow" w:cs="Arial"/>
          <w:sz w:val="24"/>
          <w:szCs w:val="24"/>
        </w:rPr>
      </w:pPr>
    </w:p>
    <w:p w:rsidR="000B00A2" w:rsidRPr="008C65ED" w:rsidRDefault="0045365B" w:rsidP="000B00A2">
      <w:pPr>
        <w:tabs>
          <w:tab w:val="left" w:pos="0"/>
        </w:tabs>
        <w:autoSpaceDE w:val="0"/>
        <w:autoSpaceDN w:val="0"/>
        <w:adjustRightInd w:val="0"/>
        <w:ind w:left="360"/>
        <w:contextualSpacing/>
        <w:jc w:val="both"/>
        <w:rPr>
          <w:rFonts w:ascii="Arial Narrow" w:hAnsi="Arial Narrow" w:cs="Arial"/>
          <w:sz w:val="24"/>
          <w:szCs w:val="24"/>
        </w:rPr>
      </w:pPr>
      <w:r w:rsidRPr="008C65ED">
        <w:rPr>
          <w:rFonts w:ascii="Arial Narrow" w:hAnsi="Arial Narrow" w:cs="Arial"/>
          <w:sz w:val="24"/>
          <w:szCs w:val="24"/>
        </w:rPr>
        <w:t>La Tesorería podrá realizar operaciones de compra – venta de divisas a través de plataformas de entidades bancarias para ejecución presupuestal</w:t>
      </w:r>
      <w:r w:rsidR="008B7DBF" w:rsidRPr="008C65ED">
        <w:rPr>
          <w:rFonts w:ascii="Arial Narrow" w:hAnsi="Arial Narrow" w:cs="Arial"/>
          <w:sz w:val="24"/>
          <w:szCs w:val="24"/>
        </w:rPr>
        <w:t xml:space="preserve"> siempre y cuando cumplan con las políticas establecidas de calificación crediticia.</w:t>
      </w:r>
    </w:p>
    <w:p w:rsidR="000B00A2" w:rsidRPr="008C65ED" w:rsidRDefault="000B00A2" w:rsidP="00EB65E5">
      <w:pPr>
        <w:tabs>
          <w:tab w:val="left" w:pos="0"/>
        </w:tabs>
        <w:autoSpaceDE w:val="0"/>
        <w:autoSpaceDN w:val="0"/>
        <w:adjustRightInd w:val="0"/>
        <w:contextualSpacing/>
        <w:jc w:val="both"/>
        <w:rPr>
          <w:rFonts w:ascii="Arial Narrow" w:hAnsi="Arial Narrow" w:cs="Arial"/>
          <w:sz w:val="24"/>
          <w:szCs w:val="24"/>
        </w:rPr>
      </w:pPr>
    </w:p>
    <w:p w:rsidR="0045365B" w:rsidRPr="008C65ED" w:rsidRDefault="0045365B" w:rsidP="00C408EF">
      <w:pPr>
        <w:pStyle w:val="Ttulo"/>
        <w:numPr>
          <w:ilvl w:val="0"/>
          <w:numId w:val="15"/>
        </w:numPr>
        <w:jc w:val="both"/>
        <w:rPr>
          <w:rFonts w:ascii="Arial Narrow" w:eastAsia="Calibri" w:hAnsi="Arial Narrow"/>
          <w:b/>
          <w:szCs w:val="24"/>
          <w:lang w:val="es-CO" w:eastAsia="es-CO"/>
        </w:rPr>
      </w:pPr>
      <w:r w:rsidRPr="008C65ED">
        <w:rPr>
          <w:rFonts w:ascii="Arial Narrow" w:eastAsia="Calibri" w:hAnsi="Arial Narrow"/>
          <w:b/>
          <w:szCs w:val="24"/>
          <w:lang w:val="es-CO" w:eastAsia="es-CO"/>
        </w:rPr>
        <w:t>Cupos para la Administración de Recursos en Cuentas Bancarias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F05745">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Se asignarán cupos para la administración de recursos a través de cuentas en moneda extranjera a entidades bancarias del exterior.  Se debe contar con, por lo menos, la apertura de dos c</w:t>
      </w:r>
      <w:r w:rsidR="00B44AF0" w:rsidRPr="008C65ED">
        <w:rPr>
          <w:rFonts w:ascii="Arial Narrow" w:eastAsia="Calibri" w:hAnsi="Arial Narrow"/>
          <w:szCs w:val="24"/>
          <w:lang w:val="es-CO" w:eastAsia="es-CO"/>
        </w:rPr>
        <w:t xml:space="preserve">uentas bancarias, las cuales </w:t>
      </w:r>
      <w:r w:rsidRPr="008C65ED">
        <w:rPr>
          <w:rFonts w:ascii="Arial Narrow" w:eastAsia="Calibri" w:hAnsi="Arial Narrow"/>
          <w:szCs w:val="24"/>
          <w:lang w:val="es-CO" w:eastAsia="es-CO"/>
        </w:rPr>
        <w:t>podrán realizar</w:t>
      </w:r>
      <w:r w:rsidR="00B44AF0" w:rsidRPr="008C65ED">
        <w:rPr>
          <w:rFonts w:ascii="Arial Narrow" w:eastAsia="Calibri" w:hAnsi="Arial Narrow"/>
          <w:szCs w:val="24"/>
          <w:lang w:val="es-CO" w:eastAsia="es-CO"/>
        </w:rPr>
        <w:t xml:space="preserve"> </w:t>
      </w:r>
      <w:r w:rsidRPr="008C65ED">
        <w:rPr>
          <w:rFonts w:ascii="Arial Narrow" w:eastAsia="Calibri" w:hAnsi="Arial Narrow"/>
          <w:szCs w:val="24"/>
          <w:lang w:val="es-CO" w:eastAsia="es-CO"/>
        </w:rPr>
        <w:t>las actividades que se mencionan a continuación:</w:t>
      </w:r>
    </w:p>
    <w:p w:rsidR="0045365B" w:rsidRPr="008C65ED" w:rsidRDefault="0045365B" w:rsidP="00F05745">
      <w:pPr>
        <w:pStyle w:val="Ttulo"/>
        <w:ind w:left="360"/>
        <w:jc w:val="both"/>
        <w:rPr>
          <w:rFonts w:ascii="Arial Narrow" w:eastAsia="Calibri" w:hAnsi="Arial Narrow"/>
          <w:szCs w:val="24"/>
          <w:lang w:val="es-CO" w:eastAsia="es-CO"/>
        </w:rPr>
      </w:pP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Operaciones obligatoriamente canaliza</w:t>
      </w:r>
      <w:r w:rsidR="00663352" w:rsidRPr="008C65ED">
        <w:rPr>
          <w:rFonts w:ascii="Arial Narrow" w:eastAsia="Calibri" w:hAnsi="Arial Narrow"/>
          <w:szCs w:val="24"/>
          <w:lang w:val="es-CO" w:eastAsia="es-CO"/>
        </w:rPr>
        <w:t>bles por el mercado cambiario</w:t>
      </w:r>
      <w:r w:rsidRPr="008C65ED">
        <w:rPr>
          <w:rFonts w:ascii="Arial Narrow" w:eastAsia="Calibri" w:hAnsi="Arial Narrow"/>
          <w:szCs w:val="24"/>
          <w:lang w:val="es-CO" w:eastAsia="es-CO"/>
        </w:rPr>
        <w:t xml:space="preserve">  </w:t>
      </w: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Recepción o giro de recursos producto de operaciones de inver</w:t>
      </w:r>
      <w:r w:rsidR="00663352" w:rsidRPr="008C65ED">
        <w:rPr>
          <w:rFonts w:ascii="Arial Narrow" w:eastAsia="Calibri" w:hAnsi="Arial Narrow"/>
          <w:szCs w:val="24"/>
          <w:lang w:val="es-CO" w:eastAsia="es-CO"/>
        </w:rPr>
        <w:t>sión con excedentes de liquidez</w:t>
      </w: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Recepción o giro de recursos para cumplimi</w:t>
      </w:r>
      <w:r w:rsidR="00663352" w:rsidRPr="008C65ED">
        <w:rPr>
          <w:rFonts w:ascii="Arial Narrow" w:eastAsia="Calibri" w:hAnsi="Arial Narrow"/>
          <w:szCs w:val="24"/>
          <w:lang w:val="es-CO" w:eastAsia="es-CO"/>
        </w:rPr>
        <w:t>ento de compra venta de divisas</w:t>
      </w: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Depósito de recursos en moneda extranjera con</w:t>
      </w:r>
      <w:r w:rsidR="00663352" w:rsidRPr="008C65ED">
        <w:rPr>
          <w:rFonts w:ascii="Arial Narrow" w:eastAsia="Calibri" w:hAnsi="Arial Narrow"/>
          <w:szCs w:val="24"/>
          <w:lang w:val="es-CO" w:eastAsia="es-CO"/>
        </w:rPr>
        <w:t xml:space="preserve"> el fin de obtener remuneración</w:t>
      </w: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Administración de recursos propios de entidades públicas en mon</w:t>
      </w:r>
      <w:r w:rsidR="00663352" w:rsidRPr="008C65ED">
        <w:rPr>
          <w:rFonts w:ascii="Arial Narrow" w:eastAsia="Calibri" w:hAnsi="Arial Narrow"/>
          <w:szCs w:val="24"/>
          <w:lang w:val="es-CO" w:eastAsia="es-CO"/>
        </w:rPr>
        <w:t>eda extranjera (CUN en dólares)</w:t>
      </w:r>
    </w:p>
    <w:p w:rsidR="0045365B" w:rsidRPr="008C65ED" w:rsidRDefault="0045365B" w:rsidP="00C408EF">
      <w:pPr>
        <w:pStyle w:val="Ttulo"/>
        <w:numPr>
          <w:ilvl w:val="0"/>
          <w:numId w:val="18"/>
        </w:numPr>
        <w:ind w:left="1080"/>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Transferencias de recursos a Banco de la República para el cumplimiento de </w:t>
      </w:r>
      <w:r w:rsidR="00663352" w:rsidRPr="008C65ED">
        <w:rPr>
          <w:rFonts w:ascii="Arial Narrow" w:hAnsi="Arial Narrow"/>
          <w:szCs w:val="24"/>
        </w:rPr>
        <w:t>la ejecución presupuestal</w:t>
      </w:r>
    </w:p>
    <w:p w:rsidR="0045365B" w:rsidRPr="008C65ED" w:rsidRDefault="0045365B" w:rsidP="00F05745">
      <w:pPr>
        <w:pStyle w:val="Ttulo"/>
        <w:ind w:left="1080"/>
        <w:jc w:val="both"/>
        <w:rPr>
          <w:rFonts w:ascii="Arial Narrow" w:eastAsia="Calibri" w:hAnsi="Arial Narrow"/>
          <w:szCs w:val="24"/>
          <w:lang w:val="es-CO" w:eastAsia="es-CO"/>
        </w:rPr>
      </w:pPr>
    </w:p>
    <w:p w:rsidR="0045365B" w:rsidRPr="008C65ED" w:rsidRDefault="0045365B" w:rsidP="00C408EF">
      <w:pPr>
        <w:pStyle w:val="Ttulo"/>
        <w:numPr>
          <w:ilvl w:val="0"/>
          <w:numId w:val="15"/>
        </w:numPr>
        <w:ind w:left="851" w:hanging="425"/>
        <w:jc w:val="both"/>
        <w:rPr>
          <w:rFonts w:ascii="Arial Narrow" w:eastAsia="Calibri" w:hAnsi="Arial Narrow"/>
          <w:b/>
          <w:szCs w:val="24"/>
          <w:lang w:val="es-CO" w:eastAsia="es-CO"/>
        </w:rPr>
      </w:pPr>
      <w:r w:rsidRPr="008C65ED">
        <w:rPr>
          <w:rFonts w:ascii="Arial Narrow" w:eastAsia="Calibri" w:hAnsi="Arial Narrow"/>
          <w:b/>
          <w:szCs w:val="24"/>
          <w:lang w:val="es-CO" w:eastAsia="es-CO"/>
        </w:rPr>
        <w:t>Entidades Sujetas de Revisión de Cupos:</w:t>
      </w:r>
    </w:p>
    <w:p w:rsidR="0045365B" w:rsidRPr="008C65ED" w:rsidRDefault="0045365B" w:rsidP="00F05745">
      <w:pPr>
        <w:pStyle w:val="Ttulo"/>
        <w:ind w:left="360"/>
        <w:jc w:val="both"/>
        <w:rPr>
          <w:rFonts w:ascii="Arial Narrow" w:eastAsia="Calibri" w:hAnsi="Arial Narrow"/>
          <w:szCs w:val="24"/>
          <w:lang w:val="es-CO" w:eastAsia="es-CO"/>
        </w:rPr>
      </w:pPr>
    </w:p>
    <w:p w:rsidR="0045365B" w:rsidRPr="008C65ED" w:rsidRDefault="0045365B" w:rsidP="00F05745">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Se evaluará la asignación de cupos de contraparte en moneda legal, la cual aplicará para la realización de operaciones de compra y venta de títulos TES en el sistema transaccional MEC</w:t>
      </w:r>
      <w:r w:rsidR="003F4FAC" w:rsidRPr="008C65ED">
        <w:rPr>
          <w:rFonts w:ascii="Arial Narrow" w:eastAsia="Calibri" w:hAnsi="Arial Narrow"/>
          <w:szCs w:val="24"/>
          <w:lang w:val="es-CO" w:eastAsia="es-CO"/>
        </w:rPr>
        <w:t xml:space="preserve"> – Master Trader</w:t>
      </w:r>
      <w:r w:rsidRPr="008C65ED">
        <w:rPr>
          <w:rFonts w:ascii="Arial Narrow" w:eastAsia="Calibri" w:hAnsi="Arial Narrow"/>
          <w:szCs w:val="24"/>
          <w:lang w:val="es-CO" w:eastAsia="es-CO"/>
        </w:rPr>
        <w:t>, a las siguientes entidades:</w:t>
      </w:r>
    </w:p>
    <w:p w:rsidR="0045365B" w:rsidRPr="008C65ED" w:rsidRDefault="0045365B" w:rsidP="00F05745">
      <w:pPr>
        <w:pStyle w:val="Ttulo"/>
        <w:ind w:left="1440"/>
        <w:jc w:val="both"/>
        <w:rPr>
          <w:rFonts w:ascii="Arial Narrow" w:eastAsia="Calibri" w:hAnsi="Arial Narrow"/>
          <w:szCs w:val="24"/>
          <w:lang w:val="es-CO" w:eastAsia="es-CO"/>
        </w:rPr>
      </w:pPr>
    </w:p>
    <w:p w:rsidR="0045365B" w:rsidRPr="008C65ED" w:rsidRDefault="0045365B"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Creadores de</w:t>
      </w:r>
      <w:r w:rsidR="00663352" w:rsidRPr="008C65ED">
        <w:rPr>
          <w:rFonts w:ascii="Arial Narrow" w:eastAsia="Calibri" w:hAnsi="Arial Narrow"/>
          <w:szCs w:val="24"/>
          <w:lang w:val="es-CO" w:eastAsia="es-CO"/>
        </w:rPr>
        <w:t xml:space="preserve"> Mercado de deuda pública local</w:t>
      </w:r>
      <w:r w:rsidR="000B00A2" w:rsidRPr="008C65ED">
        <w:rPr>
          <w:rFonts w:ascii="Arial Narrow" w:eastAsia="Calibri" w:hAnsi="Arial Narrow"/>
          <w:szCs w:val="24"/>
          <w:lang w:val="es-CO" w:eastAsia="es-CO"/>
        </w:rPr>
        <w:t>;</w:t>
      </w:r>
    </w:p>
    <w:p w:rsidR="0045365B" w:rsidRPr="008C65ED" w:rsidRDefault="00B1239C"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Instituciones</w:t>
      </w:r>
      <w:r w:rsidR="00663352" w:rsidRPr="008C65ED">
        <w:rPr>
          <w:rFonts w:ascii="Arial Narrow" w:eastAsia="Calibri" w:hAnsi="Arial Narrow"/>
          <w:szCs w:val="24"/>
          <w:lang w:val="es-CO" w:eastAsia="es-CO"/>
        </w:rPr>
        <w:t xml:space="preserve"> O</w:t>
      </w:r>
      <w:r w:rsidR="0045365B" w:rsidRPr="008C65ED">
        <w:rPr>
          <w:rFonts w:ascii="Arial Narrow" w:eastAsia="Calibri" w:hAnsi="Arial Narrow"/>
          <w:szCs w:val="24"/>
          <w:lang w:val="es-CO" w:eastAsia="es-CO"/>
        </w:rPr>
        <w:t>fi</w:t>
      </w:r>
      <w:r w:rsidR="00663352" w:rsidRPr="008C65ED">
        <w:rPr>
          <w:rFonts w:ascii="Arial Narrow" w:eastAsia="Calibri" w:hAnsi="Arial Narrow"/>
          <w:szCs w:val="24"/>
          <w:lang w:val="es-CO" w:eastAsia="es-CO"/>
        </w:rPr>
        <w:t>ciales E</w:t>
      </w:r>
      <w:r w:rsidR="0045365B" w:rsidRPr="008C65ED">
        <w:rPr>
          <w:rFonts w:ascii="Arial Narrow" w:eastAsia="Calibri" w:hAnsi="Arial Narrow"/>
          <w:szCs w:val="24"/>
          <w:lang w:val="es-CO" w:eastAsia="es-CO"/>
        </w:rPr>
        <w:t xml:space="preserve">speciales que </w:t>
      </w:r>
      <w:r w:rsidR="00663352" w:rsidRPr="008C65ED">
        <w:rPr>
          <w:rFonts w:ascii="Arial Narrow" w:eastAsia="Calibri" w:hAnsi="Arial Narrow"/>
          <w:szCs w:val="24"/>
          <w:lang w:val="es-CO" w:eastAsia="es-CO"/>
        </w:rPr>
        <w:t>realicen transacciones</w:t>
      </w:r>
      <w:r w:rsidR="0045365B" w:rsidRPr="008C65ED">
        <w:rPr>
          <w:rFonts w:ascii="Arial Narrow" w:eastAsia="Calibri" w:hAnsi="Arial Narrow"/>
          <w:szCs w:val="24"/>
          <w:lang w:val="es-CO" w:eastAsia="es-CO"/>
        </w:rPr>
        <w:t xml:space="preserve"> directamente en </w:t>
      </w:r>
      <w:r w:rsidR="00663352" w:rsidRPr="008C65ED">
        <w:rPr>
          <w:rFonts w:ascii="Arial Narrow" w:eastAsia="Calibri" w:hAnsi="Arial Narrow"/>
          <w:szCs w:val="24"/>
          <w:lang w:val="es-CO" w:eastAsia="es-CO"/>
        </w:rPr>
        <w:t>el</w:t>
      </w:r>
      <w:r w:rsidR="0045365B" w:rsidRPr="008C65ED">
        <w:rPr>
          <w:rFonts w:ascii="Arial Narrow" w:eastAsia="Calibri" w:hAnsi="Arial Narrow"/>
          <w:szCs w:val="24"/>
          <w:lang w:val="es-CO" w:eastAsia="es-CO"/>
        </w:rPr>
        <w:t xml:space="preserve"> sistema</w:t>
      </w:r>
      <w:r w:rsidR="00663352" w:rsidRPr="008C65ED">
        <w:rPr>
          <w:rFonts w:ascii="Arial Narrow" w:eastAsia="Calibri" w:hAnsi="Arial Narrow"/>
          <w:szCs w:val="24"/>
          <w:lang w:val="es-CO" w:eastAsia="es-CO"/>
        </w:rPr>
        <w:t xml:space="preserve"> de negociación</w:t>
      </w:r>
      <w:r w:rsidR="000B00A2" w:rsidRPr="008C65ED">
        <w:rPr>
          <w:rFonts w:ascii="Arial Narrow" w:eastAsia="Calibri" w:hAnsi="Arial Narrow"/>
          <w:szCs w:val="24"/>
          <w:lang w:val="es-CO" w:eastAsia="es-CO"/>
        </w:rPr>
        <w:t>:</w:t>
      </w:r>
    </w:p>
    <w:p w:rsidR="0045365B" w:rsidRPr="008C65ED" w:rsidRDefault="0045365B"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Entidades públicas que </w:t>
      </w:r>
      <w:r w:rsidR="00663352" w:rsidRPr="008C65ED">
        <w:rPr>
          <w:rFonts w:ascii="Arial Narrow" w:eastAsia="Calibri" w:hAnsi="Arial Narrow"/>
          <w:szCs w:val="24"/>
          <w:lang w:val="es-CO" w:eastAsia="es-CO"/>
        </w:rPr>
        <w:t xml:space="preserve">realicen transacciones </w:t>
      </w:r>
      <w:r w:rsidRPr="008C65ED">
        <w:rPr>
          <w:rFonts w:ascii="Arial Narrow" w:eastAsia="Calibri" w:hAnsi="Arial Narrow"/>
          <w:szCs w:val="24"/>
          <w:lang w:val="es-CO" w:eastAsia="es-CO"/>
        </w:rPr>
        <w:t>directamente en el sistema de negociación.</w:t>
      </w:r>
    </w:p>
    <w:p w:rsidR="000B00A2" w:rsidRPr="008C65ED" w:rsidRDefault="000B00A2" w:rsidP="000B00A2">
      <w:pPr>
        <w:pStyle w:val="Ttulo"/>
        <w:jc w:val="both"/>
        <w:rPr>
          <w:rFonts w:ascii="Arial Narrow" w:eastAsia="Calibri" w:hAnsi="Arial Narrow"/>
          <w:szCs w:val="24"/>
          <w:lang w:val="es-CO" w:eastAsia="es-CO"/>
        </w:rPr>
      </w:pPr>
    </w:p>
    <w:p w:rsidR="000B00A2" w:rsidRPr="008C65ED" w:rsidRDefault="000B00A2" w:rsidP="000B00A2">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Se autoriza la negociación en el mercado mostrador para la compra o venta de TES, únicamente cuando la contraparte sea una entidad pública o gubernamental. En este caso, la asignación de cupo no será restrictiva y se podrán registrar en los sistemas transaccionales </w:t>
      </w:r>
      <w:r w:rsidR="0003479D" w:rsidRPr="008C65ED">
        <w:rPr>
          <w:rFonts w:ascii="Arial Narrow" w:eastAsia="Calibri" w:hAnsi="Arial Narrow"/>
          <w:szCs w:val="24"/>
          <w:lang w:val="es-CO" w:eastAsia="es-CO"/>
        </w:rPr>
        <w:t xml:space="preserve">de acuerdo con la normativa vigente y las políticas establecidas para este tipo de operaciones. </w:t>
      </w:r>
      <w:r w:rsidRPr="008C65ED">
        <w:rPr>
          <w:rFonts w:ascii="Arial Narrow" w:eastAsia="Calibri" w:hAnsi="Arial Narrow"/>
          <w:szCs w:val="24"/>
          <w:lang w:val="es-CO" w:eastAsia="es-CO"/>
        </w:rPr>
        <w:t xml:space="preserve"> </w:t>
      </w:r>
    </w:p>
    <w:p w:rsidR="0045365B" w:rsidRPr="008C65ED" w:rsidRDefault="0045365B" w:rsidP="00F05745">
      <w:pPr>
        <w:pStyle w:val="Ttulo"/>
        <w:ind w:left="360"/>
        <w:jc w:val="both"/>
        <w:rPr>
          <w:rFonts w:ascii="Arial Narrow" w:eastAsia="Calibri" w:hAnsi="Arial Narrow"/>
          <w:szCs w:val="24"/>
          <w:lang w:val="es-CO" w:eastAsia="es-CO"/>
        </w:rPr>
      </w:pPr>
    </w:p>
    <w:p w:rsidR="0045365B" w:rsidRPr="008C65ED" w:rsidRDefault="0045365B" w:rsidP="00F05745">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lastRenderedPageBreak/>
        <w:t>Se evaluará la asignación de cupos de contraparte en moneda extranjera para la realización de operaciones en el sistema transaccional Set FX, a las siguientes entidades:</w:t>
      </w:r>
    </w:p>
    <w:p w:rsidR="0045365B" w:rsidRPr="008C65ED" w:rsidRDefault="0045365B" w:rsidP="00F05745">
      <w:pPr>
        <w:pStyle w:val="Ttulo"/>
        <w:ind w:left="1440"/>
        <w:jc w:val="both"/>
        <w:rPr>
          <w:rFonts w:ascii="Arial Narrow" w:eastAsia="Calibri" w:hAnsi="Arial Narrow"/>
          <w:szCs w:val="24"/>
          <w:lang w:val="es-CO" w:eastAsia="es-CO"/>
        </w:rPr>
      </w:pPr>
    </w:p>
    <w:p w:rsidR="0045365B" w:rsidRPr="008C65ED" w:rsidRDefault="0045365B" w:rsidP="00C408EF">
      <w:pPr>
        <w:pStyle w:val="Ttulo"/>
        <w:numPr>
          <w:ilvl w:val="0"/>
          <w:numId w:val="19"/>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Establ</w:t>
      </w:r>
      <w:r w:rsidR="00B1239C" w:rsidRPr="008C65ED">
        <w:rPr>
          <w:rFonts w:ascii="Arial Narrow" w:eastAsia="Calibri" w:hAnsi="Arial Narrow"/>
          <w:szCs w:val="24"/>
          <w:lang w:val="es-CO" w:eastAsia="es-CO"/>
        </w:rPr>
        <w:t>ecimientos de crédito que sean I</w:t>
      </w:r>
      <w:r w:rsidRPr="008C65ED">
        <w:rPr>
          <w:rFonts w:ascii="Arial Narrow" w:eastAsia="Calibri" w:hAnsi="Arial Narrow"/>
          <w:szCs w:val="24"/>
          <w:lang w:val="es-CO" w:eastAsia="es-CO"/>
        </w:rPr>
        <w:t>nter</w:t>
      </w:r>
      <w:r w:rsidR="00B1239C" w:rsidRPr="008C65ED">
        <w:rPr>
          <w:rFonts w:ascii="Arial Narrow" w:eastAsia="Calibri" w:hAnsi="Arial Narrow"/>
          <w:szCs w:val="24"/>
          <w:lang w:val="es-CO" w:eastAsia="es-CO"/>
        </w:rPr>
        <w:t>mediarios del Mercado Cambiario</w:t>
      </w:r>
    </w:p>
    <w:p w:rsidR="0045365B" w:rsidRPr="008C65ED" w:rsidRDefault="00B1239C" w:rsidP="00C408EF">
      <w:pPr>
        <w:pStyle w:val="Ttulo"/>
        <w:numPr>
          <w:ilvl w:val="0"/>
          <w:numId w:val="19"/>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Instituciones Oficiales E</w:t>
      </w:r>
      <w:r w:rsidR="0045365B" w:rsidRPr="008C65ED">
        <w:rPr>
          <w:rFonts w:ascii="Arial Narrow" w:eastAsia="Calibri" w:hAnsi="Arial Narrow"/>
          <w:szCs w:val="24"/>
          <w:lang w:val="es-CO" w:eastAsia="es-CO"/>
        </w:rPr>
        <w:t xml:space="preserve">speciales que </w:t>
      </w:r>
      <w:r w:rsidRPr="008C65ED">
        <w:rPr>
          <w:rFonts w:ascii="Arial Narrow" w:eastAsia="Calibri" w:hAnsi="Arial Narrow"/>
          <w:szCs w:val="24"/>
          <w:lang w:val="es-CO" w:eastAsia="es-CO"/>
        </w:rPr>
        <w:t>realicen transacciones</w:t>
      </w:r>
      <w:r w:rsidR="0045365B" w:rsidRPr="008C65ED">
        <w:rPr>
          <w:rFonts w:ascii="Arial Narrow" w:eastAsia="Calibri" w:hAnsi="Arial Narrow"/>
          <w:szCs w:val="24"/>
          <w:lang w:val="es-CO" w:eastAsia="es-CO"/>
        </w:rPr>
        <w:t xml:space="preserve"> directamen</w:t>
      </w:r>
      <w:r w:rsidRPr="008C65ED">
        <w:rPr>
          <w:rFonts w:ascii="Arial Narrow" w:eastAsia="Calibri" w:hAnsi="Arial Narrow"/>
          <w:szCs w:val="24"/>
          <w:lang w:val="es-CO" w:eastAsia="es-CO"/>
        </w:rPr>
        <w:t>te en el sistema de negociación</w:t>
      </w:r>
    </w:p>
    <w:p w:rsidR="0045365B" w:rsidRPr="008C65ED" w:rsidRDefault="0045365B" w:rsidP="00C408EF">
      <w:pPr>
        <w:pStyle w:val="Ttulo"/>
        <w:numPr>
          <w:ilvl w:val="0"/>
          <w:numId w:val="19"/>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Entidades públicas que </w:t>
      </w:r>
      <w:r w:rsidR="00B1239C" w:rsidRPr="008C65ED">
        <w:rPr>
          <w:rFonts w:ascii="Arial Narrow" w:eastAsia="Calibri" w:hAnsi="Arial Narrow"/>
          <w:szCs w:val="24"/>
          <w:lang w:val="es-CO" w:eastAsia="es-CO"/>
        </w:rPr>
        <w:t>realicen transacciones</w:t>
      </w:r>
      <w:r w:rsidRPr="008C65ED">
        <w:rPr>
          <w:rFonts w:ascii="Arial Narrow" w:eastAsia="Calibri" w:hAnsi="Arial Narrow"/>
          <w:szCs w:val="24"/>
          <w:lang w:val="es-CO" w:eastAsia="es-CO"/>
        </w:rPr>
        <w:t xml:space="preserve"> directamen</w:t>
      </w:r>
      <w:r w:rsidR="00B1239C" w:rsidRPr="008C65ED">
        <w:rPr>
          <w:rFonts w:ascii="Arial Narrow" w:eastAsia="Calibri" w:hAnsi="Arial Narrow"/>
          <w:szCs w:val="24"/>
          <w:lang w:val="es-CO" w:eastAsia="es-CO"/>
        </w:rPr>
        <w:t>te en el sistema de negociación</w:t>
      </w:r>
    </w:p>
    <w:p w:rsidR="0045365B" w:rsidRPr="008C65ED" w:rsidRDefault="0045365B" w:rsidP="00C408EF">
      <w:pPr>
        <w:pStyle w:val="Ttulo"/>
        <w:numPr>
          <w:ilvl w:val="0"/>
          <w:numId w:val="19"/>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Entidades comisionistas con participac</w:t>
      </w:r>
      <w:r w:rsidR="00B1239C" w:rsidRPr="008C65ED">
        <w:rPr>
          <w:rFonts w:ascii="Arial Narrow" w:eastAsia="Calibri" w:hAnsi="Arial Narrow"/>
          <w:szCs w:val="24"/>
          <w:lang w:val="es-CO" w:eastAsia="es-CO"/>
        </w:rPr>
        <w:t>ión significativa en el mercado</w:t>
      </w:r>
    </w:p>
    <w:p w:rsidR="0045365B" w:rsidRPr="008C65ED" w:rsidRDefault="0045365B" w:rsidP="00F05745">
      <w:pPr>
        <w:pStyle w:val="Ttulo"/>
        <w:ind w:left="360"/>
        <w:jc w:val="both"/>
        <w:rPr>
          <w:rFonts w:ascii="Arial Narrow" w:eastAsia="Calibri" w:hAnsi="Arial Narrow"/>
          <w:b/>
          <w:szCs w:val="24"/>
          <w:lang w:val="es-CO" w:eastAsia="es-CO"/>
        </w:rPr>
      </w:pPr>
    </w:p>
    <w:p w:rsidR="0045365B" w:rsidRPr="008C65ED" w:rsidRDefault="0045365B" w:rsidP="00F05745">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Se evaluará la asignación de cupos de emisor en moneda extranjera para la realización de inversiones, apertura de cuentas</w:t>
      </w:r>
      <w:r w:rsidR="0046764A" w:rsidRPr="008C65ED">
        <w:rPr>
          <w:rFonts w:ascii="Arial Narrow" w:eastAsia="Calibri" w:hAnsi="Arial Narrow"/>
          <w:szCs w:val="24"/>
          <w:lang w:val="es-CO" w:eastAsia="es-CO"/>
        </w:rPr>
        <w:t xml:space="preserve"> y compra-</w:t>
      </w:r>
      <w:r w:rsidRPr="008C65ED">
        <w:rPr>
          <w:rFonts w:ascii="Arial Narrow" w:eastAsia="Calibri" w:hAnsi="Arial Narrow"/>
          <w:szCs w:val="24"/>
          <w:lang w:val="es-CO" w:eastAsia="es-CO"/>
        </w:rPr>
        <w:t>venta de dólares a las siguientes entidades:</w:t>
      </w:r>
    </w:p>
    <w:p w:rsidR="0045365B" w:rsidRPr="008C65ED" w:rsidRDefault="0045365B" w:rsidP="00F05745">
      <w:pPr>
        <w:pStyle w:val="Ttulo"/>
        <w:ind w:left="1440"/>
        <w:jc w:val="both"/>
        <w:rPr>
          <w:rFonts w:ascii="Arial Narrow" w:eastAsia="Calibri" w:hAnsi="Arial Narrow"/>
          <w:szCs w:val="24"/>
          <w:lang w:val="es-CO" w:eastAsia="es-CO"/>
        </w:rPr>
      </w:pPr>
    </w:p>
    <w:p w:rsidR="0045365B" w:rsidRPr="008C65ED" w:rsidRDefault="0045365B"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Bancos extranjeros que ofrezcan cuentas o instrumentos de inversión aprobados, y que cumplan con las condicione</w:t>
      </w:r>
      <w:r w:rsidR="000674E0" w:rsidRPr="008C65ED">
        <w:rPr>
          <w:rFonts w:ascii="Arial Narrow" w:eastAsia="Calibri" w:hAnsi="Arial Narrow"/>
          <w:szCs w:val="24"/>
          <w:lang w:val="es-CO" w:eastAsia="es-CO"/>
        </w:rPr>
        <w:t>s de riesgo en materia de cupos</w:t>
      </w:r>
    </w:p>
    <w:p w:rsidR="0045365B" w:rsidRPr="008C65ED" w:rsidRDefault="0045365B"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 xml:space="preserve">Fondos </w:t>
      </w:r>
      <w:r w:rsidR="00B44AF0" w:rsidRPr="008C65ED">
        <w:rPr>
          <w:rFonts w:ascii="Arial Narrow" w:eastAsia="Calibri" w:hAnsi="Arial Narrow"/>
          <w:i/>
          <w:szCs w:val="24"/>
          <w:lang w:val="es-CO" w:eastAsia="es-CO"/>
        </w:rPr>
        <w:t>Money M</w:t>
      </w:r>
      <w:r w:rsidRPr="008C65ED">
        <w:rPr>
          <w:rFonts w:ascii="Arial Narrow" w:eastAsia="Calibri" w:hAnsi="Arial Narrow"/>
          <w:i/>
          <w:szCs w:val="24"/>
          <w:lang w:val="es-CO" w:eastAsia="es-CO"/>
        </w:rPr>
        <w:t>arket</w:t>
      </w:r>
      <w:r w:rsidRPr="008C65ED">
        <w:rPr>
          <w:rFonts w:ascii="Arial Narrow" w:eastAsia="Calibri" w:hAnsi="Arial Narrow"/>
          <w:szCs w:val="24"/>
          <w:lang w:val="es-CO" w:eastAsia="es-CO"/>
        </w:rPr>
        <w:t xml:space="preserve"> que cumplan con los lineamientos de inversión aprobad</w:t>
      </w:r>
      <w:r w:rsidR="000674E0" w:rsidRPr="008C65ED">
        <w:rPr>
          <w:rFonts w:ascii="Arial Narrow" w:eastAsia="Calibri" w:hAnsi="Arial Narrow"/>
          <w:szCs w:val="24"/>
          <w:lang w:val="es-CO" w:eastAsia="es-CO"/>
        </w:rPr>
        <w:t>os</w:t>
      </w:r>
    </w:p>
    <w:p w:rsidR="0045365B" w:rsidRPr="008C65ED" w:rsidRDefault="0045365B" w:rsidP="00C408EF">
      <w:pPr>
        <w:pStyle w:val="Ttulo"/>
        <w:numPr>
          <w:ilvl w:val="0"/>
          <w:numId w:val="17"/>
        </w:numPr>
        <w:ind w:left="1069" w:hanging="283"/>
        <w:jc w:val="both"/>
        <w:rPr>
          <w:rFonts w:ascii="Arial Narrow" w:eastAsia="Calibri" w:hAnsi="Arial Narrow"/>
          <w:szCs w:val="24"/>
          <w:lang w:val="es-CO" w:eastAsia="es-CO"/>
        </w:rPr>
      </w:pPr>
      <w:r w:rsidRPr="008C65ED">
        <w:rPr>
          <w:rFonts w:ascii="Arial Narrow" w:eastAsia="Calibri" w:hAnsi="Arial Narrow"/>
          <w:szCs w:val="24"/>
          <w:lang w:val="es-CO" w:eastAsia="es-CO"/>
        </w:rPr>
        <w:t>Entidades multilaterales.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C408EF">
      <w:pPr>
        <w:pStyle w:val="Ttulo"/>
        <w:numPr>
          <w:ilvl w:val="0"/>
          <w:numId w:val="15"/>
        </w:numPr>
        <w:jc w:val="both"/>
        <w:rPr>
          <w:rFonts w:ascii="Arial Narrow" w:eastAsia="Calibri" w:hAnsi="Arial Narrow"/>
          <w:b/>
          <w:szCs w:val="24"/>
          <w:lang w:val="es-CO" w:eastAsia="es-CO"/>
        </w:rPr>
      </w:pPr>
      <w:r w:rsidRPr="008C65ED">
        <w:rPr>
          <w:rFonts w:ascii="Arial Narrow" w:eastAsia="Calibri" w:hAnsi="Arial Narrow"/>
          <w:b/>
          <w:szCs w:val="24"/>
          <w:lang w:val="es-CO" w:eastAsia="es-CO"/>
        </w:rPr>
        <w:t>Gestión del control de Cupos</w:t>
      </w:r>
    </w:p>
    <w:p w:rsidR="0045365B" w:rsidRPr="008C65ED" w:rsidRDefault="0045365B" w:rsidP="0045365B">
      <w:pPr>
        <w:pStyle w:val="Ttulo"/>
        <w:jc w:val="both"/>
        <w:rPr>
          <w:rFonts w:ascii="Arial Narrow" w:eastAsia="Calibri" w:hAnsi="Arial Narrow"/>
          <w:szCs w:val="24"/>
          <w:lang w:val="es-CO" w:eastAsia="es-CO"/>
        </w:rPr>
      </w:pPr>
    </w:p>
    <w:p w:rsidR="0045365B" w:rsidRPr="008C65ED" w:rsidRDefault="0045365B" w:rsidP="0046764A">
      <w:pPr>
        <w:pStyle w:val="Ttulo"/>
        <w:ind w:left="360"/>
        <w:jc w:val="both"/>
        <w:rPr>
          <w:rFonts w:ascii="Arial Narrow" w:eastAsia="Calibri" w:hAnsi="Arial Narrow"/>
          <w:szCs w:val="24"/>
          <w:lang w:val="es-CO" w:eastAsia="es-CO"/>
        </w:rPr>
      </w:pPr>
      <w:r w:rsidRPr="008C65ED">
        <w:rPr>
          <w:rFonts w:ascii="Arial Narrow" w:eastAsia="Calibri" w:hAnsi="Arial Narrow"/>
          <w:szCs w:val="24"/>
          <w:lang w:val="es-CO" w:eastAsia="es-CO"/>
        </w:rPr>
        <w:t>Los cupos se encuentran expresados por su valor nominal y en su respectiva moneda. Para la adecuad</w:t>
      </w:r>
      <w:r w:rsidR="00A57890" w:rsidRPr="008C65ED">
        <w:rPr>
          <w:rFonts w:ascii="Arial Narrow" w:eastAsia="Calibri" w:hAnsi="Arial Narrow"/>
          <w:szCs w:val="24"/>
          <w:lang w:val="es-CO" w:eastAsia="es-CO"/>
        </w:rPr>
        <w:t>a administración de los cupos, e</w:t>
      </w:r>
      <w:r w:rsidRPr="008C65ED">
        <w:rPr>
          <w:rFonts w:ascii="Arial Narrow" w:eastAsia="Calibri" w:hAnsi="Arial Narrow"/>
          <w:szCs w:val="24"/>
          <w:lang w:val="es-CO" w:eastAsia="es-CO"/>
        </w:rPr>
        <w:t xml:space="preserve">stos se deben revisar y actualizar trimestralmente por la Subdirección de Riesgo, o de forma extraordinaria mediante convocatoria de los miembros de la Reunión Técnica de Riesgos. </w:t>
      </w:r>
    </w:p>
    <w:p w:rsidR="0045365B" w:rsidRPr="008C65ED" w:rsidRDefault="0045365B" w:rsidP="0046764A">
      <w:pPr>
        <w:ind w:left="360"/>
        <w:jc w:val="both"/>
        <w:rPr>
          <w:rFonts w:ascii="Arial Narrow" w:hAnsi="Arial Narrow" w:cs="Arial"/>
          <w:sz w:val="24"/>
          <w:szCs w:val="24"/>
        </w:rPr>
      </w:pPr>
    </w:p>
    <w:p w:rsidR="0045365B" w:rsidRPr="008C65ED" w:rsidRDefault="0045365B" w:rsidP="0046764A">
      <w:pPr>
        <w:ind w:left="360"/>
        <w:jc w:val="both"/>
        <w:rPr>
          <w:rFonts w:ascii="Arial Narrow" w:hAnsi="Arial Narrow" w:cs="Arial"/>
          <w:sz w:val="24"/>
          <w:szCs w:val="24"/>
        </w:rPr>
      </w:pPr>
      <w:r w:rsidRPr="008C65ED">
        <w:rPr>
          <w:rFonts w:ascii="Arial Narrow" w:hAnsi="Arial Narrow" w:cs="Arial"/>
          <w:sz w:val="24"/>
          <w:szCs w:val="24"/>
        </w:rPr>
        <w:t>Entre las razones para modificar o suspender los cupos están las siguientes:</w:t>
      </w:r>
    </w:p>
    <w:p w:rsidR="0045365B" w:rsidRPr="008C65ED" w:rsidRDefault="0045365B" w:rsidP="0046764A">
      <w:pPr>
        <w:ind w:left="927" w:hanging="283"/>
        <w:jc w:val="both"/>
        <w:rPr>
          <w:rFonts w:ascii="Arial Narrow" w:hAnsi="Arial Narrow" w:cs="Arial"/>
          <w:sz w:val="24"/>
          <w:szCs w:val="24"/>
        </w:rPr>
      </w:pPr>
    </w:p>
    <w:p w:rsidR="0045365B" w:rsidRPr="008C65ED" w:rsidRDefault="0046764A"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Deterioro</w:t>
      </w:r>
      <w:r w:rsidR="0045365B" w:rsidRPr="008C65ED">
        <w:rPr>
          <w:rFonts w:ascii="Arial Narrow" w:hAnsi="Arial Narrow" w:cs="Arial"/>
          <w:sz w:val="24"/>
          <w:szCs w:val="24"/>
        </w:rPr>
        <w:t xml:space="preserve"> o mejora de las calificaciones aprobadas para contrapartes y/o instrumentos en los modelos internos de asignación de cupos;</w:t>
      </w:r>
    </w:p>
    <w:p w:rsidR="0045365B" w:rsidRPr="008C65ED" w:rsidRDefault="0046764A"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P</w:t>
      </w:r>
      <w:r w:rsidR="0045365B" w:rsidRPr="008C65ED">
        <w:rPr>
          <w:rFonts w:ascii="Arial Narrow" w:hAnsi="Arial Narrow" w:cs="Arial"/>
          <w:sz w:val="24"/>
          <w:szCs w:val="24"/>
        </w:rPr>
        <w:t>eriodo de liquidación</w:t>
      </w:r>
      <w:r w:rsidRPr="008C65ED">
        <w:rPr>
          <w:rFonts w:ascii="Arial Narrow" w:hAnsi="Arial Narrow" w:cs="Arial"/>
          <w:sz w:val="24"/>
          <w:szCs w:val="24"/>
        </w:rPr>
        <w:t xml:space="preserve"> de la contraparte</w:t>
      </w:r>
      <w:r w:rsidR="0045365B" w:rsidRPr="008C65ED">
        <w:rPr>
          <w:rFonts w:ascii="Arial Narrow" w:hAnsi="Arial Narrow" w:cs="Arial"/>
          <w:sz w:val="24"/>
          <w:szCs w:val="24"/>
        </w:rPr>
        <w:t>;</w:t>
      </w:r>
    </w:p>
    <w:p w:rsidR="0045365B" w:rsidRPr="008C65ED" w:rsidRDefault="0045365B"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Cuando las contrapartes estén involucrados directa o indirectamente en escándalos por sanciones impuestas por el Autorregulador del Mercado de Valores, por la Superintendencia Financiera de Colombia (SFC), por la SEC de EE.UU. u otro agente regulador internacional que la DGCPTN considere pertinente;</w:t>
      </w:r>
    </w:p>
    <w:p w:rsidR="0045365B" w:rsidRPr="008C65ED" w:rsidRDefault="0046764A"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Deterioro</w:t>
      </w:r>
      <w:r w:rsidR="0045365B" w:rsidRPr="008C65ED">
        <w:rPr>
          <w:rFonts w:ascii="Arial Narrow" w:hAnsi="Arial Narrow" w:cs="Arial"/>
          <w:sz w:val="24"/>
          <w:szCs w:val="24"/>
        </w:rPr>
        <w:t xml:space="preserve"> en la imagen o reputación de las contrapartes debido a malas prácticas de mercado;</w:t>
      </w:r>
    </w:p>
    <w:p w:rsidR="0045365B" w:rsidRPr="008C65ED" w:rsidRDefault="0046764A"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 xml:space="preserve">Incumplimiento </w:t>
      </w:r>
      <w:r w:rsidR="0045365B" w:rsidRPr="008C65ED">
        <w:rPr>
          <w:rFonts w:ascii="Arial Narrow" w:hAnsi="Arial Narrow" w:cs="Arial"/>
          <w:sz w:val="24"/>
          <w:szCs w:val="24"/>
        </w:rPr>
        <w:t xml:space="preserve">en una operación (no forzosa) realizada entre la contraparte y la DGCPTN; </w:t>
      </w:r>
    </w:p>
    <w:p w:rsidR="0045365B" w:rsidRPr="008C65ED" w:rsidRDefault="0045365B" w:rsidP="00C408EF">
      <w:pPr>
        <w:pStyle w:val="Prrafodelista"/>
        <w:numPr>
          <w:ilvl w:val="0"/>
          <w:numId w:val="22"/>
        </w:numPr>
        <w:ind w:left="1134" w:hanging="283"/>
        <w:jc w:val="both"/>
        <w:rPr>
          <w:rFonts w:ascii="Arial Narrow" w:hAnsi="Arial Narrow" w:cs="Arial"/>
          <w:sz w:val="24"/>
          <w:szCs w:val="24"/>
        </w:rPr>
      </w:pPr>
      <w:r w:rsidRPr="008C65ED">
        <w:rPr>
          <w:rFonts w:ascii="Arial Narrow" w:hAnsi="Arial Narrow" w:cs="Arial"/>
          <w:sz w:val="24"/>
          <w:szCs w:val="24"/>
        </w:rPr>
        <w:t xml:space="preserve">O por prudencia en asunción de riesgos ante eventos ex ante que puedan afectar significativamente las posiciones del portafolio. </w:t>
      </w:r>
    </w:p>
    <w:p w:rsidR="0045365B" w:rsidRPr="008C65ED" w:rsidRDefault="0045365B" w:rsidP="0046764A">
      <w:pPr>
        <w:pStyle w:val="Prrafodelista"/>
        <w:ind w:left="927"/>
        <w:jc w:val="both"/>
        <w:rPr>
          <w:rFonts w:ascii="Arial Narrow" w:hAnsi="Arial Narrow" w:cs="Arial"/>
          <w:sz w:val="24"/>
          <w:szCs w:val="24"/>
        </w:rPr>
      </w:pPr>
    </w:p>
    <w:p w:rsidR="0045365B" w:rsidRPr="008C65ED" w:rsidRDefault="0045365B" w:rsidP="0046764A">
      <w:pPr>
        <w:ind w:left="360"/>
        <w:jc w:val="both"/>
        <w:rPr>
          <w:rFonts w:ascii="Arial Narrow" w:hAnsi="Arial Narrow" w:cs="Arial"/>
          <w:sz w:val="24"/>
          <w:szCs w:val="24"/>
        </w:rPr>
      </w:pPr>
      <w:r w:rsidRPr="008C65ED">
        <w:rPr>
          <w:rFonts w:ascii="Arial Narrow" w:hAnsi="Arial Narrow" w:cs="Arial"/>
          <w:sz w:val="24"/>
          <w:szCs w:val="24"/>
        </w:rPr>
        <w:t>La Subdirección de Riesgo se reserva el derecho de suspender o recortar los cupos de manera inmediata cuando lo considere necesario. Por otra parte, cuando la modificación implique un aumento de los cupos, el proceso se realizará en la revisión trimestral.</w:t>
      </w:r>
    </w:p>
    <w:p w:rsidR="0045365B" w:rsidRPr="008C65ED" w:rsidRDefault="0045365B" w:rsidP="0046764A">
      <w:pPr>
        <w:ind w:left="360"/>
        <w:jc w:val="both"/>
        <w:rPr>
          <w:rFonts w:ascii="Arial Narrow" w:hAnsi="Arial Narrow" w:cs="Arial"/>
          <w:sz w:val="24"/>
          <w:szCs w:val="24"/>
        </w:rPr>
      </w:pPr>
    </w:p>
    <w:p w:rsidR="0045365B" w:rsidRPr="008C65ED" w:rsidRDefault="0045365B" w:rsidP="0046764A">
      <w:pPr>
        <w:ind w:left="360"/>
        <w:jc w:val="both"/>
        <w:rPr>
          <w:rFonts w:ascii="Arial Narrow" w:hAnsi="Arial Narrow" w:cs="Arial"/>
          <w:sz w:val="24"/>
          <w:szCs w:val="24"/>
        </w:rPr>
      </w:pPr>
      <w:r w:rsidRPr="008C65ED">
        <w:rPr>
          <w:rFonts w:ascii="Arial Narrow" w:hAnsi="Arial Narrow" w:cs="Arial"/>
          <w:sz w:val="24"/>
          <w:szCs w:val="24"/>
        </w:rPr>
        <w:lastRenderedPageBreak/>
        <w:t>Este tipo de restricciones discrecionales deberán ser informadas en primera instancia a la Subdirección de Tesorería, a la Subdirección de Operaciones y posteriormente al Director de Crédito Público y Tesoro Nacional para su ratificación.</w:t>
      </w:r>
    </w:p>
    <w:p w:rsidR="0045365B" w:rsidRPr="008C65ED" w:rsidRDefault="0045365B" w:rsidP="0046764A">
      <w:pPr>
        <w:ind w:left="360"/>
        <w:jc w:val="both"/>
        <w:rPr>
          <w:rFonts w:ascii="Arial Narrow" w:hAnsi="Arial Narrow" w:cs="Arial"/>
          <w:sz w:val="24"/>
          <w:szCs w:val="24"/>
        </w:rPr>
      </w:pPr>
    </w:p>
    <w:p w:rsidR="0045365B" w:rsidRPr="008C65ED" w:rsidRDefault="0045365B" w:rsidP="0046764A">
      <w:pPr>
        <w:ind w:left="360"/>
        <w:jc w:val="both"/>
        <w:rPr>
          <w:rFonts w:ascii="Arial Narrow" w:hAnsi="Arial Narrow" w:cs="Arial"/>
          <w:sz w:val="24"/>
          <w:szCs w:val="24"/>
        </w:rPr>
      </w:pPr>
      <w:r w:rsidRPr="008C65ED">
        <w:rPr>
          <w:rFonts w:ascii="Arial Narrow" w:hAnsi="Arial Narrow" w:cs="Arial"/>
          <w:sz w:val="24"/>
          <w:szCs w:val="24"/>
        </w:rPr>
        <w:t>Los cupos deberán ser actualizados en los sistemas transaccionales y en los aplicativos internos de registro contable, así como también deberán ser m</w:t>
      </w:r>
      <w:r w:rsidR="009B2088" w:rsidRPr="008C65ED">
        <w:rPr>
          <w:rFonts w:ascii="Arial Narrow" w:hAnsi="Arial Narrow" w:cs="Arial"/>
          <w:sz w:val="24"/>
          <w:szCs w:val="24"/>
        </w:rPr>
        <w:t>onitoreados diariamente por la S</w:t>
      </w:r>
      <w:r w:rsidRPr="008C65ED">
        <w:rPr>
          <w:rFonts w:ascii="Arial Narrow" w:hAnsi="Arial Narrow" w:cs="Arial"/>
          <w:sz w:val="24"/>
          <w:szCs w:val="24"/>
        </w:rPr>
        <w:t>ubdirección de Riesgo.</w:t>
      </w:r>
    </w:p>
    <w:p w:rsidR="0045365B" w:rsidRPr="008C65ED" w:rsidRDefault="0045365B" w:rsidP="0046764A">
      <w:pPr>
        <w:ind w:left="360"/>
        <w:jc w:val="both"/>
        <w:rPr>
          <w:rFonts w:ascii="Arial Narrow" w:hAnsi="Arial Narrow" w:cs="Arial"/>
          <w:sz w:val="24"/>
          <w:szCs w:val="24"/>
        </w:rPr>
      </w:pPr>
    </w:p>
    <w:p w:rsidR="002E4B5F" w:rsidRPr="008C65ED" w:rsidRDefault="0045365B" w:rsidP="002E4B5F">
      <w:pPr>
        <w:ind w:left="360"/>
        <w:jc w:val="both"/>
        <w:rPr>
          <w:rFonts w:ascii="Arial Narrow" w:hAnsi="Arial Narrow" w:cs="Arial"/>
          <w:sz w:val="24"/>
          <w:szCs w:val="24"/>
        </w:rPr>
      </w:pPr>
      <w:r w:rsidRPr="008C65ED">
        <w:rPr>
          <w:rFonts w:ascii="Arial Narrow" w:hAnsi="Arial Narrow" w:cs="Arial"/>
          <w:b/>
          <w:sz w:val="24"/>
          <w:szCs w:val="24"/>
        </w:rPr>
        <w:t>Excepciones</w:t>
      </w:r>
      <w:r w:rsidRPr="008C65ED">
        <w:rPr>
          <w:rFonts w:ascii="Arial Narrow" w:hAnsi="Arial Narrow" w:cs="Arial"/>
          <w:sz w:val="24"/>
          <w:szCs w:val="24"/>
        </w:rPr>
        <w:t>: en caso que, en el proceso de actualización de cupos, el modelo genere un sobrepaso en la utilización de cupo de alguno de los emisores autorizados, se otorgará un plazo de hasta un (1) mes calendario para ajustarse a la actualización del modelo de cupos, ya sea como parte de un cambio de estrategia de inversión o como parte de un ajuste operativo para abrir nuevos depósitos en los bancos o entidades autorizadas.</w:t>
      </w:r>
    </w:p>
    <w:p w:rsidR="00567839" w:rsidRPr="008C65ED" w:rsidRDefault="00567839" w:rsidP="002E4B5F">
      <w:pPr>
        <w:ind w:left="360"/>
        <w:jc w:val="both"/>
        <w:rPr>
          <w:rFonts w:ascii="Arial Narrow" w:hAnsi="Arial Narrow" w:cs="Arial"/>
          <w:sz w:val="24"/>
          <w:szCs w:val="24"/>
        </w:rPr>
      </w:pPr>
    </w:p>
    <w:p w:rsidR="0042407F" w:rsidRPr="008C65ED" w:rsidRDefault="0042407F" w:rsidP="0042407F">
      <w:pPr>
        <w:ind w:left="360"/>
        <w:jc w:val="both"/>
        <w:rPr>
          <w:rFonts w:ascii="Arial Narrow" w:hAnsi="Arial Narrow" w:cs="Arial"/>
          <w:sz w:val="24"/>
          <w:szCs w:val="24"/>
        </w:rPr>
      </w:pPr>
      <w:r w:rsidRPr="008C65ED">
        <w:rPr>
          <w:rFonts w:ascii="Arial Narrow" w:hAnsi="Arial Narrow" w:cs="Arial"/>
          <w:sz w:val="24"/>
          <w:szCs w:val="24"/>
        </w:rPr>
        <w:t>Cuando la razón de modificación o suspensión de cupo se presente por incumplimiento de pago de capital y/o intereses de una operación entre la contraparte y la DGCPTN, se tendrá en cuenta los siguientes criterios de inversión</w:t>
      </w:r>
      <w:r w:rsidR="00567839" w:rsidRPr="008C65ED">
        <w:rPr>
          <w:rFonts w:ascii="Arial Narrow" w:hAnsi="Arial Narrow" w:cs="Arial"/>
          <w:sz w:val="24"/>
          <w:szCs w:val="24"/>
        </w:rPr>
        <w:t xml:space="preserve"> y ajuste</w:t>
      </w:r>
      <w:r w:rsidRPr="008C65ED">
        <w:rPr>
          <w:rFonts w:ascii="Arial Narrow" w:hAnsi="Arial Narrow" w:cs="Arial"/>
          <w:sz w:val="24"/>
          <w:szCs w:val="24"/>
        </w:rPr>
        <w:t>s</w:t>
      </w:r>
      <w:r w:rsidR="00567839" w:rsidRPr="008C65ED">
        <w:rPr>
          <w:rFonts w:ascii="Arial Narrow" w:hAnsi="Arial Narrow" w:cs="Arial"/>
          <w:sz w:val="24"/>
          <w:szCs w:val="24"/>
        </w:rPr>
        <w:t xml:space="preserve"> al cálculo de asignación de cupos de emisor y de contraparte</w:t>
      </w:r>
      <w:r w:rsidRPr="008C65ED">
        <w:rPr>
          <w:rFonts w:ascii="Arial Narrow" w:hAnsi="Arial Narrow" w:cs="Arial"/>
          <w:sz w:val="24"/>
          <w:szCs w:val="24"/>
        </w:rPr>
        <w:t>:</w:t>
      </w:r>
    </w:p>
    <w:p w:rsidR="0042407F" w:rsidRPr="008C65ED" w:rsidRDefault="0042407F" w:rsidP="0042407F">
      <w:pPr>
        <w:ind w:left="360"/>
        <w:jc w:val="both"/>
        <w:rPr>
          <w:rFonts w:ascii="Arial Narrow" w:hAnsi="Arial Narrow" w:cs="Arial"/>
          <w:sz w:val="24"/>
          <w:szCs w:val="24"/>
        </w:rPr>
      </w:pPr>
    </w:p>
    <w:p w:rsidR="0042407F" w:rsidRPr="008C65ED" w:rsidRDefault="0042407F" w:rsidP="003933D9">
      <w:pPr>
        <w:pStyle w:val="Prrafodelista"/>
        <w:numPr>
          <w:ilvl w:val="0"/>
          <w:numId w:val="32"/>
        </w:numPr>
        <w:jc w:val="both"/>
        <w:rPr>
          <w:rFonts w:ascii="Arial Narrow" w:hAnsi="Arial Narrow" w:cs="Arial"/>
          <w:sz w:val="24"/>
          <w:szCs w:val="24"/>
        </w:rPr>
      </w:pPr>
      <w:r w:rsidRPr="008C65ED">
        <w:rPr>
          <w:rFonts w:ascii="Arial Narrow" w:hAnsi="Arial Narrow" w:cs="Arial"/>
          <w:sz w:val="24"/>
          <w:szCs w:val="24"/>
        </w:rPr>
        <w:t>No se podrán realizar nuevas inversiones o renovaciones de los instrumentos negociados con la contraparte incumplida, hasta que se reciban los recursos. Es decir que, si existen inversiones constituidas vigentes con fecha de vencimiento posterior a la fecha de incumplimiento, se podrán cancelar anticipadamente o se podrán mantener hasta el vencimiento sin posibilidad de realizar nuevas inversiones;</w:t>
      </w:r>
    </w:p>
    <w:p w:rsidR="0042407F" w:rsidRPr="008C65ED" w:rsidRDefault="0042407F" w:rsidP="003933D9">
      <w:pPr>
        <w:pStyle w:val="Prrafodelista"/>
        <w:numPr>
          <w:ilvl w:val="0"/>
          <w:numId w:val="32"/>
        </w:numPr>
        <w:jc w:val="both"/>
        <w:rPr>
          <w:rFonts w:ascii="Arial Narrow" w:hAnsi="Arial Narrow" w:cs="Arial"/>
          <w:sz w:val="24"/>
          <w:szCs w:val="24"/>
        </w:rPr>
      </w:pPr>
      <w:r w:rsidRPr="008C65ED">
        <w:rPr>
          <w:rFonts w:ascii="Arial Narrow" w:hAnsi="Arial Narrow" w:cs="Arial"/>
          <w:sz w:val="24"/>
          <w:szCs w:val="24"/>
        </w:rPr>
        <w:t>Si el retraso supera los 30 días calendario, se suspenderá el cupo para la entidad incumplida, durante los siguientes tres meses o durante el periodo que la Subdirección de Riesgo considere necesario. De esta manera, se otorgará un plazo de hasta un (1) mes calendario para cumplir con el cupo ajustado, en línea con lo establecido en las excepciones antes mencionadas;</w:t>
      </w:r>
    </w:p>
    <w:p w:rsidR="0042407F" w:rsidRPr="008C65ED" w:rsidRDefault="0042407F" w:rsidP="0042407F">
      <w:pPr>
        <w:pStyle w:val="Prrafodelista"/>
        <w:rPr>
          <w:rFonts w:ascii="Arial Narrow" w:hAnsi="Arial Narrow" w:cs="Arial"/>
          <w:sz w:val="24"/>
          <w:szCs w:val="24"/>
        </w:rPr>
      </w:pPr>
    </w:p>
    <w:p w:rsidR="0042407F" w:rsidRPr="008C65ED" w:rsidRDefault="0042407F" w:rsidP="003933D9">
      <w:pPr>
        <w:pStyle w:val="Prrafodelista"/>
        <w:numPr>
          <w:ilvl w:val="0"/>
          <w:numId w:val="32"/>
        </w:numPr>
        <w:jc w:val="both"/>
        <w:rPr>
          <w:rFonts w:ascii="Arial Narrow" w:hAnsi="Arial Narrow" w:cs="Arial"/>
          <w:sz w:val="24"/>
          <w:szCs w:val="24"/>
        </w:rPr>
      </w:pPr>
      <w:r w:rsidRPr="008C65ED">
        <w:rPr>
          <w:rFonts w:ascii="Arial Narrow" w:hAnsi="Arial Narrow" w:cs="Arial"/>
          <w:sz w:val="24"/>
          <w:szCs w:val="24"/>
        </w:rPr>
        <w:t>A partir del primer día de incumplimiento, como sanción se descontará el 30% del cupo vigente. Adicionalmente, en la actualización trimestral del cálculo de cupos se tendrá en cuenta el tiempo de retraso para asignar un factor de descuento del cupo total calculado;</w:t>
      </w:r>
    </w:p>
    <w:p w:rsidR="0042407F" w:rsidRPr="008C65ED" w:rsidRDefault="0042407F" w:rsidP="0042407F">
      <w:pPr>
        <w:pStyle w:val="Prrafodelista"/>
        <w:rPr>
          <w:rFonts w:ascii="Arial Narrow" w:hAnsi="Arial Narrow" w:cs="Arial"/>
          <w:sz w:val="24"/>
          <w:szCs w:val="24"/>
        </w:rPr>
      </w:pPr>
    </w:p>
    <w:p w:rsidR="0042407F" w:rsidRPr="008C65ED" w:rsidRDefault="0042407F" w:rsidP="0042407F">
      <w:pPr>
        <w:pStyle w:val="Prrafodelista"/>
        <w:numPr>
          <w:ilvl w:val="0"/>
          <w:numId w:val="32"/>
        </w:numPr>
        <w:jc w:val="both"/>
        <w:rPr>
          <w:rFonts w:ascii="Arial Narrow" w:hAnsi="Arial Narrow" w:cs="Arial"/>
          <w:sz w:val="24"/>
          <w:szCs w:val="24"/>
        </w:rPr>
      </w:pPr>
      <w:r w:rsidRPr="008C65ED">
        <w:rPr>
          <w:rFonts w:ascii="Arial Narrow" w:hAnsi="Arial Narrow" w:cs="Arial"/>
          <w:sz w:val="24"/>
          <w:szCs w:val="24"/>
        </w:rPr>
        <w:t>En caso de reincidencia del incumplimiento, se suspenderá permanentemente el cupo de la contraparte, y solo se evaluará y asignará el cupo por solicitud de la Subdirección de Tesorería, con una sanción del 50% del cupo que defina el modelo de asignación.</w:t>
      </w:r>
    </w:p>
    <w:p w:rsidR="00B865A3" w:rsidRPr="008C65ED" w:rsidRDefault="00B865A3" w:rsidP="00B865A3">
      <w:pPr>
        <w:pStyle w:val="Prrafodelista"/>
        <w:rPr>
          <w:rFonts w:ascii="Arial Narrow" w:hAnsi="Arial Narrow" w:cs="Arial"/>
          <w:sz w:val="24"/>
          <w:szCs w:val="24"/>
        </w:rPr>
      </w:pPr>
    </w:p>
    <w:p w:rsidR="00B865A3" w:rsidRPr="008C65ED" w:rsidRDefault="00B865A3" w:rsidP="00B865A3">
      <w:pPr>
        <w:jc w:val="both"/>
        <w:rPr>
          <w:rFonts w:ascii="Arial Narrow" w:hAnsi="Arial Narrow" w:cs="Arial"/>
          <w:sz w:val="24"/>
          <w:szCs w:val="24"/>
        </w:rPr>
      </w:pPr>
      <w:r w:rsidRPr="008C65ED">
        <w:rPr>
          <w:rFonts w:ascii="Arial Narrow" w:hAnsi="Arial Narrow" w:cs="Arial"/>
          <w:sz w:val="24"/>
          <w:szCs w:val="24"/>
        </w:rPr>
        <w:t>Todo cambio o ajuste de cupo realizado por la Subdirección de Riesgo, debe ser comunicado a la Subdirección de Tesorería a través de cualquier medio verificable. Las condiciones y criterios mencionados ante un incumplimiento de las operaciones, podrán ser ajustados por la Subdirección de Riesgo de acuerdo a la evaluación de cada caso.</w:t>
      </w:r>
    </w:p>
    <w:p w:rsidR="004C1FDA" w:rsidRPr="008C65ED" w:rsidRDefault="004C1FDA" w:rsidP="00B865A3">
      <w:pPr>
        <w:jc w:val="both"/>
        <w:rPr>
          <w:rFonts w:ascii="Arial Narrow" w:hAnsi="Arial Narrow" w:cs="Arial"/>
          <w:sz w:val="24"/>
          <w:szCs w:val="24"/>
        </w:rPr>
      </w:pPr>
    </w:p>
    <w:p w:rsidR="009B407C" w:rsidRPr="008C65ED" w:rsidRDefault="009B407C" w:rsidP="00B865A3">
      <w:pPr>
        <w:jc w:val="both"/>
        <w:rPr>
          <w:rFonts w:ascii="Arial Narrow" w:hAnsi="Arial Narrow" w:cs="Arial"/>
          <w:sz w:val="24"/>
          <w:szCs w:val="24"/>
        </w:rPr>
      </w:pPr>
    </w:p>
    <w:p w:rsidR="002E4B5F" w:rsidRPr="008C65ED" w:rsidRDefault="00F673BF" w:rsidP="0046710F">
      <w:pPr>
        <w:pStyle w:val="Ttulo4"/>
      </w:pPr>
      <w:bookmarkStart w:id="37" w:name="_Toc80191575"/>
      <w:r w:rsidRPr="008C65ED">
        <w:lastRenderedPageBreak/>
        <w:t>Directrices en Materia de Cumplimiento de L</w:t>
      </w:r>
      <w:r w:rsidR="002E4B5F" w:rsidRPr="008C65ED">
        <w:t>ímites</w:t>
      </w:r>
      <w:bookmarkEnd w:id="37"/>
    </w:p>
    <w:p w:rsidR="002E4B5F" w:rsidRPr="008C65ED" w:rsidRDefault="002E4B5F" w:rsidP="002E4B5F">
      <w:pPr>
        <w:rPr>
          <w:rFonts w:ascii="Arial Narrow" w:hAnsi="Arial Narrow"/>
        </w:rPr>
      </w:pPr>
    </w:p>
    <w:p w:rsidR="002E4B5F" w:rsidRPr="008C65ED" w:rsidRDefault="002E4B5F" w:rsidP="002E4B5F">
      <w:pPr>
        <w:jc w:val="both"/>
        <w:rPr>
          <w:rFonts w:ascii="Arial Narrow" w:hAnsi="Arial Narrow" w:cs="Arial"/>
          <w:sz w:val="24"/>
        </w:rPr>
      </w:pPr>
      <w:r w:rsidRPr="008C65ED">
        <w:rPr>
          <w:rFonts w:ascii="Arial Narrow" w:hAnsi="Arial Narrow" w:cs="Arial"/>
          <w:sz w:val="24"/>
        </w:rPr>
        <w:t>Los límites establecidos deben estar documentados en anexos al presente manual, que permitan conocer la política y trazabilidad de las decisiones tomadas</w:t>
      </w:r>
      <w:r w:rsidR="00A57890" w:rsidRPr="008C65ED">
        <w:rPr>
          <w:rFonts w:ascii="Arial Narrow" w:hAnsi="Arial Narrow" w:cs="Arial"/>
          <w:sz w:val="24"/>
        </w:rPr>
        <w:t xml:space="preserve"> por la misma. Adicionalmente, e</w:t>
      </w:r>
      <w:r w:rsidRPr="008C65ED">
        <w:rPr>
          <w:rFonts w:ascii="Arial Narrow" w:hAnsi="Arial Narrow" w:cs="Arial"/>
          <w:sz w:val="24"/>
        </w:rPr>
        <w:t>stos son establecidos para gestionar y controlar adecuadamente el Riesgo de Mercado de la DGCPTN, y son consistentes con el perfil de riesgo definido para las operaciones de Tesorería. Por tal motivo, se deberá hacer un monitoreo permanente por parte de la Subdirección de Riesgo y se informará mediante reportes los resultados del seguimiento.</w:t>
      </w:r>
    </w:p>
    <w:p w:rsidR="002E4B5F" w:rsidRPr="008C65ED" w:rsidRDefault="002E4B5F" w:rsidP="002E4B5F">
      <w:pPr>
        <w:jc w:val="both"/>
        <w:rPr>
          <w:rFonts w:ascii="Arial Narrow" w:hAnsi="Arial Narrow" w:cs="Arial"/>
          <w:sz w:val="24"/>
        </w:rPr>
      </w:pPr>
    </w:p>
    <w:p w:rsidR="002E4B5F" w:rsidRPr="008C65ED" w:rsidRDefault="002E4B5F" w:rsidP="002E4B5F">
      <w:pPr>
        <w:autoSpaceDE w:val="0"/>
        <w:autoSpaceDN w:val="0"/>
        <w:adjustRightInd w:val="0"/>
        <w:jc w:val="both"/>
        <w:rPr>
          <w:rFonts w:ascii="Arial Narrow" w:hAnsi="Arial Narrow" w:cs="Arial"/>
          <w:sz w:val="24"/>
        </w:rPr>
      </w:pPr>
      <w:r w:rsidRPr="008C65ED">
        <w:rPr>
          <w:rFonts w:ascii="Arial Narrow" w:hAnsi="Arial Narrow" w:cs="Arial"/>
          <w:sz w:val="24"/>
        </w:rPr>
        <w:t>La Tesorería podrá solicitar al Director de Créd</w:t>
      </w:r>
      <w:r w:rsidR="00634673" w:rsidRPr="008C65ED">
        <w:rPr>
          <w:rFonts w:ascii="Arial Narrow" w:hAnsi="Arial Narrow" w:cs="Arial"/>
          <w:sz w:val="24"/>
        </w:rPr>
        <w:t>ito Público y Tesoro Nacional, por</w:t>
      </w:r>
      <w:r w:rsidRPr="008C65ED">
        <w:rPr>
          <w:rFonts w:ascii="Arial Narrow" w:hAnsi="Arial Narrow" w:cs="Arial"/>
          <w:sz w:val="24"/>
        </w:rPr>
        <w:t xml:space="preserve"> cualquier medio verificable, el sobrepaso a los límites donde se explique las condiciones (hora; monto; tipo de operación; tipo de instrumento; tasa de fondeo) y se justifique la racionalidad de la operación.</w:t>
      </w:r>
    </w:p>
    <w:p w:rsidR="002E4B5F" w:rsidRPr="008C65ED" w:rsidRDefault="002E4B5F" w:rsidP="002E4B5F">
      <w:pPr>
        <w:jc w:val="both"/>
        <w:rPr>
          <w:rFonts w:ascii="Arial Narrow" w:hAnsi="Arial Narrow" w:cs="Arial"/>
          <w:sz w:val="24"/>
        </w:rPr>
      </w:pPr>
    </w:p>
    <w:p w:rsidR="00B41573" w:rsidRPr="008C65ED" w:rsidRDefault="00B41573" w:rsidP="00B41573">
      <w:pPr>
        <w:pStyle w:val="Ttulo5"/>
      </w:pPr>
      <w:bookmarkStart w:id="38" w:name="_Toc80191576"/>
      <w:r w:rsidRPr="008C65ED">
        <w:t>Gestión de Monitoreo y Cumplimiento de Límites</w:t>
      </w:r>
      <w:bookmarkEnd w:id="38"/>
    </w:p>
    <w:p w:rsidR="00B41573" w:rsidRPr="008C65ED" w:rsidRDefault="00B41573" w:rsidP="00B41573">
      <w:pPr>
        <w:rPr>
          <w:rFonts w:ascii="Arial Narrow" w:hAnsi="Arial Narrow"/>
        </w:rPr>
      </w:pPr>
    </w:p>
    <w:p w:rsidR="00B41573" w:rsidRPr="008C65ED" w:rsidRDefault="00B41573" w:rsidP="00B41573">
      <w:pPr>
        <w:jc w:val="both"/>
        <w:rPr>
          <w:rFonts w:ascii="Arial Narrow" w:hAnsi="Arial Narrow" w:cs="Arial"/>
          <w:sz w:val="24"/>
        </w:rPr>
      </w:pPr>
      <w:r w:rsidRPr="008C65ED">
        <w:rPr>
          <w:rFonts w:ascii="Arial Narrow" w:hAnsi="Arial Narrow" w:cs="Arial"/>
          <w:sz w:val="24"/>
        </w:rPr>
        <w:t xml:space="preserve">Con el fin de dar cumplimiento a los </w:t>
      </w:r>
      <w:r w:rsidR="001B5821" w:rsidRPr="008C65ED">
        <w:rPr>
          <w:rFonts w:ascii="Arial Narrow" w:hAnsi="Arial Narrow" w:cs="Arial"/>
          <w:sz w:val="24"/>
        </w:rPr>
        <w:t>límites</w:t>
      </w:r>
      <w:r w:rsidRPr="008C65ED">
        <w:rPr>
          <w:rFonts w:ascii="Arial Narrow" w:hAnsi="Arial Narrow" w:cs="Arial"/>
          <w:sz w:val="24"/>
        </w:rPr>
        <w:t xml:space="preserve"> establecidos en el presente Manual, se </w:t>
      </w:r>
      <w:r w:rsidR="00783E6A" w:rsidRPr="008C65ED">
        <w:rPr>
          <w:rFonts w:ascii="Arial Narrow" w:hAnsi="Arial Narrow" w:cs="Arial"/>
          <w:sz w:val="24"/>
        </w:rPr>
        <w:t>deberán</w:t>
      </w:r>
      <w:r w:rsidRPr="008C65ED">
        <w:rPr>
          <w:rFonts w:ascii="Arial Narrow" w:hAnsi="Arial Narrow" w:cs="Arial"/>
          <w:sz w:val="24"/>
        </w:rPr>
        <w:t xml:space="preserve"> </w:t>
      </w:r>
      <w:r w:rsidR="00783E6A" w:rsidRPr="008C65ED">
        <w:rPr>
          <w:rFonts w:ascii="Arial Narrow" w:hAnsi="Arial Narrow" w:cs="Arial"/>
          <w:sz w:val="24"/>
        </w:rPr>
        <w:t>implementar</w:t>
      </w:r>
      <w:r w:rsidRPr="008C65ED">
        <w:rPr>
          <w:rFonts w:ascii="Arial Narrow" w:hAnsi="Arial Narrow" w:cs="Arial"/>
          <w:sz w:val="24"/>
        </w:rPr>
        <w:t xml:space="preserve"> medidas referentes a la gestión y control de los lineamientos por parte de los funcionarios que participan en la ejecución de operaciones </w:t>
      </w:r>
      <w:r w:rsidR="00783E6A" w:rsidRPr="008C65ED">
        <w:rPr>
          <w:rFonts w:ascii="Arial Narrow" w:hAnsi="Arial Narrow" w:cs="Arial"/>
          <w:sz w:val="24"/>
        </w:rPr>
        <w:t xml:space="preserve">necesarias para la administración de los excedentes de liquidez y operaciones de crédito público. Dicha gestión se divide en dos procedimientos que permitirán un adecuado control del cumplimiento de políticas mediante las siguientes condiciones: </w:t>
      </w:r>
    </w:p>
    <w:p w:rsidR="00783E6A" w:rsidRPr="008C65ED" w:rsidRDefault="00783E6A" w:rsidP="00B41573">
      <w:pPr>
        <w:jc w:val="both"/>
        <w:rPr>
          <w:rFonts w:ascii="Arial Narrow" w:hAnsi="Arial Narrow" w:cs="Arial"/>
          <w:sz w:val="24"/>
        </w:rPr>
      </w:pPr>
    </w:p>
    <w:p w:rsidR="004A5664" w:rsidRPr="008C65ED" w:rsidRDefault="004A5664" w:rsidP="004A5664">
      <w:pPr>
        <w:pStyle w:val="Prrafodelista"/>
        <w:numPr>
          <w:ilvl w:val="0"/>
          <w:numId w:val="35"/>
        </w:numPr>
        <w:jc w:val="both"/>
        <w:rPr>
          <w:rFonts w:ascii="Arial Narrow" w:hAnsi="Arial Narrow" w:cs="Arial"/>
          <w:sz w:val="24"/>
        </w:rPr>
      </w:pPr>
      <w:r w:rsidRPr="008C65ED">
        <w:rPr>
          <w:rFonts w:ascii="Arial Narrow" w:hAnsi="Arial Narrow" w:cs="Arial"/>
          <w:b/>
          <w:bCs/>
          <w:sz w:val="24"/>
          <w:u w:val="single"/>
        </w:rPr>
        <w:t>GESTIÓN PREVENTIVA</w:t>
      </w:r>
      <w:r w:rsidRPr="008C65ED">
        <w:rPr>
          <w:rFonts w:ascii="Arial Narrow" w:hAnsi="Arial Narrow" w:cs="Arial"/>
          <w:sz w:val="24"/>
        </w:rPr>
        <w:t>: Los funcionarios de la DGCPTN deben gestionar los riesgos y los límites establecidos de manera proactiva</w:t>
      </w:r>
      <w:r w:rsidR="00450495" w:rsidRPr="008C65ED">
        <w:rPr>
          <w:rFonts w:ascii="Arial Narrow" w:hAnsi="Arial Narrow" w:cs="Arial"/>
          <w:sz w:val="24"/>
        </w:rPr>
        <w:t>.</w:t>
      </w:r>
      <w:r w:rsidRPr="008C65ED">
        <w:rPr>
          <w:rFonts w:ascii="Arial Narrow" w:hAnsi="Arial Narrow" w:cs="Arial"/>
          <w:sz w:val="24"/>
        </w:rPr>
        <w:t xml:space="preserve"> </w:t>
      </w:r>
      <w:r w:rsidR="00450495" w:rsidRPr="008C65ED">
        <w:rPr>
          <w:rFonts w:ascii="Arial Narrow" w:hAnsi="Arial Narrow" w:cs="Arial"/>
          <w:sz w:val="24"/>
        </w:rPr>
        <w:t>P</w:t>
      </w:r>
      <w:r w:rsidRPr="008C65ED">
        <w:rPr>
          <w:rFonts w:ascii="Arial Narrow" w:hAnsi="Arial Narrow" w:cs="Arial"/>
          <w:sz w:val="24"/>
        </w:rPr>
        <w:t>ara tal fin se deben establecer los controles necesarios en cada uno de los procesos para identificar alertas tempranas que</w:t>
      </w:r>
      <w:r w:rsidR="00450495" w:rsidRPr="008C65ED">
        <w:rPr>
          <w:rFonts w:ascii="Arial Narrow" w:hAnsi="Arial Narrow" w:cs="Arial"/>
          <w:sz w:val="24"/>
        </w:rPr>
        <w:t xml:space="preserve"> permitan</w:t>
      </w:r>
      <w:r w:rsidRPr="008C65ED">
        <w:rPr>
          <w:rFonts w:ascii="Arial Narrow" w:hAnsi="Arial Narrow" w:cs="Arial"/>
          <w:sz w:val="24"/>
        </w:rPr>
        <w:t xml:space="preserve"> </w:t>
      </w:r>
      <w:r w:rsidR="00450495" w:rsidRPr="008C65ED">
        <w:rPr>
          <w:rFonts w:ascii="Arial Narrow" w:hAnsi="Arial Narrow" w:cs="Arial"/>
          <w:sz w:val="24"/>
        </w:rPr>
        <w:t>mitigar riesgos de</w:t>
      </w:r>
      <w:r w:rsidRPr="008C65ED">
        <w:rPr>
          <w:rFonts w:ascii="Arial Narrow" w:hAnsi="Arial Narrow" w:cs="Arial"/>
          <w:sz w:val="24"/>
        </w:rPr>
        <w:t xml:space="preserve"> incumplimiento de las políticas del presente Manual.</w:t>
      </w:r>
    </w:p>
    <w:p w:rsidR="004A5664" w:rsidRPr="008C65ED" w:rsidRDefault="004A5664" w:rsidP="004A5664">
      <w:pPr>
        <w:pStyle w:val="Prrafodelista"/>
        <w:ind w:left="720"/>
        <w:jc w:val="both"/>
        <w:rPr>
          <w:rFonts w:ascii="Arial Narrow" w:hAnsi="Arial Narrow" w:cs="Arial"/>
          <w:sz w:val="24"/>
        </w:rPr>
      </w:pPr>
    </w:p>
    <w:p w:rsidR="004A5664" w:rsidRPr="008C65ED" w:rsidRDefault="004A5664" w:rsidP="004A5664">
      <w:pPr>
        <w:pStyle w:val="Prrafodelista"/>
        <w:ind w:left="720"/>
        <w:jc w:val="both"/>
        <w:rPr>
          <w:rFonts w:ascii="Arial Narrow" w:hAnsi="Arial Narrow" w:cs="Arial"/>
          <w:sz w:val="24"/>
        </w:rPr>
      </w:pPr>
      <w:r w:rsidRPr="008C65ED">
        <w:rPr>
          <w:rFonts w:ascii="Arial Narrow" w:hAnsi="Arial Narrow" w:cs="Arial"/>
          <w:sz w:val="24"/>
        </w:rPr>
        <w:t>Por esta razón, cuando la Subdirección de Tesorería considere necesario una ampliación temporal de los límites establecidos, podrá solicitar al Director General de Crédito Público y Tesoro Nacional el sobrepaso de alguno de los lineamientos</w:t>
      </w:r>
      <w:r w:rsidR="00450495" w:rsidRPr="008C65ED">
        <w:rPr>
          <w:rFonts w:ascii="Arial Narrow" w:hAnsi="Arial Narrow" w:cs="Arial"/>
          <w:sz w:val="24"/>
        </w:rPr>
        <w:t>,</w:t>
      </w:r>
      <w:r w:rsidRPr="008C65ED">
        <w:rPr>
          <w:rFonts w:ascii="Arial Narrow" w:hAnsi="Arial Narrow" w:cs="Arial"/>
          <w:sz w:val="24"/>
        </w:rPr>
        <w:t xml:space="preserve"> a través de cualquier medio verificable con copia a la Subdirección de Riesgo. Con base en la solicitud emitida, la Subdirección de Riesgo realizará la evaluación del sobrepaso y remitirá el análisis al Director General de Crédito Público y Tesoro Nacional para </w:t>
      </w:r>
      <w:r w:rsidR="00450495" w:rsidRPr="008C65ED">
        <w:rPr>
          <w:rFonts w:ascii="Arial Narrow" w:hAnsi="Arial Narrow" w:cs="Arial"/>
          <w:sz w:val="24"/>
        </w:rPr>
        <w:t>decidir si</w:t>
      </w:r>
      <w:r w:rsidRPr="008C65ED">
        <w:rPr>
          <w:rFonts w:ascii="Arial Narrow" w:hAnsi="Arial Narrow" w:cs="Arial"/>
          <w:sz w:val="24"/>
        </w:rPr>
        <w:t xml:space="preserve"> el sobrepaso </w:t>
      </w:r>
      <w:r w:rsidR="00450495" w:rsidRPr="008C65ED">
        <w:rPr>
          <w:rFonts w:ascii="Arial Narrow" w:hAnsi="Arial Narrow" w:cs="Arial"/>
          <w:sz w:val="24"/>
        </w:rPr>
        <w:t>es</w:t>
      </w:r>
      <w:r w:rsidRPr="008C65ED">
        <w:rPr>
          <w:rFonts w:ascii="Arial Narrow" w:hAnsi="Arial Narrow" w:cs="Arial"/>
          <w:sz w:val="24"/>
        </w:rPr>
        <w:t xml:space="preserve"> aprobado o rechazado. </w:t>
      </w:r>
    </w:p>
    <w:p w:rsidR="004A5664" w:rsidRPr="008C65ED" w:rsidRDefault="004A5664" w:rsidP="004A5664">
      <w:pPr>
        <w:pStyle w:val="Prrafodelista"/>
        <w:ind w:left="720"/>
        <w:jc w:val="both"/>
        <w:rPr>
          <w:rFonts w:ascii="Arial Narrow" w:hAnsi="Arial Narrow" w:cs="Arial"/>
          <w:sz w:val="24"/>
        </w:rPr>
      </w:pPr>
    </w:p>
    <w:p w:rsidR="00783E6A" w:rsidRPr="008C65ED" w:rsidRDefault="004A5664" w:rsidP="004A5664">
      <w:pPr>
        <w:pStyle w:val="Prrafodelista"/>
        <w:ind w:left="720"/>
        <w:jc w:val="both"/>
        <w:rPr>
          <w:rFonts w:ascii="Arial Narrow" w:hAnsi="Arial Narrow" w:cs="Arial"/>
          <w:sz w:val="24"/>
        </w:rPr>
      </w:pPr>
      <w:r w:rsidRPr="008C65ED">
        <w:rPr>
          <w:rFonts w:ascii="Arial Narrow" w:hAnsi="Arial Narrow" w:cs="Arial"/>
          <w:sz w:val="24"/>
        </w:rPr>
        <w:t>Cuando la solicitud es aprobada, la Subdirección de Riesgo monitoreará los lineamientos con base en los ajustes aprobados. De no ser aprobada, la Subdirección de Tesorería no deberá sobrepasar los límites definidos, y en caso de hacerlo</w:t>
      </w:r>
      <w:r w:rsidR="00450495" w:rsidRPr="008C65ED">
        <w:rPr>
          <w:rFonts w:ascii="Arial Narrow" w:hAnsi="Arial Narrow" w:cs="Arial"/>
          <w:sz w:val="24"/>
        </w:rPr>
        <w:t>,</w:t>
      </w:r>
      <w:r w:rsidRPr="008C65ED">
        <w:rPr>
          <w:rFonts w:ascii="Arial Narrow" w:hAnsi="Arial Narrow" w:cs="Arial"/>
          <w:sz w:val="24"/>
        </w:rPr>
        <w:t xml:space="preserve"> se deberá iniciar el proceso de gestión reactiva detallado a continuación para el caso de sobrepaso sin justificación.</w:t>
      </w:r>
    </w:p>
    <w:p w:rsidR="004A5664" w:rsidRPr="008C65ED" w:rsidRDefault="004A5664" w:rsidP="004A5664">
      <w:pPr>
        <w:pStyle w:val="Prrafodelista"/>
        <w:ind w:left="720"/>
        <w:jc w:val="both"/>
        <w:rPr>
          <w:rFonts w:ascii="Arial Narrow" w:hAnsi="Arial Narrow" w:cs="Arial"/>
          <w:sz w:val="24"/>
        </w:rPr>
      </w:pPr>
    </w:p>
    <w:p w:rsidR="004A5664" w:rsidRPr="008C65ED" w:rsidRDefault="004A5664" w:rsidP="00134D9C">
      <w:pPr>
        <w:pStyle w:val="Prrafodelista"/>
        <w:numPr>
          <w:ilvl w:val="0"/>
          <w:numId w:val="35"/>
        </w:numPr>
        <w:jc w:val="both"/>
        <w:rPr>
          <w:rFonts w:ascii="Arial Narrow" w:hAnsi="Arial Narrow" w:cs="Arial"/>
          <w:sz w:val="24"/>
        </w:rPr>
      </w:pPr>
      <w:r w:rsidRPr="008C65ED">
        <w:rPr>
          <w:rFonts w:ascii="Arial Narrow" w:hAnsi="Arial Narrow" w:cs="Arial"/>
          <w:b/>
          <w:bCs/>
          <w:sz w:val="24"/>
          <w:u w:val="single"/>
        </w:rPr>
        <w:t>GESTIÓN REACTIVA</w:t>
      </w:r>
      <w:r w:rsidRPr="008C65ED">
        <w:rPr>
          <w:rFonts w:ascii="Arial Narrow" w:hAnsi="Arial Narrow" w:cs="Arial"/>
          <w:b/>
          <w:bCs/>
          <w:sz w:val="24"/>
        </w:rPr>
        <w:t xml:space="preserve">: </w:t>
      </w:r>
      <w:r w:rsidRPr="008C65ED">
        <w:rPr>
          <w:rFonts w:ascii="Arial Narrow" w:hAnsi="Arial Narrow" w:cs="Arial"/>
          <w:sz w:val="24"/>
        </w:rPr>
        <w:t>El procedimiento reactivo se debe considerar cuando se efectúe un sobrepaso sin autorización, ya sea por un error operativo en la ejecución de los procesos de negociación o porque la solicitud para sobrepasar los límites no fue aprobada</w:t>
      </w:r>
      <w:r w:rsidR="00450495" w:rsidRPr="008C65ED">
        <w:rPr>
          <w:rFonts w:ascii="Arial Narrow" w:hAnsi="Arial Narrow" w:cs="Arial"/>
          <w:sz w:val="24"/>
        </w:rPr>
        <w:t>,</w:t>
      </w:r>
      <w:r w:rsidRPr="008C65ED">
        <w:rPr>
          <w:rFonts w:ascii="Arial Narrow" w:hAnsi="Arial Narrow" w:cs="Arial"/>
          <w:sz w:val="24"/>
        </w:rPr>
        <w:t xml:space="preserve"> y aun así el incumplimiento se hizo efectivo</w:t>
      </w:r>
      <w:r w:rsidR="00450495" w:rsidRPr="008C65ED">
        <w:rPr>
          <w:rFonts w:ascii="Arial Narrow" w:hAnsi="Arial Narrow" w:cs="Arial"/>
          <w:sz w:val="24"/>
        </w:rPr>
        <w:t>.</w:t>
      </w:r>
    </w:p>
    <w:p w:rsidR="004A5664" w:rsidRPr="008C65ED" w:rsidRDefault="004A5664" w:rsidP="004A5664">
      <w:pPr>
        <w:pStyle w:val="Prrafodelista"/>
        <w:ind w:left="720"/>
        <w:jc w:val="both"/>
        <w:rPr>
          <w:rFonts w:ascii="Arial Narrow" w:hAnsi="Arial Narrow" w:cs="Arial"/>
          <w:sz w:val="24"/>
        </w:rPr>
      </w:pPr>
    </w:p>
    <w:p w:rsidR="004A5664" w:rsidRPr="008C65ED" w:rsidRDefault="00450495" w:rsidP="004A5664">
      <w:pPr>
        <w:pStyle w:val="Prrafodelista"/>
        <w:ind w:left="720"/>
        <w:jc w:val="both"/>
        <w:rPr>
          <w:rFonts w:ascii="Arial Narrow" w:hAnsi="Arial Narrow" w:cs="Arial"/>
          <w:sz w:val="24"/>
        </w:rPr>
      </w:pPr>
      <w:r w:rsidRPr="008C65ED">
        <w:rPr>
          <w:rFonts w:ascii="Arial Narrow" w:hAnsi="Arial Narrow" w:cs="Arial"/>
          <w:sz w:val="24"/>
        </w:rPr>
        <w:lastRenderedPageBreak/>
        <w:t>En</w:t>
      </w:r>
      <w:r w:rsidR="004A5664" w:rsidRPr="008C65ED">
        <w:rPr>
          <w:rFonts w:ascii="Arial Narrow" w:hAnsi="Arial Narrow" w:cs="Arial"/>
          <w:sz w:val="24"/>
        </w:rPr>
        <w:t xml:space="preserve"> el momento que se identifique un sobrepaso sin previa solicitud de aprobación,</w:t>
      </w:r>
      <w:r w:rsidR="002167BB" w:rsidRPr="008C65ED">
        <w:rPr>
          <w:rFonts w:ascii="Arial Narrow" w:hAnsi="Arial Narrow" w:cs="Arial"/>
          <w:sz w:val="24"/>
        </w:rPr>
        <w:t xml:space="preserve"> </w:t>
      </w:r>
      <w:r w:rsidR="004A5664" w:rsidRPr="008C65ED">
        <w:rPr>
          <w:rFonts w:ascii="Arial Narrow" w:hAnsi="Arial Narrow" w:cs="Arial"/>
          <w:sz w:val="24"/>
        </w:rPr>
        <w:t xml:space="preserve">como se </w:t>
      </w:r>
      <w:r w:rsidR="002167BB" w:rsidRPr="008C65ED">
        <w:rPr>
          <w:rFonts w:ascii="Arial Narrow" w:hAnsi="Arial Narrow" w:cs="Arial"/>
          <w:sz w:val="24"/>
        </w:rPr>
        <w:t>mencionó anteriormente,</w:t>
      </w:r>
      <w:r w:rsidR="004A5664" w:rsidRPr="008C65ED">
        <w:rPr>
          <w:rFonts w:ascii="Arial Narrow" w:hAnsi="Arial Narrow" w:cs="Arial"/>
          <w:sz w:val="24"/>
        </w:rPr>
        <w:t xml:space="preserve"> la Subdirección de Riesgo informará al Director General de Crédito Publico y Tesoro Nacional el sobrepaso, a través de cualquier medio verificable con copia a la Subdirección de Tesorería.</w:t>
      </w:r>
    </w:p>
    <w:p w:rsidR="004A5664" w:rsidRPr="008C65ED" w:rsidRDefault="004A5664" w:rsidP="004A5664">
      <w:pPr>
        <w:pStyle w:val="Prrafodelista"/>
        <w:ind w:left="720"/>
        <w:jc w:val="both"/>
        <w:rPr>
          <w:rFonts w:ascii="Arial Narrow" w:hAnsi="Arial Narrow" w:cs="Arial"/>
          <w:sz w:val="24"/>
        </w:rPr>
      </w:pPr>
    </w:p>
    <w:p w:rsidR="004A5664" w:rsidRPr="008C65ED" w:rsidRDefault="004A5664" w:rsidP="004A5664">
      <w:pPr>
        <w:pStyle w:val="Prrafodelista"/>
        <w:ind w:left="720"/>
        <w:jc w:val="both"/>
        <w:rPr>
          <w:rFonts w:ascii="Arial Narrow" w:hAnsi="Arial Narrow" w:cs="Arial"/>
          <w:sz w:val="24"/>
        </w:rPr>
      </w:pPr>
      <w:r w:rsidRPr="008C65ED">
        <w:rPr>
          <w:rFonts w:ascii="Arial Narrow" w:hAnsi="Arial Narrow" w:cs="Arial"/>
          <w:sz w:val="24"/>
        </w:rPr>
        <w:t xml:space="preserve">A partir de la notificación de sobrepaso, la </w:t>
      </w:r>
      <w:r w:rsidR="002167BB" w:rsidRPr="008C65ED">
        <w:rPr>
          <w:rFonts w:ascii="Arial Narrow" w:hAnsi="Arial Narrow" w:cs="Arial"/>
          <w:sz w:val="24"/>
        </w:rPr>
        <w:t>Subdirección</w:t>
      </w:r>
      <w:r w:rsidRPr="008C65ED">
        <w:rPr>
          <w:rFonts w:ascii="Arial Narrow" w:hAnsi="Arial Narrow" w:cs="Arial"/>
          <w:sz w:val="24"/>
        </w:rPr>
        <w:t xml:space="preserve"> de Tesorería deberá soportar las razones por las cuales se hizo efectivo el incumplimiento</w:t>
      </w:r>
      <w:r w:rsidR="006B5BD6" w:rsidRPr="008C65ED">
        <w:rPr>
          <w:rFonts w:ascii="Arial Narrow" w:hAnsi="Arial Narrow" w:cs="Arial"/>
          <w:sz w:val="24"/>
        </w:rPr>
        <w:t>,</w:t>
      </w:r>
      <w:r w:rsidRPr="008C65ED">
        <w:rPr>
          <w:rFonts w:ascii="Arial Narrow" w:hAnsi="Arial Narrow" w:cs="Arial"/>
          <w:sz w:val="24"/>
        </w:rPr>
        <w:t xml:space="preserve"> y de esta manera el Director General de Crédito Público y Tesoro Nacional </w:t>
      </w:r>
      <w:r w:rsidR="006B5BD6" w:rsidRPr="008C65ED">
        <w:rPr>
          <w:rFonts w:ascii="Arial Narrow" w:hAnsi="Arial Narrow" w:cs="Arial"/>
          <w:sz w:val="24"/>
        </w:rPr>
        <w:t>procederá a</w:t>
      </w:r>
      <w:r w:rsidRPr="008C65ED">
        <w:rPr>
          <w:rFonts w:ascii="Arial Narrow" w:hAnsi="Arial Narrow" w:cs="Arial"/>
          <w:sz w:val="24"/>
        </w:rPr>
        <w:t xml:space="preserve"> implementar las siguientes medidas:</w:t>
      </w:r>
    </w:p>
    <w:p w:rsidR="004A5664" w:rsidRPr="008C65ED" w:rsidRDefault="004A5664" w:rsidP="004A5664">
      <w:pPr>
        <w:pStyle w:val="Prrafodelista"/>
        <w:ind w:left="720"/>
        <w:jc w:val="both"/>
        <w:rPr>
          <w:rFonts w:ascii="Arial Narrow" w:hAnsi="Arial Narrow" w:cs="Arial"/>
          <w:sz w:val="24"/>
        </w:rPr>
      </w:pPr>
    </w:p>
    <w:p w:rsidR="004A5664" w:rsidRPr="008C65ED" w:rsidRDefault="004A5664" w:rsidP="004A5664">
      <w:pPr>
        <w:pStyle w:val="Prrafodelista"/>
        <w:numPr>
          <w:ilvl w:val="0"/>
          <w:numId w:val="36"/>
        </w:numPr>
        <w:jc w:val="both"/>
        <w:rPr>
          <w:rFonts w:ascii="Arial Narrow" w:hAnsi="Arial Narrow" w:cs="Arial"/>
          <w:sz w:val="24"/>
        </w:rPr>
      </w:pPr>
      <w:r w:rsidRPr="008C65ED">
        <w:rPr>
          <w:rFonts w:ascii="Arial Narrow" w:hAnsi="Arial Narrow" w:cs="Arial"/>
          <w:b/>
          <w:bCs/>
          <w:sz w:val="24"/>
        </w:rPr>
        <w:t>Sobrepaso Justificado</w:t>
      </w:r>
      <w:r w:rsidRPr="008C65ED">
        <w:rPr>
          <w:rFonts w:ascii="Arial Narrow" w:hAnsi="Arial Narrow" w:cs="Arial"/>
          <w:sz w:val="24"/>
        </w:rPr>
        <w:t>: este sobrepaso se puede atribuir a una falta causada por error de proceso operativo en la negociación de las operaciones o cualquier otra que el Director General de Crédito Público y Tesoro Nacional considere que pueda clasificarse como</w:t>
      </w:r>
      <w:r w:rsidR="006B5BD6" w:rsidRPr="008C65ED">
        <w:rPr>
          <w:rFonts w:ascii="Arial Narrow" w:hAnsi="Arial Narrow" w:cs="Arial"/>
          <w:sz w:val="24"/>
        </w:rPr>
        <w:t xml:space="preserve"> </w:t>
      </w:r>
      <w:r w:rsidRPr="008C65ED">
        <w:rPr>
          <w:rFonts w:ascii="Arial Narrow" w:hAnsi="Arial Narrow" w:cs="Arial"/>
          <w:sz w:val="24"/>
        </w:rPr>
        <w:t xml:space="preserve">justificado. En este caso, el límite establecido se reducirá en la proporción excedida y se deberá presentar ante la Subdirección de Riesgo un plan de mejoramiento en el cual se establezcan los controles necesarios para evitar exceder los límites asignados. La Subdirección de Riesgo evaluará la viabilidad del plan de mejoramiento y podrá realizar comentarios o sugerencias a la Subdirección de Tesorería para que sean incluidas en el plan de mejoramiento. </w:t>
      </w:r>
    </w:p>
    <w:p w:rsidR="004A5664" w:rsidRPr="008C65ED" w:rsidRDefault="004A5664" w:rsidP="004A5664">
      <w:pPr>
        <w:pStyle w:val="Prrafodelista"/>
        <w:ind w:left="1440"/>
        <w:jc w:val="both"/>
        <w:rPr>
          <w:rFonts w:ascii="Arial Narrow" w:hAnsi="Arial Narrow" w:cs="Arial"/>
          <w:sz w:val="24"/>
        </w:rPr>
      </w:pPr>
    </w:p>
    <w:p w:rsidR="004A5664" w:rsidRPr="008C65ED" w:rsidRDefault="004A5664" w:rsidP="004A5664">
      <w:pPr>
        <w:pStyle w:val="Prrafodelista"/>
        <w:numPr>
          <w:ilvl w:val="0"/>
          <w:numId w:val="36"/>
        </w:numPr>
        <w:jc w:val="both"/>
        <w:rPr>
          <w:rFonts w:ascii="Arial Narrow" w:hAnsi="Arial Narrow" w:cs="Arial"/>
          <w:sz w:val="24"/>
        </w:rPr>
      </w:pPr>
      <w:r w:rsidRPr="008C65ED">
        <w:rPr>
          <w:rFonts w:ascii="Arial Narrow" w:hAnsi="Arial Narrow" w:cs="Arial"/>
          <w:b/>
          <w:bCs/>
          <w:sz w:val="24"/>
        </w:rPr>
        <w:t>Sobrepaso sin Justificación</w:t>
      </w:r>
      <w:r w:rsidRPr="008C65ED">
        <w:rPr>
          <w:rFonts w:ascii="Arial Narrow" w:hAnsi="Arial Narrow" w:cs="Arial"/>
          <w:sz w:val="24"/>
        </w:rPr>
        <w:t xml:space="preserve">: cuando se </w:t>
      </w:r>
      <w:r w:rsidR="006B5BD6" w:rsidRPr="008C65ED">
        <w:rPr>
          <w:rFonts w:ascii="Arial Narrow" w:hAnsi="Arial Narrow" w:cs="Arial"/>
          <w:sz w:val="24"/>
        </w:rPr>
        <w:t>determine que existe</w:t>
      </w:r>
      <w:r w:rsidRPr="008C65ED">
        <w:rPr>
          <w:rFonts w:ascii="Arial Narrow" w:hAnsi="Arial Narrow" w:cs="Arial"/>
          <w:sz w:val="24"/>
        </w:rPr>
        <w:t xml:space="preserve"> un sobrepaso sin justificación o se presenten frecuentemente errores operativos</w:t>
      </w:r>
      <w:r w:rsidR="006B5BD6" w:rsidRPr="008C65ED">
        <w:rPr>
          <w:rFonts w:ascii="Arial Narrow" w:hAnsi="Arial Narrow" w:cs="Arial"/>
          <w:sz w:val="24"/>
        </w:rPr>
        <w:t>,</w:t>
      </w:r>
      <w:r w:rsidRPr="008C65ED">
        <w:rPr>
          <w:rFonts w:ascii="Arial Narrow" w:hAnsi="Arial Narrow" w:cs="Arial"/>
          <w:sz w:val="24"/>
        </w:rPr>
        <w:t xml:space="preserve"> evidenciando que el plan de mejoramiento no fue exitoso, el Director General de Crédito Público y Tesoro Nacional expedirá un llamado de atención a través de memorando (SIED) y se aplicará una sanción operativa donde se restringe la operación al funcionario por el tiempo que determine el Director General de Crédito Público y Tesoro Nacional. De igual manera, deberá plantear e implementar un plan de mejoramiento que mitigue la repetición del incumplimiento, el cual será evaluado por la Subdirección de Riesgo. </w:t>
      </w:r>
    </w:p>
    <w:p w:rsidR="004A5664" w:rsidRPr="008C65ED" w:rsidRDefault="004A5664" w:rsidP="004A5664">
      <w:pPr>
        <w:pStyle w:val="Prrafodelista"/>
        <w:ind w:left="1440"/>
        <w:jc w:val="both"/>
        <w:rPr>
          <w:rFonts w:ascii="Arial Narrow" w:hAnsi="Arial Narrow" w:cs="Arial"/>
          <w:sz w:val="24"/>
        </w:rPr>
      </w:pPr>
    </w:p>
    <w:p w:rsidR="00782119" w:rsidRPr="008C65ED" w:rsidRDefault="004A5664" w:rsidP="006B5BD6">
      <w:pPr>
        <w:pStyle w:val="Prrafodelista"/>
        <w:ind w:left="1440"/>
        <w:jc w:val="both"/>
        <w:rPr>
          <w:rFonts w:ascii="Arial Narrow" w:hAnsi="Arial Narrow" w:cs="Arial"/>
          <w:sz w:val="24"/>
        </w:rPr>
      </w:pPr>
      <w:r w:rsidRPr="008C65ED">
        <w:rPr>
          <w:rFonts w:ascii="Arial Narrow" w:hAnsi="Arial Narrow" w:cs="Arial"/>
          <w:sz w:val="24"/>
        </w:rPr>
        <w:t>De manera complementaría, si el sobrepaso sin justificación se repite por segunda vez, se deberá notificar el caso a la oficina de control interno del MHCP.</w:t>
      </w:r>
    </w:p>
    <w:p w:rsidR="006B5BD6" w:rsidRPr="008C65ED" w:rsidRDefault="006B5BD6" w:rsidP="00782119">
      <w:pPr>
        <w:jc w:val="both"/>
        <w:rPr>
          <w:rFonts w:ascii="Arial Narrow" w:hAnsi="Arial Narrow" w:cs="Arial"/>
          <w:sz w:val="24"/>
        </w:rPr>
      </w:pPr>
    </w:p>
    <w:p w:rsidR="006B5BD6" w:rsidRPr="008C65ED" w:rsidRDefault="006B5BD6" w:rsidP="006B5BD6">
      <w:pPr>
        <w:spacing w:line="276" w:lineRule="auto"/>
        <w:jc w:val="both"/>
        <w:rPr>
          <w:rFonts w:ascii="Arial Narrow" w:hAnsi="Arial Narrow" w:cs="Arial"/>
          <w:sz w:val="24"/>
        </w:rPr>
      </w:pPr>
      <w:r w:rsidRPr="008C65ED">
        <w:rPr>
          <w:rFonts w:ascii="Arial Narrow" w:hAnsi="Arial Narrow" w:cs="Arial"/>
          <w:sz w:val="24"/>
        </w:rPr>
        <w:t>El siguiente diagrama, describe la gestión preventiva y reactiva mencionada anteriormente en el caso de presentarse un incumplimiento de los límites establecidos en el presente manual.</w:t>
      </w:r>
    </w:p>
    <w:p w:rsidR="006B5BD6" w:rsidRPr="008C65ED" w:rsidRDefault="006B5BD6"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782119">
      <w:pPr>
        <w:jc w:val="both"/>
        <w:rPr>
          <w:rFonts w:ascii="Arial Narrow" w:hAnsi="Arial Narrow" w:cs="Arial"/>
          <w:sz w:val="24"/>
        </w:rPr>
      </w:pPr>
    </w:p>
    <w:p w:rsidR="00782119" w:rsidRPr="008C65ED" w:rsidRDefault="00782119" w:rsidP="006B5BD6">
      <w:pPr>
        <w:jc w:val="center"/>
        <w:rPr>
          <w:rFonts w:ascii="Arial Narrow" w:hAnsi="Arial Narrow" w:cs="Arial"/>
          <w:sz w:val="24"/>
        </w:rPr>
      </w:pPr>
      <w:r w:rsidRPr="008C65ED">
        <w:rPr>
          <w:rFonts w:ascii="Arial Narrow" w:hAnsi="Arial Narrow"/>
          <w:sz w:val="24"/>
        </w:rPr>
        <w:lastRenderedPageBreak/>
        <w:t>PROCESO DE GESTIÓN DE CUMPLIMIENTO DE LÍMITES</w:t>
      </w:r>
    </w:p>
    <w:p w:rsidR="00782119" w:rsidRPr="008C65ED" w:rsidRDefault="00861FE5" w:rsidP="00782119">
      <w:pPr>
        <w:spacing w:line="276" w:lineRule="auto"/>
        <w:ind w:left="-426" w:hanging="708"/>
        <w:jc w:val="center"/>
        <w:rPr>
          <w:rFonts w:ascii="Arial Narrow" w:eastAsia="Calibri" w:hAnsi="Arial Narrow" w:cs="Arial"/>
          <w:b/>
          <w:sz w:val="22"/>
          <w:szCs w:val="22"/>
        </w:rPr>
      </w:pP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8176" behindDoc="0" locked="0" layoutInCell="1" allowOverlap="1" wp14:anchorId="2E9E860D" wp14:editId="12897AF1">
                <wp:simplePos x="0" y="0"/>
                <wp:positionH relativeFrom="column">
                  <wp:posOffset>5380355</wp:posOffset>
                </wp:positionH>
                <wp:positionV relativeFrom="paragraph">
                  <wp:posOffset>3413760</wp:posOffset>
                </wp:positionV>
                <wp:extent cx="409575" cy="2286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A023DE" w:rsidRDefault="00B6053B" w:rsidP="00782119">
                            <w:pPr>
                              <w:jc w:val="center"/>
                              <w:rPr>
                                <w:sz w:val="16"/>
                                <w:szCs w:val="16"/>
                              </w:rPr>
                            </w:pPr>
                            <w:r w:rsidRPr="00A023D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860D" id="Rectángulo 14" o:spid="_x0000_s1031" style="position:absolute;left:0;text-align:left;margin-left:423.65pt;margin-top:268.8pt;width:32.2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" fillcolor="window" strokecolor="#9bbb59" strokeweight="2pt">
                <v:textbox>
                  <w:txbxContent>
                    <w:p w:rsidR="00B6053B" w:rsidRPr="00A023DE" w:rsidRDefault="00B6053B" w:rsidP="00782119">
                      <w:pPr>
                        <w:jc w:val="center"/>
                        <w:rPr>
                          <w:sz w:val="16"/>
                          <w:szCs w:val="16"/>
                        </w:rPr>
                      </w:pPr>
                      <w:r w:rsidRPr="00A023DE">
                        <w:rPr>
                          <w:sz w:val="16"/>
                          <w:szCs w:val="16"/>
                        </w:rPr>
                        <w:t>NO</w:t>
                      </w:r>
                    </w:p>
                  </w:txbxContent>
                </v:textbox>
              </v:rect>
            </w:pict>
          </mc:Fallback>
        </mc:AlternateContent>
      </w: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7152" behindDoc="0" locked="0" layoutInCell="1" allowOverlap="1" wp14:anchorId="30F6AC2B" wp14:editId="0237B81B">
                <wp:simplePos x="0" y="0"/>
                <wp:positionH relativeFrom="column">
                  <wp:posOffset>4793615</wp:posOffset>
                </wp:positionH>
                <wp:positionV relativeFrom="paragraph">
                  <wp:posOffset>3414725</wp:posOffset>
                </wp:positionV>
                <wp:extent cx="409575" cy="22860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D43218" w:rsidRDefault="00B6053B" w:rsidP="00782119">
                            <w:pPr>
                              <w:jc w:val="center"/>
                              <w:rPr>
                                <w:sz w:val="16"/>
                                <w:szCs w:val="16"/>
                              </w:rPr>
                            </w:pPr>
                            <w:r w:rsidRPr="00D43218">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6AC2B" id="Rectángulo 13" o:spid="_x0000_s1032" style="position:absolute;left:0;text-align:left;margin-left:377.45pt;margin-top:268.9pt;width:32.2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" fillcolor="window" strokecolor="#9bbb59" strokeweight="2pt">
                <v:textbox>
                  <w:txbxContent>
                    <w:p w:rsidR="00B6053B" w:rsidRPr="00D43218" w:rsidRDefault="00B6053B" w:rsidP="00782119">
                      <w:pPr>
                        <w:jc w:val="center"/>
                        <w:rPr>
                          <w:sz w:val="16"/>
                          <w:szCs w:val="16"/>
                        </w:rPr>
                      </w:pPr>
                      <w:r w:rsidRPr="00D43218">
                        <w:rPr>
                          <w:sz w:val="16"/>
                          <w:szCs w:val="16"/>
                        </w:rPr>
                        <w:t>SI</w:t>
                      </w:r>
                    </w:p>
                  </w:txbxContent>
                </v:textbox>
              </v:rect>
            </w:pict>
          </mc:Fallback>
        </mc:AlternateContent>
      </w: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3056" behindDoc="0" locked="0" layoutInCell="1" allowOverlap="1" wp14:anchorId="3F3E2E57" wp14:editId="4F84A1B0">
                <wp:simplePos x="0" y="0"/>
                <wp:positionH relativeFrom="column">
                  <wp:posOffset>5024945</wp:posOffset>
                </wp:positionH>
                <wp:positionV relativeFrom="paragraph">
                  <wp:posOffset>2604557</wp:posOffset>
                </wp:positionV>
                <wp:extent cx="491314" cy="1144270"/>
                <wp:effectExtent l="0" t="2857" r="20637" b="20638"/>
                <wp:wrapNone/>
                <wp:docPr id="15" name="Corchetes 15"/>
                <wp:cNvGraphicFramePr/>
                <a:graphic xmlns:a="http://schemas.openxmlformats.org/drawingml/2006/main">
                  <a:graphicData uri="http://schemas.microsoft.com/office/word/2010/wordprocessingShape">
                    <wps:wsp>
                      <wps:cNvSpPr/>
                      <wps:spPr>
                        <a:xfrm rot="5400000">
                          <a:off x="0" y="0"/>
                          <a:ext cx="491314" cy="1144270"/>
                        </a:xfrm>
                        <a:prstGeom prst="bracketPair">
                          <a:avLst/>
                        </a:prstGeom>
                        <a:noFill/>
                        <a:ln w="9525" cap="flat" cmpd="sng" algn="ctr">
                          <a:solidFill>
                            <a:srgbClr val="4F81BD">
                              <a:shade val="95000"/>
                              <a:satMod val="105000"/>
                            </a:srgbClr>
                          </a:solidFill>
                          <a:prstDash val="solid"/>
                        </a:ln>
                        <a:effectLst/>
                      </wps:spPr>
                      <wps:txbx>
                        <w:txbxContent>
                          <w:p w:rsidR="00B6053B" w:rsidRPr="00035310" w:rsidRDefault="00B6053B" w:rsidP="00782119">
                            <w:pPr>
                              <w:jc w:val="center"/>
                              <w:rPr>
                                <w:rFonts w:ascii="Arial" w:hAnsi="Arial" w:cs="Arial"/>
                                <w:sz w:val="18"/>
                                <w:lang w:val="es-CO"/>
                              </w:rPr>
                            </w:pPr>
                            <w:r>
                              <w:rPr>
                                <w:rFonts w:ascii="Arial" w:hAnsi="Arial" w:cs="Arial"/>
                                <w:sz w:val="18"/>
                                <w:lang w:val="es-CO"/>
                              </w:rPr>
                              <w:t xml:space="preserve">¿ST </w:t>
                            </w:r>
                            <w:r w:rsidRPr="00035310">
                              <w:rPr>
                                <w:rFonts w:ascii="Arial" w:hAnsi="Arial" w:cs="Arial"/>
                                <w:sz w:val="18"/>
                                <w:lang w:val="es-CO"/>
                              </w:rPr>
                              <w:t>sobrepasa el límite</w:t>
                            </w:r>
                            <w:r>
                              <w:rPr>
                                <w:rFonts w:ascii="Arial" w:hAnsi="Arial" w:cs="Arial"/>
                                <w:sz w:val="18"/>
                                <w:lang w:val="es-CO"/>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E2E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5" o:spid="_x0000_s1033" type="#_x0000_t185" style="position:absolute;left:0;text-align:left;margin-left:395.65pt;margin-top:205.1pt;width:38.7pt;height:90.1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" strokecolor="#4a7ebb">
                <v:textbox style="layout-flow:vertical;mso-layout-flow-alt:bottom-to-top">
                  <w:txbxContent>
                    <w:p w:rsidR="00B6053B" w:rsidRPr="00035310" w:rsidRDefault="00B6053B" w:rsidP="00782119">
                      <w:pPr>
                        <w:jc w:val="center"/>
                        <w:rPr>
                          <w:rFonts w:ascii="Arial" w:hAnsi="Arial" w:cs="Arial"/>
                          <w:sz w:val="18"/>
                          <w:lang w:val="es-CO"/>
                        </w:rPr>
                      </w:pPr>
                      <w:r>
                        <w:rPr>
                          <w:rFonts w:ascii="Arial" w:hAnsi="Arial" w:cs="Arial"/>
                          <w:sz w:val="18"/>
                          <w:lang w:val="es-CO"/>
                        </w:rPr>
                        <w:t xml:space="preserve">¿ST </w:t>
                      </w:r>
                      <w:r w:rsidRPr="00035310">
                        <w:rPr>
                          <w:rFonts w:ascii="Arial" w:hAnsi="Arial" w:cs="Arial"/>
                          <w:sz w:val="18"/>
                          <w:lang w:val="es-CO"/>
                        </w:rPr>
                        <w:t>sobrepasa el límite</w:t>
                      </w:r>
                      <w:r>
                        <w:rPr>
                          <w:rFonts w:ascii="Arial" w:hAnsi="Arial" w:cs="Arial"/>
                          <w:sz w:val="18"/>
                          <w:lang w:val="es-CO"/>
                        </w:rPr>
                        <w:t>?</w:t>
                      </w:r>
                    </w:p>
                  </w:txbxContent>
                </v:textbox>
              </v:shape>
            </w:pict>
          </mc:Fallback>
        </mc:AlternateContent>
      </w: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4080" behindDoc="0" locked="0" layoutInCell="1" allowOverlap="1" wp14:anchorId="78D26B7C" wp14:editId="3B7274C6">
                <wp:simplePos x="0" y="0"/>
                <wp:positionH relativeFrom="column">
                  <wp:posOffset>2391410</wp:posOffset>
                </wp:positionH>
                <wp:positionV relativeFrom="paragraph">
                  <wp:posOffset>3509975</wp:posOffset>
                </wp:positionV>
                <wp:extent cx="2412000" cy="0"/>
                <wp:effectExtent l="19050" t="57150" r="0" b="76200"/>
                <wp:wrapNone/>
                <wp:docPr id="12" name="Conector recto 12"/>
                <wp:cNvGraphicFramePr/>
                <a:graphic xmlns:a="http://schemas.openxmlformats.org/drawingml/2006/main">
                  <a:graphicData uri="http://schemas.microsoft.com/office/word/2010/wordprocessingShape">
                    <wps:wsp>
                      <wps:cNvCnPr/>
                      <wps:spPr>
                        <a:xfrm flipH="1">
                          <a:off x="0" y="0"/>
                          <a:ext cx="2412000" cy="0"/>
                        </a:xfrm>
                        <a:prstGeom prst="line">
                          <a:avLst/>
                        </a:prstGeom>
                        <a:noFill/>
                        <a:ln w="19050" cap="flat" cmpd="sng" algn="ctr">
                          <a:solidFill>
                            <a:sysClr val="windowText" lastClr="000000">
                              <a:lumMod val="50000"/>
                              <a:lumOff val="50000"/>
                            </a:sysClr>
                          </a:solidFill>
                          <a:prstDash val="sysDot"/>
                          <a:headEnd w="lg" len="lg"/>
                          <a:tailEnd type="triangle" w="sm" len="me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3A8BF4" id="Conector recto 12" o:spid="_x0000_s1026" style="position:absolute;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3pt,276.4pt" to="378.2pt,27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TV0wBQIAAPwDAAAOAAAAZHJzL2Uyb0RvYy54bWysU9tu2zAMfR+wfxD0vtgJ1mEz4vQhWbeH XQK0+wBWF1uAbhDVOP77UXIadN3bMD/IFEkd8fBQ29uzs+ykEprge75etZwpL4I0fuj5r4e7dx85 wwxegg1e9XxWyG93b99sp9ipTRiDlSoxAvHYTbHnY86xaxoUo3KAqxCVp6AOyUGmbRoamWAidGeb Tdt+aKaQZExBKETyHpYg31V8rZXIP7VGlZntOdWW65rq+ljWZreFbkgQRyMuZcA/VOHAeLr0CnWA DOwpmb+gnBEpYNB5JYJrgtZGqMqB2KzbV2zuR4iqcqHmYLy2Cf8frPhxOiZmJGm34cyDI432pJTI IbFUfowC1KUpYkfJe39Mlx3GYyqUzzo5pq2JXwmkNoFosXPt8XztsTpnJsi5eb8m3UgK8RxrFogC FRPmLyo4VoyeW+MLfejg9A0zXUupzynF7cOdsbZKaD2b6PpP7U2BBpokbSGT6SJxQz9wBnagERU5 VUgM1shyvADhjHub2AloSmi4ZJgeqF7OLGCmAJGoXz1on9z3IJfcm+JeZojcNGmv3FTvAl1L/+PK wuMAOC4nKOsQ8oI0KpCfvSx8LJVtFVVNRqWZwdgSy3MkoXIy4AereMlFd8l1SpZkutv6Qk7VZ3Bp YJFxEa5Yj0HOVc+m7GjE6rHLcygz/HJP9stHu/sNAAD//wMAUEsDBBQABgAIAAAAIQAV399C4AAA AAsBAAAPAAAAZHJzL2Rvd25yZXYueG1sTI/BTsMwDIbvSLxDZCRuLN1YM1SaThMq4oA4bKBxTZus rZY4pcnW7u0xEhIcbX/6/f35enKWnc0QOo8S5rMEmMHa6w4bCR/vz3cPwEJUqJX1aCRcTIB1cX2V q0z7EbfmvIsNoxAMmZLQxthnnIe6NU6Fme8N0u3gB6cijUPD9aBGCneWL5JEcKc6pA+t6s1Ta+rj 7uQkvFX7l+VmXh7ta7kfvy6fpagPiZS3N9PmEVg0U/yD4Uef1KEgp8qfUAdmJdyvhCBUQpouqAMR q1QsgVW/G17k/H+H4hsAAP//AwBQSwECLQAUAAYACAAAACEAtoM4kv4AAADhAQAAEwAAAAAAAAAA AAAAAAAAAAAAW0NvbnRlbnRfVHlwZXNdLnhtbFBLAQItABQABgAIAAAAIQA4/SH/1gAAAJQBAAAL AAAAAAAAAAAAAAAAAC8BAABfcmVscy8ucmVsc1BLAQItABQABgAIAAAAIQC5TV0wBQIAAPwDAAAO AAAAAAAAAAAAAAAAAC4CAABkcnMvZTJvRG9jLnhtbFBLAQItABQABgAIAAAAIQAV399C4AAAAAsB AAAPAAAAAAAAAAAAAAAAAF8EAABkcnMvZG93bnJldi54bWxQSwUGAAAAAAQABADzAAAAbAUAAAAA " strokecolor="#7f7f7f" strokeweight="1.5pt">
                <v:stroke dashstyle="1 1" startarrowwidth="wide" startarrowlength="long" endarrow="block" endarrowwidth="narrow"/>
              </v:line>
            </w:pict>
          </mc:Fallback>
        </mc:AlternateContent>
      </w: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87936" behindDoc="0" locked="0" layoutInCell="1" allowOverlap="1" wp14:anchorId="06E73F4D" wp14:editId="707432E1">
                <wp:simplePos x="0" y="0"/>
                <wp:positionH relativeFrom="column">
                  <wp:posOffset>1447800</wp:posOffset>
                </wp:positionH>
                <wp:positionV relativeFrom="paragraph">
                  <wp:posOffset>1000941</wp:posOffset>
                </wp:positionV>
                <wp:extent cx="409575" cy="2286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A023DE" w:rsidRDefault="00B6053B" w:rsidP="00782119">
                            <w:pPr>
                              <w:jc w:val="center"/>
                              <w:rPr>
                                <w:sz w:val="16"/>
                                <w:szCs w:val="16"/>
                              </w:rPr>
                            </w:pPr>
                            <w:r w:rsidRPr="00A023D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3F4D" id="Rectángulo 2" o:spid="_x0000_s1034" style="position:absolute;left:0;text-align:left;margin-left:114pt;margin-top:78.8pt;width:32.2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" fillcolor="window" strokecolor="#9bbb59" strokeweight="2pt">
                <v:textbox>
                  <w:txbxContent>
                    <w:p w:rsidR="00B6053B" w:rsidRPr="00A023DE" w:rsidRDefault="00B6053B" w:rsidP="00782119">
                      <w:pPr>
                        <w:jc w:val="center"/>
                        <w:rPr>
                          <w:sz w:val="16"/>
                          <w:szCs w:val="16"/>
                        </w:rPr>
                      </w:pPr>
                      <w:r w:rsidRPr="00A023DE">
                        <w:rPr>
                          <w:sz w:val="16"/>
                          <w:szCs w:val="16"/>
                        </w:rPr>
                        <w:t>NO</w:t>
                      </w:r>
                    </w:p>
                  </w:txbxContent>
                </v:textbox>
              </v:rect>
            </w:pict>
          </mc:Fallback>
        </mc:AlternateContent>
      </w:r>
      <w:r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88960" behindDoc="0" locked="0" layoutInCell="1" allowOverlap="1" wp14:anchorId="34D0CDA3" wp14:editId="496DAF45">
                <wp:simplePos x="0" y="0"/>
                <wp:positionH relativeFrom="column">
                  <wp:posOffset>2944949</wp:posOffset>
                </wp:positionH>
                <wp:positionV relativeFrom="paragraph">
                  <wp:posOffset>1000125</wp:posOffset>
                </wp:positionV>
                <wp:extent cx="409575" cy="22860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D43218" w:rsidRDefault="00B6053B" w:rsidP="00782119">
                            <w:pPr>
                              <w:jc w:val="center"/>
                              <w:rPr>
                                <w:sz w:val="16"/>
                                <w:szCs w:val="16"/>
                              </w:rPr>
                            </w:pPr>
                            <w:r w:rsidRPr="00D43218">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CDA3" id="Rectángulo 3" o:spid="_x0000_s1035" style="position:absolute;left:0;text-align:left;margin-left:231.9pt;margin-top:78.75pt;width:32.2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" fillcolor="window" strokecolor="#9bbb59" strokeweight="2pt">
                <v:textbox>
                  <w:txbxContent>
                    <w:p w:rsidR="00B6053B" w:rsidRPr="00D43218" w:rsidRDefault="00B6053B" w:rsidP="00782119">
                      <w:pPr>
                        <w:jc w:val="center"/>
                        <w:rPr>
                          <w:sz w:val="16"/>
                          <w:szCs w:val="16"/>
                        </w:rPr>
                      </w:pPr>
                      <w:r w:rsidRPr="00D43218">
                        <w:rPr>
                          <w:sz w:val="16"/>
                          <w:szCs w:val="16"/>
                        </w:rPr>
                        <w:t>SI</w:t>
                      </w:r>
                    </w:p>
                  </w:txbxContent>
                </v:textbox>
              </v:rect>
            </w:pict>
          </mc:Fallback>
        </mc:AlternateContent>
      </w:r>
      <w:r w:rsidR="00782119"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6128" behindDoc="0" locked="0" layoutInCell="1" allowOverlap="1" wp14:anchorId="2E3BADDD" wp14:editId="4289B15B">
                <wp:simplePos x="0" y="0"/>
                <wp:positionH relativeFrom="column">
                  <wp:posOffset>4132580</wp:posOffset>
                </wp:positionH>
                <wp:positionV relativeFrom="paragraph">
                  <wp:posOffset>2627630</wp:posOffset>
                </wp:positionV>
                <wp:extent cx="409575" cy="2286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D43218" w:rsidRDefault="00B6053B" w:rsidP="00782119">
                            <w:pPr>
                              <w:jc w:val="center"/>
                              <w:rPr>
                                <w:sz w:val="16"/>
                                <w:szCs w:val="16"/>
                              </w:rPr>
                            </w:pPr>
                            <w:r w:rsidRPr="00D43218">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BADDD" id="Rectángulo 16" o:spid="_x0000_s1036" style="position:absolute;left:0;text-align:left;margin-left:325.4pt;margin-top:206.9pt;width:32.2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" fillcolor="window" strokecolor="#9bbb59" strokeweight="2pt">
                <v:textbox>
                  <w:txbxContent>
                    <w:p w:rsidR="00B6053B" w:rsidRPr="00D43218" w:rsidRDefault="00B6053B" w:rsidP="00782119">
                      <w:pPr>
                        <w:jc w:val="center"/>
                        <w:rPr>
                          <w:sz w:val="16"/>
                          <w:szCs w:val="16"/>
                        </w:rPr>
                      </w:pPr>
                      <w:r w:rsidRPr="00D43218">
                        <w:rPr>
                          <w:sz w:val="16"/>
                          <w:szCs w:val="16"/>
                        </w:rPr>
                        <w:t>SI</w:t>
                      </w:r>
                    </w:p>
                  </w:txbxContent>
                </v:textbox>
              </v:rect>
            </w:pict>
          </mc:Fallback>
        </mc:AlternateContent>
      </w:r>
      <w:r w:rsidR="00782119"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5104" behindDoc="0" locked="0" layoutInCell="1" allowOverlap="1" wp14:anchorId="3765C122" wp14:editId="55AEFD5B">
                <wp:simplePos x="0" y="0"/>
                <wp:positionH relativeFrom="column">
                  <wp:posOffset>4144010</wp:posOffset>
                </wp:positionH>
                <wp:positionV relativeFrom="paragraph">
                  <wp:posOffset>3094990</wp:posOffset>
                </wp:positionV>
                <wp:extent cx="409575" cy="22860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5400" cap="flat" cmpd="sng" algn="ctr">
                          <a:solidFill>
                            <a:srgbClr val="9BBB59"/>
                          </a:solidFill>
                          <a:prstDash val="solid"/>
                        </a:ln>
                        <a:effectLst/>
                      </wps:spPr>
                      <wps:txbx>
                        <w:txbxContent>
                          <w:p w:rsidR="00B6053B" w:rsidRPr="00A023DE" w:rsidRDefault="00B6053B" w:rsidP="00782119">
                            <w:pPr>
                              <w:jc w:val="center"/>
                              <w:rPr>
                                <w:sz w:val="16"/>
                                <w:szCs w:val="16"/>
                              </w:rPr>
                            </w:pPr>
                            <w:r w:rsidRPr="00A023D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5C122" id="Rectángulo 17" o:spid="_x0000_s1037" style="position:absolute;left:0;text-align:left;margin-left:326.3pt;margin-top:243.7pt;width:32.2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" fillcolor="window" strokecolor="#9bbb59" strokeweight="2pt">
                <v:textbox>
                  <w:txbxContent>
                    <w:p w:rsidR="00B6053B" w:rsidRPr="00A023DE" w:rsidRDefault="00B6053B" w:rsidP="00782119">
                      <w:pPr>
                        <w:jc w:val="center"/>
                        <w:rPr>
                          <w:sz w:val="16"/>
                          <w:szCs w:val="16"/>
                        </w:rPr>
                      </w:pPr>
                      <w:r w:rsidRPr="00A023DE">
                        <w:rPr>
                          <w:sz w:val="16"/>
                          <w:szCs w:val="16"/>
                        </w:rPr>
                        <w:t>NO</w:t>
                      </w:r>
                    </w:p>
                  </w:txbxContent>
                </v:textbox>
              </v:rect>
            </w:pict>
          </mc:Fallback>
        </mc:AlternateContent>
      </w:r>
      <w:r w:rsidR="00782119" w:rsidRPr="008C65ED">
        <w:rPr>
          <w:rFonts w:ascii="Arial Narrow" w:eastAsia="Calibri" w:hAnsi="Arial Narrow" w:cs="Arial"/>
          <w:b/>
          <w:noProof/>
          <w:sz w:val="22"/>
          <w:szCs w:val="22"/>
          <w:lang w:val="en-US" w:eastAsia="en-US"/>
        </w:rPr>
        <mc:AlternateContent>
          <mc:Choice Requires="wps">
            <w:drawing>
              <wp:anchor distT="0" distB="0" distL="114300" distR="114300" simplePos="0" relativeHeight="251692032" behindDoc="0" locked="0" layoutInCell="1" allowOverlap="1" wp14:anchorId="353A7B41" wp14:editId="1F97355F">
                <wp:simplePos x="0" y="0"/>
                <wp:positionH relativeFrom="column">
                  <wp:posOffset>4541520</wp:posOffset>
                </wp:positionH>
                <wp:positionV relativeFrom="paragraph">
                  <wp:posOffset>3223260</wp:posOffset>
                </wp:positionV>
                <wp:extent cx="179705" cy="0"/>
                <wp:effectExtent l="0" t="76200" r="10795" b="95250"/>
                <wp:wrapNone/>
                <wp:docPr id="18" name="Conector recto de flecha 18"/>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43AB0F3" id="_x0000_t32" coordsize="21600,21600" o:spt="32" o:oned="t" path="m,l21600,21600e" filled="f">
                <v:path arrowok="t" fillok="f" o:connecttype="none"/>
                <o:lock v:ext="edit" shapetype="t"/>
              </v:shapetype>
              <v:shape id="Conector recto de flecha 18" o:spid="_x0000_s1026" type="#_x0000_t32" style="position:absolute;margin-left:357.6pt;margin-top:253.8pt;width:14.15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0PXc9AEAANEDAAAOAAAAZHJzL2Uyb0RvYy54bWysU02P0zAQvSPxHyzfadKKstuq6Uq0lAsf lRa4T/2RWHJsa2ya9t8zdtJqgRvi4tgznuc38142T5fesrPCaLxr+HxWc6ac8NK4tuHfvx3ePHIW EzgJ1jvV8KuK/Gn7+tVmCGu18J23UiEjEBfXQ2h4l1JYV1UUneohznxQjpLaYw+JjthWEmEg9N5W i7p+Vw0eZUAvVIwU3Y9Jvi34WiuRvmodVWK24cQtlRXLesprtd3AukUInRETDfgHFj0YR4/eofaQ gP1E8xdUbwT66HWaCd9XXmsjVOmBupnXf3Tz3EFQpRcaTgz3McX/Byu+nI/IjCTtSCkHPWm0I6VE 8sgwf5hUTFslOmB0heY1hLimsp074nSK4Yi5+YvGnu6a8IPgyjioQXYp077ep60uiQkKzh9WD/WS M3FLVSNCRgoY00fle5Y3DY8JwbRdImYjtREdzp9iIg5UeCvIxc4fjLVFWevY0PDVcpHfAfKXtpBo 2wfqOLqWM7AtGVckLHyjt0bm6owTsT3tLLIzkHneHh7n7/fjpQ5oJiW6Wtb1ZKII6bOXY3he3+JE bYIpNH/Dz5z3ELuxpqRGPyYw9oOTLF0DyZHQgGutyjmCsy5zU8XbU/tZkVGDvDt5eS3SVPlEvill k8ezMV+eaf/yT9z+AgAA//8DAFBLAwQUAAYACAAAACEA4QKPdN8AAAALAQAADwAAAGRycy9kb3du cmV2LnhtbEyPwUrDQBCG74LvsIzgzW5STVNiNkUUKVo8WIV43GbHbDQ7G7LbNr69Iwh6nJmPf76/ XE2uFwccQ+dJQTpLQCA13nTUKnh9ub9YgghRk9G9J1TwhQFW1elJqQvjj/SMh21sBYdQKLQCG+NQ SBkai06HmR+Q+PbuR6cjj2MrzaiPHO56OU+ShXS6I/5g9YC3FpvP7d4p8PKjtq6O9LZpHpZ3T+n6 keq1Uudn0801iIhT/IPhR5/VoWKnnd+TCaJXkKfZnFEFWZIvQDCRX11mIHa/G1mV8n+H6hsAAP// AwBQSwECLQAUAAYACAAAACEAtoM4kv4AAADhAQAAEwAAAAAAAAAAAAAAAAAAAAAAW0NvbnRlbnRf VHlwZXNdLnhtbFBLAQItABQABgAIAAAAIQA4/SH/1gAAAJQBAAALAAAAAAAAAAAAAAAAAC8BAABf cmVscy8ucmVsc1BLAQItABQABgAIAAAAIQBj0PXc9AEAANEDAAAOAAAAAAAAAAAAAAAAAC4CAABk cnMvZTJvRG9jLnhtbFBLAQItABQABgAIAAAAIQDhAo903wAAAAsBAAAPAAAAAAAAAAAAAAAAAE4E AABkcnMvZG93bnJldi54bWxQSwUGAAAAAAQABADzAAAAWgUAAAAA " strokecolor="#4a7ebb">
                <v:stroke endarrow="block"/>
              </v:shape>
            </w:pict>
          </mc:Fallback>
        </mc:AlternateContent>
      </w:r>
      <w:r w:rsidR="00782119" w:rsidRPr="008C65ED">
        <w:rPr>
          <w:rFonts w:ascii="Arial Narrow" w:eastAsia="Calibri" w:hAnsi="Arial Narrow"/>
          <w:noProof/>
          <w:sz w:val="24"/>
          <w:szCs w:val="24"/>
          <w:lang w:val="en-US" w:eastAsia="en-US"/>
        </w:rPr>
        <w:drawing>
          <wp:inline distT="0" distB="0" distL="0" distR="0" wp14:anchorId="0FE9C7BB" wp14:editId="16A0065C">
            <wp:extent cx="5486400" cy="5819775"/>
            <wp:effectExtent l="0" t="0" r="0" b="0"/>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82119" w:rsidRPr="008C65ED" w:rsidRDefault="00782119" w:rsidP="00782119">
      <w:pPr>
        <w:jc w:val="both"/>
        <w:rPr>
          <w:rFonts w:ascii="Arial Narrow" w:hAnsi="Arial Narrow" w:cs="Arial"/>
          <w:sz w:val="24"/>
        </w:rPr>
      </w:pPr>
      <w:r w:rsidRPr="008C65ED">
        <w:rPr>
          <w:rFonts w:ascii="Arial Narrow" w:hAnsi="Arial Narrow" w:cs="Arial"/>
          <w:sz w:val="24"/>
        </w:rPr>
        <w:t xml:space="preserve">Las medidas antes mencionadas, se aplicarán al funcionario que exceda los límites o en caso de tratarse de un límite global, las medidas se aplicarán al </w:t>
      </w:r>
      <w:r w:rsidR="006B5BD6" w:rsidRPr="008C65ED">
        <w:rPr>
          <w:rFonts w:ascii="Arial Narrow" w:hAnsi="Arial Narrow" w:cs="Arial"/>
          <w:sz w:val="24"/>
        </w:rPr>
        <w:t>supervisor</w:t>
      </w:r>
      <w:r w:rsidRPr="008C65ED">
        <w:rPr>
          <w:rFonts w:ascii="Arial Narrow" w:hAnsi="Arial Narrow" w:cs="Arial"/>
          <w:sz w:val="24"/>
        </w:rPr>
        <w:t xml:space="preserve"> donde se origina el incumplimiento. Lo anterior, en sentido que el jefe del área debe velar por el cumplimiento de los lineamientos y administrar los procesos internos que se manejan en cada </w:t>
      </w:r>
      <w:r w:rsidR="00450495" w:rsidRPr="008C65ED">
        <w:rPr>
          <w:rFonts w:ascii="Arial Narrow" w:hAnsi="Arial Narrow" w:cs="Arial"/>
          <w:sz w:val="24"/>
        </w:rPr>
        <w:t>una</w:t>
      </w:r>
      <w:r w:rsidRPr="008C65ED">
        <w:rPr>
          <w:rFonts w:ascii="Arial Narrow" w:hAnsi="Arial Narrow" w:cs="Arial"/>
          <w:sz w:val="24"/>
        </w:rPr>
        <w:t xml:space="preserve"> de las gestiones de Tesorería.</w:t>
      </w:r>
    </w:p>
    <w:p w:rsidR="006B5BD6" w:rsidRPr="008C65ED" w:rsidRDefault="006B5BD6" w:rsidP="00782119">
      <w:pPr>
        <w:jc w:val="both"/>
        <w:rPr>
          <w:rFonts w:ascii="Arial Narrow" w:hAnsi="Arial Narrow" w:cs="Arial"/>
          <w:sz w:val="24"/>
        </w:rPr>
      </w:pPr>
    </w:p>
    <w:p w:rsidR="009B407C" w:rsidRPr="008C65ED" w:rsidRDefault="009B407C" w:rsidP="00782119">
      <w:pPr>
        <w:jc w:val="both"/>
        <w:rPr>
          <w:rFonts w:ascii="Arial Narrow" w:hAnsi="Arial Narrow" w:cs="Arial"/>
          <w:sz w:val="24"/>
        </w:rPr>
      </w:pPr>
    </w:p>
    <w:p w:rsidR="009B407C" w:rsidRPr="008C65ED" w:rsidRDefault="009B407C" w:rsidP="00782119">
      <w:pPr>
        <w:jc w:val="both"/>
        <w:rPr>
          <w:rFonts w:ascii="Arial Narrow" w:hAnsi="Arial Narrow" w:cs="Arial"/>
          <w:sz w:val="24"/>
        </w:rPr>
      </w:pPr>
    </w:p>
    <w:p w:rsidR="009B407C" w:rsidRPr="008C65ED" w:rsidRDefault="009B407C" w:rsidP="00782119">
      <w:pPr>
        <w:jc w:val="both"/>
        <w:rPr>
          <w:rFonts w:ascii="Arial Narrow" w:hAnsi="Arial Narrow" w:cs="Arial"/>
          <w:sz w:val="24"/>
        </w:rPr>
      </w:pPr>
    </w:p>
    <w:p w:rsidR="009B407C" w:rsidRPr="008C65ED" w:rsidRDefault="009B407C" w:rsidP="00782119">
      <w:pPr>
        <w:jc w:val="both"/>
        <w:rPr>
          <w:rFonts w:ascii="Arial Narrow" w:hAnsi="Arial Narrow" w:cs="Arial"/>
          <w:sz w:val="24"/>
        </w:rPr>
      </w:pPr>
    </w:p>
    <w:p w:rsidR="009B407C" w:rsidRPr="008C65ED" w:rsidRDefault="009B407C" w:rsidP="00782119">
      <w:pPr>
        <w:jc w:val="both"/>
        <w:rPr>
          <w:rFonts w:ascii="Arial Narrow" w:hAnsi="Arial Narrow" w:cs="Arial"/>
          <w:sz w:val="24"/>
        </w:rPr>
      </w:pPr>
    </w:p>
    <w:p w:rsidR="009B407C" w:rsidRPr="008C65ED" w:rsidRDefault="009B407C" w:rsidP="009B407C">
      <w:pPr>
        <w:pStyle w:val="Ttulo4"/>
      </w:pPr>
      <w:bookmarkStart w:id="39" w:name="_Toc80191577"/>
      <w:r w:rsidRPr="008C65ED">
        <w:lastRenderedPageBreak/>
        <w:t>Directrices en Materia de Sobrepasos Pasivos</w:t>
      </w:r>
      <w:bookmarkEnd w:id="39"/>
    </w:p>
    <w:p w:rsidR="009B407C" w:rsidRPr="008C65ED" w:rsidRDefault="009B407C" w:rsidP="009B407C">
      <w:pPr>
        <w:rPr>
          <w:rFonts w:ascii="Arial Narrow" w:hAnsi="Arial Narrow"/>
        </w:rPr>
      </w:pPr>
    </w:p>
    <w:p w:rsidR="009B407C" w:rsidRPr="008C65ED" w:rsidRDefault="009B407C" w:rsidP="009B407C">
      <w:pPr>
        <w:pStyle w:val="Ttulo5"/>
      </w:pPr>
      <w:bookmarkStart w:id="40" w:name="_Toc80191578"/>
      <w:r w:rsidRPr="008C65ED">
        <w:t>Cupos</w:t>
      </w:r>
      <w:bookmarkEnd w:id="40"/>
    </w:p>
    <w:p w:rsidR="009B407C" w:rsidRPr="008C65ED" w:rsidRDefault="009B407C" w:rsidP="009B407C">
      <w:pPr>
        <w:rPr>
          <w:rFonts w:ascii="Arial Narrow" w:hAnsi="Arial Narrow"/>
        </w:rPr>
      </w:pPr>
    </w:p>
    <w:p w:rsidR="006B5BD6" w:rsidRPr="008C65ED" w:rsidRDefault="009B407C" w:rsidP="00782119">
      <w:pPr>
        <w:jc w:val="both"/>
        <w:rPr>
          <w:rFonts w:ascii="Arial Narrow" w:hAnsi="Arial Narrow" w:cs="Arial"/>
          <w:sz w:val="24"/>
        </w:rPr>
      </w:pPr>
      <w:r w:rsidRPr="008C65ED">
        <w:rPr>
          <w:rFonts w:ascii="Arial Narrow" w:hAnsi="Arial Narrow" w:cs="Arial"/>
          <w:sz w:val="24"/>
        </w:rPr>
        <w:t>En caso de que, en el proceso de actualización de cupos, el modelo genere un sobrepaso en la utilización del cupo de alguno de los emisores autorizados, se otorgará un plazo de hasta un (1) mes calendario para ajustarse a la actualización del modelo de cupos.</w:t>
      </w:r>
    </w:p>
    <w:p w:rsidR="006B5BD6" w:rsidRPr="008C65ED" w:rsidRDefault="006B5BD6" w:rsidP="00782119">
      <w:pPr>
        <w:jc w:val="both"/>
        <w:rPr>
          <w:rFonts w:ascii="Arial Narrow" w:hAnsi="Arial Narrow" w:cs="Arial"/>
          <w:sz w:val="24"/>
        </w:rPr>
      </w:pPr>
    </w:p>
    <w:p w:rsidR="009B407C" w:rsidRPr="008C65ED" w:rsidRDefault="009B407C" w:rsidP="009B407C">
      <w:pPr>
        <w:pStyle w:val="Ttulo5"/>
      </w:pPr>
      <w:bookmarkStart w:id="41" w:name="_Toc80191579"/>
      <w:r w:rsidRPr="008C65ED">
        <w:t>Calificación Emisores</w:t>
      </w:r>
      <w:bookmarkEnd w:id="41"/>
    </w:p>
    <w:p w:rsidR="009B407C" w:rsidRPr="008C65ED" w:rsidRDefault="009B407C" w:rsidP="009B407C">
      <w:pPr>
        <w:rPr>
          <w:rFonts w:ascii="Arial Narrow" w:hAnsi="Arial Narrow"/>
        </w:rPr>
      </w:pPr>
    </w:p>
    <w:p w:rsidR="009B407C" w:rsidRPr="008C65ED" w:rsidRDefault="009B407C" w:rsidP="002167BB">
      <w:pPr>
        <w:jc w:val="both"/>
        <w:rPr>
          <w:rFonts w:ascii="Arial Narrow" w:hAnsi="Arial Narrow" w:cs="Arial"/>
          <w:sz w:val="24"/>
        </w:rPr>
      </w:pPr>
      <w:r w:rsidRPr="008C65ED">
        <w:rPr>
          <w:rFonts w:ascii="Arial Narrow" w:hAnsi="Arial Narrow" w:cs="Arial"/>
          <w:sz w:val="24"/>
        </w:rPr>
        <w:t xml:space="preserve">En caso de que las calificaciones de riesgo se reduzcan para los emisores con quienes se tienen inversiones, se otorgará un plazo de hasta un (1) mes para efectuar el rebalanceo del portafolio con emisores admisibles dentro de los rangos de calificación permitidos. </w:t>
      </w:r>
    </w:p>
    <w:p w:rsidR="002167BB" w:rsidRPr="008C65ED" w:rsidRDefault="009B407C" w:rsidP="002167BB">
      <w:pPr>
        <w:jc w:val="both"/>
        <w:rPr>
          <w:rFonts w:ascii="Arial Narrow" w:hAnsi="Arial Narrow" w:cs="Arial"/>
          <w:sz w:val="24"/>
        </w:rPr>
      </w:pPr>
      <w:r w:rsidRPr="008C65ED">
        <w:rPr>
          <w:rFonts w:ascii="Arial Narrow" w:hAnsi="Arial Narrow" w:cs="Arial"/>
          <w:sz w:val="24"/>
        </w:rPr>
        <w:t>Los depósitos que no puedan redimirse de forma anticipada sin penalidad tendrán plazo hasta el vencimiento para el respectivo rebalanceo.</w:t>
      </w:r>
    </w:p>
    <w:p w:rsidR="004A5664" w:rsidRPr="008C65ED" w:rsidRDefault="004A5664" w:rsidP="004A5664">
      <w:pPr>
        <w:pStyle w:val="Prrafodelista"/>
        <w:ind w:left="1440"/>
        <w:jc w:val="both"/>
        <w:rPr>
          <w:rFonts w:ascii="Arial Narrow" w:hAnsi="Arial Narrow" w:cs="Arial"/>
          <w:sz w:val="24"/>
        </w:rPr>
      </w:pPr>
    </w:p>
    <w:p w:rsidR="009B407C" w:rsidRPr="008C65ED" w:rsidRDefault="009B407C" w:rsidP="009B407C">
      <w:pPr>
        <w:pStyle w:val="Ttulo5"/>
      </w:pPr>
      <w:bookmarkStart w:id="42" w:name="_Toc80191580"/>
      <w:r w:rsidRPr="008C65ED">
        <w:t>Cuentas Operativas</w:t>
      </w:r>
      <w:bookmarkEnd w:id="42"/>
    </w:p>
    <w:p w:rsidR="009B407C" w:rsidRPr="008C65ED" w:rsidRDefault="009B407C" w:rsidP="009B407C">
      <w:pPr>
        <w:rPr>
          <w:rFonts w:ascii="Arial Narrow" w:hAnsi="Arial Narrow"/>
        </w:rPr>
      </w:pPr>
    </w:p>
    <w:p w:rsidR="002E4B5F" w:rsidRPr="008C65ED" w:rsidRDefault="009B407C" w:rsidP="009B407C">
      <w:pPr>
        <w:jc w:val="both"/>
        <w:rPr>
          <w:rFonts w:ascii="Arial Narrow" w:hAnsi="Arial Narrow" w:cs="Arial"/>
          <w:sz w:val="24"/>
        </w:rPr>
      </w:pPr>
      <w:r w:rsidRPr="008C65ED">
        <w:rPr>
          <w:rFonts w:ascii="Arial Narrow" w:hAnsi="Arial Narrow" w:cs="Arial"/>
          <w:sz w:val="24"/>
        </w:rPr>
        <w:t>En caso de que se reduzcan las calificaciones de las entidades financieras utilizadas como cuentas operativas, se otorgará un plazo de (3) tres meses para el rebalanceo del portafolio dando cumplimiento a las políticas de riesgo. En caso de requerirse más tiempo, el Comité de Tesorería podrá aprobar prórrogas sucesivas del mismo plazo, hasta que se pueda cumplir con el rebalanceo del portafolio.</w:t>
      </w:r>
    </w:p>
    <w:p w:rsidR="009B407C" w:rsidRPr="008C65ED" w:rsidRDefault="009B407C" w:rsidP="002E4B5F">
      <w:pPr>
        <w:rPr>
          <w:rFonts w:ascii="Arial Narrow" w:hAnsi="Arial Narrow"/>
        </w:rPr>
      </w:pPr>
    </w:p>
    <w:p w:rsidR="002E4B5F" w:rsidRPr="008C65ED" w:rsidRDefault="0046710F" w:rsidP="0046710F">
      <w:pPr>
        <w:pStyle w:val="Ttulo4"/>
      </w:pPr>
      <w:bookmarkStart w:id="43" w:name="_Toc80191581"/>
      <w:r w:rsidRPr="008C65ED">
        <w:t>Directrices en Materia de P</w:t>
      </w:r>
      <w:r w:rsidR="004C1FDA" w:rsidRPr="008C65ED">
        <w:t>erfil de F</w:t>
      </w:r>
      <w:r w:rsidR="002E4B5F" w:rsidRPr="008C65ED">
        <w:t>uncionarios</w:t>
      </w:r>
      <w:bookmarkEnd w:id="43"/>
    </w:p>
    <w:p w:rsidR="002E4B5F" w:rsidRPr="008C65ED" w:rsidRDefault="002E4B5F" w:rsidP="00954628">
      <w:pPr>
        <w:rPr>
          <w:rFonts w:ascii="Arial Narrow" w:hAnsi="Arial Narrow"/>
        </w:rPr>
      </w:pPr>
    </w:p>
    <w:p w:rsidR="002E4B5F" w:rsidRPr="008C65ED" w:rsidRDefault="002E4B5F" w:rsidP="002E4B5F">
      <w:pPr>
        <w:jc w:val="both"/>
        <w:rPr>
          <w:rFonts w:ascii="Arial Narrow" w:hAnsi="Arial Narrow" w:cs="Arial"/>
          <w:sz w:val="24"/>
        </w:rPr>
      </w:pPr>
      <w:r w:rsidRPr="008C65ED">
        <w:rPr>
          <w:rFonts w:ascii="Arial Narrow" w:hAnsi="Arial Narrow" w:cs="Arial"/>
          <w:sz w:val="24"/>
        </w:rPr>
        <w:t xml:space="preserve">La DGCPTN no deberá permitir en sus operaciones, la actuación de personas naturales que se encuentren expulsadas o suspendidas por el Tribunal Disciplinario de AMV o sobre las cuales recaiga una sanción equivalente por decisión del órgano disciplinario de otra entidad de autorregulación, de un administrador de mercado, de una bolsa de bienes y productos agropecuarios, agroindustriales o de otros </w:t>
      </w:r>
      <w:r w:rsidRPr="008C65ED">
        <w:rPr>
          <w:rFonts w:ascii="Arial Narrow" w:hAnsi="Arial Narrow" w:cs="Arial"/>
          <w:i/>
          <w:sz w:val="24"/>
        </w:rPr>
        <w:t>commodities</w:t>
      </w:r>
      <w:r w:rsidRPr="008C65ED">
        <w:rPr>
          <w:rFonts w:ascii="Arial Narrow" w:hAnsi="Arial Narrow" w:cs="Arial"/>
          <w:sz w:val="24"/>
        </w:rPr>
        <w:t>, o de la SFC.</w:t>
      </w:r>
    </w:p>
    <w:p w:rsidR="002E4B5F" w:rsidRPr="008C65ED" w:rsidRDefault="002E4B5F" w:rsidP="002E4B5F">
      <w:pPr>
        <w:rPr>
          <w:rFonts w:ascii="Arial Narrow" w:hAnsi="Arial Narrow"/>
        </w:rPr>
      </w:pPr>
    </w:p>
    <w:p w:rsidR="008636B6" w:rsidRPr="008C65ED" w:rsidRDefault="002E4B5F" w:rsidP="0014258C">
      <w:pPr>
        <w:pStyle w:val="Ttulo2"/>
      </w:pPr>
      <w:bookmarkStart w:id="44" w:name="_Toc80191582"/>
      <w:r w:rsidRPr="008C65ED">
        <w:t>Mecanismos de Seguimiento</w:t>
      </w:r>
      <w:bookmarkEnd w:id="44"/>
    </w:p>
    <w:p w:rsidR="002E4B5F" w:rsidRPr="008C65ED" w:rsidRDefault="002E4B5F" w:rsidP="002E4B5F">
      <w:pPr>
        <w:rPr>
          <w:rFonts w:ascii="Arial Narrow" w:hAnsi="Arial Narrow"/>
          <w:lang w:val="es-CO"/>
        </w:rPr>
      </w:pPr>
    </w:p>
    <w:p w:rsidR="003C686A" w:rsidRPr="008C65ED" w:rsidRDefault="002E4B5F" w:rsidP="003933D9">
      <w:pPr>
        <w:jc w:val="both"/>
        <w:rPr>
          <w:rFonts w:ascii="Arial Narrow" w:hAnsi="Arial Narrow"/>
        </w:rPr>
      </w:pPr>
      <w:r w:rsidRPr="008C65ED">
        <w:rPr>
          <w:rFonts w:ascii="Arial Narrow" w:hAnsi="Arial Narrow" w:cs="Arial"/>
          <w:sz w:val="24"/>
        </w:rPr>
        <w:t>La normatividad colombiana emitida por la SFC, de la misma forma que el SARM contenido en este manual, considera necesario hacer explícito el conjunto de mecanismos cuya articulación permite el cumplimiento efectivo de las funciones y responsabilidades otorgadas al área o unidad administradora de riesgo de mercado de la entidad. Con base en lo anterior, se definen los elementos que componen el proceso global de seguimiento: herramientas tecnológicas, esquemas de flujo de información y puntos de control de los procesos llevados a cabo en la DGCPTN.</w:t>
      </w:r>
    </w:p>
    <w:p w:rsidR="00011FD9" w:rsidRPr="008C65ED" w:rsidRDefault="00011FD9" w:rsidP="003C686A">
      <w:pPr>
        <w:rPr>
          <w:rFonts w:ascii="Arial Narrow" w:hAnsi="Arial Narrow"/>
        </w:rPr>
      </w:pPr>
    </w:p>
    <w:p w:rsidR="002E4B5F" w:rsidRPr="008C65ED" w:rsidRDefault="002E4B5F" w:rsidP="002E4B5F">
      <w:pPr>
        <w:pStyle w:val="Ttulo3"/>
      </w:pPr>
      <w:bookmarkStart w:id="45" w:name="_Toc80191583"/>
      <w:r w:rsidRPr="008C65ED">
        <w:t>Infraestructura Tecnológica</w:t>
      </w:r>
      <w:bookmarkEnd w:id="45"/>
    </w:p>
    <w:p w:rsidR="002E4B5F" w:rsidRPr="008C65ED" w:rsidRDefault="002E4B5F" w:rsidP="002E4B5F">
      <w:pPr>
        <w:rPr>
          <w:rFonts w:ascii="Arial Narrow" w:hAnsi="Arial Narrow"/>
        </w:rPr>
      </w:pPr>
    </w:p>
    <w:p w:rsidR="002E4B5F" w:rsidRPr="008C65ED" w:rsidRDefault="002E4B5F" w:rsidP="002E4B5F">
      <w:pPr>
        <w:jc w:val="both"/>
        <w:rPr>
          <w:rFonts w:ascii="Arial Narrow" w:hAnsi="Arial Narrow" w:cs="Arial"/>
          <w:sz w:val="24"/>
        </w:rPr>
      </w:pPr>
      <w:r w:rsidRPr="008C65ED">
        <w:rPr>
          <w:rFonts w:ascii="Arial Narrow" w:hAnsi="Arial Narrow" w:cs="Arial"/>
          <w:sz w:val="24"/>
        </w:rPr>
        <w:t xml:space="preserve">Para llevar a cabo la adecuada gestión de los recursos se requiere de una infraestructura tecnológica que permita la sistematización de la información con el fin de garantizar que la misma sea precisa y oportuna y que no sea susceptible de alteraciones o modificaciones. </w:t>
      </w:r>
    </w:p>
    <w:p w:rsidR="002E4B5F" w:rsidRPr="008C65ED" w:rsidRDefault="002E4B5F" w:rsidP="002E4B5F">
      <w:pPr>
        <w:jc w:val="both"/>
        <w:rPr>
          <w:rFonts w:ascii="Arial Narrow" w:hAnsi="Arial Narrow" w:cs="Arial"/>
          <w:sz w:val="24"/>
        </w:rPr>
      </w:pPr>
    </w:p>
    <w:p w:rsidR="002E4B5F" w:rsidRPr="008C65ED" w:rsidRDefault="002E4B5F" w:rsidP="002E4B5F">
      <w:pPr>
        <w:jc w:val="both"/>
        <w:rPr>
          <w:rFonts w:ascii="Arial Narrow" w:hAnsi="Arial Narrow" w:cs="Arial"/>
          <w:sz w:val="24"/>
        </w:rPr>
      </w:pPr>
      <w:r w:rsidRPr="008C65ED">
        <w:rPr>
          <w:rFonts w:ascii="Arial Narrow" w:hAnsi="Arial Narrow" w:cs="Arial"/>
          <w:sz w:val="24"/>
        </w:rPr>
        <w:t xml:space="preserve">Adicionalmente, la infraestructura tecnológica debe garantizar que la información concerniente a la tesorería, sea transversal y oportuna tanto para el </w:t>
      </w:r>
      <w:r w:rsidRPr="008C65ED">
        <w:rPr>
          <w:rFonts w:ascii="Arial Narrow" w:hAnsi="Arial Narrow" w:cs="Arial"/>
          <w:i/>
          <w:sz w:val="24"/>
        </w:rPr>
        <w:t>Front, Middle</w:t>
      </w:r>
      <w:r w:rsidRPr="008C65ED">
        <w:rPr>
          <w:rFonts w:ascii="Arial Narrow" w:hAnsi="Arial Narrow" w:cs="Arial"/>
          <w:sz w:val="24"/>
        </w:rPr>
        <w:t xml:space="preserve"> y </w:t>
      </w:r>
      <w:r w:rsidRPr="008C65ED">
        <w:rPr>
          <w:rFonts w:ascii="Arial Narrow" w:hAnsi="Arial Narrow" w:cs="Arial"/>
          <w:i/>
          <w:sz w:val="24"/>
        </w:rPr>
        <w:t>Back Office</w:t>
      </w:r>
      <w:r w:rsidRPr="008C65ED">
        <w:rPr>
          <w:rFonts w:ascii="Arial Narrow" w:hAnsi="Arial Narrow" w:cs="Arial"/>
          <w:sz w:val="24"/>
        </w:rPr>
        <w:t>, y que se encuentre disponible en el día a día de las operaciones.</w:t>
      </w:r>
    </w:p>
    <w:p w:rsidR="002E4B5F" w:rsidRPr="008C65ED" w:rsidRDefault="002E4B5F" w:rsidP="002E4B5F">
      <w:pPr>
        <w:jc w:val="both"/>
        <w:rPr>
          <w:rFonts w:ascii="Arial Narrow" w:hAnsi="Arial Narrow" w:cs="Arial"/>
          <w:sz w:val="24"/>
        </w:rPr>
      </w:pPr>
    </w:p>
    <w:p w:rsidR="002E4B5F" w:rsidRPr="008C65ED" w:rsidRDefault="002E4B5F" w:rsidP="002E4B5F">
      <w:pPr>
        <w:jc w:val="both"/>
        <w:rPr>
          <w:rFonts w:ascii="Arial Narrow" w:hAnsi="Arial Narrow" w:cs="Arial"/>
          <w:sz w:val="24"/>
        </w:rPr>
      </w:pPr>
      <w:r w:rsidRPr="008C65ED">
        <w:rPr>
          <w:rFonts w:ascii="Arial Narrow" w:hAnsi="Arial Narrow" w:cs="Arial"/>
          <w:sz w:val="24"/>
        </w:rPr>
        <w:t>De acuerdo con esto, la DGCPTN cuenta con sistemas transaccionales y de registro en donde se celebran operaciones de compra y venta de instrumentos de inversión y de divisas.</w:t>
      </w:r>
    </w:p>
    <w:p w:rsidR="002E4B5F" w:rsidRPr="008C65ED" w:rsidRDefault="002E4B5F" w:rsidP="002E4B5F">
      <w:pPr>
        <w:rPr>
          <w:rFonts w:ascii="Arial Narrow" w:hAnsi="Arial Narrow"/>
        </w:rPr>
      </w:pPr>
    </w:p>
    <w:p w:rsidR="002E4B5F" w:rsidRPr="008C65ED" w:rsidRDefault="002E4B5F" w:rsidP="002E4B5F">
      <w:pPr>
        <w:pStyle w:val="Ttulo3"/>
      </w:pPr>
      <w:bookmarkStart w:id="46" w:name="_Toc80191584"/>
      <w:r w:rsidRPr="008C65ED">
        <w:t>Flujo de Información y Puntos de Control</w:t>
      </w:r>
      <w:bookmarkEnd w:id="46"/>
    </w:p>
    <w:p w:rsidR="002E4B5F" w:rsidRPr="008C65ED" w:rsidRDefault="002E4B5F" w:rsidP="002E4B5F">
      <w:pPr>
        <w:rPr>
          <w:rFonts w:ascii="Arial Narrow" w:hAnsi="Arial Narrow"/>
        </w:rPr>
      </w:pPr>
    </w:p>
    <w:p w:rsidR="002E4B5F" w:rsidRPr="008C65ED" w:rsidRDefault="002E4B5F" w:rsidP="002E4B5F">
      <w:pPr>
        <w:jc w:val="both"/>
        <w:rPr>
          <w:rFonts w:ascii="Arial Narrow" w:hAnsi="Arial Narrow"/>
          <w:sz w:val="24"/>
        </w:rPr>
      </w:pPr>
      <w:r w:rsidRPr="008C65ED">
        <w:rPr>
          <w:rFonts w:ascii="Arial Narrow" w:hAnsi="Arial Narrow"/>
          <w:sz w:val="24"/>
        </w:rPr>
        <w:t>Para dar cumplimiento con el principio de Independencia descri</w:t>
      </w:r>
      <w:r w:rsidR="0087090D" w:rsidRPr="008C65ED">
        <w:rPr>
          <w:rFonts w:ascii="Arial Narrow" w:hAnsi="Arial Narrow"/>
          <w:sz w:val="24"/>
        </w:rPr>
        <w:t>to en el numeral 2.3.</w:t>
      </w:r>
      <w:r w:rsidRPr="008C65ED">
        <w:rPr>
          <w:rFonts w:ascii="Arial Narrow" w:hAnsi="Arial Narrow"/>
          <w:sz w:val="24"/>
        </w:rPr>
        <w:t xml:space="preserve"> del presente manual, hacia la adecuada administración de riesgo de mercado es necesario identificar las responsabilidades de cada una de las áreas involucradas para la gestión de la Tesorería de la DGCPTN, en lo correspondiente a la trazabilidad de cada una de las operaciones.  </w:t>
      </w:r>
    </w:p>
    <w:p w:rsidR="002E4B5F" w:rsidRPr="008C65ED" w:rsidRDefault="002E4B5F" w:rsidP="002E4B5F">
      <w:pPr>
        <w:jc w:val="both"/>
        <w:rPr>
          <w:rFonts w:ascii="Arial Narrow" w:hAnsi="Arial Narrow"/>
          <w:sz w:val="24"/>
        </w:rPr>
      </w:pPr>
    </w:p>
    <w:p w:rsidR="002E4B5F" w:rsidRPr="008C65ED" w:rsidRDefault="002E4B5F" w:rsidP="002E4B5F">
      <w:pPr>
        <w:jc w:val="both"/>
        <w:rPr>
          <w:rFonts w:ascii="Arial Narrow" w:hAnsi="Arial Narrow"/>
          <w:sz w:val="24"/>
        </w:rPr>
      </w:pPr>
      <w:r w:rsidRPr="008C65ED">
        <w:rPr>
          <w:rFonts w:ascii="Arial Narrow" w:hAnsi="Arial Narrow"/>
          <w:sz w:val="24"/>
        </w:rPr>
        <w:t>Para la elaboración de los reportes de análisis de riesgo que emite la Subdirección de Riesgo, es necesario asegurar que la información que circula a través de los distintos procesos cuente con un flujo predeterminado que garantice su confiabilidad, trazabilidad y transparencia. Una de las condiciones necesarias para asegurar estos objetivos, es que cada uno de los organismos involucrados conozca sus atribuciones y obligaciones en relación con la información que</w:t>
      </w:r>
      <w:r w:rsidR="0087090D" w:rsidRPr="008C65ED">
        <w:rPr>
          <w:rFonts w:ascii="Arial Narrow" w:hAnsi="Arial Narrow"/>
          <w:sz w:val="24"/>
        </w:rPr>
        <w:t xml:space="preserve"> maneja, de tal forma que e</w:t>
      </w:r>
      <w:r w:rsidRPr="008C65ED">
        <w:rPr>
          <w:rFonts w:ascii="Arial Narrow" w:hAnsi="Arial Narrow"/>
          <w:sz w:val="24"/>
        </w:rPr>
        <w:t>sta pueda ser transmitid</w:t>
      </w:r>
      <w:r w:rsidR="0087090D" w:rsidRPr="008C65ED">
        <w:rPr>
          <w:rFonts w:ascii="Arial Narrow" w:hAnsi="Arial Narrow"/>
          <w:sz w:val="24"/>
        </w:rPr>
        <w:t>a al siguiente de forma segura.</w:t>
      </w:r>
    </w:p>
    <w:p w:rsidR="002E4B5F" w:rsidRPr="008C65ED" w:rsidRDefault="002E4B5F" w:rsidP="002E4B5F">
      <w:pPr>
        <w:jc w:val="both"/>
        <w:rPr>
          <w:rFonts w:ascii="Arial Narrow" w:hAnsi="Arial Narrow"/>
          <w:sz w:val="24"/>
        </w:rPr>
      </w:pPr>
    </w:p>
    <w:p w:rsidR="00384F28" w:rsidRPr="008C65ED" w:rsidRDefault="002E4B5F" w:rsidP="002E4B5F">
      <w:pPr>
        <w:jc w:val="both"/>
        <w:rPr>
          <w:rFonts w:ascii="Arial Narrow" w:hAnsi="Arial Narrow"/>
          <w:sz w:val="24"/>
        </w:rPr>
      </w:pPr>
      <w:r w:rsidRPr="008C65ED">
        <w:rPr>
          <w:rFonts w:ascii="Arial Narrow" w:hAnsi="Arial Narrow"/>
          <w:sz w:val="24"/>
        </w:rPr>
        <w:t xml:space="preserve">El siguiente gráfico ilustra estos conceptos aplicados en la gestión de tesorería, e integra las áreas que fungen como </w:t>
      </w:r>
      <w:r w:rsidRPr="008C65ED">
        <w:rPr>
          <w:rFonts w:ascii="Arial Narrow" w:hAnsi="Arial Narrow"/>
          <w:i/>
          <w:sz w:val="24"/>
        </w:rPr>
        <w:t>Front, Middle, Back Office</w:t>
      </w:r>
      <w:r w:rsidRPr="008C65ED">
        <w:rPr>
          <w:rFonts w:ascii="Arial Narrow" w:hAnsi="Arial Narrow"/>
          <w:sz w:val="24"/>
        </w:rPr>
        <w:t xml:space="preserve"> y al Director General de Crédito Público y Tesoro Nacional.</w:t>
      </w:r>
    </w:p>
    <w:p w:rsidR="002E4B5F" w:rsidRPr="008C65ED" w:rsidRDefault="002E4B5F" w:rsidP="00C93704">
      <w:pPr>
        <w:jc w:val="center"/>
        <w:rPr>
          <w:rFonts w:ascii="Arial Narrow" w:hAnsi="Arial Narrow" w:cs="Arial"/>
          <w:u w:val="single"/>
        </w:rPr>
      </w:pPr>
      <w:r w:rsidRPr="008C65ED">
        <w:rPr>
          <w:rFonts w:ascii="Arial Narrow" w:hAnsi="Arial Narrow"/>
          <w:sz w:val="24"/>
        </w:rPr>
        <w:t>FLUJO DE INFORMACIÓN ENTRE LAS ÁREAS INVOLUCRADAS EN LAS ACTIVIDADES DE LA GESTIÓN DE TESORERÍA</w:t>
      </w: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3038475</wp:posOffset>
                </wp:positionH>
                <wp:positionV relativeFrom="paragraph">
                  <wp:posOffset>81280</wp:posOffset>
                </wp:positionV>
                <wp:extent cx="2532380" cy="707390"/>
                <wp:effectExtent l="0" t="0" r="20320" b="1651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707390"/>
                        </a:xfrm>
                        <a:prstGeom prst="rect">
                          <a:avLst/>
                        </a:prstGeom>
                        <a:solidFill>
                          <a:srgbClr val="FFFFFF"/>
                        </a:solidFill>
                        <a:ln w="9525">
                          <a:solidFill>
                            <a:srgbClr val="000000"/>
                          </a:solidFill>
                          <a:miter lim="800000"/>
                          <a:headEnd/>
                          <a:tailEnd/>
                        </a:ln>
                      </wps:spPr>
                      <wps:txbx>
                        <w:txbxContent>
                          <w:p w:rsidR="00B6053B" w:rsidRPr="002E4B5F" w:rsidRDefault="00B6053B" w:rsidP="002E4B5F">
                            <w:pPr>
                              <w:jc w:val="center"/>
                              <w:rPr>
                                <w:rFonts w:ascii="Arial Narrow" w:hAnsi="Arial Narrow"/>
                                <w:sz w:val="24"/>
                              </w:rPr>
                            </w:pPr>
                            <w:r w:rsidRPr="002E4B5F">
                              <w:rPr>
                                <w:rFonts w:ascii="Arial Narrow" w:hAnsi="Arial Narrow"/>
                                <w:b/>
                                <w:sz w:val="24"/>
                              </w:rPr>
                              <w:t>Subdirección de Tesorería</w:t>
                            </w:r>
                            <w:r w:rsidRPr="002E4B5F">
                              <w:rPr>
                                <w:rFonts w:ascii="Arial Narrow" w:hAnsi="Arial Narrow"/>
                                <w:sz w:val="24"/>
                              </w:rPr>
                              <w:t xml:space="preserve"> </w:t>
                            </w:r>
                          </w:p>
                          <w:p w:rsidR="00B6053B" w:rsidRPr="002E4B5F" w:rsidRDefault="00B6053B" w:rsidP="002E4B5F">
                            <w:pPr>
                              <w:jc w:val="center"/>
                              <w:rPr>
                                <w:rFonts w:ascii="Arial Narrow" w:hAnsi="Arial Narrow"/>
                                <w:sz w:val="24"/>
                              </w:rPr>
                            </w:pPr>
                            <w:r w:rsidRPr="002E4B5F">
                              <w:rPr>
                                <w:rFonts w:ascii="Arial Narrow" w:hAnsi="Arial Narrow"/>
                                <w:sz w:val="24"/>
                              </w:rPr>
                              <w:t>(2) Operadores conocen sus atribuciones. Realizan operaciones autorizadas</w:t>
                            </w:r>
                            <w:r>
                              <w:rPr>
                                <w:rFonts w:ascii="Arial Narrow" w:hAnsi="Arial Narrow"/>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margin-left:239.25pt;margin-top:6.4pt;width:199.4pt;height:5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">
                <v:textbox>
                  <w:txbxContent>
                    <w:p w:rsidR="00B6053B" w:rsidRPr="002E4B5F" w:rsidRDefault="00B6053B" w:rsidP="002E4B5F">
                      <w:pPr>
                        <w:jc w:val="center"/>
                        <w:rPr>
                          <w:rFonts w:ascii="Arial Narrow" w:hAnsi="Arial Narrow"/>
                          <w:sz w:val="24"/>
                        </w:rPr>
                      </w:pPr>
                      <w:r w:rsidRPr="002E4B5F">
                        <w:rPr>
                          <w:rFonts w:ascii="Arial Narrow" w:hAnsi="Arial Narrow"/>
                          <w:b/>
                          <w:sz w:val="24"/>
                        </w:rPr>
                        <w:t>Subdirección de Tesorería</w:t>
                      </w:r>
                      <w:r w:rsidRPr="002E4B5F">
                        <w:rPr>
                          <w:rFonts w:ascii="Arial Narrow" w:hAnsi="Arial Narrow"/>
                          <w:sz w:val="24"/>
                        </w:rPr>
                        <w:t xml:space="preserve"> </w:t>
                      </w:r>
                    </w:p>
                    <w:p w:rsidR="00B6053B" w:rsidRPr="002E4B5F" w:rsidRDefault="00B6053B" w:rsidP="002E4B5F">
                      <w:pPr>
                        <w:jc w:val="center"/>
                        <w:rPr>
                          <w:rFonts w:ascii="Arial Narrow" w:hAnsi="Arial Narrow"/>
                          <w:sz w:val="24"/>
                        </w:rPr>
                      </w:pPr>
                      <w:r w:rsidRPr="002E4B5F">
                        <w:rPr>
                          <w:rFonts w:ascii="Arial Narrow" w:hAnsi="Arial Narrow"/>
                          <w:sz w:val="24"/>
                        </w:rPr>
                        <w:t>(2) Operadores conocen sus atribuciones. Realizan operaciones autorizadas</w:t>
                      </w:r>
                      <w:r>
                        <w:rPr>
                          <w:rFonts w:ascii="Arial Narrow" w:hAnsi="Arial Narrow"/>
                          <w:sz w:val="24"/>
                        </w:rPr>
                        <w:t>.</w:t>
                      </w:r>
                    </w:p>
                  </w:txbxContent>
                </v:textbox>
              </v:shape>
            </w:pict>
          </mc:Fallback>
        </mc:AlternateContent>
      </w: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1369695</wp:posOffset>
                </wp:positionH>
                <wp:positionV relativeFrom="paragraph">
                  <wp:posOffset>13335</wp:posOffset>
                </wp:positionV>
                <wp:extent cx="1659890" cy="283845"/>
                <wp:effectExtent l="0" t="0" r="0" b="0"/>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9890" cy="283845"/>
                        </a:xfrm>
                        <a:prstGeom prst="bentConnector3">
                          <a:avLst>
                            <a:gd name="adj1" fmla="val -731"/>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A87D40" id="AutoShape 4" o:spid="_x0000_s1026" type="#_x0000_t34" style="position:absolute;margin-left:107.85pt;margin-top:1.05pt;width:130.7pt;height:22.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Zv/WwIAAKMEAAAOAAAAZHJzL2Uyb0RvYy54bWysVE1v2zAMvQ/YfxB0T20nTuoYdYrCTnbp tgDtdlcsOdamL0hqnGDYfy+luFm7XYZhPsiSRT7yPZK+uT1KgQ7MOq5VhbOrFCOmWk252lf4y+Nm UmDkPFGUCK1YhU/M4dvV+3c3gynZVPdaUGYRgChXDqbCvfemTBLX9kwSd6UNU3DZaSuJh6PdJ9SS AdClSKZpukgGbamxumXOwdfmfIlXEb/rWOs/d51jHokKQ24+rjauu7AmqxtS7i0xPW/HNMg/ZCEJ VxD0AtUQT9CT5X9ASd5a7XTnr1otE911vGWRA7DJ0t/YPPTEsMgFxHHmIpP7f7Dtp8PWIk4rnIM8 ikio0d2T1zE0yoM+g3ElmNVqawPD9qgezL1uvzukdN0TtWfR+PFkwDcLHskbl3BwBqLsho+agg0B /CjWsbMSdYKbr8ExgIMg6Birc7pUhx09auFjtpgviyVk2cLdtJgV+TwGI2XACd7GOv+BaYnCpsI7 pnytlYIm0HYW8cnh3vlYJzqSJfRbhlEnBZT9QASaXM/OHEg5Gie/gIOn0hsuROwbodAAqczzNI3o TgtOw22wc3a/q4VFAApU4jOm+8ZMcg8DILiscHExImXPCF0rGsN4wgXskY8Ke8tBc8FwiC0ZxUgw GL2wC9KTUqgQHlQbqQb9Yiv+WKbLdbEu8kk+Xawnedo0k7tNnU8Wm+x63syaum6yn4FJlpc9p5Sp QOZlLLL879puHNBzQ18G4yJb8hY9pgwpvrxj0rGBQs+cu2+n6WlrXxoLJiEaj1MbRu31Gfav/y2r ZwAAAP//AwBQSwMEFAAGAAgAAAAhAKTEuI/eAAAACAEAAA8AAABkcnMvZG93bnJldi54bWxMj0FL w0AQhe+C/2EZwZvdNNqkpNmUUCqIB6G1B4/b7DQJZmdDdtvE/nqnJ719w3u8eS9fT7YTFxx860jB fBaBQKqcaalWcPh8fVqC8EGT0Z0jVPCDHtbF/V2uM+NG2uFlH2rBIeQzraAJoc+k9FWDVvuZ65FY O7nB6sDnUEsz6JHDbSfjKEqk1S3xh0b3uGmw+t6frYLdNhk/vt7L6/P2MKTxony7btAp9fgwlSsQ AafwZ4Zbfa4OBXc6ujMZLzoF8XyRsvUGIFh/SVOGI0OyBFnk8v+A4hcAAP//AwBQSwECLQAUAAYA CAAAACEAtoM4kv4AAADhAQAAEwAAAAAAAAAAAAAAAAAAAAAAW0NvbnRlbnRfVHlwZXNdLnhtbFBL AQItABQABgAIAAAAIQA4/SH/1gAAAJQBAAALAAAAAAAAAAAAAAAAAC8BAABfcmVscy8ucmVsc1BL AQItABQABgAIAAAAIQBAeZv/WwIAAKMEAAAOAAAAAAAAAAAAAAAAAC4CAABkcnMvZTJvRG9jLnht bFBLAQItABQABgAIAAAAIQCkxLiP3gAAAAgBAAAPAAAAAAAAAAAAAAAAALUEAABkcnMvZG93bnJl di54bWxQSwUGAAAAAAQABADzAAAAwAUAAAAA " adj="-158" strokeweight="2pt">
                <v:stroke endarrow="block"/>
              </v:shape>
            </w:pict>
          </mc:Fallback>
        </mc:AlternateContent>
      </w: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403860</wp:posOffset>
                </wp:positionH>
                <wp:positionV relativeFrom="paragraph">
                  <wp:posOffset>36195</wp:posOffset>
                </wp:positionV>
                <wp:extent cx="2354580" cy="724535"/>
                <wp:effectExtent l="0" t="0" r="26670" b="184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24535"/>
                        </a:xfrm>
                        <a:prstGeom prst="rect">
                          <a:avLst/>
                        </a:prstGeom>
                        <a:solidFill>
                          <a:srgbClr val="FFFFFF"/>
                        </a:solidFill>
                        <a:ln w="9525">
                          <a:solidFill>
                            <a:srgbClr val="000000"/>
                          </a:solidFill>
                          <a:miter lim="800000"/>
                          <a:headEnd/>
                          <a:tailEnd/>
                        </a:ln>
                      </wps:spPr>
                      <wps:txbx>
                        <w:txbxContent>
                          <w:p w:rsidR="00B6053B" w:rsidRPr="002E4B5F" w:rsidRDefault="00B6053B" w:rsidP="00C408EF">
                            <w:pPr>
                              <w:pStyle w:val="Prrafodelista"/>
                              <w:numPr>
                                <w:ilvl w:val="0"/>
                                <w:numId w:val="23"/>
                              </w:numPr>
                              <w:ind w:left="426"/>
                              <w:jc w:val="center"/>
                              <w:rPr>
                                <w:rFonts w:ascii="Arial Narrow" w:hAnsi="Arial Narrow"/>
                                <w:sz w:val="24"/>
                              </w:rPr>
                            </w:pPr>
                            <w:r w:rsidRPr="002E4B5F">
                              <w:rPr>
                                <w:rFonts w:ascii="Arial Narrow" w:hAnsi="Arial Narrow"/>
                                <w:sz w:val="24"/>
                              </w:rPr>
                              <w:t>Establece límites.</w:t>
                            </w:r>
                          </w:p>
                          <w:p w:rsidR="00B6053B" w:rsidRPr="002E4B5F" w:rsidRDefault="00B6053B" w:rsidP="002E4B5F">
                            <w:pPr>
                              <w:ind w:left="426"/>
                              <w:rPr>
                                <w:rFonts w:ascii="Arial Narrow" w:hAnsi="Arial Narrow"/>
                                <w:b/>
                                <w:sz w:val="24"/>
                              </w:rPr>
                            </w:pPr>
                            <w:r w:rsidRPr="002E4B5F">
                              <w:rPr>
                                <w:rFonts w:ascii="Arial Narrow" w:hAnsi="Arial Narrow"/>
                                <w:b/>
                                <w:sz w:val="24"/>
                              </w:rPr>
                              <w:t>Subdirección de Riesgo</w:t>
                            </w:r>
                          </w:p>
                          <w:p w:rsidR="00B6053B" w:rsidRPr="002E4B5F" w:rsidRDefault="00B6053B" w:rsidP="002E4B5F">
                            <w:pPr>
                              <w:jc w:val="center"/>
                              <w:rPr>
                                <w:rFonts w:ascii="Arial Narrow" w:hAnsi="Arial Narrow"/>
                                <w:sz w:val="24"/>
                              </w:rPr>
                            </w:pPr>
                            <w:r w:rsidRPr="002E4B5F">
                              <w:rPr>
                                <w:rFonts w:ascii="Arial Narrow" w:hAnsi="Arial Narrow"/>
                                <w:sz w:val="24"/>
                              </w:rPr>
                              <w:t>(5) Monitoreo de los límites de Riesgo.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margin-left:31.8pt;margin-top:2.85pt;width:185.4pt;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">
                <v:textbox>
                  <w:txbxContent>
                    <w:p w:rsidR="00B6053B" w:rsidRPr="002E4B5F" w:rsidRDefault="00B6053B" w:rsidP="00C408EF">
                      <w:pPr>
                        <w:pStyle w:val="Prrafodelista"/>
                        <w:numPr>
                          <w:ilvl w:val="0"/>
                          <w:numId w:val="23"/>
                        </w:numPr>
                        <w:ind w:left="426"/>
                        <w:jc w:val="center"/>
                        <w:rPr>
                          <w:rFonts w:ascii="Arial Narrow" w:hAnsi="Arial Narrow"/>
                          <w:sz w:val="24"/>
                        </w:rPr>
                      </w:pPr>
                      <w:r w:rsidRPr="002E4B5F">
                        <w:rPr>
                          <w:rFonts w:ascii="Arial Narrow" w:hAnsi="Arial Narrow"/>
                          <w:sz w:val="24"/>
                        </w:rPr>
                        <w:t>Establece límites.</w:t>
                      </w:r>
                    </w:p>
                    <w:p w:rsidR="00B6053B" w:rsidRPr="002E4B5F" w:rsidRDefault="00B6053B" w:rsidP="002E4B5F">
                      <w:pPr>
                        <w:ind w:left="426"/>
                        <w:rPr>
                          <w:rFonts w:ascii="Arial Narrow" w:hAnsi="Arial Narrow"/>
                          <w:b/>
                          <w:sz w:val="24"/>
                        </w:rPr>
                      </w:pPr>
                      <w:r w:rsidRPr="002E4B5F">
                        <w:rPr>
                          <w:rFonts w:ascii="Arial Narrow" w:hAnsi="Arial Narrow"/>
                          <w:b/>
                          <w:sz w:val="24"/>
                        </w:rPr>
                        <w:t>Subdirección de Riesgo</w:t>
                      </w:r>
                    </w:p>
                    <w:p w:rsidR="00B6053B" w:rsidRPr="002E4B5F" w:rsidRDefault="00B6053B" w:rsidP="002E4B5F">
                      <w:pPr>
                        <w:jc w:val="center"/>
                        <w:rPr>
                          <w:rFonts w:ascii="Arial Narrow" w:hAnsi="Arial Narrow"/>
                          <w:sz w:val="24"/>
                        </w:rPr>
                      </w:pPr>
                      <w:r w:rsidRPr="002E4B5F">
                        <w:rPr>
                          <w:rFonts w:ascii="Arial Narrow" w:hAnsi="Arial Narrow"/>
                          <w:sz w:val="24"/>
                        </w:rPr>
                        <w:t>(5) Monitoreo de los límites de Riesgo.</w:t>
                      </w:r>
                    </w:p>
                  </w:txbxContent>
                </v:textbox>
              </v:shape>
            </w:pict>
          </mc:Fallback>
        </mc:AlternateContent>
      </w: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3540125</wp:posOffset>
                </wp:positionH>
                <wp:positionV relativeFrom="paragraph">
                  <wp:posOffset>345440</wp:posOffset>
                </wp:positionV>
                <wp:extent cx="575945" cy="635"/>
                <wp:effectExtent l="0" t="0" r="0" b="0"/>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5945" cy="635"/>
                        </a:xfrm>
                        <a:prstGeom prst="bentConnector3">
                          <a:avLst>
                            <a:gd name="adj1" fmla="val 49949"/>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0C5003" id="AutoShape 5" o:spid="_x0000_s1026" type="#_x0000_t34" style="position:absolute;margin-left:278.75pt;margin-top:27.2pt;width:45.35pt;height:.0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RCfXQIAAKQEAAAOAAAAZHJzL2Uyb0RvYy54bWysVE2P2jAQvVfqf7B8hyQQWIgIq1UCvWzb lXb7A4ztELf+ku0loKr/vWPD0t32UlXlYGzP+M28NzNZ3R6VRAfuvDC6xsU4x4hrapjQ+xp/edqO Fhj5QDQj0mhe4xP3+Hb9/t1qsBWfmN5Ixh0CEO2rwda4D8FWWeZpzxXxY2O5BmNnnCIBjm6fMUcG QFcym+T5PBuMY9YZyr2H2/ZsxOuE33Wchs9d53lAssaQW0irS+surtl6Raq9I7YX9JIG+YcsFBEa gl6hWhIIenbiDyglqDPedGFMjcpM1wnKEwdgU+S/sXnsieWJC4jj7VUm//9g6afDg0OC1XgKldJE QY3unoNJodEs6jNYX4Fbox9cZEiP+tHeG/rNI22anug9T85PJwtvi/gie/MkHryFKLvho2HgQwA/ iXXsnELOQFFmZR5/6RZEQcdUodO1QvwYEIXL2c1sWc4womCaT1N6GakiTkzNOh8+cKNQ3NR4x3Vo jNbQBMZNEzY53PuQ6sQuZAn7WmDUKQllPxCJyuWyXCYSpLp4Q4QX5PhUm62QMjWO1Gio8SRmn+C9 kYJFa/Tzbr9rpEOACjzO/KI4YHntpkSACZBC1XhxdSJVzwnbaJbCBCIk7FFIEgcnQHTJcYytOMNI cpi9uDvDSx3Dg2QXrlG81Ivfl/lys9gsylE5mW9GZd62o7ttU47m2+Jm1k7bpmmLH5FJUVa9YIzr SOZlLory7/ruMqHnjr5OxlW27C16UgRSfPlPSacOik1zbr+dYacHF9nFZoJRSM6XsY2z9vqcvH59 XNY/AQAA//8DAFBLAwQUAAYACAAAACEAiX77F9wAAAAIAQAADwAAAGRycy9kb3ducmV2LnhtbEyP QWvCQBCF7wX/wzKCt7pJsGLSbESEHgq2UCs9b7JjEpqdDburxn/f6ak9frzhvW/K7WQHcUUfekcK 0mUCAqlxpqdWwenz5XEDIkRNRg+OUMEdA2yr2UOpC+Nu9IHXY2wFl1AotIIuxrGQMjQdWh2WbkTi 7Oy81ZHRt9J4feNyO8gsSdbS6p54odMj7jtsvo8Xq+BgZT++vcfXr3T1dG6zzB9Oq1qpxXzaPYOI OMW/Y/jVZ3Wo2Kl2FzJBDArWScbqUUGeguCcOQdRM+cbkFUp/z9Q/QAAAP//AwBQSwECLQAUAAYA CAAAACEAtoM4kv4AAADhAQAAEwAAAAAAAAAAAAAAAAAAAAAAW0NvbnRlbnRfVHlwZXNdLnhtbFBL AQItABQABgAIAAAAIQA4/SH/1gAAAJQBAAALAAAAAAAAAAAAAAAAAC8BAABfcmVscy8ucmVsc1BL AQItABQABgAIAAAAIQDGQRCfXQIAAKQEAAAOAAAAAAAAAAAAAAAAAC4CAABkcnMvZTJvRG9jLnht bFBLAQItABQABgAIAAAAIQCJfvsX3AAAAAgBAAAPAAAAAAAAAAAAAAAAALcEAABkcnMvZG93bnJl di54bWxQSwUGAAAAAAQABADzAAAAwAUAAAAA " adj="10789" strokeweight="2pt">
                <v:stroke endarrow="block"/>
              </v:shape>
            </w:pict>
          </mc:Fallback>
        </mc:AlternateContent>
      </w: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3870325</wp:posOffset>
                </wp:positionH>
                <wp:positionV relativeFrom="paragraph">
                  <wp:posOffset>53975</wp:posOffset>
                </wp:positionV>
                <wp:extent cx="1197610" cy="259080"/>
                <wp:effectExtent l="0" t="0" r="0" b="762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3B" w:rsidRPr="00142FEF" w:rsidRDefault="00B6053B" w:rsidP="00C40F45">
                            <w:pPr>
                              <w:rPr>
                                <w:rFonts w:ascii="Arial Narrow" w:hAnsi="Arial Narrow"/>
                                <w:szCs w:val="22"/>
                              </w:rPr>
                            </w:pPr>
                            <w:r w:rsidRPr="00142FEF">
                              <w:rPr>
                                <w:rFonts w:ascii="Arial Narrow" w:hAnsi="Arial Narrow"/>
                                <w:szCs w:val="22"/>
                              </w:rPr>
                              <w:t>Operaciones realizadas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304.75pt;margin-top:4.25pt;width:94.3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Fbuw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" filled="f" stroked="f">
                <v:textbox>
                  <w:txbxContent>
                    <w:p w:rsidR="00B6053B" w:rsidRPr="00142FEF" w:rsidRDefault="00B6053B" w:rsidP="00C40F45">
                      <w:pPr>
                        <w:rPr>
                          <w:rFonts w:ascii="Arial Narrow" w:hAnsi="Arial Narrow"/>
                          <w:szCs w:val="22"/>
                        </w:rPr>
                      </w:pPr>
                      <w:r w:rsidRPr="00142FEF">
                        <w:rPr>
                          <w:rFonts w:ascii="Arial Narrow" w:hAnsi="Arial Narrow"/>
                          <w:szCs w:val="22"/>
                        </w:rPr>
                        <w:t>Operaciones realizadas</w:t>
                      </w:r>
                    </w:p>
                  </w:txbxContent>
                </v:textbox>
              </v:shape>
            </w:pict>
          </mc:Fallback>
        </mc:AlternateContent>
      </w: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3029585</wp:posOffset>
                </wp:positionH>
                <wp:positionV relativeFrom="paragraph">
                  <wp:posOffset>56515</wp:posOffset>
                </wp:positionV>
                <wp:extent cx="2541270" cy="747395"/>
                <wp:effectExtent l="0" t="0" r="11430" b="14605"/>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747395"/>
                        </a:xfrm>
                        <a:prstGeom prst="rect">
                          <a:avLst/>
                        </a:prstGeom>
                        <a:solidFill>
                          <a:srgbClr val="FFFFFF"/>
                        </a:solidFill>
                        <a:ln w="9525">
                          <a:solidFill>
                            <a:srgbClr val="000000"/>
                          </a:solidFill>
                          <a:miter lim="800000"/>
                          <a:headEnd/>
                          <a:tailEnd/>
                        </a:ln>
                      </wps:spPr>
                      <wps:txbx>
                        <w:txbxContent>
                          <w:p w:rsidR="00B6053B" w:rsidRPr="002E4B5F" w:rsidRDefault="00B6053B" w:rsidP="002E4B5F">
                            <w:pPr>
                              <w:jc w:val="center"/>
                              <w:rPr>
                                <w:rFonts w:ascii="Arial Narrow" w:hAnsi="Arial Narrow"/>
                                <w:sz w:val="22"/>
                              </w:rPr>
                            </w:pPr>
                            <w:r w:rsidRPr="002E4B5F">
                              <w:rPr>
                                <w:rFonts w:ascii="Arial Narrow" w:hAnsi="Arial Narrow"/>
                                <w:b/>
                                <w:sz w:val="22"/>
                              </w:rPr>
                              <w:t>Subdirección de Operaciones</w:t>
                            </w:r>
                            <w:r w:rsidRPr="002E4B5F">
                              <w:rPr>
                                <w:rFonts w:ascii="Arial Narrow" w:hAnsi="Arial Narrow"/>
                                <w:sz w:val="22"/>
                              </w:rPr>
                              <w:t xml:space="preserve"> </w:t>
                            </w:r>
                          </w:p>
                          <w:p w:rsidR="00B6053B" w:rsidRPr="002E4B5F" w:rsidRDefault="00B6053B" w:rsidP="002E4B5F">
                            <w:pPr>
                              <w:jc w:val="center"/>
                              <w:rPr>
                                <w:rFonts w:ascii="Arial Narrow" w:hAnsi="Arial Narrow"/>
                                <w:sz w:val="22"/>
                              </w:rPr>
                            </w:pPr>
                            <w:r w:rsidRPr="002E4B5F">
                              <w:rPr>
                                <w:rFonts w:ascii="Arial Narrow" w:hAnsi="Arial Narrow"/>
                                <w:sz w:val="22"/>
                              </w:rPr>
                              <w:t>(3) Complementan y cumplen las operaciones.</w:t>
                            </w:r>
                          </w:p>
                          <w:p w:rsidR="00B6053B" w:rsidRPr="002E4B5F" w:rsidRDefault="00B6053B" w:rsidP="002E4B5F">
                            <w:pPr>
                              <w:jc w:val="center"/>
                              <w:rPr>
                                <w:rFonts w:ascii="Arial Narrow" w:hAnsi="Arial Narrow"/>
                                <w:sz w:val="22"/>
                              </w:rPr>
                            </w:pPr>
                            <w:r w:rsidRPr="002E4B5F">
                              <w:rPr>
                                <w:rFonts w:ascii="Arial Narrow" w:hAnsi="Arial Narrow"/>
                                <w:sz w:val="22"/>
                              </w:rPr>
                              <w:t>(4) Valoración y Cierre Contable del Portafolio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238.55pt;margin-top:4.45pt;width:200.1pt;height:5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">
                <v:textbox>
                  <w:txbxContent>
                    <w:p w:rsidR="00B6053B" w:rsidRPr="002E4B5F" w:rsidRDefault="00B6053B" w:rsidP="002E4B5F">
                      <w:pPr>
                        <w:jc w:val="center"/>
                        <w:rPr>
                          <w:rFonts w:ascii="Arial Narrow" w:hAnsi="Arial Narrow"/>
                          <w:sz w:val="22"/>
                        </w:rPr>
                      </w:pPr>
                      <w:r w:rsidRPr="002E4B5F">
                        <w:rPr>
                          <w:rFonts w:ascii="Arial Narrow" w:hAnsi="Arial Narrow"/>
                          <w:b/>
                          <w:sz w:val="22"/>
                        </w:rPr>
                        <w:t>Subdirección de Operaciones</w:t>
                      </w:r>
                      <w:r w:rsidRPr="002E4B5F">
                        <w:rPr>
                          <w:rFonts w:ascii="Arial Narrow" w:hAnsi="Arial Narrow"/>
                          <w:sz w:val="22"/>
                        </w:rPr>
                        <w:t xml:space="preserve"> </w:t>
                      </w:r>
                    </w:p>
                    <w:p w:rsidR="00B6053B" w:rsidRPr="002E4B5F" w:rsidRDefault="00B6053B" w:rsidP="002E4B5F">
                      <w:pPr>
                        <w:jc w:val="center"/>
                        <w:rPr>
                          <w:rFonts w:ascii="Arial Narrow" w:hAnsi="Arial Narrow"/>
                          <w:sz w:val="22"/>
                        </w:rPr>
                      </w:pPr>
                      <w:r w:rsidRPr="002E4B5F">
                        <w:rPr>
                          <w:rFonts w:ascii="Arial Narrow" w:hAnsi="Arial Narrow"/>
                          <w:sz w:val="22"/>
                        </w:rPr>
                        <w:t>(3) Complementan y cumplen las operaciones.</w:t>
                      </w:r>
                    </w:p>
                    <w:p w:rsidR="00B6053B" w:rsidRPr="002E4B5F" w:rsidRDefault="00B6053B" w:rsidP="002E4B5F">
                      <w:pPr>
                        <w:jc w:val="center"/>
                        <w:rPr>
                          <w:rFonts w:ascii="Arial Narrow" w:hAnsi="Arial Narrow"/>
                          <w:sz w:val="22"/>
                        </w:rPr>
                      </w:pPr>
                      <w:r w:rsidRPr="002E4B5F">
                        <w:rPr>
                          <w:rFonts w:ascii="Arial Narrow" w:hAnsi="Arial Narrow"/>
                          <w:sz w:val="22"/>
                        </w:rPr>
                        <w:t>(4) Valoración y Cierre Contable del Portafolio</w:t>
                      </w:r>
                    </w:p>
                  </w:txbxContent>
                </v:textbox>
              </v:shape>
            </w:pict>
          </mc:Fallback>
        </mc:AlternateContent>
      </w:r>
      <w:r w:rsidRPr="008C65ED">
        <w:rPr>
          <w:rFonts w:ascii="Arial Narrow" w:hAnsi="Arial Narrow"/>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1367155</wp:posOffset>
                </wp:positionH>
                <wp:positionV relativeFrom="paragraph">
                  <wp:posOffset>41910</wp:posOffset>
                </wp:positionV>
                <wp:extent cx="1659890" cy="396240"/>
                <wp:effectExtent l="0" t="0" r="0" b="0"/>
                <wp:wrapNone/>
                <wp:docPr id="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659890" cy="396240"/>
                        </a:xfrm>
                        <a:prstGeom prst="bentConnector3">
                          <a:avLst>
                            <a:gd name="adj1" fmla="val 100417"/>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DA265A" id="AutoShape 8" o:spid="_x0000_s1026" type="#_x0000_t34" style="position:absolute;margin-left:107.65pt;margin-top:3.3pt;width:130.7pt;height:31.2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nVUYgIAAKoEAAAOAAAAZHJzL2Uyb0RvYy54bWysVE1v2zAMvQ/YfxB0T20nTpoYdYrCTnbp tgLtfoAiybE2fUFS4wTD/vsoxc3a7TIMy0GRROqR75H0ze1RSXTgzguja1xc5RhxTQ0Tel/jL0/b yRIjH4hmRBrNa3ziHt+u37+7GWzFp6Y3knGHAET7arA17kOwVZZ52nNF/JWxXIOxM06RAEe3z5gj A6ArmU3zfJENxjHrDOXew217NuJ1wu86TsPnrvM8IFljyC2k1aV1F9dsfUOqvSO2F3RMg/xDFooI DUEvUC0JBD078QeUEtQZb7pwRY3KTNcJyhMHYFPkv7F57InliQuI4+1FJv//YOmnw4NDgtV4NsdI EwU1unsOJoVGy6jPYH0Fbo1+cJEhPepHe2/oN4+0aXqi9zw5P50svC3ii+zNk3jwFqLsho+GgQ8B /CTWsXMKOQNFKfJlHn/pGlRBx1Si06VE/BgQhctiMV8tV1BJCrbZajEtUw0zUkWwmJ91PnzgRqG4 qfGO69AYraETjJslfHK49yEVi42MCftaYNQpCbU/EImKPC+L60SFVKM7hHiBjm+12QopU/tIjYYa T+flmL83UrBojX7e7XeNdAhggcyZZJQILK/dlAgwB1KoGo9KJOieE7bRLO0DERL2KCShgxMgveQ4 xlacYSQ5TGDcneGljuFBt5FsVDB15PdVvtosN8tyUk4Xm0mZt+3kbtuUk8W2uJ63s7Zp2uJHVKoo q14wxnUk8zIdRfl33TfO6bmvL/NxkS17i54UgRRf/lPSqY9i65ybcGfY6cFFdrGlYCCS8zi8ceJe n5PXr0/M+icAAAD//wMAUEsDBBQABgAIAAAAIQCVrYMz3gAAAAgBAAAPAAAAZHJzL2Rvd25yZXYu eG1sTI/BTsMwEETvSPyDtUjcqNNC0zZkUyEqJFC50HLpzYmXJCJeh9htw9+znOA4mtHMm3w9uk6d aAitZ4TpJAFFXHnbco3wvn+6WYIK0bA1nWdC+KYA6+LyIjeZ9Wd+o9Mu1kpKOGQGoYmxz7QOVUPO hInvicX78IMzUeRQazuYs5S7Ts+SJNXOtCwLjenpsaHqc3d0CM/xEFxJ9qV1G733h3m1/dq8Il5f jQ/3oCKN8S8Mv/iCDoUwlf7INqgOYTad30oUIU1BiX+3SBegStGrBHSR6/8Hih8AAAD//wMAUEsB Ai0AFAAGAAgAAAAhALaDOJL+AAAA4QEAABMAAAAAAAAAAAAAAAAAAAAAAFtDb250ZW50X1R5cGVz XS54bWxQSwECLQAUAAYACAAAACEAOP0h/9YAAACUAQAACwAAAAAAAAAAAAAAAAAvAQAAX3JlbHMv LnJlbHNQSwECLQAUAAYACAAAACEAkYZ1VGICAACqBAAADgAAAAAAAAAAAAAAAAAuAgAAZHJzL2Uy b0RvYy54bWxQSwECLQAUAAYACAAAACEAla2DM94AAAAIAQAADwAAAAAAAAAAAAAAAAC8BAAAZHJz L2Rvd25yZXYueG1sUEsFBgAAAAAEAAQA8wAAAMcFAAAAAA== " adj="21690" strokeweight="2pt">
                <v:stroke endarrow="block"/>
              </v:shape>
            </w:pict>
          </mc:Fallback>
        </mc:AlternateContent>
      </w:r>
      <w:r w:rsidRPr="008C65ED">
        <w:rPr>
          <w:rFonts w:ascii="Arial Narrow" w:hAnsi="Arial Narrow"/>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187325</wp:posOffset>
                </wp:positionH>
                <wp:positionV relativeFrom="paragraph">
                  <wp:posOffset>496570</wp:posOffset>
                </wp:positionV>
                <wp:extent cx="935990" cy="635"/>
                <wp:effectExtent l="0" t="0" r="0" b="0"/>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35990" cy="635"/>
                        </a:xfrm>
                        <a:prstGeom prst="bentConnector3">
                          <a:avLst>
                            <a:gd name="adj1" fmla="val 5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7DB2AA" id="AutoShape 10" o:spid="_x0000_s1026" type="#_x0000_t34" style="position:absolute;margin-left:14.75pt;margin-top:39.1pt;width:73.7pt;height:.0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cfWgIAAKUEAAAOAAAAZHJzL2Uyb0RvYy54bWysVNuO0zAQfUfiHyy/t0natLRR09UqaXlZ YKVdPsC1ncbgm2xv0wrx74y92cLCC0L4wfFlfGbOmZlsbs5KohN3Xhhd42KaY8Q1NUzoY40/P+4n K4x8IJoRaTSv8YV7fLN9+2Yz2IrPTG8k4w4BiPbVYGvch2CrLPO054r4qbFcw2VnnCIBtu6YMUcG QFcym+X5MhuMY9YZyr2H0/b5Em8TftdxGj51necByRpDbCHNLs2HOGfbDamOjthe0DEM8g9RKCI0 OL1CtSQQ9OTEH1BKUGe86cKUGpWZrhOUJw7Apsh/Y/PQE8sTFxDH26tM/v/B0o+ne4cEq/G8xEgT BTm6fQomuUZFEmiwvgK7Rt+7SJGe9YO9M/SrR9o0PdFHnqwfLxYeF1HS7NWTuPEW3ByGD4aBDQEH Sa1z5xRyBrKyKPM40imogs4pRZdrivg5IAqH6/livYZEUrhazhfJGakiTgzNOh/ec6NQXNT4wHVo jNZQBcbNEzY53fmQEsVGtoR9KTDqlIS8n4hEixRHJEGq0RpWL8jxqTZ7IWWqHKnRUONZjD7BeyMF i7fRzrvjoZEOASrwSGOM95WZEgFaQApV49XViFQ9J2ynWXITiJCwRiFJHJwA0SXH0bfiDCPJofni 6jlsqaN7kGzkGsVLxfhtna93q92qnJSz5W5S5m07ud035WS5L94t2nnbNG3xPTIpyqoXjHEdybw0 RlH+XeGNLfpc0tfWuMqWvUZPSkOIL98UdKqgWDSxk311MOxy7yK7uINeSMZj38Zm+3WfrH7+XbY/ AAAA//8DAFBLAwQUAAYACAAAACEAwzKKYt8AAAAJAQAADwAAAGRycy9kb3ducmV2LnhtbEyPzU7D MBCE70i8g7VI3KjdpD8oxKmqSiBx4EDg0psTb5Oo8TqK3Tbw9GxP9LajGc1+k28m14szjqHzpGE+ UyCQam87ajR8f70+PYMI0ZA1vSfU8IMBNsX9XW4y6y/0iecyNoJLKGRGQxvjkEkZ6hadCTM/ILF3 8KMzkeXYSDuaC5e7XiZKraQzHfGH1gy4a7E+lienoSoXMe2OB798ex/26a+vPpp6rfXjw7R9ARFx iv9huOIzOhTMVPkT2SB61iqdc1TDYgXi6qs0AVHxsUwUyCKXtwuKPwAAAP//AwBQSwECLQAUAAYA CAAAACEAtoM4kv4AAADhAQAAEwAAAAAAAAAAAAAAAAAAAAAAW0NvbnRlbnRfVHlwZXNdLnhtbFBL AQItABQABgAIAAAAIQA4/SH/1gAAAJQBAAALAAAAAAAAAAAAAAAAAC8BAABfcmVscy8ucmVsc1BL AQItABQABgAIAAAAIQDQNWcfWgIAAKUEAAAOAAAAAAAAAAAAAAAAAC4CAABkcnMvZTJvRG9jLnht bFBLAQItABQABgAIAAAAIQDDMopi3wAAAAkBAAAPAAAAAAAAAAAAAAAAALQEAABkcnMvZG93bnJl di54bWxQSwUGAAAAAAQABADzAAAAwAUAAAAA " strokeweight="2pt">
                <v:stroke endarrow="block"/>
              </v:shape>
            </w:pict>
          </mc:Fallback>
        </mc:AlternateContent>
      </w: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82816" behindDoc="0" locked="0" layoutInCell="1" allowOverlap="1">
                <wp:simplePos x="0" y="0"/>
                <wp:positionH relativeFrom="column">
                  <wp:posOffset>654685</wp:posOffset>
                </wp:positionH>
                <wp:positionV relativeFrom="paragraph">
                  <wp:posOffset>128905</wp:posOffset>
                </wp:positionV>
                <wp:extent cx="1619885" cy="398145"/>
                <wp:effectExtent l="0" t="0" r="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3B" w:rsidRPr="00142FEF" w:rsidRDefault="00B6053B" w:rsidP="002E4B5F">
                            <w:pPr>
                              <w:rPr>
                                <w:rFonts w:ascii="Arial Narrow" w:hAnsi="Arial Narrow"/>
                                <w:szCs w:val="22"/>
                              </w:rPr>
                            </w:pPr>
                            <w:r w:rsidRPr="00142FEF">
                              <w:rPr>
                                <w:rFonts w:ascii="Arial Narrow" w:hAnsi="Arial Narrow"/>
                                <w:szCs w:val="22"/>
                              </w:rPr>
                              <w:t>Análisis de Riesgo, Reporte de monitoreo de Controles y límites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2" type="#_x0000_t202" style="position:absolute;margin-left:51.55pt;margin-top:10.15pt;width:127.55pt;height:3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OGugIAAMM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" filled="f" stroked="f">
                <v:textbox>
                  <w:txbxContent>
                    <w:p w:rsidR="00B6053B" w:rsidRPr="00142FEF" w:rsidRDefault="00B6053B" w:rsidP="002E4B5F">
                      <w:pPr>
                        <w:rPr>
                          <w:rFonts w:ascii="Arial Narrow" w:hAnsi="Arial Narrow"/>
                          <w:szCs w:val="22"/>
                        </w:rPr>
                      </w:pPr>
                      <w:r w:rsidRPr="00142FEF">
                        <w:rPr>
                          <w:rFonts w:ascii="Arial Narrow" w:hAnsi="Arial Narrow"/>
                          <w:szCs w:val="22"/>
                        </w:rPr>
                        <w:t>Análisis de Riesgo, Reporte de monitoreo de Controles y límites</w:t>
                      </w:r>
                    </w:p>
                  </w:txbxContent>
                </v:textbox>
              </v:shape>
            </w:pict>
          </mc:Fallback>
        </mc:AlternateContent>
      </w: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49530</wp:posOffset>
                </wp:positionH>
                <wp:positionV relativeFrom="paragraph">
                  <wp:posOffset>119380</wp:posOffset>
                </wp:positionV>
                <wp:extent cx="2407285" cy="1309370"/>
                <wp:effectExtent l="0" t="0" r="12065" b="2413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1309370"/>
                        </a:xfrm>
                        <a:prstGeom prst="rect">
                          <a:avLst/>
                        </a:prstGeom>
                        <a:solidFill>
                          <a:srgbClr val="FFFFFF"/>
                        </a:solidFill>
                        <a:ln w="9525">
                          <a:solidFill>
                            <a:srgbClr val="000000"/>
                          </a:solidFill>
                          <a:miter lim="800000"/>
                          <a:headEnd/>
                          <a:tailEnd/>
                        </a:ln>
                      </wps:spPr>
                      <wps:txbx>
                        <w:txbxContent>
                          <w:p w:rsidR="00B6053B" w:rsidRPr="002E4B5F" w:rsidRDefault="00B6053B" w:rsidP="002E4B5F">
                            <w:pPr>
                              <w:jc w:val="center"/>
                              <w:rPr>
                                <w:rFonts w:ascii="Arial Narrow" w:hAnsi="Arial Narrow"/>
                                <w:b/>
                                <w:sz w:val="24"/>
                                <w:szCs w:val="24"/>
                              </w:rPr>
                            </w:pPr>
                            <w:r>
                              <w:rPr>
                                <w:rFonts w:ascii="Arial Narrow" w:hAnsi="Arial Narrow"/>
                                <w:b/>
                                <w:sz w:val="24"/>
                                <w:szCs w:val="24"/>
                              </w:rPr>
                              <w:t>DGCPTN;</w:t>
                            </w:r>
                            <w:r w:rsidRPr="002E4B5F">
                              <w:rPr>
                                <w:rFonts w:ascii="Arial Narrow" w:hAnsi="Arial Narrow"/>
                                <w:b/>
                                <w:sz w:val="24"/>
                                <w:szCs w:val="24"/>
                              </w:rPr>
                              <w:t xml:space="preserve"> </w:t>
                            </w:r>
                          </w:p>
                          <w:p w:rsidR="00B6053B" w:rsidRPr="002E4B5F" w:rsidRDefault="00B6053B" w:rsidP="002E4B5F">
                            <w:pPr>
                              <w:jc w:val="center"/>
                              <w:rPr>
                                <w:rFonts w:ascii="Arial Narrow" w:hAnsi="Arial Narrow"/>
                                <w:b/>
                                <w:sz w:val="24"/>
                                <w:szCs w:val="24"/>
                              </w:rPr>
                            </w:pPr>
                            <w:r w:rsidRPr="002E4B5F">
                              <w:rPr>
                                <w:rFonts w:ascii="Arial Narrow" w:hAnsi="Arial Narrow"/>
                                <w:b/>
                                <w:sz w:val="24"/>
                                <w:szCs w:val="24"/>
                              </w:rPr>
                              <w:t>Subdirección de Tesorería</w:t>
                            </w:r>
                            <w:r>
                              <w:rPr>
                                <w:rFonts w:ascii="Arial Narrow" w:hAnsi="Arial Narrow"/>
                                <w:b/>
                                <w:sz w:val="24"/>
                                <w:szCs w:val="24"/>
                              </w:rPr>
                              <w:t>;</w:t>
                            </w:r>
                          </w:p>
                          <w:p w:rsidR="00B6053B" w:rsidRPr="002E4B5F" w:rsidRDefault="00B6053B" w:rsidP="002E4B5F">
                            <w:pPr>
                              <w:jc w:val="center"/>
                              <w:rPr>
                                <w:rFonts w:ascii="Arial Narrow" w:hAnsi="Arial Narrow"/>
                                <w:b/>
                                <w:sz w:val="24"/>
                                <w:szCs w:val="24"/>
                              </w:rPr>
                            </w:pPr>
                            <w:r w:rsidRPr="002E4B5F">
                              <w:rPr>
                                <w:rFonts w:ascii="Arial Narrow" w:hAnsi="Arial Narrow"/>
                                <w:b/>
                                <w:sz w:val="24"/>
                                <w:szCs w:val="24"/>
                              </w:rPr>
                              <w:t>Subdirección de Operaciones</w:t>
                            </w:r>
                          </w:p>
                          <w:p w:rsidR="00B6053B" w:rsidRPr="002E4B5F" w:rsidRDefault="00B6053B" w:rsidP="002E4B5F">
                            <w:pPr>
                              <w:jc w:val="center"/>
                              <w:rPr>
                                <w:rFonts w:ascii="Arial Narrow" w:hAnsi="Arial Narrow"/>
                                <w:sz w:val="24"/>
                                <w:szCs w:val="24"/>
                              </w:rPr>
                            </w:pPr>
                            <w:r w:rsidRPr="002E4B5F">
                              <w:rPr>
                                <w:rFonts w:ascii="Arial Narrow" w:hAnsi="Arial Narrow"/>
                                <w:sz w:val="24"/>
                                <w:szCs w:val="24"/>
                              </w:rPr>
                              <w:t>(6) Recibe análisis de riesgo de monitoreo de Controles y límites establecidos en las Políticas.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margin-left:3.9pt;margin-top:9.4pt;width:189.55pt;height:10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">
                <v:textbox>
                  <w:txbxContent>
                    <w:p w:rsidR="00B6053B" w:rsidRPr="002E4B5F" w:rsidRDefault="00B6053B" w:rsidP="002E4B5F">
                      <w:pPr>
                        <w:jc w:val="center"/>
                        <w:rPr>
                          <w:rFonts w:ascii="Arial Narrow" w:hAnsi="Arial Narrow"/>
                          <w:b/>
                          <w:sz w:val="24"/>
                          <w:szCs w:val="24"/>
                        </w:rPr>
                      </w:pPr>
                      <w:r>
                        <w:rPr>
                          <w:rFonts w:ascii="Arial Narrow" w:hAnsi="Arial Narrow"/>
                          <w:b/>
                          <w:sz w:val="24"/>
                          <w:szCs w:val="24"/>
                        </w:rPr>
                        <w:t>DGCPTN;</w:t>
                      </w:r>
                      <w:r w:rsidRPr="002E4B5F">
                        <w:rPr>
                          <w:rFonts w:ascii="Arial Narrow" w:hAnsi="Arial Narrow"/>
                          <w:b/>
                          <w:sz w:val="24"/>
                          <w:szCs w:val="24"/>
                        </w:rPr>
                        <w:t xml:space="preserve"> </w:t>
                      </w:r>
                    </w:p>
                    <w:p w:rsidR="00B6053B" w:rsidRPr="002E4B5F" w:rsidRDefault="00B6053B" w:rsidP="002E4B5F">
                      <w:pPr>
                        <w:jc w:val="center"/>
                        <w:rPr>
                          <w:rFonts w:ascii="Arial Narrow" w:hAnsi="Arial Narrow"/>
                          <w:b/>
                          <w:sz w:val="24"/>
                          <w:szCs w:val="24"/>
                        </w:rPr>
                      </w:pPr>
                      <w:r w:rsidRPr="002E4B5F">
                        <w:rPr>
                          <w:rFonts w:ascii="Arial Narrow" w:hAnsi="Arial Narrow"/>
                          <w:b/>
                          <w:sz w:val="24"/>
                          <w:szCs w:val="24"/>
                        </w:rPr>
                        <w:t>Subdirección de Tesorería</w:t>
                      </w:r>
                      <w:r>
                        <w:rPr>
                          <w:rFonts w:ascii="Arial Narrow" w:hAnsi="Arial Narrow"/>
                          <w:b/>
                          <w:sz w:val="24"/>
                          <w:szCs w:val="24"/>
                        </w:rPr>
                        <w:t>;</w:t>
                      </w:r>
                    </w:p>
                    <w:p w:rsidR="00B6053B" w:rsidRPr="002E4B5F" w:rsidRDefault="00B6053B" w:rsidP="002E4B5F">
                      <w:pPr>
                        <w:jc w:val="center"/>
                        <w:rPr>
                          <w:rFonts w:ascii="Arial Narrow" w:hAnsi="Arial Narrow"/>
                          <w:b/>
                          <w:sz w:val="24"/>
                          <w:szCs w:val="24"/>
                        </w:rPr>
                      </w:pPr>
                      <w:r w:rsidRPr="002E4B5F">
                        <w:rPr>
                          <w:rFonts w:ascii="Arial Narrow" w:hAnsi="Arial Narrow"/>
                          <w:b/>
                          <w:sz w:val="24"/>
                          <w:szCs w:val="24"/>
                        </w:rPr>
                        <w:t>Subdirección de Operaciones</w:t>
                      </w:r>
                    </w:p>
                    <w:p w:rsidR="00B6053B" w:rsidRPr="002E4B5F" w:rsidRDefault="00B6053B" w:rsidP="002E4B5F">
                      <w:pPr>
                        <w:jc w:val="center"/>
                        <w:rPr>
                          <w:rFonts w:ascii="Arial Narrow" w:hAnsi="Arial Narrow"/>
                          <w:sz w:val="24"/>
                          <w:szCs w:val="24"/>
                        </w:rPr>
                      </w:pPr>
                      <w:r w:rsidRPr="002E4B5F">
                        <w:rPr>
                          <w:rFonts w:ascii="Arial Narrow" w:hAnsi="Arial Narrow"/>
                          <w:sz w:val="24"/>
                          <w:szCs w:val="24"/>
                        </w:rPr>
                        <w:t>(6) Recibe análisis de riesgo de monitoreo de Controles y límites establecidos en las Políticas.</w:t>
                      </w:r>
                    </w:p>
                  </w:txbxContent>
                </v:textbox>
              </v:shape>
            </w:pict>
          </mc:Fallback>
        </mc:AlternateContent>
      </w: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2452370</wp:posOffset>
                </wp:positionH>
                <wp:positionV relativeFrom="paragraph">
                  <wp:posOffset>139700</wp:posOffset>
                </wp:positionV>
                <wp:extent cx="804545" cy="451485"/>
                <wp:effectExtent l="0" t="0" r="0" b="5715"/>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3B" w:rsidRPr="00142FEF" w:rsidRDefault="00B6053B" w:rsidP="002E4B5F">
                            <w:pPr>
                              <w:jc w:val="center"/>
                              <w:rPr>
                                <w:rFonts w:ascii="Arial Narrow" w:hAnsi="Arial Narrow"/>
                                <w:szCs w:val="22"/>
                              </w:rPr>
                            </w:pPr>
                            <w:r w:rsidRPr="00142FEF">
                              <w:rPr>
                                <w:rFonts w:ascii="Arial Narrow" w:hAnsi="Arial Narrow"/>
                                <w:szCs w:val="22"/>
                              </w:rPr>
                              <w:t>Transmite</w:t>
                            </w:r>
                          </w:p>
                          <w:p w:rsidR="00B6053B" w:rsidRPr="00142FEF" w:rsidRDefault="00B6053B" w:rsidP="002E4B5F">
                            <w:pPr>
                              <w:jc w:val="center"/>
                              <w:rPr>
                                <w:rFonts w:ascii="Arial Narrow" w:hAnsi="Arial Narrow"/>
                                <w:szCs w:val="22"/>
                              </w:rPr>
                            </w:pPr>
                            <w:r w:rsidRPr="00142FEF">
                              <w:rPr>
                                <w:rFonts w:ascii="Arial Narrow" w:hAnsi="Arial Narrow"/>
                                <w:szCs w:val="22"/>
                              </w:rPr>
                              <w:t>Información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4" type="#_x0000_t202" style="position:absolute;margin-left:193.1pt;margin-top:11pt;width:63.35pt;height:3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mkuQIAAMI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" filled="f" stroked="f">
                <v:textbox>
                  <w:txbxContent>
                    <w:p w:rsidR="00B6053B" w:rsidRPr="00142FEF" w:rsidRDefault="00B6053B" w:rsidP="002E4B5F">
                      <w:pPr>
                        <w:jc w:val="center"/>
                        <w:rPr>
                          <w:rFonts w:ascii="Arial Narrow" w:hAnsi="Arial Narrow"/>
                          <w:szCs w:val="22"/>
                        </w:rPr>
                      </w:pPr>
                      <w:r w:rsidRPr="00142FEF">
                        <w:rPr>
                          <w:rFonts w:ascii="Arial Narrow" w:hAnsi="Arial Narrow"/>
                          <w:szCs w:val="22"/>
                        </w:rPr>
                        <w:t>Transmite</w:t>
                      </w:r>
                    </w:p>
                    <w:p w:rsidR="00B6053B" w:rsidRPr="00142FEF" w:rsidRDefault="00B6053B" w:rsidP="002E4B5F">
                      <w:pPr>
                        <w:jc w:val="center"/>
                        <w:rPr>
                          <w:rFonts w:ascii="Arial Narrow" w:hAnsi="Arial Narrow"/>
                          <w:szCs w:val="22"/>
                        </w:rPr>
                      </w:pPr>
                      <w:r w:rsidRPr="00142FEF">
                        <w:rPr>
                          <w:rFonts w:ascii="Arial Narrow" w:hAnsi="Arial Narrow"/>
                          <w:szCs w:val="22"/>
                        </w:rPr>
                        <w:t>Información</w:t>
                      </w:r>
                    </w:p>
                  </w:txbxContent>
                </v:textbox>
              </v:shape>
            </w:pict>
          </mc:Fallback>
        </mc:AlternateContent>
      </w:r>
      <w:r w:rsidRPr="008C65ED">
        <w:rPr>
          <w:rFonts w:ascii="Arial Narrow" w:hAnsi="Arial Narrow"/>
          <w:noProof/>
          <w:lang w:val="en-US" w:eastAsia="en-US"/>
        </w:rPr>
        <mc:AlternateContent>
          <mc:Choice Requires="wps">
            <w:drawing>
              <wp:anchor distT="0" distB="0" distL="114300" distR="114300" simplePos="0" relativeHeight="251683840" behindDoc="0" locked="0" layoutInCell="1" allowOverlap="1">
                <wp:simplePos x="0" y="0"/>
                <wp:positionH relativeFrom="column">
                  <wp:posOffset>3275965</wp:posOffset>
                </wp:positionH>
                <wp:positionV relativeFrom="paragraph">
                  <wp:posOffset>86995</wp:posOffset>
                </wp:positionV>
                <wp:extent cx="2289810" cy="1353820"/>
                <wp:effectExtent l="0" t="0" r="15240" b="1778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353820"/>
                        </a:xfrm>
                        <a:prstGeom prst="rect">
                          <a:avLst/>
                        </a:prstGeom>
                        <a:solidFill>
                          <a:srgbClr val="FFFFFF"/>
                        </a:solidFill>
                        <a:ln w="9525">
                          <a:solidFill>
                            <a:srgbClr val="000000"/>
                          </a:solidFill>
                          <a:miter lim="800000"/>
                          <a:headEnd/>
                          <a:tailEnd/>
                        </a:ln>
                      </wps:spPr>
                      <wps:txbx>
                        <w:txbxContent>
                          <w:p w:rsidR="00B6053B" w:rsidRPr="002E4B5F" w:rsidRDefault="00B6053B" w:rsidP="002E4B5F">
                            <w:pPr>
                              <w:jc w:val="center"/>
                              <w:rPr>
                                <w:rFonts w:ascii="Arial Narrow" w:hAnsi="Arial Narrow"/>
                                <w:sz w:val="24"/>
                              </w:rPr>
                            </w:pPr>
                            <w:r w:rsidRPr="002E4B5F">
                              <w:rPr>
                                <w:rFonts w:ascii="Arial Narrow" w:hAnsi="Arial Narrow"/>
                                <w:b/>
                                <w:sz w:val="24"/>
                              </w:rPr>
                              <w:t>Reunión de Administración de Riesgo</w:t>
                            </w:r>
                          </w:p>
                          <w:p w:rsidR="00B6053B" w:rsidRPr="002E4B5F" w:rsidRDefault="00B6053B" w:rsidP="002E4B5F">
                            <w:pPr>
                              <w:jc w:val="center"/>
                              <w:rPr>
                                <w:rFonts w:ascii="Arial Narrow" w:hAnsi="Arial Narrow"/>
                                <w:sz w:val="24"/>
                              </w:rPr>
                            </w:pPr>
                            <w:r w:rsidRPr="002E4B5F">
                              <w:rPr>
                                <w:rFonts w:ascii="Arial Narrow" w:hAnsi="Arial Narrow"/>
                                <w:sz w:val="24"/>
                              </w:rPr>
                              <w:t>(7) Recibe los reportes de riesgo. Propone recomendaciones y se pronuncia sobre los incumplimientos.</w:t>
                            </w:r>
                          </w:p>
                          <w:p w:rsidR="00B6053B" w:rsidRPr="002E4B5F" w:rsidRDefault="00B6053B" w:rsidP="002E4B5F">
                            <w:pPr>
                              <w:jc w:val="center"/>
                              <w:rPr>
                                <w:rFonts w:ascii="Arial Narrow" w:hAnsi="Arial Narrow"/>
                                <w:sz w:val="24"/>
                              </w:rPr>
                            </w:pPr>
                            <w:r w:rsidRPr="002E4B5F">
                              <w:rPr>
                                <w:rFonts w:ascii="Arial Narrow" w:hAnsi="Arial Narrow"/>
                                <w:sz w:val="24"/>
                              </w:rPr>
                              <w:t>Aprueba límites, políticas y metodologías de riesgos.</w:t>
                            </w:r>
                          </w:p>
                          <w:p w:rsidR="00B6053B" w:rsidRPr="002E4B5F" w:rsidRDefault="00B6053B" w:rsidP="002E4B5F">
                            <w:pPr>
                              <w:jc w:val="center"/>
                              <w:rPr>
                                <w:rFonts w:ascii="Arial Narrow" w:hAnsi="Arial Narrow"/>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5" type="#_x0000_t202" style="position:absolute;margin-left:257.95pt;margin-top:6.85pt;width:180.3pt;height:10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">
                <v:textbox>
                  <w:txbxContent>
                    <w:p w:rsidR="00B6053B" w:rsidRPr="002E4B5F" w:rsidRDefault="00B6053B" w:rsidP="002E4B5F">
                      <w:pPr>
                        <w:jc w:val="center"/>
                        <w:rPr>
                          <w:rFonts w:ascii="Arial Narrow" w:hAnsi="Arial Narrow"/>
                          <w:sz w:val="24"/>
                        </w:rPr>
                      </w:pPr>
                      <w:r w:rsidRPr="002E4B5F">
                        <w:rPr>
                          <w:rFonts w:ascii="Arial Narrow" w:hAnsi="Arial Narrow"/>
                          <w:b/>
                          <w:sz w:val="24"/>
                        </w:rPr>
                        <w:t>Reunión de Administración de Riesgo</w:t>
                      </w:r>
                    </w:p>
                    <w:p w:rsidR="00B6053B" w:rsidRPr="002E4B5F" w:rsidRDefault="00B6053B" w:rsidP="002E4B5F">
                      <w:pPr>
                        <w:jc w:val="center"/>
                        <w:rPr>
                          <w:rFonts w:ascii="Arial Narrow" w:hAnsi="Arial Narrow"/>
                          <w:sz w:val="24"/>
                        </w:rPr>
                      </w:pPr>
                      <w:r w:rsidRPr="002E4B5F">
                        <w:rPr>
                          <w:rFonts w:ascii="Arial Narrow" w:hAnsi="Arial Narrow"/>
                          <w:sz w:val="24"/>
                        </w:rPr>
                        <w:t>(7) Recibe los reportes de riesgo. Propone recomendaciones y se pronuncia sobre los incumplimientos.</w:t>
                      </w:r>
                    </w:p>
                    <w:p w:rsidR="00B6053B" w:rsidRPr="002E4B5F" w:rsidRDefault="00B6053B" w:rsidP="002E4B5F">
                      <w:pPr>
                        <w:jc w:val="center"/>
                        <w:rPr>
                          <w:rFonts w:ascii="Arial Narrow" w:hAnsi="Arial Narrow"/>
                          <w:sz w:val="24"/>
                        </w:rPr>
                      </w:pPr>
                      <w:r w:rsidRPr="002E4B5F">
                        <w:rPr>
                          <w:rFonts w:ascii="Arial Narrow" w:hAnsi="Arial Narrow"/>
                          <w:sz w:val="24"/>
                        </w:rPr>
                        <w:t>Aprueba límites, políticas y metodologías de riesgos.</w:t>
                      </w:r>
                    </w:p>
                    <w:p w:rsidR="00B6053B" w:rsidRPr="002E4B5F" w:rsidRDefault="00B6053B" w:rsidP="002E4B5F">
                      <w:pPr>
                        <w:jc w:val="center"/>
                        <w:rPr>
                          <w:rFonts w:ascii="Arial Narrow" w:hAnsi="Arial Narrow"/>
                          <w:sz w:val="24"/>
                        </w:rPr>
                      </w:pPr>
                    </w:p>
                  </w:txbxContent>
                </v:textbox>
              </v:shape>
            </w:pict>
          </mc:Fallback>
        </mc:AlternateContent>
      </w: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82A5C" w:rsidP="002E4B5F">
      <w:pPr>
        <w:rPr>
          <w:rFonts w:ascii="Arial Narrow" w:hAnsi="Arial Narrow" w:cs="Arial"/>
        </w:rPr>
      </w:pPr>
      <w:r w:rsidRPr="008C65ED">
        <w:rPr>
          <w:rFonts w:ascii="Arial Narrow" w:hAnsi="Arial Narrow"/>
          <w:noProof/>
          <w:lang w:val="en-US" w:eastAsia="en-US"/>
        </w:rPr>
        <mc:AlternateContent>
          <mc:Choice Requires="wps">
            <w:drawing>
              <wp:anchor distT="0" distB="0" distL="114300" distR="114300" simplePos="0" relativeHeight="251684864" behindDoc="0" locked="0" layoutInCell="1" allowOverlap="1">
                <wp:simplePos x="0" y="0"/>
                <wp:positionH relativeFrom="column">
                  <wp:posOffset>2456815</wp:posOffset>
                </wp:positionH>
                <wp:positionV relativeFrom="paragraph">
                  <wp:posOffset>104775</wp:posOffset>
                </wp:positionV>
                <wp:extent cx="828040" cy="635"/>
                <wp:effectExtent l="0" t="76200" r="29210" b="9461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bentConnector3">
                          <a:avLst>
                            <a:gd name="adj1" fmla="val 5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35DDC0" id="AutoShape 13" o:spid="_x0000_s1026" type="#_x0000_t34" style="position:absolute;margin-left:193.45pt;margin-top:8.25pt;width:65.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718TwIAAJcEAAAOAAAAZHJzL2Uyb0RvYy54bWysVE1v2zAMvQ/YfxB0T20nTpYacYrCTnbp tgLtfoAiybE2fUFS4wTD/vso1Qma7TIM80GWLPKR75H06u6oJDpw54XRNS5ucoy4poYJva/x1+ft ZImRD0QzIo3mNT5xj+/W79+tBlvxqemNZNwhANG+GmyN+xBslWWe9lwRf2Ms13DZGadIgKPbZ8yR AdCVzKZ5vsgG45h1hnLv4Wv7eonXCb/rOA1fus7zgGSNIbeQVpfWXVyz9YpUe0dsL+iYBvmHLBQR GoJeoFoSCHpx4g8oJagz3nThhhqVma4TlCcOwKbIf2Pz1BPLExcQx9uLTP7/wdLPh0eHBKvxdIGR JgpqdP8STAqNilkUaLC+ArtGP7pIkR71k30w9LtH2jQ90XuerJ9PFpyL6JFducSDtxBmN3wyDGwI BEhqHTunIiTogI6pKKdLUfgxIAofl9NlXkLpKFwtZvMET6qzp3U+fORGobip8Y7r0Bitoe7GzVIM cnjwIZWGjfwI+1Zg1CkJlT4QieY5PCPuaJ2R6owcXbXZCilTr0iNBhBrXoJLvPJGChZv08Htd410 CFCBR3pG3CszJQI0vRQK2F2MSNVzwjaapTCBCAl7FJKowQmQWXIcYyvOMJIcxi3uotqkkjqGB8lG rlG81H4/bvPbzXKzLCfldLGZlHnbTu63TTlZbIsP83bWNk1b/IxMirLqBWNcRzLnUSjKv2u1cShf m/gyDBfZsmv0lDKkeH6npFPPxDZ5bbidYadHd+4l6P5kPE5qHK+3Z9i//Z+sfwEAAP//AwBQSwME FAAGAAgAAAAhACgadbfdAAAACQEAAA8AAABkcnMvZG93bnJldi54bWxMj8FOwzAMhu9IvENkJG4s HdO6rjSdEBU3hLSuEte08ZqKJqmSrCtvj3eCo/1/+v25OCxmZDP6MDgrYL1KgKHtnBpsL6A5vT9l wEKUVsnRWRTwgwEO5f1dIXPlrvaIcx17RiU25FKAjnHKOQ+dRiPDyk1oKTs7b2Sk0fdceXmlcjPy 5yRJuZGDpQtaTvimsfuuL0ZAlqlz9eGPba1Pn1XztfB91cxCPD4sry/AIi7xD4abPqlDSU6tu1gV 2Chgk6V7QilIt8AI2K53G2DtbZECLwv+/4PyFwAA//8DAFBLAQItABQABgAIAAAAIQC2gziS/gAA AOEBAAATAAAAAAAAAAAAAAAAAAAAAABbQ29udGVudF9UeXBlc10ueG1sUEsBAi0AFAAGAAgAAAAh ADj9If/WAAAAlAEAAAsAAAAAAAAAAAAAAAAALwEAAF9yZWxzLy5yZWxzUEsBAi0AFAAGAAgAAAAh AIi3vXxPAgAAlwQAAA4AAAAAAAAAAAAAAAAALgIAAGRycy9lMm9Eb2MueG1sUEsBAi0AFAAGAAgA AAAhACgadbfdAAAACQEAAA8AAAAAAAAAAAAAAAAAqQQAAGRycy9kb3ducmV2LnhtbFBLBQYAAAAA BAAEAPMAAACzBQAAAAA= " strokeweight="2pt">
                <v:stroke endarrow="block"/>
              </v:shape>
            </w:pict>
          </mc:Fallback>
        </mc:AlternateContent>
      </w: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E4B5F" w:rsidP="002E4B5F">
      <w:pPr>
        <w:rPr>
          <w:rFonts w:ascii="Arial Narrow" w:hAnsi="Arial Narrow" w:cs="Arial"/>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En la Subdirección de Riesgo se formulan las políticas de inversión y se definen los límites con la respectiva aprobación en la Reunión de Administración de Riesgo y posterior ratificación por parte del Director de Crédito Público y Tesoro Nacional.</w:t>
      </w:r>
    </w:p>
    <w:p w:rsidR="002E4B5F" w:rsidRPr="008C65ED" w:rsidRDefault="002E4B5F" w:rsidP="002E4B5F">
      <w:pPr>
        <w:pStyle w:val="Prrafodelista"/>
        <w:ind w:left="720"/>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La Subdirección de Tesorería realiza las operaciones a través de los sistemas transaccionales y de registro.</w:t>
      </w:r>
    </w:p>
    <w:p w:rsidR="002E4B5F" w:rsidRPr="008C65ED" w:rsidRDefault="002E4B5F" w:rsidP="002E4B5F">
      <w:pPr>
        <w:pStyle w:val="Prrafodelista"/>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La Subdirección de Operaciones realiza la complementación y cumplimiento de las operaciones realizadas por la Subdirección de Tesorería.</w:t>
      </w:r>
    </w:p>
    <w:p w:rsidR="002E4B5F" w:rsidRPr="008C65ED" w:rsidRDefault="002E4B5F" w:rsidP="002E4B5F">
      <w:pPr>
        <w:pStyle w:val="Prrafodelista"/>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Diariamente, la Subdirección de Operaciones realiza la valoración y cierre contable de las operaciones realizadas en la Tesorería.</w:t>
      </w:r>
    </w:p>
    <w:p w:rsidR="002E4B5F" w:rsidRPr="008C65ED" w:rsidRDefault="002E4B5F" w:rsidP="002E4B5F">
      <w:pPr>
        <w:pStyle w:val="Prrafodelista"/>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 xml:space="preserve">La Subdirección de Riesgo realiza diariamente el análisis de valoración y riesgo de mercado de los portafolios constituidos para detectar y registrar posibles sobrepasos a los límites y demás incumplimientos a las políticas establecidas. </w:t>
      </w:r>
    </w:p>
    <w:p w:rsidR="002E4B5F" w:rsidRPr="008C65ED" w:rsidRDefault="002E4B5F" w:rsidP="002E4B5F">
      <w:pPr>
        <w:pStyle w:val="Prrafodelista"/>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cs="Arial"/>
          <w:sz w:val="24"/>
        </w:rPr>
      </w:pPr>
      <w:r w:rsidRPr="008C65ED">
        <w:rPr>
          <w:rFonts w:ascii="Arial Narrow" w:hAnsi="Arial Narrow" w:cs="Arial"/>
          <w:sz w:val="24"/>
        </w:rPr>
        <w:t xml:space="preserve">Los reportes realizados por la Subdirección de Riesgo serán remitidos diariamente al Director General de Crédito Público y Tesoro Nacional y las Subdirecciones de Tesorería y de Operaciones. </w:t>
      </w:r>
    </w:p>
    <w:p w:rsidR="002E4B5F" w:rsidRPr="008C65ED" w:rsidRDefault="002E4B5F" w:rsidP="002E4B5F">
      <w:pPr>
        <w:pStyle w:val="Prrafodelista"/>
        <w:jc w:val="both"/>
        <w:rPr>
          <w:rFonts w:ascii="Arial Narrow" w:hAnsi="Arial Narrow" w:cs="Arial"/>
          <w:sz w:val="24"/>
        </w:rPr>
      </w:pPr>
    </w:p>
    <w:p w:rsidR="002E4B5F" w:rsidRPr="008C65ED" w:rsidRDefault="002E4B5F" w:rsidP="00C408EF">
      <w:pPr>
        <w:pStyle w:val="Prrafodelista"/>
        <w:numPr>
          <w:ilvl w:val="0"/>
          <w:numId w:val="24"/>
        </w:numPr>
        <w:jc w:val="both"/>
        <w:rPr>
          <w:rFonts w:ascii="Arial Narrow" w:hAnsi="Arial Narrow"/>
          <w:sz w:val="24"/>
        </w:rPr>
      </w:pPr>
      <w:r w:rsidRPr="008C65ED">
        <w:rPr>
          <w:rFonts w:ascii="Arial Narrow" w:hAnsi="Arial Narrow" w:cs="Arial"/>
          <w:sz w:val="24"/>
        </w:rPr>
        <w:t xml:space="preserve"> Se presentará un resumen de lo ocurrido con los Lineamientos de Riesgo en la Reunión de Administración de riesgos y con base en esto, se tomarán las medidas necesarias para </w:t>
      </w:r>
      <w:r w:rsidR="003F18DA" w:rsidRPr="008C65ED">
        <w:rPr>
          <w:rFonts w:ascii="Arial Narrow" w:hAnsi="Arial Narrow" w:cs="Arial"/>
          <w:sz w:val="24"/>
        </w:rPr>
        <w:t xml:space="preserve">las </w:t>
      </w:r>
      <w:r w:rsidRPr="008C65ED">
        <w:rPr>
          <w:rFonts w:ascii="Arial Narrow" w:hAnsi="Arial Narrow" w:cs="Arial"/>
          <w:sz w:val="24"/>
        </w:rPr>
        <w:t>decisiones en la gestión de los riesgos de la DGCPTN.</w:t>
      </w:r>
    </w:p>
    <w:p w:rsidR="002E4B5F" w:rsidRPr="008C65ED" w:rsidRDefault="002E4B5F" w:rsidP="002E4B5F">
      <w:pPr>
        <w:jc w:val="both"/>
        <w:rPr>
          <w:rFonts w:ascii="Arial Narrow" w:hAnsi="Arial Narrow"/>
          <w:sz w:val="24"/>
        </w:rPr>
      </w:pPr>
    </w:p>
    <w:p w:rsidR="003C686A" w:rsidRPr="008C65ED" w:rsidRDefault="004F3D11" w:rsidP="00BC5018">
      <w:pPr>
        <w:pStyle w:val="Ttulo3"/>
      </w:pPr>
      <w:bookmarkStart w:id="47" w:name="_Toc80191585"/>
      <w:r w:rsidRPr="008C65ED">
        <w:t xml:space="preserve">Reportes de </w:t>
      </w:r>
      <w:r w:rsidR="00874584" w:rsidRPr="008C65ED">
        <w:t>I</w:t>
      </w:r>
      <w:r w:rsidRPr="008C65ED">
        <w:t xml:space="preserve">nformación sobre las </w:t>
      </w:r>
      <w:r w:rsidR="00874584" w:rsidRPr="008C65ED">
        <w:t>O</w:t>
      </w:r>
      <w:r w:rsidRPr="008C65ED">
        <w:t>peraciones de Tesorería</w:t>
      </w:r>
      <w:bookmarkEnd w:id="47"/>
    </w:p>
    <w:p w:rsidR="004F3D11" w:rsidRPr="008C65ED" w:rsidRDefault="004F3D11" w:rsidP="004F3D11">
      <w:pPr>
        <w:rPr>
          <w:rFonts w:ascii="Arial Narrow" w:hAnsi="Arial Narrow"/>
        </w:rPr>
      </w:pPr>
    </w:p>
    <w:p w:rsidR="004F3D11" w:rsidRPr="008C65ED" w:rsidRDefault="004F3D11" w:rsidP="004F3D11">
      <w:pPr>
        <w:pStyle w:val="Prrafodelista"/>
        <w:ind w:left="0"/>
        <w:jc w:val="both"/>
        <w:rPr>
          <w:rFonts w:ascii="Arial Narrow" w:hAnsi="Arial Narrow" w:cs="Arial"/>
          <w:sz w:val="24"/>
          <w:szCs w:val="24"/>
        </w:rPr>
      </w:pPr>
      <w:r w:rsidRPr="008C65ED">
        <w:rPr>
          <w:rFonts w:ascii="Arial Narrow" w:hAnsi="Arial Narrow" w:cs="Arial"/>
          <w:sz w:val="24"/>
          <w:szCs w:val="24"/>
        </w:rPr>
        <w:t>Los siguientes reportes</w:t>
      </w:r>
      <w:r w:rsidR="003F18DA" w:rsidRPr="008C65ED">
        <w:rPr>
          <w:rFonts w:ascii="Arial Narrow" w:hAnsi="Arial Narrow" w:cs="Arial"/>
          <w:sz w:val="24"/>
          <w:szCs w:val="24"/>
        </w:rPr>
        <w:t xml:space="preserve"> son</w:t>
      </w:r>
      <w:r w:rsidR="00475830" w:rsidRPr="008C65ED">
        <w:rPr>
          <w:rFonts w:ascii="Arial Narrow" w:hAnsi="Arial Narrow" w:cs="Arial"/>
          <w:sz w:val="24"/>
          <w:szCs w:val="24"/>
        </w:rPr>
        <w:t xml:space="preserve"> </w:t>
      </w:r>
      <w:r w:rsidRPr="008C65ED">
        <w:rPr>
          <w:rFonts w:ascii="Arial Narrow" w:hAnsi="Arial Narrow" w:cs="Arial"/>
          <w:sz w:val="24"/>
          <w:szCs w:val="24"/>
        </w:rPr>
        <w:t>remitidos al Director General de Crédito Público con copia a la Subdirección de Tesorería y a la Subdirección de Operaciones.</w:t>
      </w:r>
    </w:p>
    <w:p w:rsidR="004F3D11" w:rsidRPr="008C65ED" w:rsidRDefault="004F3D11" w:rsidP="004F3D11">
      <w:pPr>
        <w:pStyle w:val="Prrafodelista"/>
        <w:ind w:left="0"/>
        <w:jc w:val="both"/>
        <w:rPr>
          <w:rFonts w:ascii="Arial Narrow" w:hAnsi="Arial Narrow" w:cs="Arial"/>
          <w:sz w:val="24"/>
          <w:szCs w:val="24"/>
        </w:rPr>
      </w:pPr>
    </w:p>
    <w:p w:rsidR="005D7F83" w:rsidRPr="008C65ED" w:rsidRDefault="005D7F83" w:rsidP="00C408EF">
      <w:pPr>
        <w:pStyle w:val="Prrafodelista"/>
        <w:numPr>
          <w:ilvl w:val="0"/>
          <w:numId w:val="26"/>
        </w:numPr>
        <w:jc w:val="both"/>
        <w:rPr>
          <w:rFonts w:ascii="Arial Narrow" w:hAnsi="Arial Narrow" w:cs="Arial"/>
          <w:sz w:val="24"/>
          <w:szCs w:val="24"/>
        </w:rPr>
      </w:pPr>
      <w:r w:rsidRPr="008C65ED">
        <w:rPr>
          <w:rFonts w:ascii="Arial Narrow" w:hAnsi="Arial Narrow" w:cs="Arial"/>
          <w:b/>
          <w:sz w:val="24"/>
          <w:szCs w:val="24"/>
        </w:rPr>
        <w:t>Seguimiento de política</w:t>
      </w:r>
      <w:r w:rsidR="003F18DA" w:rsidRPr="008C65ED">
        <w:rPr>
          <w:rFonts w:ascii="Arial Narrow" w:hAnsi="Arial Narrow" w:cs="Arial"/>
          <w:b/>
          <w:sz w:val="24"/>
          <w:szCs w:val="24"/>
        </w:rPr>
        <w:t>s y lineamientos de riesgo del p</w:t>
      </w:r>
      <w:r w:rsidRPr="008C65ED">
        <w:rPr>
          <w:rFonts w:ascii="Arial Narrow" w:hAnsi="Arial Narrow" w:cs="Arial"/>
          <w:b/>
          <w:sz w:val="24"/>
          <w:szCs w:val="24"/>
        </w:rPr>
        <w:t>ortafolio</w:t>
      </w:r>
      <w:r w:rsidRPr="008C65ED">
        <w:rPr>
          <w:rFonts w:ascii="Arial Narrow" w:hAnsi="Arial Narrow" w:cs="Arial"/>
          <w:sz w:val="24"/>
          <w:szCs w:val="24"/>
        </w:rPr>
        <w:t xml:space="preserve">: Este informe es elaborado por la Subdirección de Riesgo. Consta de dos secciones </w:t>
      </w:r>
      <w:r w:rsidR="003F18DA" w:rsidRPr="008C65ED">
        <w:rPr>
          <w:rFonts w:ascii="Arial Narrow" w:hAnsi="Arial Narrow" w:cs="Arial"/>
          <w:b/>
          <w:sz w:val="24"/>
          <w:szCs w:val="24"/>
        </w:rPr>
        <w:t>a)</w:t>
      </w:r>
      <w:r w:rsidRPr="008C65ED">
        <w:rPr>
          <w:rFonts w:ascii="Arial Narrow" w:hAnsi="Arial Narrow" w:cs="Arial"/>
          <w:sz w:val="24"/>
          <w:szCs w:val="24"/>
        </w:rPr>
        <w:t xml:space="preserve"> se informa el estado de los límites establecidos respecto a composición del portafolio por concentración por emisor, calificación </w:t>
      </w:r>
      <w:r w:rsidR="003F18DA" w:rsidRPr="008C65ED">
        <w:rPr>
          <w:rFonts w:ascii="Arial Narrow" w:hAnsi="Arial Narrow" w:cs="Arial"/>
          <w:sz w:val="24"/>
          <w:szCs w:val="24"/>
        </w:rPr>
        <w:t xml:space="preserve">crediticia y tipo de inversión, al igual que el </w:t>
      </w:r>
      <w:r w:rsidRPr="008C65ED">
        <w:rPr>
          <w:rFonts w:ascii="Arial Narrow" w:hAnsi="Arial Narrow" w:cs="Arial"/>
          <w:sz w:val="24"/>
          <w:szCs w:val="24"/>
        </w:rPr>
        <w:t>seguimiento a la utilización de cupos, valoración del portafolio y plazo pactado de los créditos de la Naci</w:t>
      </w:r>
      <w:r w:rsidR="003F18DA" w:rsidRPr="008C65ED">
        <w:rPr>
          <w:rFonts w:ascii="Arial Narrow" w:hAnsi="Arial Narrow" w:cs="Arial"/>
          <w:sz w:val="24"/>
          <w:szCs w:val="24"/>
        </w:rPr>
        <w:t>ón con los Fondos Administrados y</w:t>
      </w:r>
      <w:r w:rsidRPr="008C65ED">
        <w:rPr>
          <w:rFonts w:ascii="Arial Narrow" w:hAnsi="Arial Narrow" w:cs="Arial"/>
          <w:sz w:val="24"/>
          <w:szCs w:val="24"/>
        </w:rPr>
        <w:t xml:space="preserve"> </w:t>
      </w:r>
      <w:r w:rsidR="003F18DA" w:rsidRPr="008C65ED">
        <w:rPr>
          <w:rFonts w:ascii="Arial Narrow" w:hAnsi="Arial Narrow" w:cs="Arial"/>
          <w:b/>
          <w:sz w:val="24"/>
          <w:szCs w:val="24"/>
        </w:rPr>
        <w:t>b)</w:t>
      </w:r>
      <w:r w:rsidR="003F18DA" w:rsidRPr="008C65ED">
        <w:rPr>
          <w:rFonts w:ascii="Arial Narrow" w:hAnsi="Arial Narrow" w:cs="Arial"/>
          <w:sz w:val="24"/>
          <w:szCs w:val="24"/>
        </w:rPr>
        <w:t xml:space="preserve"> </w:t>
      </w:r>
      <w:r w:rsidRPr="008C65ED">
        <w:rPr>
          <w:rFonts w:ascii="Arial Narrow" w:hAnsi="Arial Narrow" w:cs="Arial"/>
          <w:sz w:val="24"/>
          <w:szCs w:val="24"/>
        </w:rPr>
        <w:t xml:space="preserve">seguimiento a los lineamientos específicos de las operaciones simultáneas. </w:t>
      </w:r>
    </w:p>
    <w:p w:rsidR="005D7F83" w:rsidRPr="008C65ED" w:rsidRDefault="005D7F83" w:rsidP="005D7F83">
      <w:pPr>
        <w:pStyle w:val="Prrafodelista"/>
        <w:ind w:left="720"/>
        <w:jc w:val="both"/>
        <w:rPr>
          <w:rFonts w:ascii="Arial Narrow" w:hAnsi="Arial Narrow" w:cs="Arial"/>
          <w:sz w:val="24"/>
          <w:szCs w:val="24"/>
        </w:rPr>
      </w:pPr>
    </w:p>
    <w:p w:rsidR="007C6DFB" w:rsidRPr="008C65ED" w:rsidRDefault="007C6DFB" w:rsidP="00C408EF">
      <w:pPr>
        <w:numPr>
          <w:ilvl w:val="0"/>
          <w:numId w:val="25"/>
        </w:numPr>
        <w:jc w:val="both"/>
        <w:rPr>
          <w:rFonts w:ascii="Arial Narrow" w:hAnsi="Arial Narrow" w:cs="Arial"/>
          <w:b/>
          <w:sz w:val="24"/>
          <w:szCs w:val="24"/>
        </w:rPr>
      </w:pPr>
      <w:r w:rsidRPr="008C65ED">
        <w:rPr>
          <w:rFonts w:ascii="Arial Narrow" w:hAnsi="Arial Narrow" w:cs="Arial"/>
          <w:b/>
          <w:sz w:val="24"/>
          <w:szCs w:val="24"/>
        </w:rPr>
        <w:t xml:space="preserve">Reporte de operaciones propias: </w:t>
      </w:r>
      <w:r w:rsidR="00BC0ADE" w:rsidRPr="008C65ED">
        <w:rPr>
          <w:rFonts w:ascii="Arial Narrow" w:hAnsi="Arial Narrow" w:cs="Arial"/>
          <w:sz w:val="24"/>
          <w:szCs w:val="24"/>
        </w:rPr>
        <w:t>E</w:t>
      </w:r>
      <w:r w:rsidRPr="008C65ED">
        <w:rPr>
          <w:rFonts w:ascii="Arial Narrow" w:hAnsi="Arial Narrow" w:cs="Arial"/>
          <w:sz w:val="24"/>
          <w:szCs w:val="24"/>
        </w:rPr>
        <w:t>ste informe es elaborado por la Subdirección de Riesgo. Contiene la información de las operaciones efectuadas en la Tesorería respecto</w:t>
      </w:r>
      <w:r w:rsidR="00A75E56" w:rsidRPr="008C65ED">
        <w:rPr>
          <w:rFonts w:ascii="Arial Narrow" w:hAnsi="Arial Narrow" w:cs="Arial"/>
          <w:sz w:val="24"/>
          <w:szCs w:val="24"/>
        </w:rPr>
        <w:t xml:space="preserve"> a la negociación</w:t>
      </w:r>
      <w:r w:rsidRPr="008C65ED">
        <w:rPr>
          <w:rFonts w:ascii="Arial Narrow" w:hAnsi="Arial Narrow" w:cs="Arial"/>
          <w:sz w:val="24"/>
          <w:szCs w:val="24"/>
        </w:rPr>
        <w:t xml:space="preserve"> en los sistemas transaccionales y las operaciones forzosas y convenidas con las Entidades Públicas</w:t>
      </w:r>
      <w:r w:rsidR="00A75E56" w:rsidRPr="008C65ED">
        <w:rPr>
          <w:rFonts w:ascii="Arial Narrow" w:hAnsi="Arial Narrow" w:cs="Arial"/>
          <w:sz w:val="24"/>
          <w:szCs w:val="24"/>
        </w:rPr>
        <w:t xml:space="preserve"> de compra y venta de títulos TES y de divisas.</w:t>
      </w:r>
      <w:r w:rsidR="00C35E57" w:rsidRPr="008C65ED">
        <w:rPr>
          <w:rFonts w:ascii="Arial Narrow" w:hAnsi="Arial Narrow" w:cs="Arial"/>
          <w:sz w:val="24"/>
          <w:szCs w:val="24"/>
        </w:rPr>
        <w:t xml:space="preserve"> Adicionalmente, se analizan las condiciones pactadas de las operaciones </w:t>
      </w:r>
      <w:r w:rsidR="00CA787C" w:rsidRPr="008C65ED">
        <w:rPr>
          <w:rFonts w:ascii="Arial Narrow" w:hAnsi="Arial Narrow" w:cs="Arial"/>
          <w:sz w:val="24"/>
          <w:szCs w:val="24"/>
        </w:rPr>
        <w:t>respecto al mercado.</w:t>
      </w:r>
    </w:p>
    <w:p w:rsidR="004F3D11" w:rsidRPr="008C65ED" w:rsidRDefault="004F3D11" w:rsidP="00A75E56">
      <w:pPr>
        <w:pStyle w:val="Prrafodelista"/>
        <w:jc w:val="both"/>
        <w:rPr>
          <w:rFonts w:ascii="Arial Narrow" w:hAnsi="Arial Narrow" w:cs="Arial"/>
          <w:sz w:val="24"/>
          <w:szCs w:val="24"/>
        </w:rPr>
      </w:pPr>
    </w:p>
    <w:p w:rsidR="00CA787C" w:rsidRPr="008C65ED" w:rsidRDefault="004F3D11" w:rsidP="00C408EF">
      <w:pPr>
        <w:pStyle w:val="Prrafodelista"/>
        <w:numPr>
          <w:ilvl w:val="0"/>
          <w:numId w:val="25"/>
        </w:numPr>
        <w:jc w:val="both"/>
        <w:rPr>
          <w:rFonts w:ascii="Arial Narrow" w:hAnsi="Arial Narrow" w:cs="Arial"/>
          <w:sz w:val="24"/>
        </w:rPr>
      </w:pPr>
      <w:r w:rsidRPr="008C65ED">
        <w:rPr>
          <w:rFonts w:ascii="Arial Narrow" w:hAnsi="Arial Narrow" w:cs="Arial"/>
          <w:b/>
          <w:sz w:val="24"/>
          <w:szCs w:val="24"/>
        </w:rPr>
        <w:lastRenderedPageBreak/>
        <w:t>Informe de VaR diario:</w:t>
      </w:r>
      <w:r w:rsidR="00BC0ADE" w:rsidRPr="008C65ED">
        <w:rPr>
          <w:rFonts w:ascii="Arial Narrow" w:hAnsi="Arial Narrow" w:cs="Arial"/>
          <w:sz w:val="24"/>
          <w:szCs w:val="24"/>
        </w:rPr>
        <w:t xml:space="preserve"> E</w:t>
      </w:r>
      <w:r w:rsidRPr="008C65ED">
        <w:rPr>
          <w:rFonts w:ascii="Arial Narrow" w:hAnsi="Arial Narrow" w:cs="Arial"/>
          <w:sz w:val="24"/>
          <w:szCs w:val="24"/>
        </w:rPr>
        <w:t>ste informe es elaborado por la Subdirección de Riesgo. Contiene la información relacionada con el valor en riesgo del portafolio vigente de lo</w:t>
      </w:r>
      <w:r w:rsidR="003F18DA" w:rsidRPr="008C65ED">
        <w:rPr>
          <w:rFonts w:ascii="Arial Narrow" w:hAnsi="Arial Narrow" w:cs="Arial"/>
          <w:sz w:val="24"/>
          <w:szCs w:val="24"/>
        </w:rPr>
        <w:t>s excedentes de liquidez de la T</w:t>
      </w:r>
      <w:r w:rsidRPr="008C65ED">
        <w:rPr>
          <w:rFonts w:ascii="Arial Narrow" w:hAnsi="Arial Narrow" w:cs="Arial"/>
          <w:sz w:val="24"/>
          <w:szCs w:val="24"/>
        </w:rPr>
        <w:t>esorería de la Nación junto con el seguimiento de los límites establecidos para la exposición al riesgo de mercado.</w:t>
      </w:r>
    </w:p>
    <w:p w:rsidR="004F3D11" w:rsidRPr="008C65ED" w:rsidRDefault="004F3D11" w:rsidP="00CA787C">
      <w:pPr>
        <w:pStyle w:val="Prrafodelista"/>
        <w:ind w:left="720"/>
        <w:jc w:val="both"/>
        <w:rPr>
          <w:rFonts w:ascii="Arial Narrow" w:hAnsi="Arial Narrow" w:cs="Arial"/>
          <w:sz w:val="24"/>
        </w:rPr>
      </w:pPr>
    </w:p>
    <w:p w:rsidR="004F3D11" w:rsidRPr="008C65ED" w:rsidRDefault="004F3D11" w:rsidP="00C408EF">
      <w:pPr>
        <w:pStyle w:val="Prrafodelista"/>
        <w:numPr>
          <w:ilvl w:val="0"/>
          <w:numId w:val="25"/>
        </w:numPr>
        <w:jc w:val="both"/>
        <w:rPr>
          <w:rFonts w:ascii="Arial Narrow" w:hAnsi="Arial Narrow" w:cs="Arial"/>
          <w:sz w:val="24"/>
          <w:szCs w:val="24"/>
        </w:rPr>
      </w:pPr>
      <w:r w:rsidRPr="008C65ED">
        <w:rPr>
          <w:rFonts w:ascii="Arial Narrow" w:hAnsi="Arial Narrow" w:cs="Arial"/>
          <w:b/>
          <w:sz w:val="24"/>
          <w:szCs w:val="24"/>
        </w:rPr>
        <w:t xml:space="preserve">Informes periódicos de alertas de mercado: </w:t>
      </w:r>
      <w:r w:rsidR="00CA787C" w:rsidRPr="008C65ED">
        <w:rPr>
          <w:rFonts w:ascii="Arial Narrow" w:hAnsi="Arial Narrow" w:cs="Arial"/>
          <w:sz w:val="24"/>
          <w:szCs w:val="24"/>
        </w:rPr>
        <w:t>E</w:t>
      </w:r>
      <w:r w:rsidRPr="008C65ED">
        <w:rPr>
          <w:rFonts w:ascii="Arial Narrow" w:hAnsi="Arial Narrow" w:cs="Arial"/>
          <w:sz w:val="24"/>
          <w:szCs w:val="24"/>
        </w:rPr>
        <w:t>stos informes son elaborados por la Subdirección de Riesgo. Con</w:t>
      </w:r>
      <w:bookmarkStart w:id="48" w:name="_GoBack"/>
      <w:bookmarkEnd w:id="48"/>
      <w:r w:rsidRPr="008C65ED">
        <w:rPr>
          <w:rFonts w:ascii="Arial Narrow" w:hAnsi="Arial Narrow" w:cs="Arial"/>
          <w:sz w:val="24"/>
          <w:szCs w:val="24"/>
        </w:rPr>
        <w:t>tiene alertas</w:t>
      </w:r>
      <w:r w:rsidR="00CD3D5A" w:rsidRPr="008C65ED">
        <w:rPr>
          <w:rFonts w:ascii="Arial Narrow" w:hAnsi="Arial Narrow" w:cs="Arial"/>
          <w:sz w:val="24"/>
          <w:szCs w:val="24"/>
        </w:rPr>
        <w:t xml:space="preserve"> y análisis</w:t>
      </w:r>
      <w:r w:rsidRPr="008C65ED">
        <w:rPr>
          <w:rFonts w:ascii="Arial Narrow" w:hAnsi="Arial Narrow" w:cs="Arial"/>
          <w:sz w:val="24"/>
          <w:szCs w:val="24"/>
        </w:rPr>
        <w:t xml:space="preserve"> de noticias en varios momentos del día, con el fin de alertar a los funcionarios de la Tesorería sobre noticias de último minuto, que pueden ser determinantes en la negociación de valores, con el fin de ser una herramienta indispensable para la toma de decisiones de inversión.</w:t>
      </w:r>
    </w:p>
    <w:p w:rsidR="004F3D11" w:rsidRPr="008C65ED" w:rsidRDefault="004F3D11" w:rsidP="004F3D11">
      <w:pPr>
        <w:pStyle w:val="Prrafodelista"/>
        <w:jc w:val="both"/>
        <w:rPr>
          <w:rFonts w:ascii="Arial Narrow" w:hAnsi="Arial Narrow" w:cs="Arial"/>
          <w:sz w:val="24"/>
          <w:szCs w:val="24"/>
        </w:rPr>
      </w:pPr>
    </w:p>
    <w:p w:rsidR="005A41F6" w:rsidRPr="008C65ED" w:rsidRDefault="004F3D11" w:rsidP="003933D9">
      <w:pPr>
        <w:pStyle w:val="Prrafodelista"/>
        <w:numPr>
          <w:ilvl w:val="0"/>
          <w:numId w:val="25"/>
        </w:numPr>
        <w:jc w:val="both"/>
        <w:rPr>
          <w:rFonts w:ascii="Arial Narrow" w:hAnsi="Arial Narrow" w:cs="Arial"/>
          <w:sz w:val="24"/>
          <w:szCs w:val="24"/>
        </w:rPr>
      </w:pPr>
      <w:r w:rsidRPr="008C65ED">
        <w:rPr>
          <w:rFonts w:ascii="Arial Narrow" w:hAnsi="Arial Narrow" w:cs="Arial"/>
          <w:b/>
          <w:sz w:val="24"/>
          <w:szCs w:val="24"/>
        </w:rPr>
        <w:t xml:space="preserve">Informe de seguimiento a las inversiones en Fondos </w:t>
      </w:r>
      <w:r w:rsidRPr="008C65ED">
        <w:rPr>
          <w:rFonts w:ascii="Arial Narrow" w:hAnsi="Arial Narrow" w:cs="Arial"/>
          <w:b/>
          <w:i/>
          <w:sz w:val="24"/>
          <w:szCs w:val="24"/>
        </w:rPr>
        <w:t>Money Market</w:t>
      </w:r>
      <w:r w:rsidRPr="008C65ED">
        <w:rPr>
          <w:rFonts w:ascii="Arial Narrow" w:hAnsi="Arial Narrow" w:cs="Arial"/>
          <w:b/>
          <w:sz w:val="24"/>
          <w:szCs w:val="24"/>
        </w:rPr>
        <w:t>:</w:t>
      </w:r>
      <w:r w:rsidR="00CD3D5A" w:rsidRPr="008C65ED">
        <w:rPr>
          <w:rFonts w:ascii="Arial Narrow" w:hAnsi="Arial Narrow" w:cs="Arial"/>
          <w:sz w:val="24"/>
          <w:szCs w:val="24"/>
        </w:rPr>
        <w:t xml:space="preserve"> E</w:t>
      </w:r>
      <w:r w:rsidRPr="008C65ED">
        <w:rPr>
          <w:rFonts w:ascii="Arial Narrow" w:hAnsi="Arial Narrow" w:cs="Arial"/>
          <w:sz w:val="24"/>
          <w:szCs w:val="24"/>
        </w:rPr>
        <w:t xml:space="preserve">ste informe es elaborado por la Subdirección de Riesgo. Se informa el estado de los lineamientos establecidos para este tipo de inversión con una periodicidad mensual o al inicio de cada inversión. </w:t>
      </w:r>
    </w:p>
    <w:p w:rsidR="00384F28" w:rsidRPr="008C65ED" w:rsidRDefault="00384F28" w:rsidP="005A41F6">
      <w:pPr>
        <w:pStyle w:val="Prrafodelista"/>
        <w:rPr>
          <w:rFonts w:ascii="Arial Narrow" w:hAnsi="Arial Narrow" w:cs="Arial"/>
          <w:sz w:val="24"/>
          <w:szCs w:val="24"/>
        </w:rPr>
      </w:pPr>
    </w:p>
    <w:p w:rsidR="00890B8C" w:rsidRPr="008C65ED" w:rsidRDefault="00890B8C" w:rsidP="005A41F6">
      <w:pPr>
        <w:pStyle w:val="Prrafodelista"/>
        <w:rPr>
          <w:rFonts w:ascii="Arial Narrow" w:hAnsi="Arial Narrow" w:cs="Arial"/>
          <w:sz w:val="24"/>
          <w:szCs w:val="24"/>
        </w:rPr>
      </w:pPr>
    </w:p>
    <w:p w:rsidR="005A41F6" w:rsidRPr="008C65ED" w:rsidRDefault="00311433" w:rsidP="00D279A7">
      <w:pPr>
        <w:pStyle w:val="Ttulo1"/>
        <w:numPr>
          <w:ilvl w:val="0"/>
          <w:numId w:val="1"/>
        </w:numPr>
        <w:jc w:val="left"/>
        <w:rPr>
          <w:rFonts w:ascii="Arial Narrow" w:hAnsi="Arial Narrow"/>
          <w:sz w:val="24"/>
          <w:szCs w:val="24"/>
        </w:rPr>
      </w:pPr>
      <w:bookmarkStart w:id="49" w:name="_Toc80191586"/>
      <w:r w:rsidRPr="008C65ED">
        <w:rPr>
          <w:rFonts w:ascii="Arial Narrow" w:hAnsi="Arial Narrow"/>
          <w:sz w:val="24"/>
          <w:szCs w:val="24"/>
        </w:rPr>
        <w:t>DEFINICIÓN DE LÍMITES PARA EL RIESGO DE MERCADO</w:t>
      </w:r>
      <w:bookmarkEnd w:id="49"/>
    </w:p>
    <w:p w:rsidR="004F3D11" w:rsidRPr="008C65ED" w:rsidRDefault="004F3D11" w:rsidP="004F3D11">
      <w:pPr>
        <w:rPr>
          <w:rFonts w:ascii="Arial Narrow" w:hAnsi="Arial Narrow"/>
        </w:rPr>
      </w:pPr>
    </w:p>
    <w:p w:rsidR="00720D81" w:rsidRPr="008C65ED" w:rsidRDefault="00720D81" w:rsidP="00720D81">
      <w:pPr>
        <w:jc w:val="both"/>
        <w:rPr>
          <w:rFonts w:ascii="Arial Narrow" w:hAnsi="Arial Narrow"/>
        </w:rPr>
      </w:pPr>
      <w:r w:rsidRPr="008C65ED">
        <w:rPr>
          <w:rFonts w:ascii="Arial Narrow" w:hAnsi="Arial Narrow" w:cs="Arial"/>
          <w:sz w:val="24"/>
        </w:rPr>
        <w:t>El perfil de riesgo global (conservador) establecido para la DGCPTN, obliga a restringir algunas condiciones sobre el conjunto de operaciones permitidas. En este sentido, se establecen condiciones especiales en términos de contrapartes y vencimientos de las operaciones, que ayuden a mitigar el riesgo de mercado inherente a las operaciones de la Tesorería.</w:t>
      </w:r>
    </w:p>
    <w:p w:rsidR="003C686A" w:rsidRPr="008C65ED" w:rsidRDefault="003C686A" w:rsidP="003C686A">
      <w:pPr>
        <w:rPr>
          <w:rFonts w:ascii="Arial Narrow" w:hAnsi="Arial Narrow"/>
        </w:rPr>
      </w:pPr>
    </w:p>
    <w:p w:rsidR="00720D81" w:rsidRPr="008C65ED" w:rsidRDefault="00720D81" w:rsidP="00720D81">
      <w:pPr>
        <w:pStyle w:val="Ttulo2"/>
      </w:pPr>
      <w:bookmarkStart w:id="50" w:name="_Toc80191587"/>
      <w:r w:rsidRPr="008C65ED">
        <w:t xml:space="preserve">Límites por </w:t>
      </w:r>
      <w:r w:rsidR="00134D9C" w:rsidRPr="008C65ED">
        <w:t>C</w:t>
      </w:r>
      <w:r w:rsidRPr="008C65ED">
        <w:t xml:space="preserve">omposición del </w:t>
      </w:r>
      <w:r w:rsidR="00134D9C" w:rsidRPr="008C65ED">
        <w:t>P</w:t>
      </w:r>
      <w:r w:rsidRPr="008C65ED">
        <w:t xml:space="preserve">ortafolio de </w:t>
      </w:r>
      <w:r w:rsidR="00134D9C" w:rsidRPr="008C65ED">
        <w:t>I</w:t>
      </w:r>
      <w:r w:rsidRPr="008C65ED">
        <w:t>nversiones</w:t>
      </w:r>
      <w:bookmarkEnd w:id="50"/>
    </w:p>
    <w:p w:rsidR="00083014" w:rsidRPr="008C65ED" w:rsidRDefault="00083014" w:rsidP="00083014">
      <w:pPr>
        <w:rPr>
          <w:rFonts w:ascii="Arial Narrow" w:hAnsi="Arial Narrow"/>
          <w:lang w:val="es-CO"/>
        </w:rPr>
      </w:pPr>
    </w:p>
    <w:p w:rsidR="00083014" w:rsidRPr="008C65ED" w:rsidRDefault="00083014" w:rsidP="00083014">
      <w:pPr>
        <w:jc w:val="both"/>
        <w:rPr>
          <w:rFonts w:ascii="Arial Narrow" w:hAnsi="Arial Narrow"/>
          <w:lang w:val="es-CO"/>
        </w:rPr>
      </w:pPr>
      <w:r w:rsidRPr="008C65ED">
        <w:rPr>
          <w:rFonts w:ascii="Arial Narrow" w:hAnsi="Arial Narrow" w:cs="Arial"/>
          <w:sz w:val="24"/>
        </w:rPr>
        <w:t>Con el fin de mantener un portafolio de inversiones diversificado, se deben cumplir los siguientes límites por composición los cuales están clasificados por tipo de inversión y por nivel de calificación crediticia del emisor de los instrumentos.</w:t>
      </w:r>
    </w:p>
    <w:p w:rsidR="003C686A" w:rsidRPr="008C65ED" w:rsidRDefault="003C686A" w:rsidP="003C686A">
      <w:pPr>
        <w:rPr>
          <w:rFonts w:ascii="Arial Narrow" w:hAnsi="Arial Narrow"/>
        </w:rPr>
      </w:pPr>
    </w:p>
    <w:p w:rsidR="003C686A" w:rsidRPr="008C65ED" w:rsidRDefault="00083014" w:rsidP="00BC5018">
      <w:pPr>
        <w:pStyle w:val="Ttulo3"/>
      </w:pPr>
      <w:bookmarkStart w:id="51" w:name="_Toc80191588"/>
      <w:r w:rsidRPr="008C65ED">
        <w:t>Composición del Portafolio en Moneda Local</w:t>
      </w:r>
      <w:bookmarkEnd w:id="51"/>
    </w:p>
    <w:p w:rsidR="002E2CFD" w:rsidRPr="008C65ED" w:rsidRDefault="002E2CFD" w:rsidP="002E2CFD">
      <w:pPr>
        <w:rPr>
          <w:rFonts w:ascii="Arial Narrow" w:hAnsi="Arial Narrow"/>
        </w:rPr>
      </w:pPr>
    </w:p>
    <w:p w:rsidR="002E2CFD" w:rsidRPr="008C65ED" w:rsidRDefault="00384751" w:rsidP="002E2CFD">
      <w:pPr>
        <w:rPr>
          <w:rFonts w:ascii="Arial Narrow" w:hAnsi="Arial Narrow" w:cs="Arial"/>
          <w:sz w:val="24"/>
        </w:rPr>
      </w:pPr>
      <w:r w:rsidRPr="008C65ED">
        <w:rPr>
          <w:rFonts w:ascii="Arial Narrow" w:hAnsi="Arial Narrow" w:cs="Arial"/>
          <w:sz w:val="24"/>
        </w:rPr>
        <w:t>De acuerdo a las políticas de inversión, s</w:t>
      </w:r>
      <w:r w:rsidR="002E2CFD" w:rsidRPr="008C65ED">
        <w:rPr>
          <w:rFonts w:ascii="Arial Narrow" w:hAnsi="Arial Narrow" w:cs="Arial"/>
          <w:sz w:val="24"/>
        </w:rPr>
        <w:t>e establece un límite de acuerdo al emisor de los productos como aparece en la siguiente tabla:</w:t>
      </w:r>
    </w:p>
    <w:p w:rsidR="00083014" w:rsidRPr="008C65ED" w:rsidRDefault="00083014" w:rsidP="00083014">
      <w:pPr>
        <w:rPr>
          <w:rFonts w:ascii="Arial Narrow" w:hAnsi="Arial Narrow"/>
        </w:rPr>
      </w:pPr>
    </w:p>
    <w:p w:rsidR="00083014" w:rsidRPr="008C65ED" w:rsidRDefault="009B407C" w:rsidP="009B407C">
      <w:pPr>
        <w:jc w:val="center"/>
        <w:rPr>
          <w:rFonts w:ascii="Arial Narrow" w:hAnsi="Arial Narrow"/>
        </w:rPr>
      </w:pPr>
      <w:r w:rsidRPr="008C65ED">
        <w:rPr>
          <w:rFonts w:ascii="Arial Narrow" w:hAnsi="Arial Narrow"/>
          <w:noProof/>
          <w:lang w:val="en-US" w:eastAsia="en-US"/>
        </w:rPr>
        <w:drawing>
          <wp:inline distT="0" distB="0" distL="0" distR="0" wp14:anchorId="279A139E">
            <wp:extent cx="2373536" cy="126682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562" cy="1275912"/>
                    </a:xfrm>
                    <a:prstGeom prst="rect">
                      <a:avLst/>
                    </a:prstGeom>
                    <a:noFill/>
                  </pic:spPr>
                </pic:pic>
              </a:graphicData>
            </a:graphic>
          </wp:inline>
        </w:drawing>
      </w:r>
    </w:p>
    <w:p w:rsidR="009B407C" w:rsidRPr="008C65ED" w:rsidRDefault="009B407C" w:rsidP="009B407C">
      <w:pPr>
        <w:jc w:val="center"/>
        <w:rPr>
          <w:rFonts w:ascii="Arial Narrow" w:hAnsi="Arial Narrow"/>
        </w:rPr>
      </w:pPr>
    </w:p>
    <w:p w:rsidR="002E2CFD" w:rsidRPr="008C65ED" w:rsidRDefault="002E2CFD" w:rsidP="002E2CFD">
      <w:pPr>
        <w:rPr>
          <w:rFonts w:ascii="Arial Narrow" w:hAnsi="Arial Narrow" w:cs="Arial"/>
          <w:sz w:val="24"/>
        </w:rPr>
      </w:pPr>
      <w:r w:rsidRPr="008C65ED">
        <w:rPr>
          <w:rFonts w:ascii="Arial Narrow" w:hAnsi="Arial Narrow" w:cs="Arial"/>
          <w:sz w:val="24"/>
        </w:rPr>
        <w:t>El límite para instrumentos emitidos por entidades diferentes a Nación o Banco de la República dependerá de lo definido por la normatividad o mandato establecido para estas operaciones.</w:t>
      </w:r>
    </w:p>
    <w:p w:rsidR="00171A99" w:rsidRPr="008C65ED" w:rsidRDefault="002E2CFD" w:rsidP="00083014">
      <w:pPr>
        <w:rPr>
          <w:rFonts w:ascii="Arial Narrow" w:hAnsi="Arial Narrow" w:cs="Arial"/>
          <w:sz w:val="24"/>
        </w:rPr>
      </w:pPr>
      <w:r w:rsidRPr="008C65ED">
        <w:rPr>
          <w:rFonts w:ascii="Arial Narrow" w:hAnsi="Arial Narrow" w:cs="Arial"/>
          <w:sz w:val="24"/>
        </w:rPr>
        <w:lastRenderedPageBreak/>
        <w:t>Para las operaciones simultáneas, se establece un límite de composición por portafolio que se definirá más adelante.</w:t>
      </w:r>
    </w:p>
    <w:p w:rsidR="00890B8C" w:rsidRPr="008C65ED" w:rsidRDefault="00890B8C" w:rsidP="00083014">
      <w:pPr>
        <w:rPr>
          <w:rFonts w:ascii="Arial Narrow" w:hAnsi="Arial Narrow" w:cs="Arial"/>
          <w:sz w:val="24"/>
        </w:rPr>
      </w:pPr>
    </w:p>
    <w:p w:rsidR="003C686A" w:rsidRPr="008C65ED" w:rsidRDefault="002E2CFD" w:rsidP="00BC5018">
      <w:pPr>
        <w:pStyle w:val="Ttulo3"/>
      </w:pPr>
      <w:bookmarkStart w:id="52" w:name="_Toc80191589"/>
      <w:r w:rsidRPr="008C65ED">
        <w:t>Composición del Portafolio en Moneda Extranjera</w:t>
      </w:r>
      <w:bookmarkEnd w:id="52"/>
    </w:p>
    <w:p w:rsidR="002E2CFD" w:rsidRPr="008C65ED" w:rsidRDefault="002E2CFD" w:rsidP="002E2CFD">
      <w:pPr>
        <w:rPr>
          <w:rFonts w:ascii="Arial Narrow" w:hAnsi="Arial Narrow"/>
        </w:rPr>
      </w:pPr>
    </w:p>
    <w:p w:rsidR="00DD79BE" w:rsidRPr="008C65ED" w:rsidRDefault="00384751" w:rsidP="002E2CFD">
      <w:pPr>
        <w:rPr>
          <w:rFonts w:ascii="Arial Narrow" w:hAnsi="Arial Narrow" w:cs="Arial"/>
          <w:sz w:val="24"/>
        </w:rPr>
      </w:pPr>
      <w:r w:rsidRPr="008C65ED">
        <w:rPr>
          <w:rFonts w:ascii="Arial Narrow" w:hAnsi="Arial Narrow" w:cs="Arial"/>
          <w:sz w:val="24"/>
        </w:rPr>
        <w:t>De acuerdo a las políticas de inversión</w:t>
      </w:r>
      <w:r w:rsidR="00D34C5C" w:rsidRPr="008C65ED">
        <w:rPr>
          <w:rFonts w:ascii="Arial Narrow" w:hAnsi="Arial Narrow" w:cs="Arial"/>
          <w:sz w:val="24"/>
        </w:rPr>
        <w:t>,</w:t>
      </w:r>
      <w:r w:rsidRPr="008C65ED">
        <w:rPr>
          <w:rFonts w:ascii="Arial Narrow" w:hAnsi="Arial Narrow" w:cs="Arial"/>
          <w:sz w:val="24"/>
        </w:rPr>
        <w:t xml:space="preserve"> </w:t>
      </w:r>
      <w:r w:rsidR="00D34C5C" w:rsidRPr="008C65ED">
        <w:rPr>
          <w:rFonts w:ascii="Arial Narrow" w:hAnsi="Arial Narrow" w:cs="Arial"/>
          <w:sz w:val="24"/>
        </w:rPr>
        <w:t>p</w:t>
      </w:r>
      <w:r w:rsidR="002E2CFD" w:rsidRPr="008C65ED">
        <w:rPr>
          <w:rFonts w:ascii="Arial Narrow" w:hAnsi="Arial Narrow" w:cs="Arial"/>
          <w:sz w:val="24"/>
        </w:rPr>
        <w:t>ara el portafolio en dólares se establece</w:t>
      </w:r>
      <w:r w:rsidRPr="008C65ED">
        <w:rPr>
          <w:rFonts w:ascii="Arial Narrow" w:hAnsi="Arial Narrow" w:cs="Arial"/>
          <w:sz w:val="24"/>
        </w:rPr>
        <w:t xml:space="preserve">n </w:t>
      </w:r>
      <w:r w:rsidR="00D34C5C" w:rsidRPr="008C65ED">
        <w:rPr>
          <w:rFonts w:ascii="Arial Narrow" w:hAnsi="Arial Narrow" w:cs="Arial"/>
          <w:sz w:val="24"/>
        </w:rPr>
        <w:t>límites por tipo de inversión y por la calificación crediticia del emisor.</w:t>
      </w:r>
    </w:p>
    <w:p w:rsidR="007B0E17" w:rsidRPr="008C65ED" w:rsidRDefault="007B0E17" w:rsidP="002E2CFD">
      <w:pPr>
        <w:rPr>
          <w:rFonts w:ascii="Arial Narrow" w:hAnsi="Arial Narrow" w:cs="Arial"/>
          <w:sz w:val="24"/>
        </w:rPr>
      </w:pPr>
    </w:p>
    <w:p w:rsidR="007B0E17" w:rsidRPr="008C65ED" w:rsidRDefault="007B0E17" w:rsidP="00C408EF">
      <w:pPr>
        <w:numPr>
          <w:ilvl w:val="0"/>
          <w:numId w:val="27"/>
        </w:numPr>
        <w:rPr>
          <w:rFonts w:ascii="Arial Narrow" w:hAnsi="Arial Narrow" w:cs="Arial"/>
          <w:b/>
          <w:sz w:val="24"/>
        </w:rPr>
      </w:pPr>
      <w:r w:rsidRPr="008C65ED">
        <w:rPr>
          <w:rFonts w:ascii="Arial Narrow" w:hAnsi="Arial Narrow" w:cs="Arial"/>
          <w:b/>
          <w:sz w:val="24"/>
        </w:rPr>
        <w:t>Tipo de Inversión:</w:t>
      </w:r>
    </w:p>
    <w:p w:rsidR="007B0E17" w:rsidRPr="008C65ED" w:rsidRDefault="007B0E17" w:rsidP="007B0E17">
      <w:pPr>
        <w:ind w:left="720"/>
        <w:rPr>
          <w:rFonts w:ascii="Arial Narrow" w:hAnsi="Arial Narrow" w:cs="Arial"/>
          <w:sz w:val="24"/>
        </w:rPr>
      </w:pPr>
    </w:p>
    <w:tbl>
      <w:tblPr>
        <w:tblW w:w="6200" w:type="dxa"/>
        <w:jc w:val="center"/>
        <w:tblCellMar>
          <w:left w:w="0" w:type="dxa"/>
          <w:right w:w="0" w:type="dxa"/>
        </w:tblCellMar>
        <w:tblLook w:val="0600" w:firstRow="0" w:lastRow="0" w:firstColumn="0" w:lastColumn="0" w:noHBand="1" w:noVBand="1"/>
      </w:tblPr>
      <w:tblGrid>
        <w:gridCol w:w="2367"/>
        <w:gridCol w:w="2709"/>
        <w:gridCol w:w="1124"/>
      </w:tblGrid>
      <w:tr w:rsidR="00A54D53" w:rsidRPr="008C65ED" w:rsidTr="00A54D53">
        <w:trPr>
          <w:trHeight w:val="379"/>
          <w:jc w:val="center"/>
        </w:trPr>
        <w:tc>
          <w:tcPr>
            <w:tcW w:w="2360" w:type="dxa"/>
            <w:vMerge w:val="restart"/>
            <w:tcBorders>
              <w:top w:val="single" w:sz="8" w:space="0" w:color="0D6B91"/>
              <w:left w:val="single" w:sz="8" w:space="0" w:color="366092"/>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b/>
                <w:bCs/>
                <w:sz w:val="24"/>
                <w:lang w:val="es-CO"/>
              </w:rPr>
              <w:t>Instrumento</w:t>
            </w:r>
          </w:p>
        </w:tc>
        <w:tc>
          <w:tcPr>
            <w:tcW w:w="2700"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 xml:space="preserve">Cuentas </w:t>
            </w:r>
          </w:p>
        </w:tc>
        <w:tc>
          <w:tcPr>
            <w:tcW w:w="1120"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70%</w:t>
            </w:r>
          </w:p>
        </w:tc>
      </w:tr>
      <w:tr w:rsidR="00A54D53" w:rsidRPr="008C65ED" w:rsidTr="00A54D53">
        <w:trPr>
          <w:trHeight w:val="379"/>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0"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 xml:space="preserve">Depósitos </w:t>
            </w:r>
            <w:r w:rsidRPr="008C65ED">
              <w:rPr>
                <w:rFonts w:ascii="Arial Narrow" w:hAnsi="Arial Narrow" w:cs="Arial"/>
                <w:i/>
                <w:iCs/>
                <w:sz w:val="24"/>
                <w:lang w:val="es-CO"/>
              </w:rPr>
              <w:t>Overnight</w:t>
            </w:r>
          </w:p>
        </w:tc>
        <w:tc>
          <w:tcPr>
            <w:tcW w:w="1120"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60%</w:t>
            </w:r>
          </w:p>
        </w:tc>
      </w:tr>
      <w:tr w:rsidR="00A54D53" w:rsidRPr="008C65ED" w:rsidTr="00A54D53">
        <w:trPr>
          <w:trHeight w:val="626"/>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0"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Deuda Soberana y Supranacionales</w:t>
            </w:r>
          </w:p>
        </w:tc>
        <w:tc>
          <w:tcPr>
            <w:tcW w:w="1120"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50%</w:t>
            </w:r>
          </w:p>
        </w:tc>
      </w:tr>
      <w:tr w:rsidR="00A54D53" w:rsidRPr="008C65ED" w:rsidTr="00A54D53">
        <w:trPr>
          <w:trHeight w:val="379"/>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0"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 xml:space="preserve">Fondos </w:t>
            </w:r>
            <w:r w:rsidRPr="008C65ED">
              <w:rPr>
                <w:rFonts w:ascii="Arial Narrow" w:hAnsi="Arial Narrow" w:cs="Arial"/>
                <w:i/>
                <w:iCs/>
                <w:sz w:val="24"/>
                <w:lang w:val="es-CO"/>
              </w:rPr>
              <w:t>Money Market</w:t>
            </w:r>
          </w:p>
        </w:tc>
        <w:tc>
          <w:tcPr>
            <w:tcW w:w="1120"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50%</w:t>
            </w:r>
          </w:p>
        </w:tc>
      </w:tr>
      <w:tr w:rsidR="00A54D53" w:rsidRPr="008C65ED" w:rsidTr="00A54D53">
        <w:trPr>
          <w:trHeight w:val="626"/>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0"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Depósitos 2 a 365 días</w:t>
            </w:r>
          </w:p>
        </w:tc>
        <w:tc>
          <w:tcPr>
            <w:tcW w:w="1120"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40%</w:t>
            </w:r>
          </w:p>
        </w:tc>
      </w:tr>
    </w:tbl>
    <w:p w:rsidR="007B0E17" w:rsidRPr="008C65ED" w:rsidRDefault="007B0E17" w:rsidP="007B0E17">
      <w:pPr>
        <w:rPr>
          <w:rFonts w:ascii="Arial Narrow" w:hAnsi="Arial Narrow" w:cs="Arial"/>
          <w:sz w:val="24"/>
        </w:rPr>
      </w:pPr>
    </w:p>
    <w:p w:rsidR="007B0E17" w:rsidRPr="008C65ED" w:rsidRDefault="007B0E17" w:rsidP="007B0E17">
      <w:pPr>
        <w:ind w:left="709"/>
        <w:jc w:val="both"/>
        <w:rPr>
          <w:rFonts w:ascii="Arial Narrow" w:hAnsi="Arial Narrow" w:cs="Arial"/>
          <w:sz w:val="24"/>
        </w:rPr>
      </w:pPr>
      <w:r w:rsidRPr="008C65ED">
        <w:rPr>
          <w:rFonts w:ascii="Arial Narrow" w:hAnsi="Arial Narrow" w:cs="Arial"/>
          <w:sz w:val="24"/>
        </w:rPr>
        <w:t>Estos límites se modificarán mediante aprobación del Director de Crédito Público y Tesoro Nacional. Se incluirán nuevos productos siempre y cuando existan las condiciones y las evaluaciones de riesgo para ser sujetos de inversión admisible.</w:t>
      </w:r>
    </w:p>
    <w:p w:rsidR="007B0E17" w:rsidRPr="008C65ED" w:rsidRDefault="007B0E17" w:rsidP="007B0E17">
      <w:pPr>
        <w:ind w:left="709"/>
        <w:jc w:val="both"/>
        <w:rPr>
          <w:rFonts w:ascii="Arial Narrow" w:hAnsi="Arial Narrow" w:cs="Arial"/>
          <w:sz w:val="24"/>
        </w:rPr>
      </w:pPr>
      <w:r w:rsidRPr="008C65ED">
        <w:rPr>
          <w:rFonts w:ascii="Arial Narrow" w:hAnsi="Arial Narrow" w:cs="Arial"/>
          <w:sz w:val="24"/>
        </w:rPr>
        <w:t>Es necesario constituir una cuenta custodio para realizar inversiones en Bonos Soberanos Extranjeros. Se autoriza la negociación de Bonos Soberanos Extranjeros y sus agencias que cuenten con la calificación máxima de al menos 2 agencias calificadoras de riesgo internacional.</w:t>
      </w:r>
    </w:p>
    <w:p w:rsidR="00171A99" w:rsidRPr="008C65ED" w:rsidRDefault="007B0E17" w:rsidP="00A40086">
      <w:pPr>
        <w:ind w:left="709" w:right="49"/>
        <w:jc w:val="both"/>
        <w:rPr>
          <w:rFonts w:ascii="Arial Narrow" w:hAnsi="Arial Narrow" w:cs="Arial"/>
          <w:sz w:val="24"/>
        </w:rPr>
      </w:pPr>
      <w:r w:rsidRPr="008C65ED">
        <w:rPr>
          <w:rFonts w:ascii="Arial Narrow" w:hAnsi="Arial Narrow" w:cs="Arial"/>
          <w:color w:val="000000"/>
          <w:sz w:val="24"/>
        </w:rPr>
        <w:t>Para los fondos</w:t>
      </w:r>
      <w:r w:rsidR="00B44AF0" w:rsidRPr="008C65ED">
        <w:rPr>
          <w:rFonts w:ascii="Arial Narrow" w:hAnsi="Arial Narrow" w:cs="Arial"/>
          <w:i/>
          <w:color w:val="000000"/>
          <w:sz w:val="24"/>
        </w:rPr>
        <w:t xml:space="preserve"> Money M</w:t>
      </w:r>
      <w:r w:rsidRPr="008C65ED">
        <w:rPr>
          <w:rFonts w:ascii="Arial Narrow" w:hAnsi="Arial Narrow" w:cs="Arial"/>
          <w:i/>
          <w:color w:val="000000"/>
          <w:sz w:val="24"/>
        </w:rPr>
        <w:t>arket</w:t>
      </w:r>
      <w:r w:rsidRPr="008C65ED">
        <w:rPr>
          <w:rFonts w:ascii="Arial Narrow" w:hAnsi="Arial Narrow" w:cs="Arial"/>
          <w:color w:val="000000"/>
          <w:sz w:val="24"/>
        </w:rPr>
        <w:t>, aplicarán los lineamientos de inversión descritos más adelante.</w:t>
      </w:r>
    </w:p>
    <w:p w:rsidR="00171A99" w:rsidRPr="008C65ED" w:rsidRDefault="00171A99" w:rsidP="007B0E17">
      <w:pPr>
        <w:ind w:left="709"/>
        <w:rPr>
          <w:rFonts w:ascii="Arial Narrow" w:hAnsi="Arial Narrow" w:cs="Arial"/>
          <w:sz w:val="24"/>
        </w:rPr>
      </w:pPr>
    </w:p>
    <w:p w:rsidR="007B0E17" w:rsidRPr="008C65ED" w:rsidRDefault="007B0E17" w:rsidP="00C408EF">
      <w:pPr>
        <w:numPr>
          <w:ilvl w:val="0"/>
          <w:numId w:val="27"/>
        </w:numPr>
        <w:rPr>
          <w:rFonts w:ascii="Arial Narrow" w:hAnsi="Arial Narrow" w:cs="Arial"/>
          <w:b/>
          <w:sz w:val="24"/>
        </w:rPr>
      </w:pPr>
      <w:r w:rsidRPr="008C65ED">
        <w:rPr>
          <w:rFonts w:ascii="Arial Narrow" w:hAnsi="Arial Narrow" w:cs="Arial"/>
          <w:b/>
          <w:sz w:val="24"/>
        </w:rPr>
        <w:t>Calificación Crediticia del Emisor:</w:t>
      </w:r>
    </w:p>
    <w:p w:rsidR="007B0E17" w:rsidRPr="008C65ED" w:rsidRDefault="007B0E17" w:rsidP="007B0E17">
      <w:pPr>
        <w:ind w:left="720"/>
        <w:rPr>
          <w:rFonts w:ascii="Arial Narrow" w:hAnsi="Arial Narrow" w:cs="Arial"/>
          <w:sz w:val="24"/>
        </w:rPr>
      </w:pPr>
    </w:p>
    <w:p w:rsidR="00C93704" w:rsidRPr="008C65ED" w:rsidRDefault="007B0E17" w:rsidP="007B0E17">
      <w:pPr>
        <w:ind w:left="360"/>
        <w:rPr>
          <w:rFonts w:ascii="Arial Narrow" w:hAnsi="Arial Narrow" w:cs="Arial"/>
          <w:sz w:val="24"/>
        </w:rPr>
      </w:pPr>
      <w:r w:rsidRPr="008C65ED">
        <w:rPr>
          <w:rFonts w:ascii="Arial Narrow" w:hAnsi="Arial Narrow" w:cs="Arial"/>
          <w:sz w:val="24"/>
        </w:rPr>
        <w:t xml:space="preserve">El siguiente límite se define para las operaciones del portafolio en moneda extranjera con </w:t>
      </w:r>
      <w:r w:rsidR="00A54D53" w:rsidRPr="008C65ED">
        <w:rPr>
          <w:rFonts w:ascii="Arial Narrow" w:hAnsi="Arial Narrow" w:cs="Arial"/>
          <w:sz w:val="24"/>
        </w:rPr>
        <w:t>emisores</w:t>
      </w:r>
      <w:r w:rsidRPr="008C65ED">
        <w:rPr>
          <w:rFonts w:ascii="Arial Narrow" w:hAnsi="Arial Narrow" w:cs="Arial"/>
          <w:sz w:val="24"/>
        </w:rPr>
        <w:t xml:space="preserve"> del exterior:</w:t>
      </w:r>
    </w:p>
    <w:tbl>
      <w:tblPr>
        <w:tblW w:w="6200" w:type="dxa"/>
        <w:jc w:val="center"/>
        <w:tblCellMar>
          <w:left w:w="0" w:type="dxa"/>
          <w:right w:w="0" w:type="dxa"/>
        </w:tblCellMar>
        <w:tblLook w:val="0600" w:firstRow="0" w:lastRow="0" w:firstColumn="0" w:lastColumn="0" w:noHBand="1" w:noVBand="1"/>
      </w:tblPr>
      <w:tblGrid>
        <w:gridCol w:w="2367"/>
        <w:gridCol w:w="2709"/>
        <w:gridCol w:w="1124"/>
      </w:tblGrid>
      <w:tr w:rsidR="00A54D53" w:rsidRPr="008C65ED" w:rsidTr="00A54D53">
        <w:trPr>
          <w:trHeight w:val="379"/>
          <w:jc w:val="center"/>
        </w:trPr>
        <w:tc>
          <w:tcPr>
            <w:tcW w:w="2367" w:type="dxa"/>
            <w:vMerge w:val="restart"/>
            <w:tcBorders>
              <w:top w:val="single" w:sz="8" w:space="0" w:color="0D6B91"/>
              <w:left w:val="single" w:sz="8" w:space="0" w:color="366092"/>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b/>
                <w:bCs/>
                <w:sz w:val="24"/>
                <w:lang w:val="es-CO"/>
              </w:rPr>
              <w:t>Emisor*</w:t>
            </w:r>
          </w:p>
        </w:tc>
        <w:tc>
          <w:tcPr>
            <w:tcW w:w="2709"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AAA</w:t>
            </w:r>
          </w:p>
        </w:tc>
        <w:tc>
          <w:tcPr>
            <w:tcW w:w="1124"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100%</w:t>
            </w:r>
          </w:p>
        </w:tc>
      </w:tr>
      <w:tr w:rsidR="00A54D53" w:rsidRPr="008C65ED" w:rsidTr="00A54D53">
        <w:trPr>
          <w:trHeight w:val="379"/>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9"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Entre [AA- / AA+]</w:t>
            </w:r>
          </w:p>
        </w:tc>
        <w:tc>
          <w:tcPr>
            <w:tcW w:w="1124"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50%</w:t>
            </w:r>
          </w:p>
        </w:tc>
      </w:tr>
      <w:tr w:rsidR="00A54D53" w:rsidRPr="008C65ED" w:rsidTr="00A54D53">
        <w:trPr>
          <w:trHeight w:val="379"/>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9"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Entre [A / A+]</w:t>
            </w:r>
          </w:p>
        </w:tc>
        <w:tc>
          <w:tcPr>
            <w:tcW w:w="1124"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40%</w:t>
            </w:r>
          </w:p>
        </w:tc>
      </w:tr>
      <w:tr w:rsidR="00A54D53" w:rsidRPr="008C65ED" w:rsidTr="00A54D53">
        <w:trPr>
          <w:trHeight w:val="379"/>
          <w:jc w:val="center"/>
        </w:trPr>
        <w:tc>
          <w:tcPr>
            <w:tcW w:w="0" w:type="auto"/>
            <w:vMerge/>
            <w:tcBorders>
              <w:top w:val="single" w:sz="8" w:space="0" w:color="0D6B91"/>
              <w:left w:val="single" w:sz="8" w:space="0" w:color="366092"/>
              <w:bottom w:val="single" w:sz="8" w:space="0" w:color="0D6B91"/>
              <w:right w:val="single" w:sz="6" w:space="0" w:color="FFFFFF"/>
            </w:tcBorders>
            <w:vAlign w:val="center"/>
            <w:hideMark/>
          </w:tcPr>
          <w:p w:rsidR="00A54D53" w:rsidRPr="008C65ED" w:rsidRDefault="00A54D53" w:rsidP="00A54D53">
            <w:pPr>
              <w:rPr>
                <w:rFonts w:ascii="Arial Narrow" w:hAnsi="Arial Narrow" w:cs="Arial"/>
                <w:sz w:val="24"/>
                <w:lang w:val="es-CO"/>
              </w:rPr>
            </w:pPr>
          </w:p>
        </w:tc>
        <w:tc>
          <w:tcPr>
            <w:tcW w:w="2709" w:type="dxa"/>
            <w:tcBorders>
              <w:top w:val="single" w:sz="8" w:space="0" w:color="0D6B91"/>
              <w:left w:val="single" w:sz="6" w:space="0" w:color="FFFFFF"/>
              <w:bottom w:val="single" w:sz="8" w:space="0" w:color="0D6B91"/>
              <w:right w:val="single" w:sz="6" w:space="0" w:color="FFFFFF"/>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A-</w:t>
            </w:r>
          </w:p>
        </w:tc>
        <w:tc>
          <w:tcPr>
            <w:tcW w:w="1124" w:type="dxa"/>
            <w:tcBorders>
              <w:top w:val="single" w:sz="8" w:space="0" w:color="0D6B91"/>
              <w:left w:val="single" w:sz="6" w:space="0" w:color="FFFFFF"/>
              <w:bottom w:val="single" w:sz="8" w:space="0" w:color="0D6B91"/>
              <w:right w:val="single" w:sz="8" w:space="0" w:color="366092"/>
            </w:tcBorders>
            <w:shd w:val="clear" w:color="auto" w:fill="auto"/>
            <w:tcMar>
              <w:top w:w="15" w:type="dxa"/>
              <w:left w:w="15" w:type="dxa"/>
              <w:bottom w:w="0" w:type="dxa"/>
              <w:right w:w="15" w:type="dxa"/>
            </w:tcMar>
            <w:vAlign w:val="center"/>
            <w:hideMark/>
          </w:tcPr>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Max 15%</w:t>
            </w:r>
          </w:p>
        </w:tc>
      </w:tr>
    </w:tbl>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*Las inversiones en bonos globales emitidos por la República de Colombia no tendrán restricción de calificación</w:t>
      </w:r>
    </w:p>
    <w:p w:rsidR="00A54D53" w:rsidRPr="008C65ED" w:rsidRDefault="00A54D53" w:rsidP="00A54D53">
      <w:pPr>
        <w:rPr>
          <w:rFonts w:ascii="Arial Narrow" w:hAnsi="Arial Narrow" w:cs="Arial"/>
          <w:sz w:val="24"/>
          <w:lang w:val="es-CO"/>
        </w:rPr>
      </w:pPr>
      <w:r w:rsidRPr="008C65ED">
        <w:rPr>
          <w:rFonts w:ascii="Arial Narrow" w:hAnsi="Arial Narrow" w:cs="Arial"/>
          <w:sz w:val="24"/>
          <w:lang w:val="es-CO"/>
        </w:rPr>
        <w:t>*En caso de tener varias calificaciones se aplica el % de acuerdo a la moda o en su defecto la menor calificación crediticia.</w:t>
      </w:r>
    </w:p>
    <w:p w:rsidR="00A40086" w:rsidRPr="008C65ED" w:rsidRDefault="00982327" w:rsidP="002E2CFD">
      <w:pPr>
        <w:rPr>
          <w:rFonts w:ascii="Arial Narrow" w:hAnsi="Arial Narrow" w:cs="Arial"/>
          <w:sz w:val="24"/>
        </w:rPr>
      </w:pPr>
      <w:r w:rsidRPr="008C65ED">
        <w:rPr>
          <w:rFonts w:ascii="Arial Narrow" w:hAnsi="Arial Narrow" w:cs="Arial"/>
          <w:sz w:val="24"/>
        </w:rPr>
        <w:lastRenderedPageBreak/>
        <w:t>Vale la pena mencionar que ninguna entidad debe superar el límite general de forma individual, es decir se tomará la proporción de cada entidad sobre el total del portafolio en moneda extranjera.</w:t>
      </w:r>
    </w:p>
    <w:p w:rsidR="00A40086" w:rsidRPr="008C65ED" w:rsidRDefault="00A40086" w:rsidP="002E2CFD">
      <w:pPr>
        <w:rPr>
          <w:rFonts w:ascii="Arial Narrow" w:hAnsi="Arial Narrow" w:cs="Arial"/>
          <w:sz w:val="24"/>
        </w:rPr>
      </w:pPr>
    </w:p>
    <w:p w:rsidR="003C686A" w:rsidRPr="008C65ED" w:rsidRDefault="007B0E17" w:rsidP="007B0E17">
      <w:pPr>
        <w:pStyle w:val="Ttulo2"/>
      </w:pPr>
      <w:bookmarkStart w:id="53" w:name="_Toc80191590"/>
      <w:r w:rsidRPr="008C65ED">
        <w:t>Límites por Calificación Crediticia para la Asignación de Cupos</w:t>
      </w:r>
      <w:bookmarkEnd w:id="53"/>
    </w:p>
    <w:p w:rsidR="007B0E17" w:rsidRPr="008C65ED" w:rsidRDefault="007B0E17" w:rsidP="007B0E17">
      <w:pPr>
        <w:rPr>
          <w:rFonts w:ascii="Arial Narrow" w:hAnsi="Arial Narrow"/>
          <w:lang w:val="es-CO"/>
        </w:rPr>
      </w:pPr>
    </w:p>
    <w:p w:rsidR="007B0E17" w:rsidRPr="008C65ED" w:rsidRDefault="007B0E17" w:rsidP="007B0E17">
      <w:pPr>
        <w:pStyle w:val="Ttulo3"/>
        <w:rPr>
          <w:lang w:val="es-CO"/>
        </w:rPr>
      </w:pPr>
      <w:bookmarkStart w:id="54" w:name="_Toc80191591"/>
      <w:r w:rsidRPr="008C65ED">
        <w:rPr>
          <w:lang w:val="es-CO"/>
        </w:rPr>
        <w:t xml:space="preserve">Calificación </w:t>
      </w:r>
      <w:r w:rsidR="00134D9C" w:rsidRPr="008C65ED">
        <w:rPr>
          <w:lang w:val="es-CO"/>
        </w:rPr>
        <w:t>A</w:t>
      </w:r>
      <w:r w:rsidRPr="008C65ED">
        <w:rPr>
          <w:lang w:val="es-CO"/>
        </w:rPr>
        <w:t xml:space="preserve">dmisible para </w:t>
      </w:r>
      <w:r w:rsidR="00134D9C" w:rsidRPr="008C65ED">
        <w:rPr>
          <w:lang w:val="es-CO"/>
        </w:rPr>
        <w:t>E</w:t>
      </w:r>
      <w:r w:rsidRPr="008C65ED">
        <w:rPr>
          <w:lang w:val="es-CO"/>
        </w:rPr>
        <w:t xml:space="preserve">ntidades </w:t>
      </w:r>
      <w:r w:rsidR="00134D9C" w:rsidRPr="008C65ED">
        <w:rPr>
          <w:lang w:val="es-CO"/>
        </w:rPr>
        <w:t>L</w:t>
      </w:r>
      <w:r w:rsidRPr="008C65ED">
        <w:rPr>
          <w:lang w:val="es-CO"/>
        </w:rPr>
        <w:t>ocales</w:t>
      </w:r>
      <w:bookmarkEnd w:id="54"/>
    </w:p>
    <w:p w:rsidR="007B0E17" w:rsidRPr="008C65ED" w:rsidRDefault="007B0E17" w:rsidP="007B0E17">
      <w:pPr>
        <w:rPr>
          <w:rFonts w:ascii="Arial Narrow" w:hAnsi="Arial Narrow"/>
          <w:lang w:val="es-CO"/>
        </w:rPr>
      </w:pPr>
    </w:p>
    <w:tbl>
      <w:tblPr>
        <w:tblW w:w="8312" w:type="dxa"/>
        <w:jc w:val="center"/>
        <w:tblCellMar>
          <w:left w:w="70" w:type="dxa"/>
          <w:right w:w="70" w:type="dxa"/>
        </w:tblCellMar>
        <w:tblLook w:val="04A0" w:firstRow="1" w:lastRow="0" w:firstColumn="1" w:lastColumn="0" w:noHBand="0" w:noVBand="1"/>
      </w:tblPr>
      <w:tblGrid>
        <w:gridCol w:w="3880"/>
        <w:gridCol w:w="1860"/>
        <w:gridCol w:w="2572"/>
      </w:tblGrid>
      <w:tr w:rsidR="007B0E17" w:rsidRPr="008C65ED" w:rsidTr="007B0E17">
        <w:trPr>
          <w:trHeight w:val="615"/>
          <w:jc w:val="center"/>
        </w:trPr>
        <w:tc>
          <w:tcPr>
            <w:tcW w:w="3880" w:type="dxa"/>
            <w:tcBorders>
              <w:top w:val="single" w:sz="8" w:space="0" w:color="FFFFFF"/>
              <w:left w:val="single" w:sz="8" w:space="0" w:color="FFFFFF"/>
              <w:bottom w:val="single" w:sz="8" w:space="0" w:color="FFFFFF"/>
              <w:right w:val="single" w:sz="8" w:space="0" w:color="FFFFFF"/>
            </w:tcBorders>
            <w:shd w:val="clear" w:color="auto" w:fill="17365D"/>
            <w:vAlign w:val="center"/>
            <w:hideMark/>
          </w:tcPr>
          <w:p w:rsidR="007B0E17" w:rsidRPr="008C65ED" w:rsidRDefault="007B0E17" w:rsidP="00C93704">
            <w:pPr>
              <w:jc w:val="center"/>
              <w:rPr>
                <w:rFonts w:ascii="Arial Narrow" w:hAnsi="Arial Narrow" w:cs="Arial"/>
                <w:b/>
                <w:bCs/>
                <w:color w:val="FFFFFF"/>
                <w:sz w:val="24"/>
              </w:rPr>
            </w:pPr>
            <w:r w:rsidRPr="008C65ED">
              <w:rPr>
                <w:rFonts w:ascii="Arial Narrow" w:hAnsi="Arial Narrow" w:cs="Arial"/>
                <w:b/>
                <w:bCs/>
                <w:color w:val="FFFFFF"/>
                <w:sz w:val="24"/>
              </w:rPr>
              <w:t>Calificaciones Admisibles para Asignación de Cupos</w:t>
            </w:r>
          </w:p>
        </w:tc>
        <w:tc>
          <w:tcPr>
            <w:tcW w:w="1860" w:type="dxa"/>
            <w:tcBorders>
              <w:top w:val="single" w:sz="8" w:space="0" w:color="FFFFFF"/>
              <w:left w:val="nil"/>
              <w:bottom w:val="single" w:sz="8" w:space="0" w:color="FFFFFF"/>
              <w:right w:val="single" w:sz="8" w:space="0" w:color="FFFFFF"/>
            </w:tcBorders>
            <w:shd w:val="clear" w:color="auto" w:fill="17365D"/>
            <w:vAlign w:val="center"/>
            <w:hideMark/>
          </w:tcPr>
          <w:p w:rsidR="007B0E17" w:rsidRPr="008C65ED" w:rsidRDefault="007B0E17" w:rsidP="00C93704">
            <w:pPr>
              <w:jc w:val="center"/>
              <w:rPr>
                <w:rFonts w:ascii="Arial Narrow" w:hAnsi="Arial Narrow" w:cs="Arial"/>
                <w:b/>
                <w:bCs/>
                <w:color w:val="FFFFFF"/>
                <w:sz w:val="24"/>
              </w:rPr>
            </w:pPr>
            <w:r w:rsidRPr="008C65ED">
              <w:rPr>
                <w:rFonts w:ascii="Arial Narrow" w:hAnsi="Arial Narrow" w:cs="Arial"/>
                <w:b/>
                <w:bCs/>
                <w:color w:val="FFFFFF"/>
                <w:sz w:val="24"/>
              </w:rPr>
              <w:t>Calificación de Corto Plazo*</w:t>
            </w:r>
          </w:p>
        </w:tc>
        <w:tc>
          <w:tcPr>
            <w:tcW w:w="2572" w:type="dxa"/>
            <w:tcBorders>
              <w:top w:val="single" w:sz="8" w:space="0" w:color="FFFFFF"/>
              <w:left w:val="nil"/>
              <w:bottom w:val="single" w:sz="8" w:space="0" w:color="FFFFFF"/>
              <w:right w:val="single" w:sz="8" w:space="0" w:color="FFFFFF"/>
            </w:tcBorders>
            <w:shd w:val="clear" w:color="auto" w:fill="17365D"/>
            <w:vAlign w:val="center"/>
            <w:hideMark/>
          </w:tcPr>
          <w:p w:rsidR="007B0E17" w:rsidRPr="008C65ED" w:rsidRDefault="007B0E17" w:rsidP="00C93704">
            <w:pPr>
              <w:jc w:val="center"/>
              <w:rPr>
                <w:rFonts w:ascii="Arial Narrow" w:hAnsi="Arial Narrow" w:cs="Arial"/>
                <w:b/>
                <w:bCs/>
                <w:color w:val="FFFFFF"/>
                <w:sz w:val="24"/>
              </w:rPr>
            </w:pPr>
            <w:r w:rsidRPr="008C65ED">
              <w:rPr>
                <w:rFonts w:ascii="Arial Narrow" w:hAnsi="Arial Narrow" w:cs="Arial"/>
                <w:b/>
                <w:bCs/>
                <w:color w:val="FFFFFF"/>
                <w:sz w:val="24"/>
              </w:rPr>
              <w:t>Calificación de Largo Plazo*</w:t>
            </w:r>
          </w:p>
        </w:tc>
      </w:tr>
      <w:tr w:rsidR="007B0E17" w:rsidRPr="008C65ED" w:rsidTr="007B0E17">
        <w:trPr>
          <w:trHeight w:val="445"/>
          <w:jc w:val="center"/>
        </w:trPr>
        <w:tc>
          <w:tcPr>
            <w:tcW w:w="3880" w:type="dxa"/>
            <w:tcBorders>
              <w:top w:val="nil"/>
              <w:left w:val="single" w:sz="8" w:space="0" w:color="FFFFFF"/>
              <w:bottom w:val="nil"/>
              <w:right w:val="single" w:sz="8" w:space="0" w:color="FFFFFF"/>
            </w:tcBorders>
            <w:shd w:val="clear" w:color="auto" w:fill="D9D9D9"/>
            <w:vAlign w:val="center"/>
            <w:hideMark/>
          </w:tcPr>
          <w:p w:rsidR="007B0E17" w:rsidRPr="008C65ED" w:rsidRDefault="007B0E17" w:rsidP="00C93704">
            <w:pPr>
              <w:rPr>
                <w:rFonts w:ascii="Arial Narrow" w:hAnsi="Arial Narrow" w:cs="Arial"/>
                <w:color w:val="000000"/>
                <w:sz w:val="24"/>
              </w:rPr>
            </w:pPr>
            <w:r w:rsidRPr="008C65ED">
              <w:rPr>
                <w:rFonts w:ascii="Arial Narrow" w:hAnsi="Arial Narrow" w:cs="Arial"/>
                <w:color w:val="000000"/>
                <w:sz w:val="24"/>
              </w:rPr>
              <w:t>Cupos de Contraparte para Entidades Nacionales</w:t>
            </w:r>
          </w:p>
        </w:tc>
        <w:tc>
          <w:tcPr>
            <w:tcW w:w="1860" w:type="dxa"/>
            <w:tcBorders>
              <w:top w:val="nil"/>
              <w:left w:val="nil"/>
              <w:bottom w:val="nil"/>
              <w:right w:val="single" w:sz="8" w:space="0" w:color="FFFFFF"/>
            </w:tcBorders>
            <w:shd w:val="clear" w:color="auto" w:fill="D9D9D9"/>
            <w:vAlign w:val="center"/>
            <w:hideMark/>
          </w:tcPr>
          <w:p w:rsidR="007B0E17" w:rsidRPr="008C65ED" w:rsidRDefault="007B0E17" w:rsidP="00C93704">
            <w:pPr>
              <w:jc w:val="center"/>
              <w:rPr>
                <w:rFonts w:ascii="Arial Narrow" w:hAnsi="Arial Narrow" w:cs="Arial"/>
                <w:color w:val="000000"/>
                <w:sz w:val="24"/>
              </w:rPr>
            </w:pPr>
            <w:r w:rsidRPr="008C65ED">
              <w:rPr>
                <w:rFonts w:ascii="Arial Narrow" w:hAnsi="Arial Narrow" w:cs="Arial"/>
                <w:color w:val="000000"/>
                <w:sz w:val="24"/>
              </w:rPr>
              <w:t>BRC 1+ / F1+ / VrR1+</w:t>
            </w:r>
          </w:p>
        </w:tc>
        <w:tc>
          <w:tcPr>
            <w:tcW w:w="2572" w:type="dxa"/>
            <w:tcBorders>
              <w:top w:val="nil"/>
              <w:left w:val="nil"/>
              <w:bottom w:val="nil"/>
              <w:right w:val="single" w:sz="8" w:space="0" w:color="FFFFFF"/>
            </w:tcBorders>
            <w:shd w:val="clear" w:color="auto" w:fill="D9D9D9"/>
            <w:vAlign w:val="center"/>
            <w:hideMark/>
          </w:tcPr>
          <w:p w:rsidR="007B0E17" w:rsidRPr="008C65ED" w:rsidRDefault="007B0E17" w:rsidP="00C93704">
            <w:pPr>
              <w:jc w:val="center"/>
              <w:rPr>
                <w:rFonts w:ascii="Arial Narrow" w:hAnsi="Arial Narrow" w:cs="Arial"/>
                <w:color w:val="000000"/>
                <w:sz w:val="24"/>
              </w:rPr>
            </w:pPr>
            <w:r w:rsidRPr="008C65ED">
              <w:rPr>
                <w:rFonts w:ascii="Arial Narrow" w:hAnsi="Arial Narrow" w:cs="Arial"/>
                <w:color w:val="000000"/>
                <w:sz w:val="24"/>
              </w:rPr>
              <w:t>Máxima Calificación (AAA)</w:t>
            </w:r>
          </w:p>
        </w:tc>
      </w:tr>
      <w:tr w:rsidR="007B0E17" w:rsidRPr="008C65ED" w:rsidTr="007B0E17">
        <w:trPr>
          <w:trHeight w:val="162"/>
          <w:jc w:val="center"/>
        </w:trPr>
        <w:tc>
          <w:tcPr>
            <w:tcW w:w="8312" w:type="dxa"/>
            <w:gridSpan w:val="3"/>
            <w:tcBorders>
              <w:top w:val="nil"/>
              <w:left w:val="single" w:sz="8" w:space="0" w:color="FFFFFF"/>
              <w:bottom w:val="single" w:sz="8" w:space="0" w:color="FFFFFF"/>
              <w:right w:val="single" w:sz="8" w:space="0" w:color="FFFFFF"/>
            </w:tcBorders>
            <w:shd w:val="clear" w:color="auto" w:fill="auto"/>
            <w:vAlign w:val="center"/>
          </w:tcPr>
          <w:p w:rsidR="007B0E17" w:rsidRPr="008C65ED" w:rsidRDefault="007B0E17" w:rsidP="00C93704">
            <w:pPr>
              <w:rPr>
                <w:rFonts w:ascii="Arial Narrow" w:hAnsi="Arial Narrow" w:cs="Arial"/>
                <w:color w:val="000000"/>
                <w:sz w:val="24"/>
              </w:rPr>
            </w:pPr>
            <w:r w:rsidRPr="008C65ED">
              <w:rPr>
                <w:rFonts w:ascii="Arial Narrow" w:hAnsi="Arial Narrow" w:cs="Arial"/>
                <w:color w:val="000000"/>
              </w:rPr>
              <w:t>*Calificación crediticia de agencias locales</w:t>
            </w:r>
          </w:p>
        </w:tc>
      </w:tr>
    </w:tbl>
    <w:p w:rsidR="007B0E17" w:rsidRPr="008C65ED" w:rsidRDefault="007B0E17" w:rsidP="007B0E17">
      <w:pPr>
        <w:rPr>
          <w:rFonts w:ascii="Arial Narrow" w:hAnsi="Arial Narrow"/>
          <w:lang w:val="es-CO"/>
        </w:rPr>
      </w:pPr>
    </w:p>
    <w:p w:rsidR="007B0E17" w:rsidRPr="008C65ED" w:rsidRDefault="007B0E17" w:rsidP="007B0E17">
      <w:pPr>
        <w:jc w:val="both"/>
        <w:rPr>
          <w:rFonts w:ascii="Arial Narrow" w:hAnsi="Arial Narrow" w:cs="Arial"/>
          <w:sz w:val="24"/>
        </w:rPr>
      </w:pPr>
      <w:r w:rsidRPr="008C65ED">
        <w:rPr>
          <w:rFonts w:ascii="Arial Narrow" w:hAnsi="Arial Narrow" w:cs="Arial"/>
          <w:sz w:val="24"/>
        </w:rPr>
        <w:t xml:space="preserve">Para que las Entidades Nacionales puedan tener cupo aprobado se deberá cumplir con los criterios de calificación de por lo menos una agencia calificadora local. </w:t>
      </w:r>
    </w:p>
    <w:p w:rsidR="007B0E17" w:rsidRPr="008C65ED" w:rsidRDefault="007B0E17" w:rsidP="007B0E17">
      <w:pPr>
        <w:jc w:val="both"/>
        <w:rPr>
          <w:rFonts w:ascii="Arial Narrow" w:hAnsi="Arial Narrow" w:cs="Arial"/>
          <w:sz w:val="24"/>
        </w:rPr>
      </w:pPr>
    </w:p>
    <w:p w:rsidR="007B0E17" w:rsidRPr="008C65ED" w:rsidRDefault="007B0E17" w:rsidP="007B0E17">
      <w:pPr>
        <w:jc w:val="both"/>
        <w:rPr>
          <w:rFonts w:ascii="Arial Narrow" w:hAnsi="Arial Narrow" w:cs="Arial"/>
          <w:sz w:val="24"/>
        </w:rPr>
      </w:pPr>
      <w:r w:rsidRPr="008C65ED">
        <w:rPr>
          <w:rFonts w:ascii="Arial Narrow" w:hAnsi="Arial Narrow" w:cs="Arial"/>
          <w:sz w:val="24"/>
        </w:rPr>
        <w:t>Las calificaciones admisibles aplicarán para las entidades intermediarias del mercado cambiario para realizar operaciones de compra y venta de dólares en el sistema de negociación SET-FX y para la compra y venta de títulos TES en el sistema MEC – Master Trader.</w:t>
      </w:r>
    </w:p>
    <w:p w:rsidR="007B0E17" w:rsidRPr="008C65ED" w:rsidRDefault="007B0E17" w:rsidP="007B0E17">
      <w:pPr>
        <w:jc w:val="both"/>
        <w:rPr>
          <w:rFonts w:ascii="Arial Narrow" w:hAnsi="Arial Narrow" w:cs="Arial"/>
          <w:sz w:val="24"/>
        </w:rPr>
      </w:pPr>
    </w:p>
    <w:p w:rsidR="007B0E17" w:rsidRPr="008C65ED" w:rsidRDefault="007B0E17" w:rsidP="007B0E17">
      <w:pPr>
        <w:jc w:val="both"/>
        <w:rPr>
          <w:rFonts w:ascii="Arial Narrow" w:hAnsi="Arial Narrow" w:cs="Arial"/>
          <w:sz w:val="24"/>
        </w:rPr>
      </w:pPr>
      <w:r w:rsidRPr="008C65ED">
        <w:rPr>
          <w:rFonts w:ascii="Arial Narrow" w:hAnsi="Arial Narrow" w:cs="Arial"/>
          <w:sz w:val="24"/>
        </w:rPr>
        <w:t>Las entidades sujetas a estudio para la asignación de cupos corresponden a las Instituciones Oficiales Especiales (IOE), el Banco de la República y Entidades Públicas</w:t>
      </w:r>
      <w:r w:rsidR="00F07F58" w:rsidRPr="008C65ED">
        <w:rPr>
          <w:rFonts w:ascii="Arial Narrow" w:hAnsi="Arial Narrow" w:cs="Arial"/>
          <w:sz w:val="24"/>
        </w:rPr>
        <w:t xml:space="preserve"> y Mixtas que cuenten</w:t>
      </w:r>
      <w:r w:rsidRPr="008C65ED">
        <w:rPr>
          <w:rFonts w:ascii="Arial Narrow" w:hAnsi="Arial Narrow" w:cs="Arial"/>
          <w:sz w:val="24"/>
        </w:rPr>
        <w:t xml:space="preserve"> con participación del estado superior al 50% que negocien en cada uno de los sistemas transaccionales.</w:t>
      </w:r>
    </w:p>
    <w:p w:rsidR="007B0E17" w:rsidRPr="008C65ED" w:rsidRDefault="007B0E17" w:rsidP="007B0E17">
      <w:pPr>
        <w:jc w:val="both"/>
        <w:rPr>
          <w:rFonts w:ascii="Arial Narrow" w:hAnsi="Arial Narrow" w:cs="Arial"/>
          <w:sz w:val="24"/>
        </w:rPr>
      </w:pPr>
    </w:p>
    <w:p w:rsidR="007B0E17" w:rsidRPr="008C65ED" w:rsidRDefault="007B0E17" w:rsidP="007B0E17">
      <w:pPr>
        <w:jc w:val="both"/>
        <w:rPr>
          <w:rFonts w:ascii="Arial Narrow" w:hAnsi="Arial Narrow" w:cs="Arial"/>
          <w:sz w:val="24"/>
        </w:rPr>
      </w:pPr>
      <w:r w:rsidRPr="008C65ED">
        <w:rPr>
          <w:rFonts w:ascii="Arial Narrow" w:hAnsi="Arial Narrow" w:cs="Arial"/>
          <w:sz w:val="24"/>
        </w:rPr>
        <w:t>Adicionalmente, en el caso de la aplicación SET-FX se tendrán en cuenta establecimientos de crédito y corporaciones financieras que estén vigiladas por la SFC, y entidades comisionistas que cumplan con los parámetros de riesgo que se describen más adelante en la metodología de cálculo de asignación de cupos para entidades nacionales.</w:t>
      </w:r>
    </w:p>
    <w:p w:rsidR="007B0E17" w:rsidRPr="008C65ED" w:rsidRDefault="007B0E17" w:rsidP="007B0E17">
      <w:pPr>
        <w:jc w:val="both"/>
        <w:rPr>
          <w:rFonts w:ascii="Arial Narrow" w:hAnsi="Arial Narrow" w:cs="Arial"/>
          <w:sz w:val="24"/>
        </w:rPr>
      </w:pPr>
      <w:r w:rsidRPr="008C65ED">
        <w:rPr>
          <w:rFonts w:ascii="Arial Narrow" w:hAnsi="Arial Narrow" w:cs="Arial"/>
          <w:sz w:val="24"/>
        </w:rPr>
        <w:t xml:space="preserve"> </w:t>
      </w:r>
    </w:p>
    <w:p w:rsidR="008636B6" w:rsidRPr="008C65ED" w:rsidRDefault="007B0E17" w:rsidP="009C722F">
      <w:pPr>
        <w:jc w:val="both"/>
        <w:rPr>
          <w:rFonts w:ascii="Arial Narrow" w:hAnsi="Arial Narrow" w:cs="Arial"/>
          <w:sz w:val="24"/>
        </w:rPr>
      </w:pPr>
      <w:r w:rsidRPr="008C65ED">
        <w:rPr>
          <w:rFonts w:ascii="Arial Narrow" w:hAnsi="Arial Narrow" w:cs="Arial"/>
          <w:sz w:val="24"/>
        </w:rPr>
        <w:t>Por otra parte, se otorga cupo en el sistema transaccional MEC – Master Trader a las entidades que hacen parte del programa de Creadores de Mercado aún si no cumplen con el nivel mínimo de calificación crediticia definido para cupos de contraparte para Entidades Locales mencionado anteriormente.</w:t>
      </w:r>
    </w:p>
    <w:p w:rsidR="003C686A" w:rsidRPr="008C65ED" w:rsidRDefault="003C686A" w:rsidP="003C686A">
      <w:pPr>
        <w:rPr>
          <w:rFonts w:ascii="Arial Narrow" w:hAnsi="Arial Narrow"/>
        </w:rPr>
      </w:pPr>
    </w:p>
    <w:p w:rsidR="009C722F" w:rsidRPr="008C65ED" w:rsidRDefault="009C722F" w:rsidP="009C722F">
      <w:pPr>
        <w:pStyle w:val="Ttulo3"/>
        <w:rPr>
          <w:lang w:val="es-CO"/>
        </w:rPr>
      </w:pPr>
      <w:bookmarkStart w:id="55" w:name="_Toc80191592"/>
      <w:r w:rsidRPr="008C65ED">
        <w:rPr>
          <w:lang w:val="es-CO"/>
        </w:rPr>
        <w:t xml:space="preserve">Calificación </w:t>
      </w:r>
      <w:r w:rsidR="00134D9C" w:rsidRPr="008C65ED">
        <w:rPr>
          <w:lang w:val="es-CO"/>
        </w:rPr>
        <w:t>A</w:t>
      </w:r>
      <w:r w:rsidRPr="008C65ED">
        <w:rPr>
          <w:lang w:val="es-CO"/>
        </w:rPr>
        <w:t xml:space="preserve">dmisible para </w:t>
      </w:r>
      <w:r w:rsidR="00134D9C" w:rsidRPr="008C65ED">
        <w:rPr>
          <w:lang w:val="es-CO"/>
        </w:rPr>
        <w:t>E</w:t>
      </w:r>
      <w:r w:rsidRPr="008C65ED">
        <w:rPr>
          <w:lang w:val="es-CO"/>
        </w:rPr>
        <w:t xml:space="preserve">ntidades </w:t>
      </w:r>
      <w:r w:rsidR="00134D9C" w:rsidRPr="008C65ED">
        <w:rPr>
          <w:lang w:val="es-CO"/>
        </w:rPr>
        <w:t>E</w:t>
      </w:r>
      <w:r w:rsidRPr="008C65ED">
        <w:rPr>
          <w:lang w:val="es-CO"/>
        </w:rPr>
        <w:t>xtranjeras</w:t>
      </w:r>
      <w:bookmarkEnd w:id="55"/>
    </w:p>
    <w:p w:rsidR="009C722F" w:rsidRPr="008C65ED" w:rsidRDefault="009C722F" w:rsidP="009C722F">
      <w:pPr>
        <w:rPr>
          <w:rFonts w:ascii="Arial Narrow" w:hAnsi="Arial Narrow"/>
          <w:lang w:val="es-CO"/>
        </w:rPr>
      </w:pPr>
    </w:p>
    <w:tbl>
      <w:tblPr>
        <w:tblW w:w="8312" w:type="dxa"/>
        <w:jc w:val="center"/>
        <w:tblCellMar>
          <w:left w:w="70" w:type="dxa"/>
          <w:right w:w="70" w:type="dxa"/>
        </w:tblCellMar>
        <w:tblLook w:val="04A0" w:firstRow="1" w:lastRow="0" w:firstColumn="1" w:lastColumn="0" w:noHBand="0" w:noVBand="1"/>
      </w:tblPr>
      <w:tblGrid>
        <w:gridCol w:w="3880"/>
        <w:gridCol w:w="2206"/>
        <w:gridCol w:w="2226"/>
      </w:tblGrid>
      <w:tr w:rsidR="009C722F" w:rsidRPr="008C65ED" w:rsidTr="00C93704">
        <w:trPr>
          <w:trHeight w:val="615"/>
          <w:jc w:val="center"/>
        </w:trPr>
        <w:tc>
          <w:tcPr>
            <w:tcW w:w="3880" w:type="dxa"/>
            <w:tcBorders>
              <w:top w:val="single" w:sz="8" w:space="0" w:color="FFFFFF"/>
              <w:left w:val="single" w:sz="8" w:space="0" w:color="FFFFFF"/>
              <w:bottom w:val="single" w:sz="8" w:space="0" w:color="FFFFFF"/>
              <w:right w:val="single" w:sz="8" w:space="0" w:color="FFFFFF"/>
            </w:tcBorders>
            <w:shd w:val="clear" w:color="auto" w:fill="17365D"/>
            <w:vAlign w:val="center"/>
            <w:hideMark/>
          </w:tcPr>
          <w:p w:rsidR="009C722F" w:rsidRPr="008C65ED" w:rsidRDefault="009C722F" w:rsidP="00C93704">
            <w:pPr>
              <w:jc w:val="center"/>
              <w:rPr>
                <w:rFonts w:ascii="Arial Narrow" w:hAnsi="Arial Narrow" w:cs="Arial"/>
                <w:b/>
                <w:bCs/>
                <w:color w:val="FFFFFF"/>
                <w:sz w:val="24"/>
              </w:rPr>
            </w:pPr>
            <w:r w:rsidRPr="008C65ED">
              <w:rPr>
                <w:rFonts w:ascii="Arial Narrow" w:hAnsi="Arial Narrow" w:cs="Arial"/>
                <w:b/>
                <w:bCs/>
                <w:color w:val="FFFFFF"/>
                <w:sz w:val="24"/>
              </w:rPr>
              <w:t>Calificaciones Admisibles para Asignación de Cupos</w:t>
            </w:r>
          </w:p>
        </w:tc>
        <w:tc>
          <w:tcPr>
            <w:tcW w:w="2206" w:type="dxa"/>
            <w:tcBorders>
              <w:top w:val="single" w:sz="8" w:space="0" w:color="FFFFFF"/>
              <w:left w:val="nil"/>
              <w:bottom w:val="single" w:sz="8" w:space="0" w:color="FFFFFF"/>
              <w:right w:val="single" w:sz="8" w:space="0" w:color="FFFFFF"/>
            </w:tcBorders>
            <w:shd w:val="clear" w:color="auto" w:fill="17365D"/>
            <w:vAlign w:val="center"/>
            <w:hideMark/>
          </w:tcPr>
          <w:p w:rsidR="009C722F" w:rsidRPr="008C65ED" w:rsidRDefault="009C722F" w:rsidP="00C93704">
            <w:pPr>
              <w:jc w:val="center"/>
              <w:rPr>
                <w:rFonts w:ascii="Arial Narrow" w:hAnsi="Arial Narrow" w:cs="Arial"/>
                <w:b/>
                <w:bCs/>
                <w:color w:val="FFFFFF"/>
                <w:sz w:val="24"/>
              </w:rPr>
            </w:pPr>
            <w:r w:rsidRPr="008C65ED">
              <w:rPr>
                <w:rFonts w:ascii="Arial Narrow" w:hAnsi="Arial Narrow" w:cs="Arial"/>
                <w:b/>
                <w:bCs/>
                <w:color w:val="FFFFFF"/>
                <w:sz w:val="24"/>
              </w:rPr>
              <w:t>Calificación de Corto Plazo*</w:t>
            </w:r>
          </w:p>
        </w:tc>
        <w:tc>
          <w:tcPr>
            <w:tcW w:w="2226" w:type="dxa"/>
            <w:tcBorders>
              <w:top w:val="single" w:sz="8" w:space="0" w:color="FFFFFF"/>
              <w:left w:val="nil"/>
              <w:bottom w:val="single" w:sz="8" w:space="0" w:color="FFFFFF"/>
              <w:right w:val="single" w:sz="8" w:space="0" w:color="FFFFFF"/>
            </w:tcBorders>
            <w:shd w:val="clear" w:color="auto" w:fill="17365D"/>
            <w:vAlign w:val="center"/>
            <w:hideMark/>
          </w:tcPr>
          <w:p w:rsidR="009C722F" w:rsidRPr="008C65ED" w:rsidRDefault="009C722F" w:rsidP="00C93704">
            <w:pPr>
              <w:jc w:val="center"/>
              <w:rPr>
                <w:rFonts w:ascii="Arial Narrow" w:hAnsi="Arial Narrow" w:cs="Arial"/>
                <w:b/>
                <w:bCs/>
                <w:color w:val="FFFFFF"/>
                <w:sz w:val="24"/>
              </w:rPr>
            </w:pPr>
            <w:r w:rsidRPr="008C65ED">
              <w:rPr>
                <w:rFonts w:ascii="Arial Narrow" w:hAnsi="Arial Narrow" w:cs="Arial"/>
                <w:b/>
                <w:bCs/>
                <w:color w:val="FFFFFF"/>
                <w:sz w:val="24"/>
              </w:rPr>
              <w:t>Calificación de Largo Plazo*</w:t>
            </w:r>
          </w:p>
        </w:tc>
      </w:tr>
      <w:tr w:rsidR="009C722F" w:rsidRPr="008C65ED" w:rsidTr="00C93704">
        <w:trPr>
          <w:trHeight w:val="470"/>
          <w:jc w:val="center"/>
        </w:trPr>
        <w:tc>
          <w:tcPr>
            <w:tcW w:w="3880" w:type="dxa"/>
            <w:tcBorders>
              <w:top w:val="nil"/>
              <w:left w:val="single" w:sz="8" w:space="0" w:color="FFFFFF"/>
              <w:bottom w:val="single" w:sz="8" w:space="0" w:color="FFFFFF"/>
              <w:right w:val="single" w:sz="8" w:space="0" w:color="FFFFFF"/>
            </w:tcBorders>
            <w:shd w:val="clear" w:color="000000" w:fill="D9D9D9"/>
            <w:vAlign w:val="center"/>
            <w:hideMark/>
          </w:tcPr>
          <w:p w:rsidR="009C722F" w:rsidRPr="008C65ED" w:rsidRDefault="009C722F" w:rsidP="00C93704">
            <w:pPr>
              <w:rPr>
                <w:rFonts w:ascii="Arial Narrow" w:hAnsi="Arial Narrow" w:cs="Arial"/>
                <w:color w:val="000000"/>
                <w:sz w:val="24"/>
              </w:rPr>
            </w:pPr>
            <w:r w:rsidRPr="008C65ED">
              <w:rPr>
                <w:rFonts w:ascii="Arial Narrow" w:hAnsi="Arial Narrow" w:cs="Arial"/>
                <w:color w:val="000000"/>
                <w:sz w:val="24"/>
              </w:rPr>
              <w:t>Para Cupos de Emisor para Entidades Extranjeras</w:t>
            </w:r>
          </w:p>
        </w:tc>
        <w:tc>
          <w:tcPr>
            <w:tcW w:w="2206" w:type="dxa"/>
            <w:tcBorders>
              <w:top w:val="nil"/>
              <w:left w:val="nil"/>
              <w:bottom w:val="single" w:sz="8" w:space="0" w:color="FFFFFF"/>
              <w:right w:val="single" w:sz="8" w:space="0" w:color="FFFFFF"/>
            </w:tcBorders>
            <w:shd w:val="clear" w:color="000000" w:fill="D9D9D9"/>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A-1+ / F1+ / P-1</w:t>
            </w:r>
          </w:p>
        </w:tc>
        <w:tc>
          <w:tcPr>
            <w:tcW w:w="2226" w:type="dxa"/>
            <w:tcBorders>
              <w:top w:val="nil"/>
              <w:left w:val="nil"/>
              <w:bottom w:val="single" w:sz="8" w:space="0" w:color="FFFFFF"/>
              <w:right w:val="single" w:sz="8" w:space="0" w:color="FFFFFF"/>
            </w:tcBorders>
            <w:shd w:val="clear" w:color="000000" w:fill="D9D9D9"/>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Igual o Superior a:</w:t>
            </w:r>
          </w:p>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 / A1 (Moody’s)</w:t>
            </w:r>
          </w:p>
        </w:tc>
      </w:tr>
      <w:tr w:rsidR="009C722F" w:rsidRPr="008C65ED" w:rsidTr="00C93704">
        <w:trPr>
          <w:trHeight w:val="544"/>
          <w:jc w:val="center"/>
        </w:trPr>
        <w:tc>
          <w:tcPr>
            <w:tcW w:w="3880" w:type="dxa"/>
            <w:tcBorders>
              <w:top w:val="nil"/>
              <w:left w:val="single" w:sz="8" w:space="0" w:color="FFFFFF"/>
              <w:bottom w:val="nil"/>
              <w:right w:val="single" w:sz="8" w:space="0" w:color="FFFFFF"/>
            </w:tcBorders>
            <w:shd w:val="clear" w:color="auto" w:fill="auto"/>
            <w:vAlign w:val="center"/>
            <w:hideMark/>
          </w:tcPr>
          <w:p w:rsidR="009C722F" w:rsidRPr="008C65ED" w:rsidRDefault="009C722F" w:rsidP="00C93704">
            <w:pPr>
              <w:rPr>
                <w:rFonts w:ascii="Arial Narrow" w:hAnsi="Arial Narrow" w:cs="Arial"/>
                <w:color w:val="000000"/>
                <w:sz w:val="24"/>
              </w:rPr>
            </w:pPr>
            <w:r w:rsidRPr="008C65ED">
              <w:rPr>
                <w:rFonts w:ascii="Arial Narrow" w:hAnsi="Arial Narrow" w:cs="Arial"/>
                <w:color w:val="000000"/>
                <w:sz w:val="24"/>
              </w:rPr>
              <w:t>Para Bancos extranjeros que administren cuentas bancarias</w:t>
            </w:r>
          </w:p>
        </w:tc>
        <w:tc>
          <w:tcPr>
            <w:tcW w:w="2206" w:type="dxa"/>
            <w:tcBorders>
              <w:top w:val="nil"/>
              <w:left w:val="nil"/>
              <w:bottom w:val="nil"/>
              <w:right w:val="single" w:sz="8" w:space="0" w:color="FFFFFF"/>
            </w:tcBorders>
            <w:shd w:val="clear" w:color="auto" w:fill="auto"/>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Igual o Superior a:</w:t>
            </w:r>
          </w:p>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A-1 / F1 / P-2</w:t>
            </w:r>
          </w:p>
        </w:tc>
        <w:tc>
          <w:tcPr>
            <w:tcW w:w="2226" w:type="dxa"/>
            <w:tcBorders>
              <w:top w:val="nil"/>
              <w:left w:val="nil"/>
              <w:bottom w:val="nil"/>
              <w:right w:val="single" w:sz="8" w:space="0" w:color="FFFFFF"/>
            </w:tcBorders>
            <w:shd w:val="clear" w:color="auto" w:fill="auto"/>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Igual o Superior a:</w:t>
            </w:r>
          </w:p>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 / A3 (Moody’s)</w:t>
            </w:r>
          </w:p>
        </w:tc>
      </w:tr>
      <w:tr w:rsidR="009C722F" w:rsidRPr="008C65ED" w:rsidTr="009C722F">
        <w:trPr>
          <w:trHeight w:val="544"/>
          <w:jc w:val="center"/>
        </w:trPr>
        <w:tc>
          <w:tcPr>
            <w:tcW w:w="3880" w:type="dxa"/>
            <w:tcBorders>
              <w:top w:val="nil"/>
              <w:left w:val="single" w:sz="8" w:space="0" w:color="FFFFFF"/>
              <w:right w:val="single" w:sz="8" w:space="0" w:color="FFFFFF"/>
            </w:tcBorders>
            <w:shd w:val="clear" w:color="auto" w:fill="D9D9D9"/>
            <w:vAlign w:val="center"/>
            <w:hideMark/>
          </w:tcPr>
          <w:p w:rsidR="009C722F" w:rsidRPr="008C65ED" w:rsidRDefault="009C722F" w:rsidP="00C93704">
            <w:pPr>
              <w:rPr>
                <w:rFonts w:ascii="Arial Narrow" w:hAnsi="Arial Narrow" w:cs="Arial"/>
                <w:color w:val="000000"/>
                <w:sz w:val="24"/>
              </w:rPr>
            </w:pPr>
            <w:r w:rsidRPr="008C65ED">
              <w:rPr>
                <w:rFonts w:ascii="Arial Narrow" w:hAnsi="Arial Narrow" w:cs="Arial"/>
                <w:color w:val="000000"/>
                <w:sz w:val="24"/>
              </w:rPr>
              <w:t>Cupos de Contraparte para operaciones FX</w:t>
            </w:r>
          </w:p>
        </w:tc>
        <w:tc>
          <w:tcPr>
            <w:tcW w:w="2206" w:type="dxa"/>
            <w:tcBorders>
              <w:top w:val="nil"/>
              <w:left w:val="nil"/>
              <w:right w:val="single" w:sz="8" w:space="0" w:color="FFFFFF"/>
            </w:tcBorders>
            <w:shd w:val="clear" w:color="auto" w:fill="D9D9D9"/>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Igual o Superior a:</w:t>
            </w:r>
          </w:p>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A-1 / F1 / P-2</w:t>
            </w:r>
          </w:p>
        </w:tc>
        <w:tc>
          <w:tcPr>
            <w:tcW w:w="2226" w:type="dxa"/>
            <w:tcBorders>
              <w:top w:val="nil"/>
              <w:left w:val="nil"/>
              <w:right w:val="single" w:sz="8" w:space="0" w:color="FFFFFF"/>
            </w:tcBorders>
            <w:shd w:val="clear" w:color="auto" w:fill="D9D9D9"/>
            <w:vAlign w:val="center"/>
            <w:hideMark/>
          </w:tcPr>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Igual o Superior a:</w:t>
            </w:r>
          </w:p>
          <w:p w:rsidR="009C722F" w:rsidRPr="008C65ED" w:rsidRDefault="009C722F" w:rsidP="00C93704">
            <w:pPr>
              <w:jc w:val="center"/>
              <w:rPr>
                <w:rFonts w:ascii="Arial Narrow" w:hAnsi="Arial Narrow" w:cs="Arial"/>
                <w:color w:val="000000"/>
                <w:sz w:val="24"/>
              </w:rPr>
            </w:pPr>
            <w:r w:rsidRPr="008C65ED">
              <w:rPr>
                <w:rFonts w:ascii="Arial Narrow" w:hAnsi="Arial Narrow" w:cs="Arial"/>
                <w:color w:val="000000"/>
                <w:sz w:val="24"/>
              </w:rPr>
              <w:t>A- / A3 (Moody’s)</w:t>
            </w:r>
          </w:p>
        </w:tc>
      </w:tr>
      <w:tr w:rsidR="009C722F" w:rsidRPr="008C65ED" w:rsidTr="00C93704">
        <w:trPr>
          <w:trHeight w:val="294"/>
          <w:jc w:val="center"/>
        </w:trPr>
        <w:tc>
          <w:tcPr>
            <w:tcW w:w="8312" w:type="dxa"/>
            <w:gridSpan w:val="3"/>
            <w:tcBorders>
              <w:top w:val="nil"/>
              <w:bottom w:val="nil"/>
            </w:tcBorders>
            <w:shd w:val="clear" w:color="auto" w:fill="auto"/>
            <w:vAlign w:val="center"/>
          </w:tcPr>
          <w:p w:rsidR="009C722F" w:rsidRPr="008C65ED" w:rsidRDefault="009C722F" w:rsidP="00C93704">
            <w:pPr>
              <w:rPr>
                <w:rFonts w:ascii="Arial Narrow" w:hAnsi="Arial Narrow" w:cs="Arial"/>
                <w:color w:val="000000"/>
                <w:sz w:val="24"/>
              </w:rPr>
            </w:pPr>
            <w:r w:rsidRPr="008C65ED">
              <w:rPr>
                <w:rFonts w:ascii="Arial Narrow" w:hAnsi="Arial Narrow" w:cs="Arial"/>
                <w:color w:val="000000"/>
              </w:rPr>
              <w:t>*Calificación crediticia internacional</w:t>
            </w:r>
          </w:p>
        </w:tc>
      </w:tr>
    </w:tbl>
    <w:p w:rsidR="009C722F" w:rsidRPr="008C65ED" w:rsidRDefault="009C722F" w:rsidP="009C722F">
      <w:pPr>
        <w:rPr>
          <w:rFonts w:ascii="Arial Narrow" w:hAnsi="Arial Narrow"/>
          <w:lang w:val="es-CO"/>
        </w:rPr>
      </w:pPr>
    </w:p>
    <w:p w:rsidR="009C722F" w:rsidRPr="008C65ED" w:rsidRDefault="009C722F" w:rsidP="009C722F">
      <w:pPr>
        <w:ind w:right="49"/>
        <w:jc w:val="both"/>
        <w:rPr>
          <w:rFonts w:ascii="Arial Narrow" w:hAnsi="Arial Narrow" w:cs="Arial"/>
          <w:color w:val="000000"/>
          <w:sz w:val="24"/>
        </w:rPr>
      </w:pPr>
      <w:r w:rsidRPr="008C65ED">
        <w:rPr>
          <w:rFonts w:ascii="Arial Narrow" w:hAnsi="Arial Narrow" w:cs="Arial"/>
          <w:color w:val="000000"/>
          <w:sz w:val="24"/>
        </w:rPr>
        <w:t>Se deberá cumplir con al menos dos de tres de las principales agencias calificadoras reconocidas (RNSO).</w:t>
      </w:r>
    </w:p>
    <w:p w:rsidR="009C722F" w:rsidRPr="008C65ED" w:rsidRDefault="009C722F" w:rsidP="009C722F">
      <w:pPr>
        <w:ind w:right="49"/>
        <w:jc w:val="both"/>
        <w:rPr>
          <w:rFonts w:ascii="Arial Narrow" w:hAnsi="Arial Narrow" w:cs="Arial"/>
          <w:color w:val="000000"/>
          <w:sz w:val="24"/>
        </w:rPr>
      </w:pPr>
    </w:p>
    <w:p w:rsidR="009C722F" w:rsidRPr="008C65ED" w:rsidRDefault="009C722F" w:rsidP="009C722F">
      <w:pPr>
        <w:tabs>
          <w:tab w:val="left" w:pos="0"/>
        </w:tabs>
        <w:autoSpaceDE w:val="0"/>
        <w:autoSpaceDN w:val="0"/>
        <w:adjustRightInd w:val="0"/>
        <w:contextualSpacing/>
        <w:jc w:val="both"/>
        <w:rPr>
          <w:rFonts w:ascii="Arial Narrow" w:hAnsi="Arial Narrow" w:cs="Arial"/>
          <w:sz w:val="24"/>
        </w:rPr>
      </w:pPr>
      <w:r w:rsidRPr="008C65ED">
        <w:rPr>
          <w:rFonts w:ascii="Arial Narrow" w:hAnsi="Arial Narrow" w:cs="Arial"/>
          <w:sz w:val="24"/>
        </w:rPr>
        <w:t>La Tesorería podrá realizar operaciones de compra – venta de divisas a través de plataformas de entidades bancarias para ejecución presupuestal cuando las transacciones superen los USD$10.000.</w:t>
      </w:r>
    </w:p>
    <w:p w:rsidR="009C722F" w:rsidRPr="008C65ED" w:rsidRDefault="009C722F" w:rsidP="009C722F">
      <w:pPr>
        <w:ind w:right="49"/>
        <w:jc w:val="both"/>
        <w:rPr>
          <w:rFonts w:ascii="Arial Narrow" w:hAnsi="Arial Narrow" w:cs="Arial"/>
          <w:color w:val="000000"/>
          <w:sz w:val="24"/>
        </w:rPr>
      </w:pPr>
    </w:p>
    <w:p w:rsidR="009C722F" w:rsidRPr="008C65ED" w:rsidRDefault="009C722F" w:rsidP="00262411">
      <w:pPr>
        <w:ind w:right="49"/>
        <w:jc w:val="both"/>
        <w:rPr>
          <w:rFonts w:ascii="Arial Narrow" w:hAnsi="Arial Narrow"/>
          <w:lang w:val="es-CO"/>
        </w:rPr>
      </w:pPr>
      <w:r w:rsidRPr="008C65ED">
        <w:rPr>
          <w:rFonts w:ascii="Arial Narrow" w:hAnsi="Arial Narrow" w:cs="Arial"/>
          <w:color w:val="000000"/>
          <w:sz w:val="24"/>
        </w:rPr>
        <w:t>Para los fondos</w:t>
      </w:r>
      <w:r w:rsidR="00B44AF0" w:rsidRPr="008C65ED">
        <w:rPr>
          <w:rFonts w:ascii="Arial Narrow" w:hAnsi="Arial Narrow" w:cs="Arial"/>
          <w:i/>
          <w:color w:val="000000"/>
          <w:sz w:val="24"/>
        </w:rPr>
        <w:t xml:space="preserve"> Money M</w:t>
      </w:r>
      <w:r w:rsidRPr="008C65ED">
        <w:rPr>
          <w:rFonts w:ascii="Arial Narrow" w:hAnsi="Arial Narrow" w:cs="Arial"/>
          <w:i/>
          <w:color w:val="000000"/>
          <w:sz w:val="24"/>
        </w:rPr>
        <w:t>arket</w:t>
      </w:r>
      <w:r w:rsidRPr="008C65ED">
        <w:rPr>
          <w:rFonts w:ascii="Arial Narrow" w:hAnsi="Arial Narrow" w:cs="Arial"/>
          <w:color w:val="000000"/>
          <w:sz w:val="24"/>
        </w:rPr>
        <w:t xml:space="preserve"> aplicarán las calificaciones definidas en los lineamientos de inversión descritos más adelante.</w:t>
      </w:r>
    </w:p>
    <w:p w:rsidR="009C722F" w:rsidRPr="008C65ED" w:rsidRDefault="009C722F" w:rsidP="009C722F">
      <w:pPr>
        <w:rPr>
          <w:rFonts w:ascii="Arial Narrow" w:hAnsi="Arial Narrow"/>
          <w:lang w:val="es-CO"/>
        </w:rPr>
      </w:pPr>
    </w:p>
    <w:p w:rsidR="00262411" w:rsidRPr="008C65ED" w:rsidRDefault="00262411" w:rsidP="000E1069">
      <w:pPr>
        <w:pStyle w:val="Ttulo2"/>
      </w:pPr>
      <w:bookmarkStart w:id="56" w:name="_Toc80191593"/>
      <w:r w:rsidRPr="008C65ED">
        <w:t>Lineamientos Generales del Portafolio de Inversiones</w:t>
      </w:r>
      <w:bookmarkEnd w:id="56"/>
    </w:p>
    <w:p w:rsidR="00262411" w:rsidRPr="008C65ED" w:rsidRDefault="00262411" w:rsidP="00262411">
      <w:pPr>
        <w:rPr>
          <w:rFonts w:ascii="Arial Narrow" w:hAnsi="Arial Narrow"/>
        </w:rPr>
      </w:pPr>
    </w:p>
    <w:p w:rsidR="00262411" w:rsidRPr="008C65ED" w:rsidRDefault="00262411" w:rsidP="00954628">
      <w:pPr>
        <w:pStyle w:val="Prrafodelista"/>
        <w:numPr>
          <w:ilvl w:val="0"/>
          <w:numId w:val="27"/>
        </w:numPr>
        <w:rPr>
          <w:rFonts w:ascii="Arial Narrow" w:hAnsi="Arial Narrow"/>
          <w:sz w:val="24"/>
          <w:szCs w:val="24"/>
        </w:rPr>
      </w:pPr>
      <w:r w:rsidRPr="008C65ED">
        <w:rPr>
          <w:rFonts w:ascii="Arial Narrow" w:hAnsi="Arial Narrow"/>
          <w:sz w:val="24"/>
          <w:szCs w:val="24"/>
        </w:rPr>
        <w:t>Límite de maduración de las operaciones admisibles:</w:t>
      </w:r>
    </w:p>
    <w:p w:rsidR="00262411" w:rsidRPr="008C65ED" w:rsidRDefault="00262411" w:rsidP="00262411">
      <w:pPr>
        <w:rPr>
          <w:rFonts w:ascii="Arial Narrow" w:hAnsi="Arial Narrow"/>
          <w:sz w:val="24"/>
          <w:szCs w:val="24"/>
        </w:rPr>
      </w:pPr>
    </w:p>
    <w:tbl>
      <w:tblPr>
        <w:tblW w:w="2945" w:type="pct"/>
        <w:jc w:val="center"/>
        <w:tblLayout w:type="fixed"/>
        <w:tblCellMar>
          <w:left w:w="70" w:type="dxa"/>
          <w:right w:w="70" w:type="dxa"/>
        </w:tblCellMar>
        <w:tblLook w:val="04A0" w:firstRow="1" w:lastRow="0" w:firstColumn="1" w:lastColumn="0" w:noHBand="0" w:noVBand="1"/>
      </w:tblPr>
      <w:tblGrid>
        <w:gridCol w:w="3634"/>
        <w:gridCol w:w="1561"/>
      </w:tblGrid>
      <w:tr w:rsidR="00262411" w:rsidRPr="008C65ED" w:rsidTr="00C93704">
        <w:trPr>
          <w:trHeight w:val="330"/>
          <w:jc w:val="center"/>
        </w:trPr>
        <w:tc>
          <w:tcPr>
            <w:tcW w:w="3498" w:type="pct"/>
            <w:tcBorders>
              <w:top w:val="single" w:sz="8" w:space="0" w:color="FFFFFF"/>
              <w:left w:val="single" w:sz="8" w:space="0" w:color="FFFFFF"/>
              <w:bottom w:val="single" w:sz="8" w:space="0" w:color="FFFFFF"/>
              <w:right w:val="single" w:sz="8" w:space="0" w:color="FFFFFF"/>
            </w:tcBorders>
            <w:shd w:val="clear" w:color="000000" w:fill="17365D"/>
            <w:vAlign w:val="center"/>
            <w:hideMark/>
          </w:tcPr>
          <w:p w:rsidR="00262411" w:rsidRPr="008C65ED" w:rsidRDefault="00262411" w:rsidP="00C93704">
            <w:pPr>
              <w:jc w:val="center"/>
              <w:rPr>
                <w:rFonts w:ascii="Arial Narrow" w:hAnsi="Arial Narrow" w:cs="Arial"/>
                <w:b/>
                <w:bCs/>
                <w:color w:val="FFFFFF"/>
                <w:sz w:val="24"/>
                <w:szCs w:val="24"/>
              </w:rPr>
            </w:pPr>
            <w:r w:rsidRPr="008C65ED">
              <w:rPr>
                <w:rFonts w:ascii="Arial Narrow" w:hAnsi="Arial Narrow" w:cs="Arial"/>
                <w:b/>
                <w:bCs/>
                <w:color w:val="FFFFFF"/>
                <w:sz w:val="24"/>
                <w:szCs w:val="24"/>
              </w:rPr>
              <w:t>Operaciones admisibles</w:t>
            </w:r>
          </w:p>
        </w:tc>
        <w:tc>
          <w:tcPr>
            <w:tcW w:w="1502" w:type="pct"/>
            <w:tcBorders>
              <w:top w:val="single" w:sz="8" w:space="0" w:color="FFFFFF"/>
              <w:left w:val="nil"/>
              <w:bottom w:val="single" w:sz="8" w:space="0" w:color="FFFFFF"/>
              <w:right w:val="single" w:sz="8" w:space="0" w:color="FFFFFF"/>
            </w:tcBorders>
            <w:shd w:val="clear" w:color="000000" w:fill="17365D"/>
            <w:vAlign w:val="center"/>
            <w:hideMark/>
          </w:tcPr>
          <w:p w:rsidR="00262411" w:rsidRPr="008C65ED" w:rsidRDefault="00262411" w:rsidP="00C93704">
            <w:pPr>
              <w:jc w:val="center"/>
              <w:rPr>
                <w:rFonts w:ascii="Arial Narrow" w:hAnsi="Arial Narrow" w:cs="Arial"/>
                <w:b/>
                <w:bCs/>
                <w:color w:val="FFFFFF"/>
                <w:sz w:val="24"/>
                <w:szCs w:val="24"/>
              </w:rPr>
            </w:pPr>
            <w:r w:rsidRPr="008C65ED">
              <w:rPr>
                <w:rFonts w:ascii="Arial Narrow" w:hAnsi="Arial Narrow" w:cs="Arial"/>
                <w:b/>
                <w:bCs/>
                <w:color w:val="FFFFFF"/>
                <w:sz w:val="24"/>
                <w:szCs w:val="24"/>
              </w:rPr>
              <w:t>Maduración</w:t>
            </w:r>
          </w:p>
        </w:tc>
      </w:tr>
      <w:tr w:rsidR="00F07F58" w:rsidRPr="008C65ED" w:rsidTr="00C93704">
        <w:trPr>
          <w:trHeight w:val="615"/>
          <w:jc w:val="center"/>
        </w:trPr>
        <w:tc>
          <w:tcPr>
            <w:tcW w:w="3498" w:type="pct"/>
            <w:tcBorders>
              <w:top w:val="nil"/>
              <w:left w:val="single" w:sz="8" w:space="0" w:color="FFFFFF"/>
              <w:bottom w:val="single" w:sz="8" w:space="0" w:color="FFFFFF"/>
              <w:right w:val="single" w:sz="8" w:space="0" w:color="FFFFFF"/>
            </w:tcBorders>
            <w:shd w:val="clear" w:color="000000" w:fill="D9D9D9"/>
            <w:vAlign w:val="center"/>
            <w:hideMark/>
          </w:tcPr>
          <w:p w:rsidR="00F07F58" w:rsidRPr="008C65ED" w:rsidRDefault="00F07F58" w:rsidP="00F07F58">
            <w:pPr>
              <w:rPr>
                <w:rFonts w:ascii="Arial Narrow" w:hAnsi="Arial Narrow" w:cs="Arial"/>
                <w:color w:val="000000"/>
                <w:sz w:val="24"/>
                <w:szCs w:val="24"/>
              </w:rPr>
            </w:pPr>
            <w:r w:rsidRPr="008C65ED">
              <w:rPr>
                <w:rFonts w:ascii="Arial Narrow" w:hAnsi="Arial Narrow" w:cs="Arial"/>
                <w:color w:val="000000"/>
                <w:sz w:val="24"/>
                <w:szCs w:val="24"/>
              </w:rPr>
              <w:t xml:space="preserve">Operaciones Simultáneas </w:t>
            </w:r>
          </w:p>
        </w:tc>
        <w:tc>
          <w:tcPr>
            <w:tcW w:w="1502" w:type="pct"/>
            <w:tcBorders>
              <w:top w:val="nil"/>
              <w:left w:val="nil"/>
              <w:bottom w:val="single" w:sz="8" w:space="0" w:color="FFFFFF"/>
              <w:right w:val="single" w:sz="8" w:space="0" w:color="FFFFFF"/>
            </w:tcBorders>
            <w:shd w:val="clear" w:color="000000" w:fill="D9D9D9"/>
            <w:vAlign w:val="center"/>
            <w:hideMark/>
          </w:tcPr>
          <w:p w:rsidR="00F07F58" w:rsidRPr="008C65ED" w:rsidRDefault="00F07F58" w:rsidP="00F07F58">
            <w:pPr>
              <w:jc w:val="center"/>
              <w:rPr>
                <w:rFonts w:ascii="Arial Narrow" w:hAnsi="Arial Narrow" w:cs="Arial"/>
                <w:color w:val="000000"/>
                <w:sz w:val="24"/>
                <w:szCs w:val="24"/>
              </w:rPr>
            </w:pPr>
            <w:r w:rsidRPr="008C65ED">
              <w:rPr>
                <w:rFonts w:ascii="Arial Narrow" w:hAnsi="Arial Narrow" w:cs="Arial"/>
                <w:color w:val="000000"/>
                <w:sz w:val="24"/>
                <w:szCs w:val="24"/>
              </w:rPr>
              <w:t>364 días </w:t>
            </w:r>
          </w:p>
        </w:tc>
      </w:tr>
      <w:tr w:rsidR="00F07F58" w:rsidRPr="008C65ED" w:rsidTr="00C93704">
        <w:trPr>
          <w:trHeight w:val="600"/>
          <w:jc w:val="center"/>
        </w:trPr>
        <w:tc>
          <w:tcPr>
            <w:tcW w:w="3498" w:type="pct"/>
            <w:tcBorders>
              <w:top w:val="nil"/>
              <w:left w:val="single" w:sz="8" w:space="0" w:color="FFFFFF"/>
              <w:bottom w:val="nil"/>
              <w:right w:val="single" w:sz="8" w:space="0" w:color="FFFFFF"/>
            </w:tcBorders>
            <w:shd w:val="clear" w:color="auto" w:fill="auto"/>
            <w:vAlign w:val="center"/>
            <w:hideMark/>
          </w:tcPr>
          <w:p w:rsidR="00F07F58" w:rsidRPr="008C65ED" w:rsidRDefault="00F07F58" w:rsidP="00F07F58">
            <w:pPr>
              <w:rPr>
                <w:rFonts w:ascii="Arial Narrow" w:hAnsi="Arial Narrow" w:cs="Arial"/>
                <w:color w:val="000000"/>
                <w:sz w:val="24"/>
                <w:szCs w:val="24"/>
              </w:rPr>
            </w:pPr>
            <w:r w:rsidRPr="008C65ED">
              <w:rPr>
                <w:rFonts w:ascii="Arial Narrow" w:hAnsi="Arial Narrow" w:cs="Arial"/>
                <w:color w:val="000000"/>
                <w:sz w:val="24"/>
                <w:szCs w:val="24"/>
              </w:rPr>
              <w:t>Créditos Activos o Pasivos con Fondos Administrados</w:t>
            </w:r>
          </w:p>
        </w:tc>
        <w:tc>
          <w:tcPr>
            <w:tcW w:w="1502" w:type="pct"/>
            <w:tcBorders>
              <w:top w:val="nil"/>
              <w:left w:val="nil"/>
              <w:bottom w:val="nil"/>
              <w:right w:val="single" w:sz="8" w:space="0" w:color="FFFFFF"/>
            </w:tcBorders>
            <w:shd w:val="clear" w:color="auto" w:fill="auto"/>
            <w:vAlign w:val="center"/>
            <w:hideMark/>
          </w:tcPr>
          <w:p w:rsidR="00F07F58" w:rsidRPr="008C65ED" w:rsidRDefault="00F07F58" w:rsidP="00F07F58">
            <w:pPr>
              <w:jc w:val="center"/>
              <w:rPr>
                <w:rFonts w:ascii="Arial Narrow" w:hAnsi="Arial Narrow" w:cs="Arial"/>
                <w:color w:val="000000"/>
                <w:sz w:val="24"/>
                <w:szCs w:val="24"/>
              </w:rPr>
            </w:pPr>
            <w:r w:rsidRPr="008C65ED">
              <w:rPr>
                <w:rFonts w:ascii="Arial Narrow" w:hAnsi="Arial Narrow" w:cs="Arial"/>
                <w:color w:val="000000"/>
                <w:sz w:val="24"/>
                <w:szCs w:val="24"/>
              </w:rPr>
              <w:t>1 año</w:t>
            </w:r>
          </w:p>
        </w:tc>
      </w:tr>
      <w:tr w:rsidR="00F07F58" w:rsidRPr="008C65ED" w:rsidTr="00262411">
        <w:trPr>
          <w:trHeight w:val="600"/>
          <w:jc w:val="center"/>
        </w:trPr>
        <w:tc>
          <w:tcPr>
            <w:tcW w:w="3498" w:type="pct"/>
            <w:tcBorders>
              <w:top w:val="nil"/>
              <w:left w:val="single" w:sz="8" w:space="0" w:color="FFFFFF"/>
              <w:bottom w:val="nil"/>
              <w:right w:val="single" w:sz="8" w:space="0" w:color="FFFFFF"/>
            </w:tcBorders>
            <w:shd w:val="clear" w:color="auto" w:fill="D9D9D9"/>
            <w:vAlign w:val="center"/>
            <w:hideMark/>
          </w:tcPr>
          <w:p w:rsidR="00F07F58" w:rsidRPr="008C65ED" w:rsidRDefault="00F07F58" w:rsidP="00F07F58">
            <w:pPr>
              <w:rPr>
                <w:rFonts w:ascii="Arial Narrow" w:hAnsi="Arial Narrow" w:cs="Arial"/>
                <w:color w:val="000000"/>
                <w:sz w:val="24"/>
                <w:szCs w:val="24"/>
              </w:rPr>
            </w:pPr>
            <w:r w:rsidRPr="008C65ED">
              <w:rPr>
                <w:rFonts w:ascii="Arial Narrow" w:hAnsi="Arial Narrow" w:cs="Arial"/>
                <w:color w:val="000000"/>
                <w:sz w:val="24"/>
                <w:szCs w:val="24"/>
              </w:rPr>
              <w:t>Depósitos a Término en moneda extranjera</w:t>
            </w:r>
          </w:p>
        </w:tc>
        <w:tc>
          <w:tcPr>
            <w:tcW w:w="1502" w:type="pct"/>
            <w:tcBorders>
              <w:top w:val="nil"/>
              <w:left w:val="nil"/>
              <w:bottom w:val="nil"/>
              <w:right w:val="single" w:sz="8" w:space="0" w:color="FFFFFF"/>
            </w:tcBorders>
            <w:shd w:val="clear" w:color="auto" w:fill="D9D9D9"/>
            <w:vAlign w:val="center"/>
            <w:hideMark/>
          </w:tcPr>
          <w:p w:rsidR="00F07F58" w:rsidRPr="008C65ED" w:rsidRDefault="00F07F58" w:rsidP="00F07F58">
            <w:pPr>
              <w:jc w:val="center"/>
              <w:rPr>
                <w:rFonts w:ascii="Arial Narrow" w:hAnsi="Arial Narrow" w:cs="Arial"/>
                <w:color w:val="000000"/>
                <w:sz w:val="24"/>
                <w:szCs w:val="24"/>
              </w:rPr>
            </w:pPr>
            <w:r w:rsidRPr="008C65ED">
              <w:rPr>
                <w:rFonts w:ascii="Arial Narrow" w:hAnsi="Arial Narrow" w:cs="Arial"/>
                <w:color w:val="000000"/>
                <w:sz w:val="24"/>
                <w:szCs w:val="24"/>
              </w:rPr>
              <w:t>180 días</w:t>
            </w:r>
          </w:p>
        </w:tc>
      </w:tr>
    </w:tbl>
    <w:p w:rsidR="00171A99" w:rsidRPr="008C65ED" w:rsidRDefault="00171A99" w:rsidP="00C93704">
      <w:pPr>
        <w:rPr>
          <w:rFonts w:ascii="Arial Narrow" w:hAnsi="Arial Narrow"/>
          <w:lang w:val="es-CO"/>
        </w:rPr>
      </w:pPr>
    </w:p>
    <w:p w:rsidR="00890B8C" w:rsidRPr="008C65ED" w:rsidRDefault="00890B8C" w:rsidP="00C93704">
      <w:pPr>
        <w:rPr>
          <w:rFonts w:ascii="Arial Narrow" w:hAnsi="Arial Narrow"/>
          <w:lang w:val="es-CO"/>
        </w:rPr>
      </w:pPr>
    </w:p>
    <w:p w:rsidR="00F07F58" w:rsidRPr="008C65ED" w:rsidRDefault="00262411" w:rsidP="00134D9C">
      <w:pPr>
        <w:pStyle w:val="Ttulo2"/>
      </w:pPr>
      <w:bookmarkStart w:id="57" w:name="_Toc80191594"/>
      <w:r w:rsidRPr="008C65ED">
        <w:t>Lineamientos Específicos</w:t>
      </w:r>
      <w:bookmarkEnd w:id="57"/>
    </w:p>
    <w:p w:rsidR="00262411" w:rsidRPr="008C65ED" w:rsidRDefault="00262411" w:rsidP="00262411">
      <w:pPr>
        <w:rPr>
          <w:rFonts w:ascii="Arial Narrow" w:hAnsi="Arial Narrow"/>
        </w:rPr>
      </w:pPr>
    </w:p>
    <w:p w:rsidR="00262411" w:rsidRPr="008C65ED" w:rsidRDefault="00F07F58" w:rsidP="000E1069">
      <w:pPr>
        <w:pStyle w:val="Ttulo3"/>
      </w:pPr>
      <w:bookmarkStart w:id="58" w:name="_Toc80191595"/>
      <w:r w:rsidRPr="008C65ED">
        <w:t>Límites para Operaciones en F</w:t>
      </w:r>
      <w:r w:rsidR="00262411" w:rsidRPr="008C65ED">
        <w:t>ondos “</w:t>
      </w:r>
      <w:r w:rsidR="00262411" w:rsidRPr="008C65ED">
        <w:rPr>
          <w:i/>
        </w:rPr>
        <w:t>Money Market</w:t>
      </w:r>
      <w:r w:rsidR="00262411" w:rsidRPr="008C65ED">
        <w:t>”</w:t>
      </w:r>
      <w:bookmarkEnd w:id="58"/>
    </w:p>
    <w:p w:rsidR="00262411" w:rsidRPr="008C65ED" w:rsidRDefault="00262411" w:rsidP="00262411">
      <w:pPr>
        <w:rPr>
          <w:rFonts w:ascii="Arial Narrow" w:hAnsi="Arial Narrow"/>
        </w:rPr>
      </w:pPr>
    </w:p>
    <w:tbl>
      <w:tblPr>
        <w:tblW w:w="5000" w:type="pct"/>
        <w:jc w:val="center"/>
        <w:tblCellMar>
          <w:left w:w="70" w:type="dxa"/>
          <w:right w:w="70" w:type="dxa"/>
        </w:tblCellMar>
        <w:tblLook w:val="04A0" w:firstRow="1" w:lastRow="0" w:firstColumn="1" w:lastColumn="0" w:noHBand="0" w:noVBand="1"/>
      </w:tblPr>
      <w:tblGrid>
        <w:gridCol w:w="2436"/>
        <w:gridCol w:w="6384"/>
      </w:tblGrid>
      <w:tr w:rsidR="00262411" w:rsidRPr="008C65ED" w:rsidTr="00262411">
        <w:trPr>
          <w:trHeight w:val="345"/>
          <w:jc w:val="center"/>
        </w:trPr>
        <w:tc>
          <w:tcPr>
            <w:tcW w:w="1381" w:type="pct"/>
            <w:vMerge w:val="restart"/>
            <w:tcBorders>
              <w:top w:val="single" w:sz="8" w:space="0" w:color="FFFFFF"/>
              <w:left w:val="single" w:sz="8" w:space="0" w:color="FFFFFF"/>
              <w:bottom w:val="single" w:sz="12" w:space="0" w:color="FFFFFF"/>
              <w:right w:val="single" w:sz="8" w:space="0" w:color="FFFFFF"/>
            </w:tcBorders>
            <w:shd w:val="clear" w:color="000000" w:fill="17365D"/>
            <w:vAlign w:val="center"/>
            <w:hideMark/>
          </w:tcPr>
          <w:p w:rsidR="00262411" w:rsidRPr="008C65ED" w:rsidRDefault="00262411" w:rsidP="00262411">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Criterios</w:t>
            </w:r>
          </w:p>
        </w:tc>
        <w:tc>
          <w:tcPr>
            <w:tcW w:w="3619" w:type="pct"/>
            <w:vMerge w:val="restart"/>
            <w:tcBorders>
              <w:top w:val="single" w:sz="8" w:space="0" w:color="FFFFFF"/>
              <w:left w:val="nil"/>
              <w:bottom w:val="single" w:sz="12" w:space="0" w:color="FFFFFF"/>
              <w:right w:val="single" w:sz="8" w:space="0" w:color="FFFFFF"/>
            </w:tcBorders>
            <w:shd w:val="clear" w:color="000000" w:fill="17365D"/>
            <w:vAlign w:val="center"/>
            <w:hideMark/>
          </w:tcPr>
          <w:p w:rsidR="00262411" w:rsidRPr="008C65ED" w:rsidRDefault="00262411" w:rsidP="00262411">
            <w:pPr>
              <w:jc w:val="center"/>
              <w:rPr>
                <w:rFonts w:ascii="Arial Narrow" w:hAnsi="Arial Narrow" w:cs="Arial"/>
                <w:b/>
                <w:bCs/>
                <w:color w:val="FFFFFF"/>
                <w:szCs w:val="24"/>
                <w:lang w:val="es-CO" w:eastAsia="es-CO"/>
              </w:rPr>
            </w:pPr>
            <w:r w:rsidRPr="008C65ED">
              <w:rPr>
                <w:rFonts w:ascii="Arial Narrow" w:hAnsi="Arial Narrow" w:cs="Arial"/>
                <w:b/>
                <w:bCs/>
                <w:color w:val="FFFFFF"/>
                <w:sz w:val="24"/>
                <w:szCs w:val="24"/>
                <w:lang w:val="es-CO" w:eastAsia="es-CO"/>
              </w:rPr>
              <w:t>Lineamientos</w:t>
            </w:r>
          </w:p>
        </w:tc>
      </w:tr>
      <w:tr w:rsidR="00262411" w:rsidRPr="008C65ED" w:rsidTr="00262411">
        <w:trPr>
          <w:trHeight w:val="275"/>
          <w:jc w:val="center"/>
        </w:trPr>
        <w:tc>
          <w:tcPr>
            <w:tcW w:w="1381" w:type="pct"/>
            <w:vMerge/>
            <w:tcBorders>
              <w:top w:val="single" w:sz="8" w:space="0" w:color="FFFFFF"/>
              <w:left w:val="single" w:sz="8" w:space="0" w:color="FFFFFF"/>
              <w:bottom w:val="single" w:sz="12" w:space="0" w:color="FFFFFF"/>
              <w:right w:val="single" w:sz="8" w:space="0" w:color="FFFFFF"/>
            </w:tcBorders>
            <w:shd w:val="clear" w:color="000000" w:fill="17365D"/>
            <w:vAlign w:val="center"/>
            <w:hideMark/>
          </w:tcPr>
          <w:p w:rsidR="00262411" w:rsidRPr="008C65ED" w:rsidRDefault="00262411" w:rsidP="00262411">
            <w:pPr>
              <w:rPr>
                <w:rFonts w:ascii="Arial Narrow" w:hAnsi="Arial Narrow" w:cs="Arial"/>
                <w:b/>
                <w:bCs/>
                <w:color w:val="FFFFFF"/>
                <w:sz w:val="24"/>
                <w:szCs w:val="24"/>
                <w:lang w:val="es-CO" w:eastAsia="es-CO"/>
              </w:rPr>
            </w:pPr>
          </w:p>
        </w:tc>
        <w:tc>
          <w:tcPr>
            <w:tcW w:w="3619" w:type="pct"/>
            <w:vMerge/>
            <w:tcBorders>
              <w:top w:val="single" w:sz="8" w:space="0" w:color="FFFFFF"/>
              <w:left w:val="nil"/>
              <w:bottom w:val="single" w:sz="12" w:space="0" w:color="FFFFFF"/>
              <w:right w:val="single" w:sz="8" w:space="0" w:color="FFFFFF"/>
            </w:tcBorders>
            <w:shd w:val="clear" w:color="000000" w:fill="17365D"/>
            <w:vAlign w:val="center"/>
            <w:hideMark/>
          </w:tcPr>
          <w:p w:rsidR="00262411" w:rsidRPr="008C65ED" w:rsidRDefault="00262411" w:rsidP="00262411">
            <w:pPr>
              <w:rPr>
                <w:rFonts w:ascii="Arial Narrow" w:hAnsi="Arial Narrow" w:cs="Arial"/>
                <w:b/>
                <w:bCs/>
                <w:color w:val="FFFFFF"/>
                <w:szCs w:val="24"/>
                <w:lang w:val="es-CO" w:eastAsia="es-CO"/>
              </w:rPr>
            </w:pPr>
          </w:p>
        </w:tc>
      </w:tr>
      <w:tr w:rsidR="00262411" w:rsidRPr="008C65ED" w:rsidTr="00262411">
        <w:trPr>
          <w:trHeight w:val="212"/>
          <w:jc w:val="center"/>
        </w:trPr>
        <w:tc>
          <w:tcPr>
            <w:tcW w:w="1381" w:type="pct"/>
            <w:vMerge w:val="restart"/>
            <w:tcBorders>
              <w:top w:val="nil"/>
              <w:left w:val="single" w:sz="8" w:space="0" w:color="FFFFFF"/>
              <w:bottom w:val="single" w:sz="8" w:space="0" w:color="FFFFFF"/>
              <w:right w:val="single" w:sz="8" w:space="0" w:color="FFFFFF"/>
            </w:tcBorders>
            <w:shd w:val="clear" w:color="auto" w:fill="auto"/>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 xml:space="preserve">Regulación </w:t>
            </w:r>
          </w:p>
        </w:tc>
        <w:tc>
          <w:tcPr>
            <w:tcW w:w="3619" w:type="pct"/>
            <w:tcBorders>
              <w:top w:val="nil"/>
              <w:left w:val="nil"/>
              <w:bottom w:val="nil"/>
              <w:right w:val="nil"/>
            </w:tcBorders>
            <w:shd w:val="clear" w:color="auto" w:fill="auto"/>
            <w:vAlign w:val="center"/>
            <w:hideMark/>
          </w:tcPr>
          <w:p w:rsidR="00262411" w:rsidRPr="008C65ED" w:rsidRDefault="00262411" w:rsidP="00262411">
            <w:pPr>
              <w:rPr>
                <w:rFonts w:ascii="Arial Narrow" w:hAnsi="Arial Narrow" w:cs="Arial"/>
                <w:b/>
                <w:bCs/>
                <w:color w:val="000000"/>
                <w:szCs w:val="24"/>
                <w:lang w:val="es-CO" w:eastAsia="es-CO"/>
              </w:rPr>
            </w:pPr>
            <w:r w:rsidRPr="008C65ED">
              <w:rPr>
                <w:rFonts w:ascii="Arial Narrow" w:hAnsi="Arial Narrow" w:cs="Arial"/>
                <w:b/>
                <w:bCs/>
                <w:color w:val="000000"/>
                <w:szCs w:val="24"/>
                <w:lang w:val="es-CO" w:eastAsia="es-CO"/>
              </w:rPr>
              <w:t>Domiciliados en U.S.</w:t>
            </w:r>
            <w:r w:rsidRPr="008C65ED">
              <w:rPr>
                <w:rFonts w:ascii="Arial Narrow" w:hAnsi="Arial Narrow" w:cs="Arial"/>
                <w:color w:val="000000"/>
                <w:szCs w:val="24"/>
                <w:lang w:val="es-CO" w:eastAsia="es-CO"/>
              </w:rPr>
              <w:t>: regulados por la SEC y regidos por la norma 2a-7.</w:t>
            </w:r>
            <w:r w:rsidRPr="008C65ED">
              <w:rPr>
                <w:rFonts w:ascii="Arial Narrow" w:hAnsi="Arial Narrow" w:cs="Arial"/>
                <w:b/>
                <w:bCs/>
                <w:color w:val="000000"/>
                <w:szCs w:val="24"/>
                <w:lang w:val="es-CO" w:eastAsia="es-CO"/>
              </w:rPr>
              <w:t xml:space="preserve"> </w:t>
            </w:r>
          </w:p>
        </w:tc>
      </w:tr>
      <w:tr w:rsidR="00262411" w:rsidRPr="008C65ED" w:rsidTr="00262411">
        <w:trPr>
          <w:trHeight w:val="497"/>
          <w:jc w:val="center"/>
        </w:trPr>
        <w:tc>
          <w:tcPr>
            <w:tcW w:w="1381" w:type="pct"/>
            <w:vMerge/>
            <w:tcBorders>
              <w:top w:val="nil"/>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auto" w:fill="auto"/>
            <w:vAlign w:val="center"/>
            <w:hideMark/>
          </w:tcPr>
          <w:p w:rsidR="00262411" w:rsidRPr="008C65ED" w:rsidRDefault="00262411" w:rsidP="00CF5454">
            <w:pPr>
              <w:rPr>
                <w:rFonts w:ascii="Arial Narrow" w:hAnsi="Arial Narrow" w:cs="Arial"/>
                <w:b/>
                <w:bCs/>
                <w:color w:val="000000"/>
                <w:szCs w:val="24"/>
                <w:lang w:val="es-CO" w:eastAsia="es-CO"/>
              </w:rPr>
            </w:pPr>
            <w:r w:rsidRPr="008C65ED">
              <w:rPr>
                <w:rFonts w:ascii="Arial Narrow" w:hAnsi="Arial Narrow" w:cs="Arial"/>
                <w:b/>
                <w:bCs/>
                <w:color w:val="000000"/>
                <w:szCs w:val="24"/>
                <w:lang w:val="es-CO" w:eastAsia="es-CO"/>
              </w:rPr>
              <w:t>Domiciliados en Europa</w:t>
            </w:r>
            <w:r w:rsidRPr="008C65ED">
              <w:rPr>
                <w:rFonts w:ascii="Arial Narrow" w:hAnsi="Arial Narrow" w:cs="Arial"/>
                <w:color w:val="000000"/>
                <w:szCs w:val="24"/>
                <w:lang w:val="es-CO" w:eastAsia="es-CO"/>
              </w:rPr>
              <w:t>: Administrador debe ser miembro del IMMFA y seguir los lineamientos dictados por ESMA.</w:t>
            </w:r>
            <w:r w:rsidRPr="008C65ED">
              <w:rPr>
                <w:rFonts w:ascii="Arial Narrow" w:hAnsi="Arial Narrow" w:cs="Arial"/>
                <w:b/>
                <w:bCs/>
                <w:color w:val="000000"/>
                <w:szCs w:val="24"/>
                <w:lang w:val="es-CO" w:eastAsia="es-CO"/>
              </w:rPr>
              <w:t xml:space="preserve"> </w:t>
            </w:r>
          </w:p>
        </w:tc>
      </w:tr>
      <w:tr w:rsidR="00262411" w:rsidRPr="008C65ED" w:rsidTr="00262411">
        <w:trPr>
          <w:trHeight w:val="460"/>
          <w:jc w:val="center"/>
        </w:trPr>
        <w:tc>
          <w:tcPr>
            <w:tcW w:w="1381" w:type="pct"/>
            <w:vMerge w:val="restart"/>
            <w:tcBorders>
              <w:top w:val="nil"/>
              <w:left w:val="single" w:sz="8" w:space="0" w:color="FFFFFF"/>
              <w:bottom w:val="single" w:sz="8" w:space="0" w:color="FFFFFF"/>
              <w:right w:val="single" w:sz="8" w:space="0" w:color="FFFFFF"/>
            </w:tcBorders>
            <w:shd w:val="clear" w:color="000000" w:fill="D9D9D9"/>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Inversiones admisibles</w:t>
            </w: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En términos generales, las establecidas por la regulación exigida aplicable a cada fondo (U.S. o Europa), dentro de las cuales se destacan las siguientes:</w:t>
            </w:r>
          </w:p>
        </w:tc>
      </w:tr>
      <w:tr w:rsidR="00262411" w:rsidRPr="008C65ED" w:rsidTr="00262411">
        <w:trPr>
          <w:trHeight w:val="113"/>
          <w:jc w:val="center"/>
        </w:trPr>
        <w:tc>
          <w:tcPr>
            <w:tcW w:w="1381" w:type="pct"/>
            <w:vMerge/>
            <w:tcBorders>
              <w:top w:val="nil"/>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Bonos de gobiernos soberanos y sus agencias.</w:t>
            </w:r>
          </w:p>
        </w:tc>
      </w:tr>
      <w:tr w:rsidR="00262411" w:rsidRPr="008C65ED" w:rsidTr="00262411">
        <w:trPr>
          <w:trHeight w:val="186"/>
          <w:jc w:val="center"/>
        </w:trPr>
        <w:tc>
          <w:tcPr>
            <w:tcW w:w="1381" w:type="pct"/>
            <w:vMerge/>
            <w:tcBorders>
              <w:top w:val="nil"/>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Acuerdos de recompra “</w:t>
            </w:r>
            <w:r w:rsidRPr="008C65ED">
              <w:rPr>
                <w:rFonts w:ascii="Arial Narrow" w:hAnsi="Arial Narrow" w:cs="Arial"/>
                <w:i/>
                <w:iCs/>
                <w:color w:val="000000"/>
                <w:szCs w:val="24"/>
                <w:lang w:val="es-CO" w:eastAsia="es-CO"/>
              </w:rPr>
              <w:t>Repurchase Agreements</w:t>
            </w:r>
            <w:r w:rsidRPr="008C65ED">
              <w:rPr>
                <w:rFonts w:ascii="Arial Narrow" w:hAnsi="Arial Narrow" w:cs="Arial"/>
                <w:color w:val="000000"/>
                <w:szCs w:val="24"/>
                <w:lang w:val="es-CO" w:eastAsia="es-CO"/>
              </w:rPr>
              <w:t>”.</w:t>
            </w:r>
          </w:p>
        </w:tc>
      </w:tr>
      <w:tr w:rsidR="00262411" w:rsidRPr="008C65ED" w:rsidTr="00262411">
        <w:trPr>
          <w:trHeight w:val="232"/>
          <w:jc w:val="center"/>
        </w:trPr>
        <w:tc>
          <w:tcPr>
            <w:tcW w:w="1381" w:type="pct"/>
            <w:vMerge/>
            <w:tcBorders>
              <w:top w:val="nil"/>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Papeles comerciales.</w:t>
            </w:r>
          </w:p>
        </w:tc>
      </w:tr>
      <w:tr w:rsidR="00262411" w:rsidRPr="008C65ED" w:rsidTr="00262411">
        <w:trPr>
          <w:trHeight w:val="264"/>
          <w:jc w:val="center"/>
        </w:trPr>
        <w:tc>
          <w:tcPr>
            <w:tcW w:w="1381" w:type="pct"/>
            <w:vMerge/>
            <w:tcBorders>
              <w:top w:val="nil"/>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w:t>
            </w:r>
            <w:r w:rsidRPr="008C65ED">
              <w:rPr>
                <w:rFonts w:ascii="Arial Narrow" w:hAnsi="Arial Narrow" w:cs="Arial"/>
                <w:i/>
                <w:color w:val="000000"/>
                <w:szCs w:val="24"/>
                <w:lang w:val="es-CO" w:eastAsia="es-CO"/>
              </w:rPr>
              <w:t>Time Deposits</w:t>
            </w:r>
            <w:r w:rsidRPr="008C65ED">
              <w:rPr>
                <w:rFonts w:ascii="Arial Narrow" w:hAnsi="Arial Narrow" w:cs="Arial"/>
                <w:color w:val="000000"/>
                <w:szCs w:val="24"/>
                <w:lang w:val="es-CO" w:eastAsia="es-CO"/>
              </w:rPr>
              <w:t>” y certificados de depósito</w:t>
            </w:r>
          </w:p>
        </w:tc>
      </w:tr>
      <w:tr w:rsidR="00262411" w:rsidRPr="008C65ED" w:rsidTr="00262411">
        <w:trPr>
          <w:trHeight w:val="406"/>
          <w:jc w:val="center"/>
        </w:trPr>
        <w:tc>
          <w:tcPr>
            <w:tcW w:w="1381" w:type="pct"/>
            <w:tcBorders>
              <w:top w:val="nil"/>
              <w:left w:val="single" w:sz="8" w:space="0" w:color="FFFFFF"/>
              <w:bottom w:val="single" w:sz="8" w:space="0" w:color="FFFFFF"/>
              <w:right w:val="single" w:sz="8" w:space="0" w:color="FFFFFF"/>
            </w:tcBorders>
            <w:shd w:val="clear" w:color="auto" w:fill="auto"/>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Plazo máximo</w:t>
            </w:r>
          </w:p>
        </w:tc>
        <w:tc>
          <w:tcPr>
            <w:tcW w:w="3619" w:type="pct"/>
            <w:tcBorders>
              <w:top w:val="nil"/>
              <w:left w:val="nil"/>
              <w:bottom w:val="nil"/>
              <w:right w:val="nil"/>
            </w:tcBorders>
            <w:shd w:val="clear" w:color="auto" w:fill="auto"/>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plazo máximo de las inversiones de los fondos deberá ser menor o igual a 397 días.</w:t>
            </w:r>
          </w:p>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plazo promedio ponderado (WAM) de las inversiones deberá ser como máximo de 60 días.</w:t>
            </w:r>
          </w:p>
        </w:tc>
      </w:tr>
      <w:tr w:rsidR="00262411" w:rsidRPr="008C65ED" w:rsidTr="00262411">
        <w:trPr>
          <w:trHeight w:val="256"/>
          <w:jc w:val="center"/>
        </w:trPr>
        <w:tc>
          <w:tcPr>
            <w:tcW w:w="1381" w:type="pct"/>
            <w:tcBorders>
              <w:top w:val="nil"/>
              <w:left w:val="single" w:sz="8" w:space="0" w:color="FFFFFF"/>
              <w:bottom w:val="single" w:sz="8" w:space="0" w:color="FFFFFF"/>
              <w:right w:val="single" w:sz="8" w:space="0" w:color="FFFFFF"/>
            </w:tcBorders>
            <w:shd w:val="clear" w:color="000000" w:fill="D9D9D9"/>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Redención</w:t>
            </w: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fondo debe ser a la vista, es decir que se pueda liquidar en t+0 (</w:t>
            </w:r>
            <w:r w:rsidRPr="008C65ED">
              <w:rPr>
                <w:rFonts w:ascii="Arial Narrow" w:hAnsi="Arial Narrow" w:cs="Arial"/>
                <w:i/>
                <w:iCs/>
                <w:color w:val="000000"/>
                <w:szCs w:val="24"/>
                <w:lang w:val="es-CO" w:eastAsia="es-CO"/>
              </w:rPr>
              <w:t>daily liquidity fund</w:t>
            </w:r>
            <w:r w:rsidRPr="008C65ED">
              <w:rPr>
                <w:rFonts w:ascii="Arial Narrow" w:hAnsi="Arial Narrow" w:cs="Arial"/>
                <w:color w:val="000000"/>
                <w:szCs w:val="24"/>
                <w:lang w:val="es-CO" w:eastAsia="es-CO"/>
              </w:rPr>
              <w:t>).</w:t>
            </w:r>
          </w:p>
        </w:tc>
      </w:tr>
      <w:tr w:rsidR="00262411" w:rsidRPr="008C65ED" w:rsidTr="00262411">
        <w:trPr>
          <w:trHeight w:val="315"/>
          <w:jc w:val="center"/>
        </w:trPr>
        <w:tc>
          <w:tcPr>
            <w:tcW w:w="1381" w:type="pct"/>
            <w:tcBorders>
              <w:top w:val="nil"/>
              <w:left w:val="single" w:sz="8" w:space="0" w:color="FFFFFF"/>
              <w:bottom w:val="single" w:sz="8" w:space="0" w:color="FFFFFF"/>
              <w:right w:val="single" w:sz="8" w:space="0" w:color="FFFFFF"/>
            </w:tcBorders>
            <w:shd w:val="clear" w:color="auto" w:fill="auto"/>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Moneda</w:t>
            </w:r>
          </w:p>
        </w:tc>
        <w:tc>
          <w:tcPr>
            <w:tcW w:w="3619" w:type="pct"/>
            <w:tcBorders>
              <w:top w:val="nil"/>
              <w:left w:val="nil"/>
              <w:bottom w:val="nil"/>
              <w:right w:val="nil"/>
            </w:tcBorders>
            <w:shd w:val="clear" w:color="auto" w:fill="auto"/>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Dólares de Estados Unidos.</w:t>
            </w:r>
          </w:p>
        </w:tc>
      </w:tr>
      <w:tr w:rsidR="00262411" w:rsidRPr="008C65ED" w:rsidTr="00262411">
        <w:trPr>
          <w:trHeight w:val="487"/>
          <w:jc w:val="center"/>
        </w:trPr>
        <w:tc>
          <w:tcPr>
            <w:tcW w:w="1381" w:type="pct"/>
            <w:vMerge w:val="restart"/>
            <w:tcBorders>
              <w:top w:val="single" w:sz="12" w:space="0" w:color="FFFFFF"/>
              <w:left w:val="single" w:sz="8" w:space="0" w:color="FFFFFF"/>
              <w:bottom w:val="single" w:sz="8" w:space="0" w:color="FFFFFF"/>
              <w:right w:val="single" w:sz="8" w:space="0" w:color="FFFFFF"/>
            </w:tcBorders>
            <w:shd w:val="clear" w:color="000000" w:fill="D9D9D9"/>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lastRenderedPageBreak/>
              <w:t>Concentración</w:t>
            </w:r>
          </w:p>
        </w:tc>
        <w:tc>
          <w:tcPr>
            <w:tcW w:w="3619" w:type="pct"/>
            <w:tcBorders>
              <w:top w:val="nil"/>
              <w:left w:val="nil"/>
              <w:bottom w:val="nil"/>
              <w:right w:val="nil"/>
            </w:tcBorders>
            <w:shd w:val="clear" w:color="000000" w:fill="D9D9D9"/>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Los recursos administrados por la Subdirección de Tesorería que sean invertidos en estos fondos tendrán los siguientes límites de concentración, de acuerdo con la composición de sus inversiones:</w:t>
            </w:r>
          </w:p>
        </w:tc>
      </w:tr>
      <w:tr w:rsidR="00262411" w:rsidRPr="008C65ED" w:rsidTr="00262411">
        <w:trPr>
          <w:trHeight w:val="396"/>
          <w:jc w:val="center"/>
        </w:trPr>
        <w:tc>
          <w:tcPr>
            <w:tcW w:w="1381" w:type="pct"/>
            <w:vMerge/>
            <w:tcBorders>
              <w:top w:val="single" w:sz="12" w:space="0" w:color="FFFFFF"/>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5% del valor de los “</w:t>
            </w:r>
            <w:r w:rsidRPr="008C65ED">
              <w:rPr>
                <w:rFonts w:ascii="Arial Narrow" w:hAnsi="Arial Narrow" w:cs="Arial"/>
                <w:i/>
                <w:color w:val="000000"/>
                <w:szCs w:val="24"/>
                <w:lang w:val="es-CO" w:eastAsia="es-CO"/>
              </w:rPr>
              <w:t>Total Net Assets</w:t>
            </w:r>
            <w:r w:rsidRPr="008C65ED">
              <w:rPr>
                <w:rFonts w:ascii="Arial Narrow" w:hAnsi="Arial Narrow" w:cs="Arial"/>
                <w:color w:val="000000"/>
                <w:szCs w:val="24"/>
                <w:lang w:val="es-CO" w:eastAsia="es-CO"/>
              </w:rPr>
              <w:t>” si las inversiones en Bonos Soberanos, Agencias de Estados Unidos (Mínimo Riesgo) y Acuerdos de Recompra con colateral de los mencionados instrumentos, son mayores o iguales al 60%.</w:t>
            </w:r>
          </w:p>
        </w:tc>
      </w:tr>
      <w:tr w:rsidR="00262411" w:rsidRPr="008C65ED" w:rsidTr="00262411">
        <w:trPr>
          <w:trHeight w:val="374"/>
          <w:jc w:val="center"/>
        </w:trPr>
        <w:tc>
          <w:tcPr>
            <w:tcW w:w="1381" w:type="pct"/>
            <w:vMerge/>
            <w:tcBorders>
              <w:top w:val="single" w:sz="12" w:space="0" w:color="FFFFFF"/>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xml:space="preserve"> • 3% del valor de los “</w:t>
            </w:r>
            <w:r w:rsidRPr="008C65ED">
              <w:rPr>
                <w:rFonts w:ascii="Arial Narrow" w:hAnsi="Arial Narrow" w:cs="Arial"/>
                <w:i/>
                <w:color w:val="000000"/>
                <w:szCs w:val="24"/>
                <w:lang w:val="es-CO" w:eastAsia="es-CO"/>
              </w:rPr>
              <w:t>Total Net Assets</w:t>
            </w:r>
            <w:r w:rsidRPr="008C65ED">
              <w:rPr>
                <w:rFonts w:ascii="Arial Narrow" w:hAnsi="Arial Narrow" w:cs="Arial"/>
                <w:color w:val="000000"/>
                <w:szCs w:val="24"/>
                <w:lang w:val="es-CO" w:eastAsia="es-CO"/>
              </w:rPr>
              <w:t>” si las inversiones en Bonos Soberanos, Agencias de Estados Unidos (Mínimo Riesgo) y Acuerdos de Recompra con colateral de los mencionados instrumentos, son mayores al 20% y menores al 60%.</w:t>
            </w:r>
          </w:p>
        </w:tc>
      </w:tr>
      <w:tr w:rsidR="00262411" w:rsidRPr="008C65ED" w:rsidTr="00262411">
        <w:trPr>
          <w:trHeight w:val="366"/>
          <w:jc w:val="center"/>
        </w:trPr>
        <w:tc>
          <w:tcPr>
            <w:tcW w:w="1381" w:type="pct"/>
            <w:vMerge/>
            <w:tcBorders>
              <w:top w:val="single" w:sz="12" w:space="0" w:color="FFFFFF"/>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jc w:val="both"/>
              <w:rPr>
                <w:rFonts w:ascii="Arial Narrow" w:hAnsi="Arial Narrow" w:cs="Arial"/>
                <w:color w:val="000000"/>
                <w:szCs w:val="24"/>
                <w:lang w:val="es-CO" w:eastAsia="es-CO"/>
              </w:rPr>
            </w:pPr>
            <w:r w:rsidRPr="008C65ED">
              <w:rPr>
                <w:rFonts w:ascii="Arial Narrow" w:hAnsi="Arial Narrow" w:cs="Arial"/>
                <w:color w:val="000000"/>
                <w:szCs w:val="24"/>
                <w:lang w:val="es-CO" w:eastAsia="es-CO"/>
              </w:rPr>
              <w:t xml:space="preserve"> • 2% del valor de los “</w:t>
            </w:r>
            <w:r w:rsidRPr="008C65ED">
              <w:rPr>
                <w:rFonts w:ascii="Arial Narrow" w:hAnsi="Arial Narrow" w:cs="Arial"/>
                <w:i/>
                <w:color w:val="000000"/>
                <w:szCs w:val="24"/>
                <w:lang w:val="es-CO" w:eastAsia="es-CO"/>
              </w:rPr>
              <w:t>Total Net Assets</w:t>
            </w:r>
            <w:r w:rsidRPr="008C65ED">
              <w:rPr>
                <w:rFonts w:ascii="Arial Narrow" w:hAnsi="Arial Narrow" w:cs="Arial"/>
                <w:color w:val="000000"/>
                <w:szCs w:val="24"/>
                <w:lang w:val="es-CO" w:eastAsia="es-CO"/>
              </w:rPr>
              <w:t>” si las inversiones en Bonos Soberanos, Agencias de Estados Unidos (Mínimo Riesgo) y Acuerdos de Recompra con colateral de los mencionados instrumentos, están ubicadas entre el 0% y el 20%.</w:t>
            </w:r>
          </w:p>
        </w:tc>
      </w:tr>
      <w:tr w:rsidR="00262411" w:rsidRPr="008C65ED" w:rsidTr="00262411">
        <w:trPr>
          <w:trHeight w:val="202"/>
          <w:jc w:val="center"/>
        </w:trPr>
        <w:tc>
          <w:tcPr>
            <w:tcW w:w="1381" w:type="pct"/>
            <w:vMerge/>
            <w:tcBorders>
              <w:top w:val="single" w:sz="12" w:space="0" w:color="FFFFFF"/>
              <w:left w:val="single" w:sz="8" w:space="0" w:color="FFFFFF"/>
              <w:bottom w:val="single" w:sz="8" w:space="0" w:color="FFFFFF"/>
              <w:right w:val="single" w:sz="8" w:space="0" w:color="FFFFFF"/>
            </w:tcBorders>
            <w:vAlign w:val="center"/>
            <w:hideMark/>
          </w:tcPr>
          <w:p w:rsidR="00262411" w:rsidRPr="008C65ED" w:rsidRDefault="00262411" w:rsidP="00262411">
            <w:pPr>
              <w:rPr>
                <w:rFonts w:ascii="Arial Narrow" w:hAnsi="Arial Narrow" w:cs="Arial"/>
                <w:b/>
                <w:bCs/>
                <w:color w:val="000000"/>
                <w:sz w:val="24"/>
                <w:szCs w:val="24"/>
                <w:lang w:val="es-CO" w:eastAsia="es-CO"/>
              </w:rPr>
            </w:pPr>
          </w:p>
        </w:tc>
        <w:tc>
          <w:tcPr>
            <w:tcW w:w="3619" w:type="pct"/>
            <w:tcBorders>
              <w:top w:val="nil"/>
              <w:left w:val="nil"/>
              <w:bottom w:val="nil"/>
              <w:right w:val="nil"/>
            </w:tcBorders>
            <w:shd w:val="clear" w:color="000000" w:fill="D9D9D9"/>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 xml:space="preserve"> • 0% si el fondo invierte en renta variable.</w:t>
            </w:r>
          </w:p>
        </w:tc>
      </w:tr>
      <w:tr w:rsidR="00262411" w:rsidRPr="008C65ED" w:rsidTr="00262411">
        <w:trPr>
          <w:trHeight w:val="278"/>
          <w:jc w:val="center"/>
        </w:trPr>
        <w:tc>
          <w:tcPr>
            <w:tcW w:w="1381" w:type="pct"/>
            <w:tcBorders>
              <w:top w:val="nil"/>
              <w:left w:val="single" w:sz="8" w:space="0" w:color="FFFFFF"/>
              <w:bottom w:val="single" w:sz="8" w:space="0" w:color="FFFFFF"/>
              <w:right w:val="single" w:sz="8" w:space="0" w:color="FFFFFF"/>
            </w:tcBorders>
            <w:shd w:val="clear" w:color="auto" w:fill="auto"/>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Tamaño Mínimo del Fondo</w:t>
            </w:r>
          </w:p>
        </w:tc>
        <w:tc>
          <w:tcPr>
            <w:tcW w:w="3619" w:type="pct"/>
            <w:tcBorders>
              <w:top w:val="nil"/>
              <w:left w:val="nil"/>
              <w:bottom w:val="nil"/>
              <w:right w:val="nil"/>
            </w:tcBorders>
            <w:shd w:val="clear" w:color="auto" w:fill="auto"/>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tamaño mínimo del fondo o los “</w:t>
            </w:r>
            <w:r w:rsidRPr="008C65ED">
              <w:rPr>
                <w:rFonts w:ascii="Arial Narrow" w:hAnsi="Arial Narrow" w:cs="Arial"/>
                <w:i/>
                <w:color w:val="000000"/>
                <w:szCs w:val="24"/>
                <w:lang w:val="es-CO" w:eastAsia="es-CO"/>
              </w:rPr>
              <w:t>Total Net Assets</w:t>
            </w:r>
            <w:r w:rsidRPr="008C65ED">
              <w:rPr>
                <w:rFonts w:ascii="Arial Narrow" w:hAnsi="Arial Narrow" w:cs="Arial"/>
                <w:color w:val="000000"/>
                <w:szCs w:val="24"/>
                <w:lang w:val="es-CO" w:eastAsia="es-CO"/>
              </w:rPr>
              <w:t xml:space="preserve">” deberá ser de USD $5.000 millones. </w:t>
            </w:r>
          </w:p>
        </w:tc>
      </w:tr>
      <w:tr w:rsidR="00262411" w:rsidRPr="008C65ED" w:rsidTr="00262411">
        <w:trPr>
          <w:trHeight w:val="693"/>
          <w:jc w:val="center"/>
        </w:trPr>
        <w:tc>
          <w:tcPr>
            <w:tcW w:w="1381" w:type="pct"/>
            <w:tcBorders>
              <w:top w:val="nil"/>
              <w:left w:val="single" w:sz="8" w:space="0" w:color="FFFFFF"/>
              <w:bottom w:val="single" w:sz="8" w:space="0" w:color="FFFFFF"/>
              <w:right w:val="single" w:sz="8" w:space="0" w:color="FFFFFF"/>
            </w:tcBorders>
            <w:shd w:val="clear" w:color="000000" w:fill="D9D9D9"/>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Domicilio de los fondos</w:t>
            </w:r>
          </w:p>
        </w:tc>
        <w:tc>
          <w:tcPr>
            <w:tcW w:w="3619" w:type="pct"/>
            <w:tcBorders>
              <w:top w:val="nil"/>
              <w:left w:val="nil"/>
              <w:bottom w:val="nil"/>
              <w:right w:val="nil"/>
            </w:tcBorders>
            <w:shd w:val="clear" w:color="000000" w:fill="D9D9D9"/>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domicilio de estos fondos deberá ser en cualquier país distinto a los “</w:t>
            </w:r>
            <w:r w:rsidRPr="008C65ED">
              <w:rPr>
                <w:rFonts w:ascii="Arial Narrow" w:hAnsi="Arial Narrow" w:cs="Arial"/>
                <w:i/>
                <w:iCs/>
                <w:color w:val="000000"/>
                <w:szCs w:val="24"/>
                <w:lang w:val="es-CO" w:eastAsia="es-CO"/>
              </w:rPr>
              <w:t>Offshore Financial Centers</w:t>
            </w:r>
            <w:r w:rsidRPr="008C65ED">
              <w:rPr>
                <w:rFonts w:ascii="Arial Narrow" w:hAnsi="Arial Narrow" w:cs="Arial"/>
                <w:color w:val="000000"/>
                <w:szCs w:val="24"/>
                <w:lang w:val="es-CO" w:eastAsia="es-CO"/>
              </w:rPr>
              <w:t>” clasificados por el Fondo Monetario Internacional, los cuales son utilizados como “paraíso fiscal” por los inversionistas extranjeros</w:t>
            </w:r>
          </w:p>
        </w:tc>
      </w:tr>
      <w:tr w:rsidR="00262411" w:rsidRPr="008C65ED" w:rsidTr="00262411">
        <w:trPr>
          <w:trHeight w:val="677"/>
          <w:jc w:val="center"/>
        </w:trPr>
        <w:tc>
          <w:tcPr>
            <w:tcW w:w="1381" w:type="pct"/>
            <w:tcBorders>
              <w:top w:val="nil"/>
              <w:left w:val="single" w:sz="8" w:space="0" w:color="FFFFFF"/>
              <w:bottom w:val="single" w:sz="8" w:space="0" w:color="FFFFFF"/>
              <w:right w:val="single" w:sz="8" w:space="0" w:color="FFFFFF"/>
            </w:tcBorders>
            <w:shd w:val="clear" w:color="auto" w:fill="auto"/>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Calificación mínima</w:t>
            </w:r>
          </w:p>
        </w:tc>
        <w:tc>
          <w:tcPr>
            <w:tcW w:w="3619" w:type="pct"/>
            <w:tcBorders>
              <w:top w:val="nil"/>
              <w:left w:val="nil"/>
              <w:bottom w:val="nil"/>
              <w:right w:val="nil"/>
            </w:tcBorders>
            <w:shd w:val="clear" w:color="auto" w:fill="auto"/>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El fondo debe estar calificado por al menos dos de tres de las principales agencias calificadoras reconocidas o por el “International Money Market Fund Rating” y su calificación deberá ser AAA (mmf-mf-m) o su equivalente.</w:t>
            </w:r>
          </w:p>
        </w:tc>
      </w:tr>
      <w:tr w:rsidR="00262411" w:rsidRPr="008C65ED" w:rsidTr="00262411">
        <w:trPr>
          <w:trHeight w:val="798"/>
          <w:jc w:val="center"/>
        </w:trPr>
        <w:tc>
          <w:tcPr>
            <w:tcW w:w="1381" w:type="pct"/>
            <w:tcBorders>
              <w:top w:val="nil"/>
              <w:left w:val="single" w:sz="8" w:space="0" w:color="FFFFFF"/>
              <w:bottom w:val="single" w:sz="8" w:space="0" w:color="FFFFFF"/>
              <w:right w:val="single" w:sz="8" w:space="0" w:color="FFFFFF"/>
            </w:tcBorders>
            <w:shd w:val="clear" w:color="000000" w:fill="D9D9D9"/>
            <w:vAlign w:val="center"/>
            <w:hideMark/>
          </w:tcPr>
          <w:p w:rsidR="00262411" w:rsidRPr="008C65ED" w:rsidRDefault="00262411" w:rsidP="00262411">
            <w:pPr>
              <w:rPr>
                <w:rFonts w:ascii="Arial Narrow" w:hAnsi="Arial Narrow" w:cs="Arial"/>
                <w:b/>
                <w:bCs/>
                <w:color w:val="000000"/>
                <w:sz w:val="24"/>
                <w:szCs w:val="24"/>
                <w:lang w:val="es-CO" w:eastAsia="es-CO"/>
              </w:rPr>
            </w:pPr>
            <w:r w:rsidRPr="008C65ED">
              <w:rPr>
                <w:rFonts w:ascii="Arial Narrow" w:hAnsi="Arial Narrow" w:cs="Arial"/>
                <w:b/>
                <w:bCs/>
                <w:color w:val="000000"/>
                <w:sz w:val="24"/>
                <w:szCs w:val="24"/>
                <w:lang w:val="es-CO" w:eastAsia="es-CO"/>
              </w:rPr>
              <w:t xml:space="preserve">Calificación de la entidad administradora (gestor) </w:t>
            </w:r>
          </w:p>
        </w:tc>
        <w:tc>
          <w:tcPr>
            <w:tcW w:w="3619" w:type="pct"/>
            <w:tcBorders>
              <w:top w:val="nil"/>
              <w:left w:val="nil"/>
              <w:bottom w:val="nil"/>
              <w:right w:val="nil"/>
            </w:tcBorders>
            <w:shd w:val="clear" w:color="000000" w:fill="D9D9D9"/>
            <w:vAlign w:val="center"/>
            <w:hideMark/>
          </w:tcPr>
          <w:p w:rsidR="00262411" w:rsidRPr="008C65ED" w:rsidRDefault="00262411" w:rsidP="00262411">
            <w:pPr>
              <w:rPr>
                <w:rFonts w:ascii="Arial Narrow" w:hAnsi="Arial Narrow" w:cs="Arial"/>
                <w:color w:val="000000"/>
                <w:szCs w:val="24"/>
                <w:lang w:val="es-CO" w:eastAsia="es-CO"/>
              </w:rPr>
            </w:pPr>
            <w:r w:rsidRPr="008C65ED">
              <w:rPr>
                <w:rFonts w:ascii="Arial Narrow" w:hAnsi="Arial Narrow" w:cs="Arial"/>
                <w:color w:val="000000"/>
                <w:szCs w:val="24"/>
                <w:lang w:val="es-CO" w:eastAsia="es-CO"/>
              </w:rPr>
              <w:t>La entidad debe estar calificada por al menos dos de tres de las principales agencias calificadoras reconocidas  (RNSO) y deben tener una calificación dentro del rango de Grado de Inversión</w:t>
            </w:r>
          </w:p>
        </w:tc>
      </w:tr>
    </w:tbl>
    <w:p w:rsidR="00262411" w:rsidRPr="008C65ED" w:rsidRDefault="00262411" w:rsidP="00262411">
      <w:pPr>
        <w:rPr>
          <w:rFonts w:ascii="Arial Narrow" w:hAnsi="Arial Narrow"/>
        </w:rPr>
      </w:pPr>
    </w:p>
    <w:p w:rsidR="00262411" w:rsidRPr="008C65ED" w:rsidRDefault="00262411" w:rsidP="00262411">
      <w:pPr>
        <w:jc w:val="both"/>
        <w:rPr>
          <w:rFonts w:ascii="Arial Narrow" w:hAnsi="Arial Narrow" w:cs="Arial"/>
          <w:sz w:val="24"/>
        </w:rPr>
      </w:pPr>
      <w:r w:rsidRPr="008C65ED">
        <w:rPr>
          <w:rFonts w:ascii="Arial Narrow" w:hAnsi="Arial Narrow" w:cs="Arial"/>
          <w:sz w:val="24"/>
        </w:rPr>
        <w:t>La Subdirección de Tesorería podrá realizar inversiones en fondos de mercado monetario que cumplan con los lineamientos descritos anteriormente sin necesidad de una aprobación por operación. En consecuencia, la Subdirección de Tesorería deberá revisar, previo al cumplimiento de cada operación, si el fondo cumple con los lineamientos señalados.</w:t>
      </w:r>
    </w:p>
    <w:p w:rsidR="00262411" w:rsidRPr="008C65ED" w:rsidRDefault="00262411" w:rsidP="00262411">
      <w:pPr>
        <w:jc w:val="both"/>
        <w:rPr>
          <w:rFonts w:ascii="Arial Narrow" w:hAnsi="Arial Narrow" w:cs="Arial"/>
          <w:sz w:val="24"/>
        </w:rPr>
      </w:pPr>
    </w:p>
    <w:p w:rsidR="00262411" w:rsidRPr="008C65ED" w:rsidRDefault="00262411" w:rsidP="00262411">
      <w:pPr>
        <w:jc w:val="both"/>
        <w:rPr>
          <w:rFonts w:ascii="Arial Narrow" w:hAnsi="Arial Narrow" w:cs="Arial"/>
          <w:sz w:val="24"/>
        </w:rPr>
      </w:pPr>
      <w:r w:rsidRPr="008C65ED">
        <w:rPr>
          <w:rFonts w:ascii="Arial Narrow" w:hAnsi="Arial Narrow" w:cs="Arial"/>
          <w:sz w:val="24"/>
        </w:rPr>
        <w:t xml:space="preserve">En caso que se requiera realizar la apertura de cuentas con las entidades administradoras de los fondos </w:t>
      </w:r>
      <w:r w:rsidRPr="008C65ED">
        <w:rPr>
          <w:rFonts w:ascii="Arial Narrow" w:hAnsi="Arial Narrow" w:cs="Arial"/>
          <w:i/>
          <w:sz w:val="24"/>
        </w:rPr>
        <w:t>“money market”</w:t>
      </w:r>
      <w:r w:rsidRPr="008C65ED">
        <w:rPr>
          <w:rFonts w:ascii="Arial Narrow" w:hAnsi="Arial Narrow" w:cs="Arial"/>
          <w:sz w:val="24"/>
        </w:rPr>
        <w:t>, la Subdirección de Tesorería deberá enviar toda la documentación requerida a la Subdirección de Riesgo para su respectiva revisión.</w:t>
      </w:r>
    </w:p>
    <w:p w:rsidR="00262411" w:rsidRPr="008C65ED" w:rsidRDefault="00262411" w:rsidP="00262411">
      <w:pPr>
        <w:jc w:val="both"/>
        <w:rPr>
          <w:rFonts w:ascii="Arial Narrow" w:hAnsi="Arial Narrow" w:cs="Arial"/>
          <w:sz w:val="24"/>
        </w:rPr>
      </w:pPr>
    </w:p>
    <w:p w:rsidR="00262411" w:rsidRPr="008C65ED" w:rsidRDefault="00262411" w:rsidP="00262411">
      <w:pPr>
        <w:jc w:val="both"/>
        <w:rPr>
          <w:rFonts w:ascii="Arial Narrow" w:hAnsi="Arial Narrow" w:cs="Arial"/>
          <w:sz w:val="22"/>
        </w:rPr>
      </w:pPr>
      <w:r w:rsidRPr="008C65ED">
        <w:rPr>
          <w:rFonts w:ascii="Arial Narrow" w:hAnsi="Arial Narrow" w:cs="Arial"/>
          <w:sz w:val="24"/>
        </w:rPr>
        <w:t>La Subdirección de Riesgo realizará el monitoreo de los lineamientos posterior a la inversión de los recursos y con una periodicidad mensual durante la vigencia de la inversión.</w:t>
      </w:r>
    </w:p>
    <w:p w:rsidR="00262411" w:rsidRPr="008C65ED" w:rsidRDefault="00262411" w:rsidP="00262411">
      <w:pPr>
        <w:rPr>
          <w:rFonts w:ascii="Arial Narrow" w:hAnsi="Arial Narrow"/>
        </w:rPr>
      </w:pPr>
    </w:p>
    <w:p w:rsidR="00262411" w:rsidRPr="008C65ED" w:rsidRDefault="00D828A3" w:rsidP="000E1069">
      <w:pPr>
        <w:pStyle w:val="Ttulo3"/>
      </w:pPr>
      <w:bookmarkStart w:id="59" w:name="_Toc80191596"/>
      <w:r w:rsidRPr="008C65ED">
        <w:t>Lineamientos para O</w:t>
      </w:r>
      <w:r w:rsidR="00262411" w:rsidRPr="008C65ED">
        <w:t>peraciones Simultáneas</w:t>
      </w:r>
      <w:bookmarkEnd w:id="59"/>
    </w:p>
    <w:p w:rsidR="00262411" w:rsidRPr="008C65ED" w:rsidRDefault="00262411" w:rsidP="00262411">
      <w:pPr>
        <w:rPr>
          <w:rFonts w:ascii="Arial Narrow" w:hAnsi="Arial Narrow"/>
        </w:rPr>
      </w:pPr>
    </w:p>
    <w:p w:rsidR="00262411" w:rsidRPr="008C65ED" w:rsidRDefault="00262411" w:rsidP="00262411">
      <w:pPr>
        <w:autoSpaceDE w:val="0"/>
        <w:autoSpaceDN w:val="0"/>
        <w:adjustRightInd w:val="0"/>
        <w:jc w:val="both"/>
        <w:rPr>
          <w:rFonts w:ascii="Arial Narrow" w:hAnsi="Arial Narrow" w:cs="Arial"/>
          <w:sz w:val="24"/>
          <w:lang w:eastAsia="en-US"/>
        </w:rPr>
      </w:pPr>
      <w:r w:rsidRPr="008C65ED">
        <w:rPr>
          <w:rFonts w:ascii="Arial Narrow" w:hAnsi="Arial Narrow" w:cs="Arial"/>
          <w:sz w:val="24"/>
          <w:lang w:eastAsia="en-US"/>
        </w:rPr>
        <w:t>Se presentan a continuación los lineamientos para la celebración de operaciones</w:t>
      </w:r>
      <w:r w:rsidR="006D1283" w:rsidRPr="008C65ED">
        <w:rPr>
          <w:rFonts w:ascii="Arial Narrow" w:hAnsi="Arial Narrow" w:cs="Arial"/>
          <w:sz w:val="24"/>
          <w:lang w:eastAsia="en-US"/>
        </w:rPr>
        <w:t xml:space="preserve"> s</w:t>
      </w:r>
      <w:r w:rsidRPr="008C65ED">
        <w:rPr>
          <w:rFonts w:ascii="Arial Narrow" w:hAnsi="Arial Narrow" w:cs="Arial"/>
          <w:sz w:val="24"/>
          <w:lang w:eastAsia="en-US"/>
        </w:rPr>
        <w:t>imultáneas de títulos de deuda Pública (TES y TCO):</w:t>
      </w:r>
    </w:p>
    <w:p w:rsidR="00262411" w:rsidRPr="008C65ED" w:rsidRDefault="00262411" w:rsidP="00262411">
      <w:pPr>
        <w:autoSpaceDE w:val="0"/>
        <w:autoSpaceDN w:val="0"/>
        <w:adjustRightInd w:val="0"/>
        <w:jc w:val="both"/>
        <w:rPr>
          <w:rFonts w:ascii="Arial Narrow" w:hAnsi="Arial Narrow" w:cs="Arial"/>
          <w:sz w:val="24"/>
          <w:lang w:eastAsia="en-US"/>
        </w:rPr>
      </w:pPr>
    </w:p>
    <w:p w:rsidR="00262411" w:rsidRPr="008C65ED" w:rsidRDefault="00262411" w:rsidP="00F75E3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t xml:space="preserve">Se autoriza la negociación de operaciones simultáneas en el primer escalón del Sistema Electrónico de Negociación </w:t>
      </w:r>
      <w:r w:rsidRPr="008C65ED">
        <w:rPr>
          <w:rFonts w:ascii="Arial Narrow" w:hAnsi="Arial Narrow" w:cs="Arial-Identity-H"/>
          <w:sz w:val="24"/>
        </w:rPr>
        <w:t xml:space="preserve">– </w:t>
      </w:r>
      <w:r w:rsidRPr="008C65ED">
        <w:rPr>
          <w:rFonts w:ascii="Arial Narrow" w:hAnsi="Arial Narrow" w:cs="Arial"/>
          <w:sz w:val="24"/>
        </w:rPr>
        <w:t>SEN y e</w:t>
      </w:r>
      <w:r w:rsidR="005E2E6E" w:rsidRPr="008C65ED">
        <w:rPr>
          <w:rFonts w:ascii="Arial Narrow" w:hAnsi="Arial Narrow" w:cs="Arial"/>
          <w:sz w:val="24"/>
        </w:rPr>
        <w:t>n el sistema de negociación MEC – Master Trader</w:t>
      </w:r>
      <w:r w:rsidRPr="008C65ED">
        <w:rPr>
          <w:rFonts w:ascii="Arial Narrow" w:hAnsi="Arial Narrow" w:cs="Arial"/>
          <w:sz w:val="24"/>
        </w:rPr>
        <w:t>, las cuales deberán ser compensadas y liquidadas a través de la Cámara de Riesgo Central de Contraparte de Colombia (CRCC).</w:t>
      </w:r>
    </w:p>
    <w:p w:rsidR="00262411" w:rsidRPr="008C65ED" w:rsidRDefault="00262411" w:rsidP="00262411">
      <w:pPr>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lastRenderedPageBreak/>
        <w:t xml:space="preserve">Se podrán entregar en garantía (inicial, diaria y de ajuste) solo Títulos de Tesorería TES y TCO que se encuentren en el portafolio de Excedentes (EX </w:t>
      </w:r>
      <w:r w:rsidRPr="008C65ED">
        <w:rPr>
          <w:rFonts w:ascii="Arial Narrow" w:hAnsi="Arial Narrow" w:cs="Arial-Identity-H"/>
          <w:sz w:val="24"/>
        </w:rPr>
        <w:t xml:space="preserve">– </w:t>
      </w:r>
      <w:r w:rsidRPr="008C65ED">
        <w:rPr>
          <w:rFonts w:ascii="Arial Narrow" w:hAnsi="Arial Narrow" w:cs="Arial"/>
          <w:sz w:val="24"/>
        </w:rPr>
        <w:t>PT), y de acuerdo con los procedimientos establecidos por CRCC.</w:t>
      </w:r>
    </w:p>
    <w:p w:rsidR="00262411" w:rsidRPr="008C65ED" w:rsidRDefault="00262411" w:rsidP="00262411">
      <w:pPr>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t>Los títulos entregados en garantía que tengan una fecha cercana al pago de cupón, deberán ser sustituidos por lo menos un día antes del pago efectivo del mismo, esto con el fin de evitar riesgos operativos del flujo de efectivo con la CRCC.</w:t>
      </w:r>
    </w:p>
    <w:p w:rsidR="00262411" w:rsidRPr="008C65ED" w:rsidRDefault="00262411" w:rsidP="00262411">
      <w:pPr>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t>Se establecerá un límite de Operación Diario el cual se define de la siguiente manera:</w:t>
      </w:r>
    </w:p>
    <w:p w:rsidR="00282A5C" w:rsidRPr="008C65ED" w:rsidRDefault="00282A5C" w:rsidP="00282A5C">
      <w:pPr>
        <w:pStyle w:val="Prrafodelista"/>
        <w:rPr>
          <w:rFonts w:ascii="Arial Narrow" w:hAnsi="Arial Narrow" w:cs="Arial"/>
          <w:sz w:val="24"/>
        </w:rPr>
      </w:pPr>
    </w:p>
    <w:p w:rsidR="00282A5C" w:rsidRPr="008C65ED" w:rsidRDefault="002D3BB6" w:rsidP="002D3BB6">
      <w:pPr>
        <w:pStyle w:val="Prrafodelista"/>
        <w:autoSpaceDE w:val="0"/>
        <w:autoSpaceDN w:val="0"/>
        <w:adjustRightInd w:val="0"/>
        <w:ind w:left="720"/>
        <w:contextualSpacing/>
        <w:jc w:val="center"/>
        <w:rPr>
          <w:rFonts w:ascii="Arial Narrow" w:hAnsi="Arial Narrow" w:cs="Arial"/>
          <w:sz w:val="24"/>
        </w:rPr>
      </w:pPr>
      <m:oMathPara>
        <m:oMath>
          <m:r>
            <m:rPr>
              <m:sty m:val="bi"/>
            </m:rPr>
            <w:rPr>
              <w:rFonts w:ascii="Cambria Math" w:hAnsi="Cambria Math" w:cs="Arial"/>
              <w:sz w:val="22"/>
            </w:rPr>
            <m:t xml:space="preserve">Límite Diario= </m:t>
          </m:r>
          <m:r>
            <w:rPr>
              <w:rFonts w:ascii="Cambria Math" w:hAnsi="Cambria Math" w:cs="Arial"/>
              <w:sz w:val="22"/>
            </w:rPr>
            <m:t xml:space="preserve">Promedio Diario Operado </m:t>
          </m:r>
          <m:d>
            <m:dPr>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mes</m:t>
                  </m:r>
                </m:e>
                <m:sub>
                  <m:r>
                    <w:rPr>
                      <w:rFonts w:ascii="Cambria Math" w:hAnsi="Cambria Math" w:cs="Arial"/>
                      <w:sz w:val="22"/>
                    </w:rPr>
                    <m:t>t-1</m:t>
                  </m:r>
                </m:sub>
              </m:sSub>
            </m:e>
          </m:d>
          <m:r>
            <w:rPr>
              <w:rFonts w:ascii="Cambria Math" w:hAnsi="Cambria Math" w:cs="Arial"/>
              <w:sz w:val="22"/>
            </w:rPr>
            <m:t>×20%</m:t>
          </m:r>
        </m:oMath>
      </m:oMathPara>
    </w:p>
    <w:p w:rsidR="00262411" w:rsidRPr="008C65ED" w:rsidRDefault="00262411" w:rsidP="00262411">
      <w:pPr>
        <w:pStyle w:val="Prrafodelista"/>
        <w:autoSpaceDE w:val="0"/>
        <w:autoSpaceDN w:val="0"/>
        <w:adjustRightInd w:val="0"/>
        <w:jc w:val="both"/>
        <w:rPr>
          <w:rFonts w:ascii="Arial Narrow" w:hAnsi="Arial Narrow" w:cs="Arial"/>
          <w:sz w:val="24"/>
        </w:rPr>
      </w:pPr>
    </w:p>
    <w:p w:rsidR="00262411" w:rsidRPr="008C65ED" w:rsidRDefault="00262411" w:rsidP="00E7577C">
      <w:pPr>
        <w:pStyle w:val="Prrafodelista"/>
        <w:autoSpaceDE w:val="0"/>
        <w:autoSpaceDN w:val="0"/>
        <w:adjustRightInd w:val="0"/>
        <w:jc w:val="both"/>
        <w:rPr>
          <w:rFonts w:ascii="Arial Narrow" w:hAnsi="Arial Narrow" w:cs="Arial"/>
          <w:sz w:val="24"/>
        </w:rPr>
      </w:pPr>
      <w:r w:rsidRPr="008C65ED">
        <w:rPr>
          <w:rFonts w:ascii="Arial Narrow" w:hAnsi="Arial Narrow" w:cs="Arial"/>
          <w:sz w:val="24"/>
        </w:rPr>
        <w:t xml:space="preserve">Para el cálculo del Promedio Diario Operado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mes</m:t>
                </m:r>
              </m:e>
              <m:sub>
                <m:r>
                  <w:rPr>
                    <w:rFonts w:ascii="Cambria Math" w:hAnsi="Cambria Math" w:cs="Arial"/>
                  </w:rPr>
                  <m:t>t-1</m:t>
                </m:r>
              </m:sub>
            </m:sSub>
          </m:e>
        </m:d>
      </m:oMath>
      <w:r w:rsidRPr="008C65ED">
        <w:rPr>
          <w:rFonts w:ascii="Arial Narrow" w:hAnsi="Arial Narrow" w:cs="Arial"/>
          <w:sz w:val="24"/>
        </w:rPr>
        <w:t xml:space="preserve">   </w:t>
      </w:r>
      <w:r w:rsidR="00E7577C" w:rsidRPr="008C65ED">
        <w:rPr>
          <w:rFonts w:ascii="Arial Narrow" w:hAnsi="Arial Narrow" w:cs="Arial"/>
          <w:sz w:val="24"/>
        </w:rPr>
        <w:t>se toma el volumen registrado de todas las ruedas en las cuales se negocian operaciones simultáneas (excepto la rueda de registro), cuyos colaterales sean TES COP, TES UVR y TCO,</w:t>
      </w:r>
      <w:r w:rsidRPr="008C65ED">
        <w:rPr>
          <w:rFonts w:ascii="Arial Narrow" w:hAnsi="Arial Narrow" w:cs="Arial"/>
          <w:sz w:val="24"/>
        </w:rPr>
        <w:t xml:space="preserve"> se calcula el promedio aritmético de los días en los cuales se hicieron transacciones. Adicionalmente, el límite se definirá para ambos sistemas transaccionales (SEN y MEC) de manera conjunta.</w:t>
      </w:r>
    </w:p>
    <w:p w:rsidR="00262411" w:rsidRPr="008C65ED" w:rsidRDefault="00262411" w:rsidP="00262411">
      <w:pPr>
        <w:autoSpaceDE w:val="0"/>
        <w:autoSpaceDN w:val="0"/>
        <w:adjustRightInd w:val="0"/>
        <w:ind w:left="708"/>
        <w:jc w:val="both"/>
        <w:rPr>
          <w:rFonts w:ascii="Arial Narrow" w:hAnsi="Arial Narrow" w:cs="Arial"/>
          <w:sz w:val="24"/>
        </w:rPr>
      </w:pPr>
    </w:p>
    <w:p w:rsidR="00262411" w:rsidRPr="008C65ED" w:rsidRDefault="00262411" w:rsidP="00262411">
      <w:pPr>
        <w:autoSpaceDE w:val="0"/>
        <w:autoSpaceDN w:val="0"/>
        <w:adjustRightInd w:val="0"/>
        <w:ind w:left="708"/>
        <w:jc w:val="both"/>
        <w:rPr>
          <w:rFonts w:ascii="Arial Narrow" w:hAnsi="Arial Narrow" w:cs="Arial"/>
          <w:sz w:val="24"/>
        </w:rPr>
      </w:pPr>
      <w:r w:rsidRPr="008C65ED">
        <w:rPr>
          <w:rFonts w:ascii="Arial Narrow" w:hAnsi="Arial Narrow" w:cs="Arial"/>
          <w:sz w:val="24"/>
        </w:rPr>
        <w:t xml:space="preserve">El saldo de las operaciones realizadas por la Tesorería se definirá como la suma de los valores de giro de las operaciones tanto activas como pasivas, es decir, no se realizará compensación de las posiciones. </w:t>
      </w:r>
    </w:p>
    <w:p w:rsidR="001C488A" w:rsidRPr="008C65ED" w:rsidRDefault="001C488A" w:rsidP="00262411">
      <w:pPr>
        <w:autoSpaceDE w:val="0"/>
        <w:autoSpaceDN w:val="0"/>
        <w:adjustRightInd w:val="0"/>
        <w:ind w:left="708"/>
        <w:jc w:val="both"/>
        <w:rPr>
          <w:rFonts w:ascii="Arial Narrow" w:hAnsi="Arial Narrow" w:cs="Arial"/>
          <w:sz w:val="24"/>
        </w:rPr>
      </w:pPr>
    </w:p>
    <w:p w:rsidR="003B0DC7" w:rsidRPr="008C65ED" w:rsidRDefault="001D3638" w:rsidP="003B0DC7">
      <w:pPr>
        <w:autoSpaceDE w:val="0"/>
        <w:autoSpaceDN w:val="0"/>
        <w:adjustRightInd w:val="0"/>
        <w:ind w:left="708"/>
        <w:jc w:val="both"/>
        <w:rPr>
          <w:rFonts w:ascii="Arial Narrow" w:hAnsi="Arial Narrow" w:cs="Arial"/>
          <w:sz w:val="24"/>
        </w:rPr>
      </w:pPr>
      <w:r w:rsidRPr="008C65ED">
        <w:rPr>
          <w:rFonts w:ascii="Arial Narrow" w:hAnsi="Arial Narrow" w:cs="Arial"/>
          <w:b/>
          <w:sz w:val="24"/>
        </w:rPr>
        <w:t>Parágrafo</w:t>
      </w:r>
      <w:r w:rsidR="003B0DC7" w:rsidRPr="008C65ED">
        <w:rPr>
          <w:rFonts w:ascii="Arial Narrow" w:hAnsi="Arial Narrow" w:cs="Arial"/>
          <w:b/>
          <w:sz w:val="24"/>
        </w:rPr>
        <w:t>:</w:t>
      </w:r>
      <w:r w:rsidR="003B0DC7" w:rsidRPr="008C65ED">
        <w:rPr>
          <w:rFonts w:ascii="Arial Narrow" w:hAnsi="Arial Narrow" w:cs="Arial"/>
          <w:sz w:val="24"/>
        </w:rPr>
        <w:t xml:space="preserve"> El límite mensual establecido podrá ser modificado transitoriamente sujeto a las condiciones del mercado de simultáneas, mediante autorización del Director General de Crédito Público y Tesoro Nacional, a través de cualquier medio verificable. El cambio podrá efectuarse hasta por el 100% del promedio diario operado del mes inmediatamente anterior.</w:t>
      </w:r>
    </w:p>
    <w:p w:rsidR="00E7577C" w:rsidRPr="008C65ED" w:rsidRDefault="00E7577C" w:rsidP="00262411">
      <w:pPr>
        <w:autoSpaceDE w:val="0"/>
        <w:autoSpaceDN w:val="0"/>
        <w:adjustRightInd w:val="0"/>
        <w:ind w:left="708"/>
        <w:jc w:val="both"/>
        <w:rPr>
          <w:rFonts w:ascii="Arial Narrow" w:hAnsi="Arial Narrow" w:cs="Arial"/>
          <w:sz w:val="24"/>
        </w:rPr>
      </w:pPr>
    </w:p>
    <w:p w:rsidR="00E7577C" w:rsidRPr="008C65ED" w:rsidRDefault="00E7577C" w:rsidP="00E7577C">
      <w:pPr>
        <w:pStyle w:val="Prrafodelista"/>
        <w:numPr>
          <w:ilvl w:val="0"/>
          <w:numId w:val="27"/>
        </w:numPr>
        <w:autoSpaceDE w:val="0"/>
        <w:autoSpaceDN w:val="0"/>
        <w:adjustRightInd w:val="0"/>
        <w:jc w:val="both"/>
        <w:rPr>
          <w:rFonts w:ascii="Arial Narrow" w:hAnsi="Arial Narrow" w:cs="Arial"/>
          <w:sz w:val="24"/>
        </w:rPr>
      </w:pPr>
      <w:r w:rsidRPr="008C65ED">
        <w:rPr>
          <w:rFonts w:ascii="Arial Narrow" w:hAnsi="Arial Narrow" w:cs="Arial"/>
          <w:sz w:val="24"/>
        </w:rPr>
        <w:t>Simultáneas activas: no se permite realizar operaciones en el mercado con los títulos recibidos como colateral.</w:t>
      </w:r>
    </w:p>
    <w:p w:rsidR="00E7577C" w:rsidRPr="008C65ED" w:rsidRDefault="00E7577C" w:rsidP="00E7577C">
      <w:pPr>
        <w:pStyle w:val="Prrafodelista"/>
        <w:autoSpaceDE w:val="0"/>
        <w:autoSpaceDN w:val="0"/>
        <w:adjustRightInd w:val="0"/>
        <w:ind w:left="720"/>
        <w:jc w:val="both"/>
        <w:rPr>
          <w:rFonts w:ascii="Arial Narrow" w:hAnsi="Arial Narrow" w:cs="Arial"/>
          <w:sz w:val="24"/>
        </w:rPr>
      </w:pPr>
    </w:p>
    <w:p w:rsidR="00262411" w:rsidRPr="008C65ED" w:rsidRDefault="00E7577C" w:rsidP="00E7577C">
      <w:pPr>
        <w:pStyle w:val="Prrafodelista"/>
        <w:numPr>
          <w:ilvl w:val="0"/>
          <w:numId w:val="27"/>
        </w:numPr>
        <w:autoSpaceDE w:val="0"/>
        <w:autoSpaceDN w:val="0"/>
        <w:adjustRightInd w:val="0"/>
        <w:jc w:val="both"/>
        <w:rPr>
          <w:rFonts w:ascii="Arial Narrow" w:hAnsi="Arial Narrow" w:cs="Arial"/>
          <w:sz w:val="24"/>
        </w:rPr>
      </w:pPr>
      <w:r w:rsidRPr="008C65ED">
        <w:rPr>
          <w:rFonts w:ascii="Arial Narrow" w:hAnsi="Arial Narrow" w:cs="Arial"/>
          <w:sz w:val="24"/>
        </w:rPr>
        <w:t>Simultáneas pasivas: estas operaciones se negociarán solo con los títulos disponibles en el portafolio al comienzo del día y se dejará el 30% del valor de cada referencia existente en el portafolio sin utilizar como colateral.</w:t>
      </w:r>
    </w:p>
    <w:p w:rsidR="00262411" w:rsidRPr="008C65ED" w:rsidRDefault="00262411" w:rsidP="00262411">
      <w:pPr>
        <w:pStyle w:val="Prrafodelista"/>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t>El valor de la garantía a entregar deberá cubrir los requerimientos definidos por la CRCC, entre los cuales se incluye la garantía Inicial, la garantía diaria, y aquella que cubra las fluctuaciones de la valoración de los instrumentos entregados.</w:t>
      </w:r>
    </w:p>
    <w:p w:rsidR="00262411" w:rsidRPr="008C65ED" w:rsidRDefault="00262411" w:rsidP="00262411">
      <w:pPr>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cs="Arial"/>
          <w:sz w:val="24"/>
        </w:rPr>
      </w:pPr>
      <w:r w:rsidRPr="008C65ED">
        <w:rPr>
          <w:rFonts w:ascii="Arial Narrow" w:hAnsi="Arial Narrow" w:cs="Arial"/>
          <w:sz w:val="24"/>
        </w:rPr>
        <w:t>El valor de la garantía se calculará con base en la metodología establecida en la Circular Única de la CRCC, teniendo en cuenta los límites de operación diario sin estimar las compensaciones que la CRCC incluye en su cálculo.</w:t>
      </w:r>
    </w:p>
    <w:p w:rsidR="00262411" w:rsidRPr="008C65ED" w:rsidRDefault="00262411" w:rsidP="00262411">
      <w:pPr>
        <w:autoSpaceDE w:val="0"/>
        <w:autoSpaceDN w:val="0"/>
        <w:adjustRightInd w:val="0"/>
        <w:jc w:val="both"/>
        <w:rPr>
          <w:rFonts w:ascii="Arial Narrow" w:hAnsi="Arial Narrow" w:cs="Arial"/>
          <w:sz w:val="24"/>
        </w:rPr>
      </w:pPr>
    </w:p>
    <w:p w:rsidR="00262411" w:rsidRPr="008C65ED" w:rsidRDefault="00262411" w:rsidP="00C408EF">
      <w:pPr>
        <w:pStyle w:val="Prrafodelista"/>
        <w:numPr>
          <w:ilvl w:val="0"/>
          <w:numId w:val="13"/>
        </w:numPr>
        <w:autoSpaceDE w:val="0"/>
        <w:autoSpaceDN w:val="0"/>
        <w:adjustRightInd w:val="0"/>
        <w:contextualSpacing/>
        <w:jc w:val="both"/>
        <w:rPr>
          <w:rFonts w:ascii="Arial Narrow" w:hAnsi="Arial Narrow"/>
        </w:rPr>
      </w:pPr>
      <w:r w:rsidRPr="008C65ED">
        <w:rPr>
          <w:rFonts w:ascii="Arial Narrow" w:hAnsi="Arial Narrow" w:cs="Arial"/>
          <w:sz w:val="24"/>
        </w:rPr>
        <w:t xml:space="preserve">En caso de requerir mayor valor de las garantías, es decir, cuando se requiera un ajuste a las garantías debido a que su valor no sea suficiente para las operaciones que se desee realizar, </w:t>
      </w:r>
      <w:r w:rsidRPr="008C65ED">
        <w:rPr>
          <w:rFonts w:ascii="Arial Narrow" w:hAnsi="Arial Narrow" w:cs="Arial"/>
          <w:sz w:val="24"/>
        </w:rPr>
        <w:lastRenderedPageBreak/>
        <w:t>la Tesorería deberá informar a la Subdirección de Operaciones los títulos y el valor a entregar en garantía. El valor adicional para celebrar operaciones simultáneas será acorde con el límite de operación diario.</w:t>
      </w:r>
    </w:p>
    <w:p w:rsidR="001C488A" w:rsidRPr="008C65ED" w:rsidRDefault="001C488A" w:rsidP="001C488A">
      <w:pPr>
        <w:pStyle w:val="Prrafodelista"/>
        <w:rPr>
          <w:rFonts w:ascii="Arial Narrow" w:hAnsi="Arial Narrow"/>
        </w:rPr>
      </w:pPr>
    </w:p>
    <w:p w:rsidR="00540D04" w:rsidRPr="008C65ED" w:rsidRDefault="002E0970" w:rsidP="0011063E">
      <w:pPr>
        <w:pStyle w:val="Ttulo3"/>
      </w:pPr>
      <w:bookmarkStart w:id="60" w:name="_Toc80191597"/>
      <w:r w:rsidRPr="008C65ED">
        <w:t>Límite para E</w:t>
      </w:r>
      <w:r w:rsidR="00540D04" w:rsidRPr="008C65ED">
        <w:t>xposición al Riesgo de Mercado</w:t>
      </w:r>
      <w:bookmarkEnd w:id="60"/>
    </w:p>
    <w:p w:rsidR="00540D04" w:rsidRPr="008C65ED" w:rsidRDefault="00540D04" w:rsidP="00540D04">
      <w:pPr>
        <w:rPr>
          <w:rFonts w:ascii="Arial Narrow" w:hAnsi="Arial Narrow"/>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Para la debida administración del Riesgo de Mercado, se establece un límite a la duración ponderada de las inversiones en TES, tanto para COP como UVR, del portafolio activo de la Nación con base en la duración de los títulos emitidos vigentes. El control y monitoreo de la duración de las posiciones de los TES busca mitigar la exposición del portafolio ante escenarios de alta volatilidad de los precios de los instrumentos.</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El límite estable</w:t>
      </w:r>
      <w:r w:rsidR="00822562" w:rsidRPr="008C65ED">
        <w:rPr>
          <w:rFonts w:ascii="Arial Narrow" w:hAnsi="Arial Narrow"/>
          <w:sz w:val="24"/>
          <w:lang w:val="es-CO"/>
        </w:rPr>
        <w:t>cido corresponde al percentil 85</w:t>
      </w:r>
      <w:r w:rsidRPr="008C65ED">
        <w:rPr>
          <w:rFonts w:ascii="Arial Narrow" w:hAnsi="Arial Narrow"/>
          <w:sz w:val="24"/>
          <w:lang w:val="es-CO"/>
        </w:rPr>
        <w:t xml:space="preserve"> de la duración de los títulos TES COP vigentes a la fecha de cálculo, de tal forma que la duración ponderada del portafolio de TES (COP y UVR) no supere dicho valor, haciendo que las posiciones no se concentren en gran parte en los vencimientos de largo plazo y que ante eventos de alta volatilidad no se vea afectado el valor de las inversiones.</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La Subdirección de Riesgo realizará el cálculo del límite con base en la información suministrada por el proveedor de precios contratado por la DGCPTN y se ajustará cada vez que la Subdireccion de Riesgo lo considere pertinente dadas las condiciones del mercado. La duración ponderada del portafolio de TES se calculará de manera diaria con el fin de monitorear el cumplimiento del límite definido anteriormente.</w:t>
      </w:r>
    </w:p>
    <w:p w:rsidR="00C93D8F" w:rsidRPr="008C65ED" w:rsidRDefault="00C93D8F" w:rsidP="00540D04">
      <w:pPr>
        <w:jc w:val="both"/>
        <w:rPr>
          <w:rFonts w:ascii="Arial Narrow" w:hAnsi="Arial Narrow"/>
          <w:sz w:val="24"/>
          <w:lang w:val="es-CO"/>
        </w:rPr>
      </w:pPr>
    </w:p>
    <w:p w:rsidR="00540D04" w:rsidRPr="008C65ED" w:rsidRDefault="00540D04" w:rsidP="0011063E">
      <w:pPr>
        <w:pStyle w:val="Ttulo3"/>
      </w:pPr>
      <w:bookmarkStart w:id="61" w:name="_Toc80191598"/>
      <w:r w:rsidRPr="008C65ED">
        <w:t>Atribuciones</w:t>
      </w:r>
      <w:bookmarkEnd w:id="61"/>
    </w:p>
    <w:p w:rsidR="00540D04" w:rsidRPr="008C65ED" w:rsidRDefault="00540D04" w:rsidP="00540D04">
      <w:pPr>
        <w:rPr>
          <w:rFonts w:ascii="Arial Narrow" w:hAnsi="Arial Narrow"/>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Con el objeto de establecer medidas de control para las operaciones de Tesorería se definen las atribuciones, las cuales otorgan la facultad de operar a los profesionales de la mesa de dinero en los instrumentos permitidos por el Manual de Políticas de Riesgo de Mercado.</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Las atribuciones de negociación aplican para los profesionales que ingresen a la mesa de dinero y que no cuenten con experiencia comprobada mayor a dos años en operaciones del mercado de valores colombiano.  El valor de la atribución será equivalente a $5,000 millones por operación en el sistema transaccional SEN en la rueda CONH y SIML y $2,000 millones en el sistema transaccional MEC en la rueda ASPT y ASCR para realizar operaciones en moneda legal, adicionalmente se establece un monto máximo en el total de las operaciones del día de $100,000 millones para cada una de las ruedas.</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 xml:space="preserve">Estas atribuciones se aplicarán durante los seis primeros meses posteriores a su ingreso al área de negociación como periodo de aprendizaje, sin embargo, pasados 2 meses se podrá aumentar el monto de atribución por operación en SEN en la rueda CONH y SIML hasta $10,000 millones y en MEC en la rueda ASPT y ASCR hasta $5,000 millones manteniendo el nivel de atribución diaria una vez el Coordinador del Grupo de Mesa de Dinero lo comunique. Una vez culminado el periodo de aprendizaje, el Coordinador del Grupo de Mesa de Dinero deberá certificar que el funcionario cuenta con los conocimientos requeridos para poder operar.  En caso que se requiera, mayor tiempo de </w:t>
      </w:r>
      <w:r w:rsidRPr="008C65ED">
        <w:rPr>
          <w:rFonts w:ascii="Arial Narrow" w:hAnsi="Arial Narrow"/>
          <w:sz w:val="24"/>
          <w:lang w:val="es-CO"/>
        </w:rPr>
        <w:lastRenderedPageBreak/>
        <w:t>aprendizaje, el jefe de mesa de dinero deberá informar esta situación y se prolongará esta política durante un periodo adicional.</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Para operaciones en moneda legal, se entenderán las atribuciones por operación en el mercado de TES del Sistema Electrónico de Negociación SEN y en el sistema de negociación Master Trader.</w:t>
      </w:r>
    </w:p>
    <w:p w:rsidR="00540D04" w:rsidRPr="008C65ED" w:rsidRDefault="00540D04" w:rsidP="00540D04">
      <w:pPr>
        <w:jc w:val="both"/>
        <w:rPr>
          <w:rFonts w:ascii="Arial Narrow" w:hAnsi="Arial Narrow"/>
          <w:sz w:val="24"/>
          <w:lang w:val="es-CO"/>
        </w:rPr>
      </w:pPr>
    </w:p>
    <w:p w:rsidR="00540D04" w:rsidRPr="008C65ED" w:rsidRDefault="00540D04" w:rsidP="00540D04">
      <w:pPr>
        <w:jc w:val="both"/>
        <w:rPr>
          <w:rFonts w:ascii="Arial Narrow" w:hAnsi="Arial Narrow"/>
          <w:sz w:val="24"/>
          <w:lang w:val="es-CO"/>
        </w:rPr>
      </w:pPr>
      <w:r w:rsidRPr="008C65ED">
        <w:rPr>
          <w:rFonts w:ascii="Arial Narrow" w:hAnsi="Arial Narrow"/>
          <w:sz w:val="24"/>
          <w:lang w:val="es-CO"/>
        </w:rPr>
        <w:t xml:space="preserve">Para operaciones en Moneda Extranjera, se entenderán las atribuciones por operación en el mercado de Dólares del Sistema SET – FX en el mercado </w:t>
      </w:r>
      <w:r w:rsidRPr="008C65ED">
        <w:rPr>
          <w:rFonts w:ascii="Arial Narrow" w:hAnsi="Arial Narrow"/>
          <w:i/>
          <w:sz w:val="24"/>
          <w:lang w:val="es-CO"/>
        </w:rPr>
        <w:t>Spot</w:t>
      </w:r>
      <w:r w:rsidRPr="008C65ED">
        <w:rPr>
          <w:rFonts w:ascii="Arial Narrow" w:hAnsi="Arial Narrow"/>
          <w:sz w:val="24"/>
          <w:lang w:val="es-CO"/>
        </w:rPr>
        <w:t xml:space="preserve">, </w:t>
      </w:r>
      <w:r w:rsidRPr="008C65ED">
        <w:rPr>
          <w:rFonts w:ascii="Arial Narrow" w:hAnsi="Arial Narrow"/>
          <w:i/>
          <w:sz w:val="24"/>
          <w:lang w:val="es-CO"/>
        </w:rPr>
        <w:t>Next Day</w:t>
      </w:r>
      <w:r w:rsidRPr="008C65ED">
        <w:rPr>
          <w:rFonts w:ascii="Arial Narrow" w:hAnsi="Arial Narrow"/>
          <w:sz w:val="24"/>
          <w:lang w:val="es-CO"/>
        </w:rPr>
        <w:t xml:space="preserve"> por US$500.000 o las transacciones que se realicen en diferentes plataformas de negociación como Bloomberg o Reuters, teniendo en cuenta los cupos establecidos con las contrapartes autorizadas por la Subdirección de Riesgo.  El valor de la atribución en moneda extranjera no se podrá modificar hasta culminar el per</w:t>
      </w:r>
      <w:r w:rsidR="00CF5454" w:rsidRPr="008C65ED">
        <w:rPr>
          <w:rFonts w:ascii="Arial Narrow" w:hAnsi="Arial Narrow"/>
          <w:sz w:val="24"/>
          <w:lang w:val="es-CO"/>
        </w:rPr>
        <w:t>iodo de aprendizaje de 6 meses.</w:t>
      </w:r>
    </w:p>
    <w:p w:rsidR="00540D04" w:rsidRPr="008C65ED" w:rsidRDefault="00540D04" w:rsidP="00540D04">
      <w:pPr>
        <w:jc w:val="both"/>
        <w:rPr>
          <w:rFonts w:ascii="Arial Narrow" w:hAnsi="Arial Narrow"/>
          <w:sz w:val="24"/>
          <w:lang w:val="es-CO"/>
        </w:rPr>
      </w:pPr>
    </w:p>
    <w:p w:rsidR="00171A99" w:rsidRPr="008C65ED" w:rsidRDefault="00540D04" w:rsidP="00A40086">
      <w:pPr>
        <w:jc w:val="both"/>
        <w:rPr>
          <w:rFonts w:ascii="Arial Narrow" w:hAnsi="Arial Narrow"/>
        </w:rPr>
      </w:pPr>
      <w:r w:rsidRPr="008C65ED">
        <w:rPr>
          <w:rFonts w:ascii="Arial Narrow" w:hAnsi="Arial Narrow"/>
          <w:sz w:val="24"/>
          <w:lang w:val="es-CO"/>
        </w:rPr>
        <w:t>Si las operaciones superan las atribuciones consagra</w:t>
      </w:r>
      <w:r w:rsidR="00CF5454" w:rsidRPr="008C65ED">
        <w:rPr>
          <w:rFonts w:ascii="Arial Narrow" w:hAnsi="Arial Narrow"/>
          <w:sz w:val="24"/>
          <w:lang w:val="es-CO"/>
        </w:rPr>
        <w:t>das en los diferentes niveles, e</w:t>
      </w:r>
      <w:r w:rsidRPr="008C65ED">
        <w:rPr>
          <w:rFonts w:ascii="Arial Narrow" w:hAnsi="Arial Narrow"/>
          <w:sz w:val="24"/>
          <w:lang w:val="es-CO"/>
        </w:rPr>
        <w:t>stas deben ser autorizadas respectivamente por su superior.</w:t>
      </w:r>
    </w:p>
    <w:p w:rsidR="00171A99" w:rsidRPr="008C65ED" w:rsidRDefault="00171A99" w:rsidP="00262411">
      <w:pPr>
        <w:rPr>
          <w:rFonts w:ascii="Arial Narrow" w:hAnsi="Arial Narrow"/>
        </w:rPr>
      </w:pPr>
    </w:p>
    <w:p w:rsidR="00171A99" w:rsidRPr="008C65ED" w:rsidRDefault="00171A99" w:rsidP="00262411">
      <w:pPr>
        <w:rPr>
          <w:rFonts w:ascii="Arial Narrow" w:hAnsi="Arial Narrow"/>
        </w:rPr>
      </w:pPr>
    </w:p>
    <w:p w:rsidR="000F6ED3" w:rsidRPr="008C65ED" w:rsidRDefault="00262411" w:rsidP="00D57502">
      <w:pPr>
        <w:pStyle w:val="Ttulo1"/>
        <w:numPr>
          <w:ilvl w:val="0"/>
          <w:numId w:val="1"/>
        </w:numPr>
        <w:jc w:val="left"/>
        <w:rPr>
          <w:rFonts w:ascii="Arial Narrow" w:hAnsi="Arial Narrow"/>
        </w:rPr>
      </w:pPr>
      <w:bookmarkStart w:id="62" w:name="_Toc80191599"/>
      <w:r w:rsidRPr="008C65ED">
        <w:rPr>
          <w:rFonts w:ascii="Arial Narrow" w:hAnsi="Arial Narrow"/>
          <w:sz w:val="24"/>
          <w:szCs w:val="24"/>
        </w:rPr>
        <w:t>METODOLOGÍAS DE ASIGNACIÓN DE CUPOS</w:t>
      </w:r>
      <w:bookmarkEnd w:id="62"/>
    </w:p>
    <w:p w:rsidR="000F6ED3" w:rsidRPr="008C65ED" w:rsidRDefault="000F6ED3" w:rsidP="000F6ED3">
      <w:pPr>
        <w:rPr>
          <w:rFonts w:ascii="Arial Narrow" w:hAnsi="Arial Narrow"/>
        </w:rPr>
      </w:pPr>
    </w:p>
    <w:p w:rsidR="000F6ED3" w:rsidRPr="008C65ED" w:rsidRDefault="000F6ED3" w:rsidP="000F6ED3">
      <w:pPr>
        <w:pStyle w:val="Ttulo2"/>
      </w:pPr>
      <w:bookmarkStart w:id="63" w:name="_Toc80191600"/>
      <w:r w:rsidRPr="008C65ED">
        <w:t>Asignación de Cupos para Entidades Locales</w:t>
      </w:r>
      <w:bookmarkEnd w:id="63"/>
    </w:p>
    <w:p w:rsidR="000F6ED3" w:rsidRPr="008C65ED" w:rsidRDefault="000F6ED3" w:rsidP="000F6ED3">
      <w:pPr>
        <w:pStyle w:val="Ttulo2"/>
        <w:numPr>
          <w:ilvl w:val="0"/>
          <w:numId w:val="0"/>
        </w:numPr>
      </w:pPr>
    </w:p>
    <w:p w:rsidR="000F6ED3" w:rsidRPr="008C65ED" w:rsidRDefault="00C93D8F" w:rsidP="000F6ED3">
      <w:pPr>
        <w:pStyle w:val="Ttulo3"/>
        <w:rPr>
          <w:lang w:val="es-CO"/>
        </w:rPr>
      </w:pPr>
      <w:bookmarkStart w:id="64" w:name="_Toc80191601"/>
      <w:r w:rsidRPr="008C65ED">
        <w:rPr>
          <w:lang w:val="es-CO"/>
        </w:rPr>
        <w:t>Cupos de Contraparte para Operaciones en el M</w:t>
      </w:r>
      <w:r w:rsidR="000F6ED3" w:rsidRPr="008C65ED">
        <w:rPr>
          <w:lang w:val="es-CO"/>
        </w:rPr>
        <w:t>ercado SET FX</w:t>
      </w:r>
      <w:bookmarkEnd w:id="64"/>
    </w:p>
    <w:p w:rsidR="000F6ED3" w:rsidRPr="008C65ED" w:rsidRDefault="000F6ED3" w:rsidP="000F6ED3">
      <w:pPr>
        <w:rPr>
          <w:rFonts w:ascii="Arial Narrow" w:hAnsi="Arial Narrow"/>
          <w:lang w:val="es-CO"/>
        </w:rPr>
      </w:pPr>
    </w:p>
    <w:p w:rsidR="000F6ED3" w:rsidRPr="008C65ED" w:rsidRDefault="000F6ED3" w:rsidP="000F6ED3">
      <w:pPr>
        <w:jc w:val="both"/>
        <w:rPr>
          <w:rFonts w:ascii="Arial Narrow" w:hAnsi="Arial Narrow" w:cs="Arial"/>
          <w:color w:val="000000"/>
          <w:sz w:val="24"/>
          <w:lang w:eastAsia="en-US"/>
        </w:rPr>
      </w:pPr>
      <w:r w:rsidRPr="008C65ED">
        <w:rPr>
          <w:rFonts w:ascii="Arial Narrow" w:hAnsi="Arial Narrow" w:cs="Arial"/>
          <w:color w:val="000000"/>
          <w:sz w:val="24"/>
          <w:lang w:eastAsia="en-US"/>
        </w:rPr>
        <w:t xml:space="preserve">El cupo asignado es calculado </w:t>
      </w:r>
      <w:r w:rsidR="00C93D8F" w:rsidRPr="008C65ED">
        <w:rPr>
          <w:rFonts w:ascii="Arial Narrow" w:hAnsi="Arial Narrow" w:cs="Arial"/>
          <w:color w:val="000000"/>
          <w:sz w:val="24"/>
          <w:lang w:eastAsia="en-US"/>
        </w:rPr>
        <w:t>a partir de</w:t>
      </w:r>
      <w:r w:rsidRPr="008C65ED">
        <w:rPr>
          <w:rFonts w:ascii="Arial Narrow" w:hAnsi="Arial Narrow" w:cs="Arial"/>
          <w:color w:val="000000"/>
          <w:sz w:val="24"/>
          <w:lang w:eastAsia="en-US"/>
        </w:rPr>
        <w:t xml:space="preserve"> la multiplicación del patrimonio técnico de la entidad por un porcentaje que varía entre 10% y el porcentaje de asignación que corresponde al Cupo Máximo Admisible (CMA) individual (que establece la metodología de asignación de cupos para entidades locales) como proporción del CMA Total, y se divide por la TRM vigente al momento de realizar el análisis de asignación y revisión de cupos.</w:t>
      </w:r>
    </w:p>
    <w:p w:rsidR="000F6ED3" w:rsidRPr="008C65ED" w:rsidRDefault="000F6ED3" w:rsidP="000F6ED3">
      <w:pPr>
        <w:jc w:val="both"/>
        <w:rPr>
          <w:rFonts w:ascii="Arial Narrow" w:hAnsi="Arial Narrow" w:cs="Arial"/>
          <w:color w:val="000000"/>
          <w:sz w:val="24"/>
          <w:lang w:eastAsia="en-US"/>
        </w:rPr>
      </w:pPr>
    </w:p>
    <w:p w:rsidR="000F6ED3" w:rsidRPr="008C65ED" w:rsidRDefault="000F6ED3" w:rsidP="000F6ED3">
      <w:pPr>
        <w:autoSpaceDE w:val="0"/>
        <w:autoSpaceDN w:val="0"/>
        <w:adjustRightInd w:val="0"/>
        <w:jc w:val="both"/>
        <w:rPr>
          <w:rFonts w:ascii="Arial Narrow" w:hAnsi="Arial Narrow" w:cs="Arial"/>
          <w:color w:val="000000"/>
          <w:sz w:val="24"/>
          <w:lang w:eastAsia="en-US"/>
        </w:rPr>
      </w:pPr>
      <w:r w:rsidRPr="008C65ED">
        <w:rPr>
          <w:rFonts w:ascii="Arial Narrow" w:hAnsi="Arial Narrow" w:cs="Arial"/>
          <w:color w:val="000000"/>
          <w:sz w:val="24"/>
          <w:lang w:eastAsia="en-US"/>
        </w:rPr>
        <w:t>Para las entidades comisionistas se tendrán en cuenta aquellas con patrimonio técnico superior o igual a 30 mil millones de pesos que cumplan con los lineamientos de calificación crediticia definidos para la asignación de cupos para entidades nacionales. El cupo asignado corresponde a la mitad del patrimonio técnico de cada entidad.</w:t>
      </w:r>
    </w:p>
    <w:p w:rsidR="000F6ED3" w:rsidRPr="008C65ED" w:rsidRDefault="000F6ED3" w:rsidP="000F6ED3">
      <w:pPr>
        <w:autoSpaceDE w:val="0"/>
        <w:autoSpaceDN w:val="0"/>
        <w:adjustRightInd w:val="0"/>
        <w:jc w:val="both"/>
        <w:rPr>
          <w:rFonts w:ascii="Arial Narrow" w:hAnsi="Arial Narrow" w:cs="Arial"/>
          <w:color w:val="000000"/>
          <w:sz w:val="24"/>
          <w:lang w:eastAsia="en-US"/>
        </w:rPr>
      </w:pPr>
    </w:p>
    <w:p w:rsidR="000F6ED3" w:rsidRPr="008C65ED" w:rsidRDefault="000F6ED3" w:rsidP="000F6ED3">
      <w:pPr>
        <w:autoSpaceDE w:val="0"/>
        <w:autoSpaceDN w:val="0"/>
        <w:adjustRightInd w:val="0"/>
        <w:jc w:val="both"/>
        <w:rPr>
          <w:rFonts w:ascii="Arial Narrow" w:hAnsi="Arial Narrow" w:cs="Arial"/>
          <w:color w:val="000000"/>
          <w:sz w:val="24"/>
          <w:lang w:eastAsia="en-US"/>
        </w:rPr>
      </w:pPr>
      <w:r w:rsidRPr="008C65ED">
        <w:rPr>
          <w:rFonts w:ascii="Arial Narrow" w:hAnsi="Arial Narrow" w:cs="Arial"/>
          <w:color w:val="000000"/>
          <w:sz w:val="24"/>
          <w:lang w:eastAsia="en-US"/>
        </w:rPr>
        <w:t xml:space="preserve">Para el Banco de la República se calculará el 1% de las reservas internacionales más </w:t>
      </w:r>
      <w:r w:rsidR="00E837F5" w:rsidRPr="008C65ED">
        <w:rPr>
          <w:rFonts w:ascii="Arial Narrow" w:hAnsi="Arial Narrow" w:cs="Arial"/>
          <w:color w:val="000000"/>
          <w:sz w:val="24"/>
          <w:lang w:eastAsia="en-US"/>
        </w:rPr>
        <w:t>recientes a la fecha de cálculo y para la Financiera de Desarrollo Nacional, se asigna el 30% del patrimonio técnico disponible en la información publicada por la Superintendencia Financiera de Colombia.</w:t>
      </w:r>
    </w:p>
    <w:p w:rsidR="000F6ED3" w:rsidRPr="008C65ED" w:rsidRDefault="000F6ED3" w:rsidP="000F6ED3">
      <w:pPr>
        <w:rPr>
          <w:rFonts w:ascii="Arial Narrow" w:hAnsi="Arial Narrow"/>
          <w:lang w:val="es-CO"/>
        </w:rPr>
      </w:pPr>
    </w:p>
    <w:p w:rsidR="000F6ED3" w:rsidRPr="008C65ED" w:rsidRDefault="000F6ED3" w:rsidP="000F6ED3">
      <w:pPr>
        <w:pStyle w:val="Ttulo3"/>
        <w:rPr>
          <w:lang w:val="es-CO"/>
        </w:rPr>
      </w:pPr>
      <w:bookmarkStart w:id="65" w:name="_Toc80191602"/>
      <w:r w:rsidRPr="008C65ED">
        <w:rPr>
          <w:lang w:val="es-CO"/>
        </w:rPr>
        <w:t xml:space="preserve">Cupos de </w:t>
      </w:r>
      <w:r w:rsidR="0046710F" w:rsidRPr="008C65ED">
        <w:rPr>
          <w:lang w:val="es-CO"/>
        </w:rPr>
        <w:t>C</w:t>
      </w:r>
      <w:r w:rsidRPr="008C65ED">
        <w:rPr>
          <w:lang w:val="es-CO"/>
        </w:rPr>
        <w:t xml:space="preserve">ontraparte para </w:t>
      </w:r>
      <w:r w:rsidR="0046710F" w:rsidRPr="008C65ED">
        <w:rPr>
          <w:lang w:val="es-CO"/>
        </w:rPr>
        <w:t>O</w:t>
      </w:r>
      <w:r w:rsidRPr="008C65ED">
        <w:rPr>
          <w:lang w:val="es-CO"/>
        </w:rPr>
        <w:t xml:space="preserve">peraciones Spot en el </w:t>
      </w:r>
      <w:r w:rsidR="0046710F" w:rsidRPr="008C65ED">
        <w:rPr>
          <w:lang w:val="es-CO"/>
        </w:rPr>
        <w:t>S</w:t>
      </w:r>
      <w:r w:rsidRPr="008C65ED">
        <w:rPr>
          <w:lang w:val="es-CO"/>
        </w:rPr>
        <w:t>istema MEC – Master Trader</w:t>
      </w:r>
      <w:bookmarkEnd w:id="65"/>
    </w:p>
    <w:p w:rsidR="000F6ED3" w:rsidRPr="008C65ED" w:rsidRDefault="000F6ED3" w:rsidP="000F6ED3">
      <w:pPr>
        <w:rPr>
          <w:rFonts w:ascii="Arial Narrow" w:hAnsi="Arial Narrow"/>
          <w:lang w:val="es-CO"/>
        </w:rPr>
      </w:pPr>
    </w:p>
    <w:p w:rsidR="00E837F5" w:rsidRPr="008C65ED" w:rsidRDefault="00E837F5" w:rsidP="00414159">
      <w:pPr>
        <w:jc w:val="both"/>
        <w:rPr>
          <w:rFonts w:ascii="Arial Narrow" w:hAnsi="Arial Narrow" w:cs="Arial"/>
          <w:sz w:val="24"/>
          <w:szCs w:val="24"/>
        </w:rPr>
      </w:pPr>
      <w:r w:rsidRPr="008C65ED">
        <w:rPr>
          <w:rFonts w:ascii="Arial Narrow" w:hAnsi="Arial Narrow" w:cs="Arial"/>
          <w:sz w:val="24"/>
          <w:szCs w:val="24"/>
        </w:rPr>
        <w:t xml:space="preserve">Las operaciones de compraventa de TES en el sistema </w:t>
      </w:r>
      <w:r w:rsidRPr="008C65ED">
        <w:rPr>
          <w:rFonts w:ascii="Arial Narrow" w:hAnsi="Arial Narrow" w:cs="Arial"/>
          <w:i/>
          <w:sz w:val="24"/>
          <w:szCs w:val="24"/>
        </w:rPr>
        <w:t>Master Trader</w:t>
      </w:r>
      <w:r w:rsidRPr="008C65ED">
        <w:rPr>
          <w:rFonts w:ascii="Arial Narrow" w:hAnsi="Arial Narrow" w:cs="Arial"/>
          <w:sz w:val="24"/>
          <w:szCs w:val="24"/>
        </w:rPr>
        <w:t xml:space="preserve">, </w:t>
      </w:r>
      <w:r w:rsidR="00414159" w:rsidRPr="008C65ED">
        <w:rPr>
          <w:rFonts w:ascii="Arial Narrow" w:hAnsi="Arial Narrow" w:cs="Arial"/>
          <w:sz w:val="24"/>
          <w:szCs w:val="24"/>
        </w:rPr>
        <w:t>se autorizan únicamente</w:t>
      </w:r>
      <w:r w:rsidRPr="008C65ED">
        <w:rPr>
          <w:rFonts w:ascii="Arial Narrow" w:hAnsi="Arial Narrow" w:cs="Arial"/>
          <w:sz w:val="24"/>
          <w:szCs w:val="24"/>
        </w:rPr>
        <w:t xml:space="preserve"> para las siguientes contrapartes:</w:t>
      </w:r>
    </w:p>
    <w:p w:rsidR="00E837F5" w:rsidRPr="008C65ED" w:rsidRDefault="00E837F5" w:rsidP="000F6ED3">
      <w:pPr>
        <w:jc w:val="both"/>
        <w:rPr>
          <w:rFonts w:ascii="Arial Narrow" w:hAnsi="Arial Narrow" w:cs="Arial"/>
          <w:sz w:val="24"/>
          <w:szCs w:val="24"/>
        </w:rPr>
      </w:pPr>
    </w:p>
    <w:p w:rsidR="00E837F5" w:rsidRPr="008C65ED" w:rsidRDefault="00E837F5" w:rsidP="00E837F5">
      <w:pPr>
        <w:pStyle w:val="Prrafodelista"/>
        <w:numPr>
          <w:ilvl w:val="0"/>
          <w:numId w:val="34"/>
        </w:numPr>
        <w:jc w:val="both"/>
        <w:rPr>
          <w:rFonts w:ascii="Arial Narrow" w:hAnsi="Arial Narrow" w:cs="Arial"/>
          <w:sz w:val="24"/>
          <w:szCs w:val="24"/>
        </w:rPr>
      </w:pPr>
      <w:r w:rsidRPr="008C65ED">
        <w:rPr>
          <w:rFonts w:ascii="Arial Narrow" w:hAnsi="Arial Narrow" w:cs="Arial"/>
          <w:sz w:val="24"/>
          <w:szCs w:val="24"/>
        </w:rPr>
        <w:t>Creadores de Mercado</w:t>
      </w:r>
      <w:r w:rsidR="00414159" w:rsidRPr="008C65ED">
        <w:rPr>
          <w:rFonts w:ascii="Arial Narrow" w:hAnsi="Arial Narrow" w:cs="Arial"/>
          <w:sz w:val="24"/>
          <w:szCs w:val="24"/>
        </w:rPr>
        <w:t>;</w:t>
      </w:r>
    </w:p>
    <w:p w:rsidR="00E837F5" w:rsidRPr="008C65ED" w:rsidRDefault="00E837F5" w:rsidP="00E837F5">
      <w:pPr>
        <w:pStyle w:val="Prrafodelista"/>
        <w:numPr>
          <w:ilvl w:val="0"/>
          <w:numId w:val="34"/>
        </w:numPr>
        <w:jc w:val="both"/>
        <w:rPr>
          <w:rFonts w:ascii="Arial Narrow" w:hAnsi="Arial Narrow" w:cs="Arial"/>
          <w:sz w:val="24"/>
          <w:szCs w:val="24"/>
        </w:rPr>
      </w:pPr>
      <w:r w:rsidRPr="008C65ED">
        <w:rPr>
          <w:rFonts w:ascii="Arial Narrow" w:hAnsi="Arial Narrow" w:cs="Arial"/>
          <w:sz w:val="24"/>
          <w:szCs w:val="24"/>
        </w:rPr>
        <w:t>Entidades P</w:t>
      </w:r>
      <w:r w:rsidR="00414159" w:rsidRPr="008C65ED">
        <w:rPr>
          <w:rFonts w:ascii="Arial Narrow" w:hAnsi="Arial Narrow" w:cs="Arial"/>
          <w:sz w:val="24"/>
          <w:szCs w:val="24"/>
        </w:rPr>
        <w:t>úblicas;</w:t>
      </w:r>
    </w:p>
    <w:p w:rsidR="00414159" w:rsidRPr="008C65ED" w:rsidRDefault="00414159" w:rsidP="00E837F5">
      <w:pPr>
        <w:pStyle w:val="Prrafodelista"/>
        <w:numPr>
          <w:ilvl w:val="0"/>
          <w:numId w:val="34"/>
        </w:numPr>
        <w:jc w:val="both"/>
        <w:rPr>
          <w:rFonts w:ascii="Arial Narrow" w:hAnsi="Arial Narrow" w:cs="Arial"/>
          <w:sz w:val="24"/>
          <w:szCs w:val="24"/>
        </w:rPr>
      </w:pPr>
      <w:r w:rsidRPr="008C65ED">
        <w:rPr>
          <w:rFonts w:ascii="Arial Narrow" w:hAnsi="Arial Narrow" w:cs="Arial"/>
          <w:sz w:val="24"/>
          <w:szCs w:val="24"/>
        </w:rPr>
        <w:lastRenderedPageBreak/>
        <w:t>Entidades Mixtas donde el Estado cuente con más del 50% de participación.</w:t>
      </w:r>
    </w:p>
    <w:p w:rsidR="00E837F5" w:rsidRPr="008C65ED" w:rsidRDefault="00E837F5" w:rsidP="000F6ED3">
      <w:pPr>
        <w:jc w:val="both"/>
        <w:rPr>
          <w:rFonts w:ascii="Arial Narrow" w:hAnsi="Arial Narrow" w:cs="Arial"/>
          <w:sz w:val="24"/>
          <w:szCs w:val="24"/>
        </w:rPr>
      </w:pPr>
    </w:p>
    <w:p w:rsidR="000F6ED3" w:rsidRPr="008C65ED" w:rsidRDefault="00E837F5" w:rsidP="00E837F5">
      <w:pPr>
        <w:jc w:val="both"/>
        <w:rPr>
          <w:rFonts w:ascii="Arial Narrow" w:hAnsi="Arial Narrow" w:cs="Arial"/>
          <w:sz w:val="24"/>
          <w:szCs w:val="24"/>
        </w:rPr>
      </w:pPr>
      <w:r w:rsidRPr="008C65ED">
        <w:rPr>
          <w:rFonts w:ascii="Arial Narrow" w:hAnsi="Arial Narrow" w:cs="Arial"/>
          <w:sz w:val="24"/>
          <w:szCs w:val="24"/>
        </w:rPr>
        <w:t>De esta manera, la metodología de asignación presenta</w:t>
      </w:r>
      <w:r w:rsidR="000F6ED3" w:rsidRPr="008C65ED">
        <w:rPr>
          <w:rFonts w:ascii="Arial Narrow" w:hAnsi="Arial Narrow" w:cs="Arial"/>
          <w:sz w:val="24"/>
          <w:szCs w:val="24"/>
        </w:rPr>
        <w:t xml:space="preserve"> los</w:t>
      </w:r>
      <w:r w:rsidRPr="008C65ED">
        <w:rPr>
          <w:rFonts w:ascii="Arial Narrow" w:hAnsi="Arial Narrow" w:cs="Arial"/>
          <w:sz w:val="24"/>
          <w:szCs w:val="24"/>
        </w:rPr>
        <w:t xml:space="preserve"> siguientes</w:t>
      </w:r>
      <w:r w:rsidR="000F6ED3" w:rsidRPr="008C65ED">
        <w:rPr>
          <w:rFonts w:ascii="Arial Narrow" w:hAnsi="Arial Narrow" w:cs="Arial"/>
          <w:sz w:val="24"/>
          <w:szCs w:val="24"/>
        </w:rPr>
        <w:t xml:space="preserve"> criterios </w:t>
      </w:r>
      <w:r w:rsidRPr="008C65ED">
        <w:rPr>
          <w:rFonts w:ascii="Arial Narrow" w:hAnsi="Arial Narrow" w:cs="Arial"/>
          <w:sz w:val="24"/>
          <w:szCs w:val="24"/>
        </w:rPr>
        <w:t>los cuales</w:t>
      </w:r>
      <w:r w:rsidR="000F6ED3" w:rsidRPr="008C65ED">
        <w:rPr>
          <w:rFonts w:ascii="Arial Narrow" w:hAnsi="Arial Narrow" w:cs="Arial"/>
          <w:sz w:val="24"/>
          <w:szCs w:val="24"/>
        </w:rPr>
        <w:t xml:space="preserve"> están subdivididos en tres niveles:</w:t>
      </w:r>
    </w:p>
    <w:p w:rsidR="000F6ED3" w:rsidRPr="008C65ED" w:rsidRDefault="000F6ED3" w:rsidP="000F6ED3">
      <w:pPr>
        <w:jc w:val="both"/>
        <w:rPr>
          <w:rFonts w:ascii="Arial Narrow" w:hAnsi="Arial Narrow" w:cs="Arial"/>
          <w:sz w:val="24"/>
          <w:szCs w:val="24"/>
        </w:rPr>
      </w:pPr>
    </w:p>
    <w:p w:rsidR="000F6ED3" w:rsidRPr="008C65ED" w:rsidRDefault="000F6ED3" w:rsidP="00587EB0">
      <w:pPr>
        <w:ind w:left="709"/>
        <w:jc w:val="both"/>
        <w:rPr>
          <w:rFonts w:ascii="Arial Narrow" w:hAnsi="Arial Narrow" w:cs="Arial"/>
          <w:b/>
          <w:sz w:val="24"/>
          <w:szCs w:val="24"/>
        </w:rPr>
      </w:pPr>
      <w:r w:rsidRPr="008C65ED">
        <w:rPr>
          <w:rFonts w:ascii="Arial Narrow" w:hAnsi="Arial Narrow" w:cs="Arial"/>
          <w:b/>
          <w:sz w:val="24"/>
          <w:szCs w:val="24"/>
        </w:rPr>
        <w:t>NIVEL 1:</w:t>
      </w:r>
    </w:p>
    <w:p w:rsidR="000F6ED3" w:rsidRPr="008C65ED" w:rsidRDefault="000F6ED3" w:rsidP="00587EB0">
      <w:pPr>
        <w:ind w:left="709"/>
        <w:jc w:val="both"/>
        <w:rPr>
          <w:rFonts w:ascii="Arial Narrow" w:hAnsi="Arial Narrow" w:cs="Arial"/>
          <w:sz w:val="24"/>
          <w:szCs w:val="24"/>
        </w:rPr>
      </w:pPr>
    </w:p>
    <w:p w:rsidR="00171A99" w:rsidRPr="008C65ED" w:rsidRDefault="00E837F5" w:rsidP="00587EB0">
      <w:pPr>
        <w:ind w:left="709"/>
        <w:jc w:val="both"/>
        <w:rPr>
          <w:rFonts w:ascii="Arial Narrow" w:hAnsi="Arial Narrow" w:cs="Arial"/>
          <w:sz w:val="24"/>
          <w:szCs w:val="24"/>
        </w:rPr>
      </w:pPr>
      <w:r w:rsidRPr="008C65ED">
        <w:rPr>
          <w:rFonts w:ascii="Arial Narrow" w:hAnsi="Arial Narrow" w:cs="Arial"/>
          <w:sz w:val="24"/>
          <w:szCs w:val="24"/>
        </w:rPr>
        <w:t>Si l</w:t>
      </w:r>
      <w:r w:rsidR="000F6ED3" w:rsidRPr="008C65ED">
        <w:rPr>
          <w:rFonts w:ascii="Arial Narrow" w:hAnsi="Arial Narrow" w:cs="Arial"/>
          <w:sz w:val="24"/>
          <w:szCs w:val="24"/>
        </w:rPr>
        <w:t xml:space="preserve">a entidad </w:t>
      </w:r>
      <w:r w:rsidRPr="008C65ED">
        <w:rPr>
          <w:rFonts w:ascii="Arial Narrow" w:hAnsi="Arial Narrow" w:cs="Arial"/>
          <w:sz w:val="24"/>
          <w:szCs w:val="24"/>
        </w:rPr>
        <w:t>cuenta con la</w:t>
      </w:r>
      <w:r w:rsidR="000F6ED3" w:rsidRPr="008C65ED">
        <w:rPr>
          <w:rFonts w:ascii="Arial Narrow" w:hAnsi="Arial Narrow" w:cs="Arial"/>
          <w:sz w:val="24"/>
          <w:szCs w:val="24"/>
        </w:rPr>
        <w:t xml:space="preserve"> </w:t>
      </w:r>
      <w:r w:rsidRPr="008C65ED">
        <w:rPr>
          <w:rFonts w:ascii="Arial Narrow" w:hAnsi="Arial Narrow" w:cs="Arial"/>
          <w:sz w:val="24"/>
          <w:szCs w:val="24"/>
        </w:rPr>
        <w:t xml:space="preserve">asignación bajo la </w:t>
      </w:r>
      <w:r w:rsidR="000F6ED3" w:rsidRPr="008C65ED">
        <w:rPr>
          <w:rFonts w:ascii="Arial Narrow" w:hAnsi="Arial Narrow" w:cs="Arial"/>
          <w:sz w:val="24"/>
          <w:szCs w:val="24"/>
        </w:rPr>
        <w:t xml:space="preserve">metodología CAMEL, </w:t>
      </w:r>
      <w:r w:rsidR="006A3F05" w:rsidRPr="008C65ED">
        <w:rPr>
          <w:rFonts w:ascii="Arial Narrow" w:hAnsi="Arial Narrow" w:cs="Arial"/>
          <w:sz w:val="24"/>
          <w:szCs w:val="24"/>
        </w:rPr>
        <w:t xml:space="preserve">se mantiene el cupo </w:t>
      </w:r>
      <w:r w:rsidR="000F6ED3" w:rsidRPr="008C65ED">
        <w:rPr>
          <w:rFonts w:ascii="Arial Narrow" w:hAnsi="Arial Narrow" w:cs="Arial"/>
          <w:sz w:val="24"/>
          <w:szCs w:val="24"/>
        </w:rPr>
        <w:t>asigna</w:t>
      </w:r>
      <w:r w:rsidR="006A3F05" w:rsidRPr="008C65ED">
        <w:rPr>
          <w:rFonts w:ascii="Arial Narrow" w:hAnsi="Arial Narrow" w:cs="Arial"/>
          <w:sz w:val="24"/>
          <w:szCs w:val="24"/>
        </w:rPr>
        <w:t xml:space="preserve">do </w:t>
      </w:r>
      <w:r w:rsidR="000F6ED3" w:rsidRPr="008C65ED">
        <w:rPr>
          <w:rFonts w:ascii="Arial Narrow" w:hAnsi="Arial Narrow" w:cs="Arial"/>
          <w:sz w:val="24"/>
          <w:szCs w:val="24"/>
        </w:rPr>
        <w:t xml:space="preserve">según los estándares </w:t>
      </w:r>
      <w:r w:rsidR="006A3F05" w:rsidRPr="008C65ED">
        <w:rPr>
          <w:rFonts w:ascii="Arial Narrow" w:hAnsi="Arial Narrow" w:cs="Arial"/>
          <w:sz w:val="24"/>
          <w:szCs w:val="24"/>
        </w:rPr>
        <w:t>establecidos. Para los Creadores de Mercado que no cuentan con</w:t>
      </w:r>
      <w:r w:rsidR="000F6ED3" w:rsidRPr="008C65ED">
        <w:rPr>
          <w:rFonts w:ascii="Arial Narrow" w:hAnsi="Arial Narrow" w:cs="Arial"/>
          <w:sz w:val="24"/>
          <w:szCs w:val="24"/>
        </w:rPr>
        <w:t xml:space="preserve"> cupo asignado </w:t>
      </w:r>
      <w:r w:rsidR="006A3F05" w:rsidRPr="008C65ED">
        <w:rPr>
          <w:rFonts w:ascii="Arial Narrow" w:hAnsi="Arial Narrow" w:cs="Arial"/>
          <w:sz w:val="24"/>
          <w:szCs w:val="24"/>
        </w:rPr>
        <w:t>bajo</w:t>
      </w:r>
      <w:r w:rsidR="000F6ED3" w:rsidRPr="008C65ED">
        <w:rPr>
          <w:rFonts w:ascii="Arial Narrow" w:hAnsi="Arial Narrow" w:cs="Arial"/>
          <w:sz w:val="24"/>
          <w:szCs w:val="24"/>
        </w:rPr>
        <w:t xml:space="preserve"> la metodología CAMEL, </w:t>
      </w:r>
      <w:r w:rsidR="006A3F05" w:rsidRPr="008C65ED">
        <w:rPr>
          <w:rFonts w:ascii="Arial Narrow" w:hAnsi="Arial Narrow" w:cs="Arial"/>
          <w:sz w:val="24"/>
          <w:szCs w:val="24"/>
        </w:rPr>
        <w:t xml:space="preserve">y sean Corporaciones o Bancos </w:t>
      </w:r>
      <w:r w:rsidR="000F6ED3" w:rsidRPr="008C65ED">
        <w:rPr>
          <w:rFonts w:ascii="Arial Narrow" w:hAnsi="Arial Narrow" w:cs="Arial"/>
          <w:sz w:val="24"/>
          <w:szCs w:val="24"/>
        </w:rPr>
        <w:t>se asign</w:t>
      </w:r>
      <w:r w:rsidR="006A3F05" w:rsidRPr="008C65ED">
        <w:rPr>
          <w:rFonts w:ascii="Arial Narrow" w:hAnsi="Arial Narrow" w:cs="Arial"/>
          <w:sz w:val="24"/>
          <w:szCs w:val="24"/>
        </w:rPr>
        <w:t>a el 50% del patrimonio técnico, por su lado s</w:t>
      </w:r>
      <w:r w:rsidR="000F6ED3" w:rsidRPr="008C65ED">
        <w:rPr>
          <w:rFonts w:ascii="Arial Narrow" w:hAnsi="Arial Narrow" w:cs="Arial"/>
          <w:sz w:val="24"/>
          <w:szCs w:val="24"/>
        </w:rPr>
        <w:t>i la entidad es comisionista y es creador de mercado, se asigna el 100% de su patrimonio técnico.</w:t>
      </w:r>
    </w:p>
    <w:p w:rsidR="00F07F58" w:rsidRPr="008C65ED" w:rsidRDefault="00F07F58" w:rsidP="00587EB0">
      <w:pPr>
        <w:ind w:left="709"/>
        <w:jc w:val="both"/>
        <w:rPr>
          <w:rFonts w:ascii="Arial Narrow" w:hAnsi="Arial Narrow" w:cs="Arial"/>
          <w:sz w:val="24"/>
          <w:szCs w:val="24"/>
        </w:rPr>
      </w:pPr>
    </w:p>
    <w:p w:rsidR="000F6ED3" w:rsidRPr="008C65ED" w:rsidRDefault="000F6ED3" w:rsidP="00587EB0">
      <w:pPr>
        <w:ind w:left="709"/>
        <w:rPr>
          <w:rFonts w:ascii="Arial Narrow" w:hAnsi="Arial Narrow" w:cs="Arial"/>
          <w:b/>
          <w:sz w:val="24"/>
          <w:szCs w:val="24"/>
        </w:rPr>
      </w:pPr>
      <w:r w:rsidRPr="008C65ED">
        <w:rPr>
          <w:rFonts w:ascii="Arial Narrow" w:hAnsi="Arial Narrow" w:cs="Arial"/>
          <w:b/>
          <w:sz w:val="24"/>
          <w:szCs w:val="24"/>
        </w:rPr>
        <w:t>NIVEL 2:</w:t>
      </w:r>
    </w:p>
    <w:p w:rsidR="000F6ED3" w:rsidRPr="008C65ED" w:rsidRDefault="000F6ED3" w:rsidP="00587EB0">
      <w:pPr>
        <w:ind w:left="709"/>
        <w:rPr>
          <w:rFonts w:ascii="Arial Narrow" w:hAnsi="Arial Narrow" w:cs="Arial"/>
          <w:sz w:val="24"/>
          <w:szCs w:val="24"/>
        </w:rPr>
      </w:pPr>
    </w:p>
    <w:p w:rsidR="000F6ED3" w:rsidRPr="008C65ED" w:rsidRDefault="006A3F05" w:rsidP="00587EB0">
      <w:pPr>
        <w:ind w:left="709"/>
        <w:jc w:val="both"/>
        <w:rPr>
          <w:rFonts w:ascii="Arial Narrow" w:hAnsi="Arial Narrow" w:cs="Arial"/>
          <w:sz w:val="24"/>
          <w:szCs w:val="24"/>
        </w:rPr>
      </w:pPr>
      <w:r w:rsidRPr="008C65ED">
        <w:rPr>
          <w:rFonts w:ascii="Arial Narrow" w:hAnsi="Arial Narrow" w:cs="Arial"/>
          <w:sz w:val="24"/>
          <w:szCs w:val="24"/>
        </w:rPr>
        <w:t>Se ajusta el cálcu</w:t>
      </w:r>
      <w:r w:rsidR="009C2B24" w:rsidRPr="008C65ED">
        <w:rPr>
          <w:rFonts w:ascii="Arial Narrow" w:hAnsi="Arial Narrow" w:cs="Arial"/>
          <w:sz w:val="24"/>
          <w:szCs w:val="24"/>
        </w:rPr>
        <w:t>lo definido en el Nivel 1 para las entidad</w:t>
      </w:r>
      <w:r w:rsidR="000F6ED3" w:rsidRPr="008C65ED">
        <w:rPr>
          <w:rFonts w:ascii="Arial Narrow" w:hAnsi="Arial Narrow" w:cs="Arial"/>
          <w:sz w:val="24"/>
          <w:szCs w:val="24"/>
        </w:rPr>
        <w:t>es comisionista</w:t>
      </w:r>
      <w:r w:rsidR="009C2B24" w:rsidRPr="008C65ED">
        <w:rPr>
          <w:rFonts w:ascii="Arial Narrow" w:hAnsi="Arial Narrow" w:cs="Arial"/>
          <w:sz w:val="24"/>
          <w:szCs w:val="24"/>
        </w:rPr>
        <w:t xml:space="preserve">s, asignando </w:t>
      </w:r>
      <w:r w:rsidR="000F6ED3" w:rsidRPr="008C65ED">
        <w:rPr>
          <w:rFonts w:ascii="Arial Narrow" w:hAnsi="Arial Narrow" w:cs="Arial"/>
          <w:sz w:val="24"/>
          <w:szCs w:val="24"/>
        </w:rPr>
        <w:t>el 50% de su patrimonio técnico</w:t>
      </w:r>
      <w:r w:rsidR="009C2B24" w:rsidRPr="008C65ED">
        <w:rPr>
          <w:rFonts w:ascii="Arial Narrow" w:hAnsi="Arial Narrow" w:cs="Arial"/>
          <w:sz w:val="24"/>
          <w:szCs w:val="24"/>
        </w:rPr>
        <w:t xml:space="preserve">, las demás entidades continúan con el valor establecido en el nivel anterior. De esta manera, el cálculo del nivel 2 es establecido por </w:t>
      </w:r>
      <w:r w:rsidR="000F6ED3" w:rsidRPr="008C65ED">
        <w:rPr>
          <w:rFonts w:ascii="Arial Narrow" w:hAnsi="Arial Narrow" w:cs="Arial"/>
          <w:sz w:val="24"/>
          <w:szCs w:val="24"/>
        </w:rPr>
        <w:t>la siguiente función:</w:t>
      </w:r>
    </w:p>
    <w:p w:rsidR="000F6ED3" w:rsidRPr="008C65ED" w:rsidRDefault="000F6ED3" w:rsidP="00587EB0">
      <w:pPr>
        <w:ind w:left="709"/>
        <w:rPr>
          <w:rFonts w:ascii="Arial Narrow" w:hAnsi="Arial Narrow"/>
        </w:rPr>
      </w:pPr>
    </w:p>
    <w:p w:rsidR="009C2B24" w:rsidRPr="008C65ED" w:rsidRDefault="000F6ED3" w:rsidP="00587EB0">
      <w:pPr>
        <w:ind w:left="709"/>
        <w:rPr>
          <w:rFonts w:ascii="Arial Narrow" w:hAnsi="Arial Narrow" w:cs="Arial"/>
          <w:b/>
          <w:sz w:val="24"/>
          <w:szCs w:val="24"/>
        </w:rPr>
      </w:pPr>
      <m:oMathPara>
        <m:oMath>
          <m:r>
            <m:rPr>
              <m:nor/>
            </m:rPr>
            <w:rPr>
              <w:rFonts w:ascii="Arial Narrow" w:hAnsi="Arial Narrow"/>
              <w:i/>
            </w:rPr>
            <m:t>Cupo Nivel 2</m:t>
          </m:r>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r>
                    <w:rPr>
                      <w:rFonts w:ascii="Cambria Math" w:hAnsi="Cambria Math"/>
                    </w:rPr>
                    <m:t xml:space="preserve"> 280 </m:t>
                  </m:r>
                  <m:r>
                    <m:rPr>
                      <m:nor/>
                    </m:rPr>
                    <w:rPr>
                      <w:rFonts w:ascii="Arial Narrow" w:hAnsi="Arial Narrow"/>
                      <w:i/>
                    </w:rPr>
                    <m:t>mm; Cupo Ajustado en Nivel 2</m:t>
                  </m:r>
                </m:e>
              </m:d>
            </m:e>
          </m:func>
        </m:oMath>
      </m:oMathPara>
    </w:p>
    <w:p w:rsidR="009C2B24" w:rsidRPr="008C65ED" w:rsidRDefault="009C2B24" w:rsidP="00587EB0">
      <w:pPr>
        <w:ind w:left="709"/>
        <w:rPr>
          <w:rFonts w:ascii="Arial Narrow" w:hAnsi="Arial Narrow" w:cs="Arial"/>
          <w:b/>
          <w:sz w:val="24"/>
          <w:szCs w:val="24"/>
        </w:rPr>
      </w:pPr>
    </w:p>
    <w:p w:rsidR="000F6ED3" w:rsidRPr="008C65ED" w:rsidRDefault="000F6ED3" w:rsidP="00587EB0">
      <w:pPr>
        <w:ind w:left="709"/>
        <w:rPr>
          <w:rFonts w:ascii="Arial Narrow" w:hAnsi="Arial Narrow" w:cs="Arial"/>
          <w:b/>
          <w:sz w:val="24"/>
          <w:szCs w:val="24"/>
        </w:rPr>
      </w:pPr>
      <w:r w:rsidRPr="008C65ED">
        <w:rPr>
          <w:rFonts w:ascii="Arial Narrow" w:hAnsi="Arial Narrow" w:cs="Arial"/>
          <w:b/>
          <w:sz w:val="24"/>
          <w:szCs w:val="24"/>
        </w:rPr>
        <w:t>NIVEL 3:</w:t>
      </w:r>
    </w:p>
    <w:p w:rsidR="000F6ED3" w:rsidRPr="008C65ED" w:rsidRDefault="000F6ED3" w:rsidP="00587EB0">
      <w:pPr>
        <w:ind w:left="709"/>
        <w:rPr>
          <w:rFonts w:ascii="Arial Narrow" w:hAnsi="Arial Narrow" w:cs="Arial"/>
          <w:sz w:val="24"/>
          <w:szCs w:val="24"/>
        </w:rPr>
      </w:pPr>
    </w:p>
    <w:p w:rsidR="000F6ED3" w:rsidRPr="008C65ED" w:rsidRDefault="000F6ED3" w:rsidP="00587EB0">
      <w:pPr>
        <w:ind w:left="709"/>
        <w:jc w:val="both"/>
        <w:rPr>
          <w:rFonts w:ascii="Arial Narrow" w:hAnsi="Arial Narrow" w:cs="Arial"/>
          <w:sz w:val="24"/>
          <w:szCs w:val="24"/>
        </w:rPr>
      </w:pPr>
      <w:r w:rsidRPr="008C65ED">
        <w:rPr>
          <w:rFonts w:ascii="Arial Narrow" w:hAnsi="Arial Narrow" w:cs="Arial"/>
          <w:sz w:val="24"/>
          <w:szCs w:val="24"/>
        </w:rPr>
        <w:t>Se establece un criterio de ponderación por ranking de creadores de mercado, para determinar este valor se utiliza la calificación de la entidad de los 3 últimos años.</w:t>
      </w:r>
    </w:p>
    <w:p w:rsidR="000F6ED3" w:rsidRPr="008C65ED" w:rsidRDefault="000F6ED3" w:rsidP="00587EB0">
      <w:pPr>
        <w:ind w:left="709"/>
        <w:rPr>
          <w:rFonts w:ascii="Arial Narrow" w:hAnsi="Arial Narrow" w:cs="Arial"/>
          <w:sz w:val="24"/>
          <w:szCs w:val="24"/>
        </w:rPr>
      </w:pPr>
    </w:p>
    <w:p w:rsidR="000F6ED3" w:rsidRPr="008C65ED" w:rsidRDefault="000F6ED3" w:rsidP="00587EB0">
      <w:pPr>
        <w:ind w:left="709"/>
        <w:jc w:val="both"/>
        <w:rPr>
          <w:rFonts w:ascii="Arial Narrow" w:hAnsi="Arial Narrow" w:cs="Arial"/>
          <w:sz w:val="24"/>
          <w:szCs w:val="24"/>
        </w:rPr>
      </w:pPr>
      <w:r w:rsidRPr="008C65ED">
        <w:rPr>
          <w:rFonts w:ascii="Arial Narrow" w:hAnsi="Arial Narrow" w:cs="Arial"/>
          <w:sz w:val="24"/>
          <w:szCs w:val="24"/>
        </w:rPr>
        <w:t>A continuación, se calcula la diferencia entre la calificación de la entidad y la máxima calificación posible (100).</w:t>
      </w:r>
    </w:p>
    <w:p w:rsidR="000F6ED3" w:rsidRPr="008C65ED" w:rsidRDefault="000F6ED3" w:rsidP="00587EB0">
      <w:pPr>
        <w:ind w:left="709"/>
        <w:rPr>
          <w:rFonts w:ascii="Arial Narrow" w:hAnsi="Arial Narrow" w:cs="Arial"/>
          <w:sz w:val="24"/>
          <w:szCs w:val="24"/>
        </w:rPr>
      </w:pPr>
      <m:oMathPara>
        <m:oMath>
          <m:r>
            <w:rPr>
              <w:rFonts w:ascii="Cambria Math" w:hAnsi="Cambria Math" w:cs="Arial"/>
              <w:sz w:val="24"/>
              <w:szCs w:val="24"/>
            </w:rPr>
            <m:t>i</m:t>
          </m:r>
          <m:r>
            <m:rPr>
              <m:sty m:val="p"/>
            </m:rPr>
            <w:rPr>
              <w:rFonts w:ascii="Cambria Math" w:hAnsi="Cambria Math" w:cs="Arial"/>
              <w:sz w:val="24"/>
              <w:szCs w:val="24"/>
            </w:rPr>
            <m:t>=100-</m:t>
          </m:r>
          <m:r>
            <m:rPr>
              <m:nor/>
            </m:rPr>
            <w:rPr>
              <w:rFonts w:ascii="Arial Narrow" w:hAnsi="Arial Narrow" w:cs="Arial"/>
              <w:sz w:val="24"/>
              <w:szCs w:val="24"/>
            </w:rPr>
            <m:t>puntaje de la entidad</m:t>
          </m:r>
        </m:oMath>
      </m:oMathPara>
    </w:p>
    <w:p w:rsidR="00A400C2" w:rsidRPr="008C65ED" w:rsidRDefault="00A400C2" w:rsidP="00587EB0">
      <w:pPr>
        <w:ind w:left="709"/>
        <w:rPr>
          <w:rFonts w:ascii="Arial Narrow" w:hAnsi="Arial Narrow" w:cs="Arial"/>
          <w:sz w:val="24"/>
          <w:szCs w:val="24"/>
        </w:rPr>
      </w:pPr>
    </w:p>
    <w:p w:rsidR="000F6ED3" w:rsidRPr="008C65ED" w:rsidRDefault="000F6ED3" w:rsidP="00587EB0">
      <w:pPr>
        <w:ind w:left="709"/>
        <w:jc w:val="both"/>
        <w:rPr>
          <w:rFonts w:ascii="Arial Narrow" w:hAnsi="Arial Narrow" w:cs="Arial"/>
          <w:sz w:val="24"/>
          <w:szCs w:val="24"/>
        </w:rPr>
      </w:pPr>
      <w:r w:rsidRPr="008C65ED">
        <w:rPr>
          <w:rFonts w:ascii="Arial Narrow" w:hAnsi="Arial Narrow" w:cs="Arial"/>
          <w:sz w:val="24"/>
          <w:szCs w:val="24"/>
        </w:rPr>
        <w:t>Con el fin de aumentar el cupo de aquellas entidades que por su experiencia en el mercado ameritan un aumento de su cupo, se utiliza un factor de decaimiento que toma como insumo la diferencia entre la máxima calificación y la calificación de la entidad.</w:t>
      </w:r>
    </w:p>
    <w:p w:rsidR="00A400C2" w:rsidRPr="008C65ED" w:rsidRDefault="00A400C2" w:rsidP="00587EB0">
      <w:pPr>
        <w:ind w:left="709"/>
        <w:rPr>
          <w:rFonts w:ascii="Arial Narrow" w:hAnsi="Arial Narrow" w:cs="Arial"/>
          <w:sz w:val="24"/>
          <w:szCs w:val="24"/>
        </w:rPr>
      </w:pPr>
    </w:p>
    <w:p w:rsidR="000F6ED3" w:rsidRPr="008C65ED" w:rsidRDefault="000F6ED3" w:rsidP="00587EB0">
      <w:pPr>
        <w:ind w:left="709"/>
        <w:rPr>
          <w:rFonts w:ascii="Arial Narrow" w:hAnsi="Arial Narrow"/>
        </w:rPr>
      </w:pPr>
      <m:oMathPara>
        <m:oMath>
          <m:r>
            <w:rPr>
              <w:rFonts w:ascii="Cambria Math" w:hAnsi="Cambria Math"/>
            </w:rPr>
            <m:t>λ</m:t>
          </m:r>
          <m:r>
            <m:rPr>
              <m:sty m:val="p"/>
            </m:rPr>
            <w:rPr>
              <w:rFonts w:ascii="Cambria Math" w:hAnsi="Cambria Math"/>
            </w:rPr>
            <m:t>=</m:t>
          </m:r>
          <m:sSup>
            <m:sSupPr>
              <m:ctrlPr>
                <w:rPr>
                  <w:rFonts w:ascii="Cambria Math" w:hAnsi="Cambria Math"/>
                </w:rPr>
              </m:ctrlPr>
            </m:sSupPr>
            <m:e>
              <m:r>
                <m:rPr>
                  <m:sty m:val="p"/>
                </m:rPr>
                <w:rPr>
                  <w:rFonts w:ascii="Cambria Math" w:hAnsi="Cambria Math"/>
                </w:rPr>
                <m:t>0.99</m:t>
              </m:r>
            </m:e>
            <m:sup>
              <m:r>
                <w:rPr>
                  <w:rFonts w:ascii="Cambria Math" w:hAnsi="Cambria Math"/>
                </w:rPr>
                <m:t>i</m:t>
              </m:r>
              <m:r>
                <m:rPr>
                  <m:sty m:val="p"/>
                </m:rPr>
                <w:rPr>
                  <w:rFonts w:ascii="Cambria Math" w:hAnsi="Cambria Math"/>
                </w:rPr>
                <m:t>-1</m:t>
              </m:r>
            </m:sup>
          </m:sSup>
          <m:r>
            <m:rPr>
              <m:sty m:val="p"/>
            </m:rPr>
            <w:rPr>
              <w:rFonts w:ascii="Cambria Math" w:hAnsi="Cambria Math"/>
            </w:rPr>
            <m:t xml:space="preserve"> </m:t>
          </m:r>
        </m:oMath>
      </m:oMathPara>
    </w:p>
    <w:p w:rsidR="00A400C2" w:rsidRPr="008C65ED" w:rsidRDefault="00A400C2" w:rsidP="00587EB0">
      <w:pPr>
        <w:ind w:left="709"/>
        <w:rPr>
          <w:rFonts w:ascii="Arial Narrow" w:hAnsi="Arial Narrow"/>
        </w:rPr>
      </w:pPr>
    </w:p>
    <w:p w:rsidR="000F6ED3" w:rsidRPr="008C65ED" w:rsidRDefault="000F6ED3" w:rsidP="00587EB0">
      <w:pPr>
        <w:ind w:left="709"/>
        <w:jc w:val="both"/>
        <w:rPr>
          <w:rFonts w:ascii="Arial Narrow" w:hAnsi="Arial Narrow" w:cs="Arial"/>
          <w:sz w:val="24"/>
          <w:szCs w:val="24"/>
        </w:rPr>
      </w:pPr>
      <w:r w:rsidRPr="008C65ED">
        <w:rPr>
          <w:rFonts w:ascii="Arial Narrow" w:hAnsi="Arial Narrow" w:cs="Arial"/>
          <w:sz w:val="24"/>
          <w:szCs w:val="24"/>
        </w:rPr>
        <w:t>Finalmente se establece una nueva ecuación para determinar el cupo de la entidad:</w:t>
      </w:r>
    </w:p>
    <w:p w:rsidR="00A400C2" w:rsidRPr="008C65ED" w:rsidRDefault="00A400C2" w:rsidP="00587EB0">
      <w:pPr>
        <w:ind w:left="709"/>
        <w:rPr>
          <w:rFonts w:ascii="Arial Narrow" w:hAnsi="Arial Narrow" w:cs="Arial"/>
          <w:sz w:val="24"/>
          <w:szCs w:val="24"/>
        </w:rPr>
      </w:pPr>
    </w:p>
    <w:p w:rsidR="00262411" w:rsidRPr="008C65ED" w:rsidRDefault="000F6ED3" w:rsidP="00587EB0">
      <w:pPr>
        <w:ind w:left="709"/>
        <w:rPr>
          <w:rFonts w:ascii="Arial Narrow" w:eastAsiaTheme="minorEastAsia" w:hAnsi="Arial Narrow"/>
          <w:i/>
        </w:rPr>
      </w:pPr>
      <m:oMathPara>
        <m:oMath>
          <m:r>
            <m:rPr>
              <m:nor/>
            </m:rPr>
            <w:rPr>
              <w:rFonts w:ascii="Arial Narrow" w:hAnsi="Arial Narrow"/>
              <w:i/>
            </w:rPr>
            <m:t>Cupo Nivel 3=</m:t>
          </m:r>
          <m:func>
            <m:funcPr>
              <m:ctrlPr>
                <w:rPr>
                  <w:rFonts w:ascii="Cambria Math" w:hAnsi="Cambria Math"/>
                  <w:i/>
                </w:rPr>
              </m:ctrlPr>
            </m:funcPr>
            <m:fName>
              <m:r>
                <m:rPr>
                  <m:nor/>
                </m:rPr>
                <w:rPr>
                  <w:rFonts w:ascii="Arial Narrow" w:hAnsi="Arial Narrow"/>
                  <w:i/>
                </w:rPr>
                <m:t>min</m:t>
              </m:r>
            </m:fName>
            <m:e>
              <m:r>
                <m:rPr>
                  <m:nor/>
                </m:rPr>
                <w:rPr>
                  <w:rFonts w:ascii="Arial Narrow" w:hAnsi="Arial Narrow"/>
                  <w:i/>
                </w:rPr>
                <m:t>{Cupo Nivel 1× λ; Cupo Nivel 2}</m:t>
              </m:r>
            </m:e>
          </m:func>
        </m:oMath>
      </m:oMathPara>
    </w:p>
    <w:p w:rsidR="009C2B24" w:rsidRPr="008C65ED" w:rsidRDefault="009C2B24" w:rsidP="00A400C2">
      <w:pPr>
        <w:rPr>
          <w:rFonts w:ascii="Arial Narrow" w:eastAsiaTheme="minorEastAsia" w:hAnsi="Arial Narrow"/>
        </w:rPr>
      </w:pPr>
    </w:p>
    <w:p w:rsidR="009C2B24" w:rsidRPr="008C65ED" w:rsidRDefault="00414159" w:rsidP="009303A2">
      <w:pPr>
        <w:jc w:val="both"/>
        <w:rPr>
          <w:rFonts w:ascii="Arial Narrow" w:eastAsiaTheme="minorEastAsia" w:hAnsi="Arial Narrow"/>
        </w:rPr>
      </w:pPr>
      <w:r w:rsidRPr="008C65ED">
        <w:rPr>
          <w:rFonts w:ascii="Arial Narrow" w:hAnsi="Arial Narrow" w:cs="Arial"/>
          <w:sz w:val="24"/>
          <w:szCs w:val="24"/>
        </w:rPr>
        <w:t xml:space="preserve">El cupo asignado a las entidades públicas o mixtas corresponde al calculado en el Nivel 2 puesto que no cuentan con la variable de </w:t>
      </w:r>
      <w:r w:rsidRPr="008C65ED">
        <w:rPr>
          <w:rFonts w:ascii="Arial Narrow" w:hAnsi="Arial Narrow" w:cs="Arial"/>
          <w:i/>
          <w:sz w:val="24"/>
          <w:szCs w:val="24"/>
        </w:rPr>
        <w:t>Ranking</w:t>
      </w:r>
      <w:r w:rsidRPr="008C65ED">
        <w:rPr>
          <w:rFonts w:ascii="Arial Narrow" w:hAnsi="Arial Narrow" w:cs="Arial"/>
          <w:sz w:val="24"/>
          <w:szCs w:val="24"/>
        </w:rPr>
        <w:t xml:space="preserve"> del programa de creadores de mercado</w:t>
      </w:r>
      <w:r w:rsidR="00E1325C" w:rsidRPr="008C65ED">
        <w:rPr>
          <w:rFonts w:ascii="Arial Narrow" w:hAnsi="Arial Narrow" w:cs="Arial"/>
          <w:sz w:val="24"/>
          <w:szCs w:val="24"/>
        </w:rPr>
        <w:t xml:space="preserve"> de deuda pública local</w:t>
      </w:r>
      <w:r w:rsidRPr="008C65ED">
        <w:rPr>
          <w:rFonts w:ascii="Arial Narrow" w:hAnsi="Arial Narrow" w:cs="Arial"/>
          <w:sz w:val="24"/>
          <w:szCs w:val="24"/>
        </w:rPr>
        <w:t xml:space="preserve">. El límite para estas entidades es asignado </w:t>
      </w:r>
      <w:r w:rsidR="00E1325C" w:rsidRPr="008C65ED">
        <w:rPr>
          <w:rFonts w:ascii="Arial Narrow" w:hAnsi="Arial Narrow" w:cs="Arial"/>
          <w:sz w:val="24"/>
          <w:szCs w:val="24"/>
        </w:rPr>
        <w:t xml:space="preserve">para las operaciones realizadas en el mercado transaccional, sin embargo, las entidades públicas podrán realizar operaciones en el mercado mostrador y registrarlas en el sistema transaccional </w:t>
      </w:r>
      <w:r w:rsidR="00E1325C" w:rsidRPr="008C65ED">
        <w:rPr>
          <w:rFonts w:ascii="Arial Narrow" w:hAnsi="Arial Narrow" w:cs="Arial"/>
          <w:i/>
          <w:sz w:val="24"/>
          <w:szCs w:val="24"/>
        </w:rPr>
        <w:t xml:space="preserve">Master Trader </w:t>
      </w:r>
      <w:r w:rsidR="00E1325C" w:rsidRPr="008C65ED">
        <w:rPr>
          <w:rFonts w:ascii="Arial Narrow" w:hAnsi="Arial Narrow" w:cs="Arial"/>
          <w:sz w:val="24"/>
          <w:szCs w:val="24"/>
        </w:rPr>
        <w:t xml:space="preserve">sin cupo restrictivo, considerando </w:t>
      </w:r>
      <w:r w:rsidR="00E1325C" w:rsidRPr="008C65ED">
        <w:rPr>
          <w:rFonts w:ascii="Arial Narrow" w:hAnsi="Arial Narrow" w:cs="Arial"/>
          <w:sz w:val="24"/>
          <w:szCs w:val="24"/>
        </w:rPr>
        <w:lastRenderedPageBreak/>
        <w:t>que son entidades con riesgo Nación</w:t>
      </w:r>
      <w:r w:rsidR="00587EB0" w:rsidRPr="008C65ED">
        <w:rPr>
          <w:rFonts w:ascii="Arial Narrow" w:hAnsi="Arial Narrow" w:cs="Arial"/>
          <w:sz w:val="24"/>
          <w:szCs w:val="24"/>
        </w:rPr>
        <w:t xml:space="preserve">, además la Subdirección de Tesorería, podrá solicitar </w:t>
      </w:r>
      <w:r w:rsidR="009927CC" w:rsidRPr="008C65ED">
        <w:rPr>
          <w:rFonts w:ascii="Arial Narrow" w:hAnsi="Arial Narrow" w:cs="Arial"/>
          <w:sz w:val="24"/>
          <w:szCs w:val="24"/>
        </w:rPr>
        <w:t xml:space="preserve">a la Subdirección de Riesgo </w:t>
      </w:r>
      <w:r w:rsidR="00587EB0" w:rsidRPr="008C65ED">
        <w:rPr>
          <w:rFonts w:ascii="Arial Narrow" w:hAnsi="Arial Narrow" w:cs="Arial"/>
          <w:sz w:val="24"/>
          <w:szCs w:val="24"/>
        </w:rPr>
        <w:t>la ampliación del cupo para estas entidades en el mercado transaccional</w:t>
      </w:r>
      <w:r w:rsidR="00C96127" w:rsidRPr="008C65ED">
        <w:rPr>
          <w:rFonts w:ascii="Arial Narrow" w:hAnsi="Arial Narrow" w:cs="Arial"/>
          <w:sz w:val="24"/>
          <w:szCs w:val="24"/>
        </w:rPr>
        <w:t xml:space="preserve"> de acuerdo a las necesidades</w:t>
      </w:r>
      <w:r w:rsidR="00E1325C" w:rsidRPr="008C65ED">
        <w:rPr>
          <w:rFonts w:ascii="Arial Narrow" w:hAnsi="Arial Narrow" w:cs="Arial"/>
          <w:sz w:val="24"/>
          <w:szCs w:val="24"/>
        </w:rPr>
        <w:t>.</w:t>
      </w:r>
    </w:p>
    <w:p w:rsidR="00A400C2" w:rsidRPr="008C65ED" w:rsidRDefault="00A400C2" w:rsidP="00A400C2">
      <w:pPr>
        <w:rPr>
          <w:rFonts w:ascii="Arial Narrow" w:eastAsiaTheme="minorEastAsia" w:hAnsi="Arial Narrow"/>
        </w:rPr>
      </w:pPr>
    </w:p>
    <w:p w:rsidR="005A0EA1" w:rsidRPr="008C65ED" w:rsidRDefault="005A0EA1" w:rsidP="005A0EA1">
      <w:pPr>
        <w:pStyle w:val="Ttulo2"/>
        <w:rPr>
          <w:rFonts w:eastAsiaTheme="minorEastAsia"/>
        </w:rPr>
      </w:pPr>
      <w:bookmarkStart w:id="66" w:name="_Toc80191603"/>
      <w:r w:rsidRPr="008C65ED">
        <w:rPr>
          <w:rFonts w:eastAsiaTheme="minorEastAsia"/>
        </w:rPr>
        <w:t xml:space="preserve">Asignación de </w:t>
      </w:r>
      <w:r w:rsidR="00F07F58" w:rsidRPr="008C65ED">
        <w:rPr>
          <w:rFonts w:eastAsiaTheme="minorEastAsia"/>
        </w:rPr>
        <w:t>Cupos para E</w:t>
      </w:r>
      <w:r w:rsidRPr="008C65ED">
        <w:rPr>
          <w:rFonts w:eastAsiaTheme="minorEastAsia"/>
        </w:rPr>
        <w:t xml:space="preserve">ntidades </w:t>
      </w:r>
      <w:r w:rsidR="00F07F58" w:rsidRPr="008C65ED">
        <w:rPr>
          <w:rFonts w:eastAsiaTheme="minorEastAsia"/>
        </w:rPr>
        <w:t>E</w:t>
      </w:r>
      <w:r w:rsidRPr="008C65ED">
        <w:rPr>
          <w:rFonts w:eastAsiaTheme="minorEastAsia"/>
        </w:rPr>
        <w:t>xtranjeras</w:t>
      </w:r>
      <w:bookmarkEnd w:id="66"/>
    </w:p>
    <w:p w:rsidR="005A0EA1" w:rsidRPr="008C65ED" w:rsidRDefault="005A0EA1" w:rsidP="005A0EA1">
      <w:pPr>
        <w:pStyle w:val="Ttulo2"/>
        <w:numPr>
          <w:ilvl w:val="0"/>
          <w:numId w:val="0"/>
        </w:numPr>
        <w:rPr>
          <w:rFonts w:eastAsiaTheme="minorEastAsia"/>
        </w:rPr>
      </w:pPr>
    </w:p>
    <w:p w:rsidR="005A0EA1" w:rsidRPr="008C65ED" w:rsidRDefault="005A0EA1" w:rsidP="00E342A2">
      <w:pPr>
        <w:jc w:val="both"/>
        <w:rPr>
          <w:rFonts w:ascii="Arial Narrow" w:hAnsi="Arial Narrow" w:cs="Arial"/>
          <w:b/>
          <w:sz w:val="24"/>
        </w:rPr>
      </w:pPr>
      <w:r w:rsidRPr="008C65ED">
        <w:rPr>
          <w:rFonts w:ascii="Arial Narrow" w:hAnsi="Arial Narrow" w:cs="Arial"/>
          <w:sz w:val="24"/>
        </w:rPr>
        <w:t xml:space="preserve">El cupo asignado para las operaciones con entidades extranjeras se calcula para la celebración de </w:t>
      </w:r>
      <w:r w:rsidRPr="008C65ED">
        <w:rPr>
          <w:rFonts w:ascii="Arial Narrow" w:hAnsi="Arial Narrow" w:cs="Arial"/>
          <w:i/>
          <w:sz w:val="24"/>
        </w:rPr>
        <w:t>Time Deposits</w:t>
      </w:r>
      <w:r w:rsidRPr="008C65ED">
        <w:rPr>
          <w:rFonts w:ascii="Arial Narrow" w:hAnsi="Arial Narrow" w:cs="Arial"/>
          <w:sz w:val="24"/>
        </w:rPr>
        <w:t xml:space="preserve"> y </w:t>
      </w:r>
      <w:r w:rsidRPr="008C65ED">
        <w:rPr>
          <w:rFonts w:ascii="Arial Narrow" w:hAnsi="Arial Narrow" w:cs="Arial"/>
          <w:i/>
          <w:sz w:val="24"/>
        </w:rPr>
        <w:t>Notice Deposits</w:t>
      </w:r>
      <w:r w:rsidRPr="008C65ED">
        <w:rPr>
          <w:rFonts w:ascii="Arial Narrow" w:hAnsi="Arial Narrow" w:cs="Arial"/>
          <w:sz w:val="24"/>
        </w:rPr>
        <w:t>. En primer lugar se define el cupo disponible para asignar y los bancos que serán objeto de estudio para la asignación de cupos. Luego de validar que los bancos cumplen con el nivel mínimo de calificación crediticia tanto de largo como de corto plazo se aplica la metodología basada en las cotizaciones de los CDS de cada entidad y las clasifica en un grupo entre 1 - 4 de acuerdo a la</w:t>
      </w:r>
      <w:r w:rsidRPr="008C65ED">
        <w:rPr>
          <w:rFonts w:ascii="Arial Narrow" w:hAnsi="Arial Narrow" w:cs="Arial"/>
          <w:b/>
          <w:sz w:val="24"/>
        </w:rPr>
        <w:t xml:space="preserve"> </w:t>
      </w:r>
      <w:r w:rsidRPr="008C65ED">
        <w:rPr>
          <w:rFonts w:ascii="Arial Narrow" w:hAnsi="Arial Narrow" w:cs="Arial"/>
          <w:sz w:val="24"/>
        </w:rPr>
        <w:t>Curva de Probabilidad de Solvencia (CPS) y con ella un factor de decaimiento Lambda (intensidad de default).</w:t>
      </w:r>
      <w:r w:rsidRPr="008C65ED">
        <w:rPr>
          <w:rFonts w:ascii="Arial Narrow" w:hAnsi="Arial Narrow" w:cs="Arial"/>
          <w:b/>
          <w:sz w:val="24"/>
        </w:rPr>
        <w:t xml:space="preserve"> </w:t>
      </w:r>
    </w:p>
    <w:p w:rsidR="005A0EA1" w:rsidRPr="008C65ED" w:rsidRDefault="005A0EA1" w:rsidP="00E342A2">
      <w:pPr>
        <w:jc w:val="both"/>
        <w:rPr>
          <w:rFonts w:ascii="Arial Narrow" w:hAnsi="Arial Narrow" w:cs="Arial"/>
          <w:sz w:val="24"/>
        </w:rPr>
      </w:pPr>
      <w:r w:rsidRPr="008C65ED">
        <w:rPr>
          <w:rFonts w:ascii="Arial Narrow" w:hAnsi="Arial Narrow" w:cs="Arial"/>
          <w:sz w:val="24"/>
        </w:rPr>
        <w:t>Dependiendo la calificación crediticia de cada entidad se define un Benchmark como la mediana de las intensidades de los bancos elegidos en la muestra.</w:t>
      </w:r>
    </w:p>
    <w:p w:rsidR="005A0EA1" w:rsidRPr="008C65ED" w:rsidRDefault="005A0EA1" w:rsidP="00E342A2">
      <w:pPr>
        <w:contextualSpacing/>
        <w:jc w:val="both"/>
        <w:rPr>
          <w:rFonts w:ascii="Arial Narrow" w:hAnsi="Arial Narrow" w:cs="Arial"/>
          <w:sz w:val="24"/>
        </w:rPr>
      </w:pPr>
    </w:p>
    <w:p w:rsidR="005A0EA1" w:rsidRPr="008C65ED" w:rsidRDefault="005A0EA1" w:rsidP="00E342A2">
      <w:pPr>
        <w:jc w:val="both"/>
        <w:rPr>
          <w:rFonts w:ascii="Arial Narrow" w:hAnsi="Arial Narrow" w:cs="Arial"/>
          <w:sz w:val="24"/>
        </w:rPr>
      </w:pPr>
      <w:r w:rsidRPr="008C65ED">
        <w:rPr>
          <w:rFonts w:ascii="Arial Narrow" w:hAnsi="Arial Narrow" w:cs="Arial"/>
          <w:sz w:val="24"/>
        </w:rPr>
        <w:t>Teniendo el benchmark de intensidad de default B* y el lambda para cada uno de los bancos por analizar, se calcula una calificación, mediante la siguiente fórmula:</w:t>
      </w:r>
    </w:p>
    <w:p w:rsidR="005A0EA1" w:rsidRPr="008C65ED" w:rsidRDefault="005A0EA1" w:rsidP="005A0EA1">
      <w:pPr>
        <w:pStyle w:val="Prrafodelista"/>
        <w:rPr>
          <w:rFonts w:ascii="Arial Narrow" w:hAnsi="Arial Narrow" w:cs="Arial"/>
          <w:b/>
          <w:szCs w:val="24"/>
          <w:lang w:val="es-CO"/>
        </w:rPr>
      </w:pPr>
      <w:r w:rsidRPr="008C65ED">
        <w:rPr>
          <w:rFonts w:ascii="Arial Narrow" w:hAnsi="Arial Narrow" w:cs="Arial"/>
          <w:b/>
          <w:szCs w:val="24"/>
          <w:lang w:val="es-CO"/>
        </w:rPr>
        <w:t xml:space="preserve"> </w:t>
      </w:r>
    </w:p>
    <w:p w:rsidR="005A0EA1" w:rsidRPr="008C65ED" w:rsidRDefault="0088679F" w:rsidP="005A0EA1">
      <w:pPr>
        <w:pStyle w:val="Prrafodelista"/>
        <w:jc w:val="center"/>
        <w:rPr>
          <w:rFonts w:ascii="Arial Narrow" w:hAnsi="Arial Narrow" w:cs="Arial"/>
          <w:szCs w:val="24"/>
          <w:lang w:val="es-CO"/>
        </w:rPr>
      </w:pPr>
      <m:oMathPara>
        <m:oMath>
          <m:sSub>
            <m:sSubPr>
              <m:ctrlPr>
                <w:rPr>
                  <w:rFonts w:ascii="Cambria Math" w:hAnsi="Cambria Math" w:cs="Arial"/>
                  <w:i/>
                  <w:sz w:val="22"/>
                  <w:szCs w:val="24"/>
                  <w:lang w:val="es-CO"/>
                </w:rPr>
              </m:ctrlPr>
            </m:sSubPr>
            <m:e>
              <m:r>
                <w:rPr>
                  <w:rFonts w:ascii="Cambria Math" w:hAnsi="Cambria Math" w:cs="Arial"/>
                  <w:sz w:val="22"/>
                  <w:szCs w:val="24"/>
                  <w:lang w:val="es-CO"/>
                </w:rPr>
                <m:t>C</m:t>
              </m:r>
            </m:e>
            <m:sub>
              <m:r>
                <w:rPr>
                  <w:rFonts w:ascii="Cambria Math" w:hAnsi="Cambria Math" w:cs="Arial"/>
                  <w:sz w:val="22"/>
                  <w:szCs w:val="24"/>
                  <w:lang w:val="es-CO"/>
                </w:rPr>
                <m:t>i</m:t>
              </m:r>
            </m:sub>
          </m:sSub>
          <m:r>
            <w:rPr>
              <w:rFonts w:ascii="Cambria Math" w:hAnsi="Cambria Math" w:cs="Arial"/>
              <w:sz w:val="22"/>
              <w:szCs w:val="24"/>
              <w:lang w:val="es-CO"/>
            </w:rPr>
            <m:t>=</m:t>
          </m:r>
          <m:f>
            <m:fPr>
              <m:ctrlPr>
                <w:rPr>
                  <w:rFonts w:ascii="Cambria Math" w:hAnsi="Cambria Math" w:cs="Arial"/>
                  <w:i/>
                  <w:sz w:val="22"/>
                  <w:szCs w:val="24"/>
                  <w:lang w:val="es-CO"/>
                </w:rPr>
              </m:ctrlPr>
            </m:fPr>
            <m:num>
              <m:r>
                <w:rPr>
                  <w:rFonts w:ascii="Cambria Math" w:hAnsi="Cambria Math" w:cs="Arial"/>
                  <w:sz w:val="22"/>
                  <w:szCs w:val="24"/>
                  <w:lang w:val="es-CO"/>
                </w:rPr>
                <m:t>2</m:t>
              </m:r>
            </m:num>
            <m:den>
              <m:r>
                <w:rPr>
                  <w:rFonts w:ascii="Cambria Math" w:hAnsi="Cambria Math" w:cs="Arial"/>
                  <w:sz w:val="22"/>
                  <w:szCs w:val="24"/>
                  <w:lang w:val="es-CO"/>
                </w:rPr>
                <m:t xml:space="preserve">1+(k </m:t>
              </m:r>
              <m:sSup>
                <m:sSupPr>
                  <m:ctrlPr>
                    <w:rPr>
                      <w:rFonts w:ascii="Cambria Math" w:hAnsi="Cambria Math" w:cs="Arial"/>
                      <w:i/>
                      <w:sz w:val="22"/>
                      <w:szCs w:val="24"/>
                      <w:lang w:val="es-CO"/>
                    </w:rPr>
                  </m:ctrlPr>
                </m:sSupPr>
                <m:e>
                  <m:r>
                    <m:rPr>
                      <m:sty m:val="p"/>
                    </m:rPr>
                    <w:rPr>
                      <w:rFonts w:ascii="Cambria Math" w:hAnsi="Cambria Math" w:cs="Arial"/>
                      <w:sz w:val="22"/>
                      <w:szCs w:val="24"/>
                      <w:lang w:val="es-CO"/>
                    </w:rPr>
                    <m:t>exp⁡</m:t>
                  </m:r>
                  <m:r>
                    <w:rPr>
                      <w:rFonts w:ascii="Cambria Math" w:hAnsi="Cambria Math" w:cs="Arial"/>
                      <w:sz w:val="22"/>
                      <w:szCs w:val="24"/>
                      <w:lang w:val="es-CO"/>
                    </w:rPr>
                    <m:t>)</m:t>
                  </m:r>
                </m:e>
                <m:sup>
                  <m:f>
                    <m:fPr>
                      <m:ctrlPr>
                        <w:rPr>
                          <w:rFonts w:ascii="Cambria Math" w:hAnsi="Cambria Math" w:cs="Arial"/>
                          <w:i/>
                          <w:sz w:val="22"/>
                          <w:szCs w:val="24"/>
                          <w:lang w:val="es-CO"/>
                        </w:rPr>
                      </m:ctrlPr>
                    </m:fPr>
                    <m:num>
                      <m:sSub>
                        <m:sSubPr>
                          <m:ctrlPr>
                            <w:rPr>
                              <w:rFonts w:ascii="Cambria Math" w:hAnsi="Cambria Math" w:cs="Arial"/>
                              <w:i/>
                              <w:sz w:val="22"/>
                              <w:szCs w:val="24"/>
                              <w:lang w:val="es-CO"/>
                            </w:rPr>
                          </m:ctrlPr>
                        </m:sSubPr>
                        <m:e>
                          <m:r>
                            <w:rPr>
                              <w:rFonts w:ascii="Cambria Math" w:hAnsi="Cambria Math" w:cs="Arial"/>
                              <w:sz w:val="22"/>
                              <w:szCs w:val="24"/>
                              <w:lang w:val="es-CO"/>
                            </w:rPr>
                            <m:t>λ</m:t>
                          </m:r>
                        </m:e>
                        <m:sub>
                          <m:r>
                            <w:rPr>
                              <w:rFonts w:ascii="Cambria Math" w:hAnsi="Cambria Math" w:cs="Arial"/>
                              <w:sz w:val="22"/>
                              <w:szCs w:val="24"/>
                              <w:lang w:val="es-CO"/>
                            </w:rPr>
                            <m:t>i</m:t>
                          </m:r>
                        </m:sub>
                      </m:sSub>
                      <m:r>
                        <w:rPr>
                          <w:rFonts w:ascii="Cambria Math" w:hAnsi="Cambria Math" w:cs="Arial"/>
                          <w:sz w:val="22"/>
                          <w:szCs w:val="24"/>
                          <w:lang w:val="es-CO"/>
                        </w:rPr>
                        <m:t>-B*</m:t>
                      </m:r>
                    </m:num>
                    <m:den>
                      <m:r>
                        <w:rPr>
                          <w:rFonts w:ascii="Cambria Math" w:hAnsi="Cambria Math" w:cs="Arial"/>
                          <w:sz w:val="22"/>
                          <w:szCs w:val="24"/>
                          <w:lang w:val="es-CO"/>
                        </w:rPr>
                        <m:t>B*</m:t>
                      </m:r>
                    </m:den>
                  </m:f>
                </m:sup>
              </m:sSup>
              <m:r>
                <w:rPr>
                  <w:rFonts w:ascii="Cambria Math" w:hAnsi="Cambria Math" w:cs="Arial"/>
                  <w:sz w:val="22"/>
                  <w:szCs w:val="24"/>
                  <w:lang w:val="es-CO"/>
                </w:rPr>
                <m:t xml:space="preserve"> </m:t>
              </m:r>
            </m:den>
          </m:f>
        </m:oMath>
      </m:oMathPara>
    </w:p>
    <w:p w:rsidR="005A0EA1" w:rsidRPr="008C65ED" w:rsidRDefault="005A0EA1" w:rsidP="005A0EA1">
      <w:pPr>
        <w:pStyle w:val="Prrafodelista"/>
        <w:ind w:left="0"/>
        <w:rPr>
          <w:rFonts w:ascii="Arial Narrow" w:hAnsi="Arial Narrow" w:cs="Arial"/>
          <w:b/>
          <w:szCs w:val="24"/>
          <w:lang w:val="es-CO"/>
        </w:rPr>
      </w:pPr>
    </w:p>
    <w:p w:rsidR="005A0EA1" w:rsidRPr="008C65ED" w:rsidRDefault="005A0EA1" w:rsidP="00E342A2">
      <w:pPr>
        <w:pStyle w:val="Prrafodelista"/>
        <w:ind w:left="0"/>
        <w:jc w:val="both"/>
        <w:rPr>
          <w:rFonts w:ascii="Arial Narrow" w:hAnsi="Arial Narrow" w:cs="Arial"/>
          <w:b/>
          <w:sz w:val="24"/>
          <w:szCs w:val="24"/>
          <w:lang w:val="es-CO"/>
        </w:rPr>
      </w:pPr>
      <w:r w:rsidRPr="008C65ED">
        <w:rPr>
          <w:rFonts w:ascii="Arial Narrow" w:hAnsi="Arial Narrow" w:cs="Arial"/>
          <w:b/>
          <w:sz w:val="24"/>
          <w:szCs w:val="24"/>
          <w:lang w:val="es-CO"/>
        </w:rPr>
        <w:t xml:space="preserve">Donde:  </w:t>
      </w:r>
    </w:p>
    <w:p w:rsidR="005A0EA1" w:rsidRPr="008C65ED" w:rsidRDefault="0088679F" w:rsidP="00E342A2">
      <w:pPr>
        <w:pStyle w:val="Prrafodelista"/>
        <w:ind w:left="0"/>
        <w:jc w:val="both"/>
        <w:rPr>
          <w:rFonts w:ascii="Arial Narrow" w:eastAsiaTheme="minorHAnsi" w:hAnsi="Arial Narrow" w:cs="Arial"/>
          <w:sz w:val="24"/>
          <w:szCs w:val="24"/>
          <w:lang w:val="es-CO" w:eastAsia="es-CO"/>
        </w:rPr>
      </w:pPr>
      <m:oMath>
        <m:sSub>
          <m:sSubPr>
            <m:ctrlPr>
              <w:rPr>
                <w:rFonts w:ascii="Cambria Math" w:hAnsi="Cambria Math" w:cs="Arial"/>
                <w:i/>
                <w:sz w:val="24"/>
                <w:szCs w:val="24"/>
                <w:lang w:val="es-CO"/>
              </w:rPr>
            </m:ctrlPr>
          </m:sSubPr>
          <m:e>
            <m:r>
              <w:rPr>
                <w:rFonts w:ascii="Cambria Math" w:hAnsi="Cambria Math" w:cs="Arial"/>
                <w:sz w:val="24"/>
                <w:szCs w:val="24"/>
                <w:lang w:val="es-CO"/>
              </w:rPr>
              <m:t>λ</m:t>
            </m:r>
          </m:e>
          <m:sub>
            <m:r>
              <w:rPr>
                <w:rFonts w:ascii="Cambria Math" w:hAnsi="Cambria Math" w:cs="Arial"/>
                <w:sz w:val="24"/>
                <w:szCs w:val="24"/>
                <w:lang w:val="es-CO"/>
              </w:rPr>
              <m:t>i</m:t>
            </m:r>
          </m:sub>
        </m:sSub>
      </m:oMath>
      <w:r w:rsidR="005A0EA1" w:rsidRPr="008C65ED">
        <w:rPr>
          <w:rFonts w:ascii="Arial Narrow" w:eastAsiaTheme="minorHAnsi" w:hAnsi="Arial Narrow" w:cs="Arial"/>
          <w:sz w:val="24"/>
          <w:szCs w:val="24"/>
          <w:lang w:val="es-CO" w:eastAsia="es-CO"/>
        </w:rPr>
        <w:t>= Promedio móvil de las intensidades de default.</w:t>
      </w:r>
    </w:p>
    <w:p w:rsidR="005A0EA1" w:rsidRPr="008C65ED" w:rsidRDefault="0088679F" w:rsidP="00E342A2">
      <w:pPr>
        <w:pStyle w:val="Prrafodelista"/>
        <w:ind w:left="0"/>
        <w:jc w:val="both"/>
        <w:rPr>
          <w:rFonts w:ascii="Arial Narrow" w:eastAsiaTheme="minorHAnsi" w:hAnsi="Arial Narrow" w:cs="Arial"/>
          <w:sz w:val="24"/>
          <w:szCs w:val="24"/>
          <w:lang w:val="es-CO" w:eastAsia="es-CO"/>
        </w:rPr>
      </w:pPr>
      <m:oMath>
        <m:sSup>
          <m:sSupPr>
            <m:ctrlPr>
              <w:rPr>
                <w:rFonts w:ascii="Cambria Math" w:eastAsiaTheme="minorEastAsia" w:hAnsi="Cambria Math" w:cs="Arial"/>
                <w:i/>
                <w:sz w:val="24"/>
                <w:szCs w:val="24"/>
                <w:lang w:val="es-CO"/>
              </w:rPr>
            </m:ctrlPr>
          </m:sSupPr>
          <m:e>
            <m:r>
              <w:rPr>
                <w:rFonts w:ascii="Cambria Math" w:eastAsiaTheme="minorEastAsia" w:hAnsi="Cambria Math" w:cs="Arial"/>
                <w:sz w:val="24"/>
                <w:szCs w:val="24"/>
                <w:lang w:val="es-CO"/>
              </w:rPr>
              <m:t>B</m:t>
            </m:r>
          </m:e>
          <m:sup>
            <m:r>
              <w:rPr>
                <w:rFonts w:ascii="Cambria Math" w:eastAsiaTheme="minorEastAsia" w:hAnsi="Cambria Math" w:cs="Arial"/>
                <w:sz w:val="24"/>
                <w:szCs w:val="24"/>
                <w:lang w:val="es-CO"/>
              </w:rPr>
              <m:t>*</m:t>
            </m:r>
          </m:sup>
        </m:sSup>
      </m:oMath>
      <w:r w:rsidR="005A0EA1" w:rsidRPr="008C65ED">
        <w:rPr>
          <w:rFonts w:ascii="Arial Narrow" w:eastAsiaTheme="minorEastAsia" w:hAnsi="Arial Narrow" w:cs="Arial"/>
          <w:sz w:val="24"/>
          <w:szCs w:val="24"/>
          <w:lang w:val="es-CO"/>
        </w:rPr>
        <w:t xml:space="preserve">= </w:t>
      </w:r>
      <w:r w:rsidR="005A0EA1" w:rsidRPr="008C65ED">
        <w:rPr>
          <w:rFonts w:ascii="Arial Narrow" w:eastAsiaTheme="minorHAnsi" w:hAnsi="Arial Narrow" w:cs="Arial"/>
          <w:sz w:val="24"/>
          <w:szCs w:val="24"/>
          <w:lang w:val="es-CO" w:eastAsia="es-CO"/>
        </w:rPr>
        <w:t>Benchmark de las intensidades de default.</w:t>
      </w:r>
    </w:p>
    <w:p w:rsidR="005A0EA1" w:rsidRPr="008C65ED" w:rsidRDefault="005A0EA1" w:rsidP="00E342A2">
      <w:pPr>
        <w:pStyle w:val="Prrafodelista"/>
        <w:ind w:left="0"/>
        <w:jc w:val="both"/>
        <w:rPr>
          <w:rFonts w:ascii="Arial Narrow" w:eastAsiaTheme="minorEastAsia" w:hAnsi="Arial Narrow" w:cs="Arial"/>
          <w:sz w:val="24"/>
          <w:szCs w:val="24"/>
          <w:lang w:val="es-CO"/>
        </w:rPr>
      </w:pPr>
      <m:oMath>
        <m:r>
          <w:rPr>
            <w:rFonts w:ascii="Cambria Math" w:hAnsi="Cambria Math" w:cs="Arial"/>
            <w:sz w:val="24"/>
            <w:szCs w:val="24"/>
            <w:lang w:val="es-CO"/>
          </w:rPr>
          <m:t>k</m:t>
        </m:r>
      </m:oMath>
      <w:r w:rsidRPr="008C65ED">
        <w:rPr>
          <w:rFonts w:ascii="Arial Narrow" w:eastAsiaTheme="minorEastAsia" w:hAnsi="Arial Narrow" w:cs="Arial"/>
          <w:sz w:val="24"/>
          <w:szCs w:val="24"/>
          <w:lang w:val="es-CO"/>
        </w:rPr>
        <w:t>= Factor de ajuste que busca descartar entidades que tengan   una  intensidad de default alejada de determinado  margen del benchmark (determinado en un estudio de estrés tomado a partir de los bancos que hicieron default durante la crisis de 2008).</w:t>
      </w:r>
    </w:p>
    <w:p w:rsidR="005A0EA1" w:rsidRPr="008C65ED" w:rsidRDefault="005A0EA1" w:rsidP="00E342A2">
      <w:pPr>
        <w:pStyle w:val="Prrafodelista"/>
        <w:ind w:left="0"/>
        <w:jc w:val="both"/>
        <w:rPr>
          <w:rFonts w:ascii="Arial Narrow" w:eastAsiaTheme="minorEastAsia" w:hAnsi="Arial Narrow" w:cs="Arial"/>
          <w:sz w:val="24"/>
          <w:szCs w:val="24"/>
          <w:lang w:val="es-CO"/>
        </w:rPr>
      </w:pPr>
    </w:p>
    <w:p w:rsidR="005A0EA1" w:rsidRPr="008C65ED" w:rsidRDefault="005A0EA1" w:rsidP="00E342A2">
      <w:pPr>
        <w:pStyle w:val="Prrafodelista"/>
        <w:ind w:left="0"/>
        <w:jc w:val="both"/>
        <w:rPr>
          <w:rFonts w:ascii="Arial Narrow" w:eastAsiaTheme="minorEastAsia" w:hAnsi="Arial Narrow" w:cs="Arial"/>
          <w:sz w:val="24"/>
          <w:szCs w:val="24"/>
          <w:lang w:val="es-CO"/>
        </w:rPr>
      </w:pPr>
      <w:r w:rsidRPr="008C65ED">
        <w:rPr>
          <w:rFonts w:ascii="Arial Narrow" w:eastAsiaTheme="minorEastAsia" w:hAnsi="Arial Narrow" w:cs="Arial"/>
          <w:sz w:val="24"/>
          <w:szCs w:val="24"/>
          <w:lang w:val="es-CO"/>
        </w:rPr>
        <w:t>De acuerdo con lo anterior, se asigna un grupo entre 1 y 4 a cada entidad, de la siguiente manera:</w:t>
      </w:r>
    </w:p>
    <w:p w:rsidR="005A0EA1" w:rsidRPr="008C65ED" w:rsidRDefault="005A0EA1" w:rsidP="00C408EF">
      <w:pPr>
        <w:pStyle w:val="Prrafodelista"/>
        <w:numPr>
          <w:ilvl w:val="0"/>
          <w:numId w:val="28"/>
        </w:numPr>
        <w:jc w:val="both"/>
        <w:rPr>
          <w:rFonts w:ascii="Arial Narrow" w:eastAsiaTheme="minorEastAsia" w:hAnsi="Arial Narrow" w:cs="Arial"/>
          <w:sz w:val="24"/>
          <w:szCs w:val="24"/>
          <w:lang w:val="es-CO"/>
        </w:rPr>
      </w:pPr>
      <w:r w:rsidRPr="008C65ED">
        <w:rPr>
          <w:rFonts w:ascii="Arial Narrow" w:eastAsiaTheme="minorEastAsia" w:hAnsi="Arial Narrow" w:cs="Arial"/>
          <w:sz w:val="24"/>
          <w:szCs w:val="24"/>
          <w:lang w:val="es-CO"/>
        </w:rPr>
        <w:t>Grupo 4: Entre 0 y 0.5: Área de Deterioro, en la cual el riesgo de crédito es agravado.</w:t>
      </w:r>
    </w:p>
    <w:p w:rsidR="005A0EA1" w:rsidRPr="008C65ED" w:rsidRDefault="005A0EA1" w:rsidP="00C408EF">
      <w:pPr>
        <w:pStyle w:val="Prrafodelista"/>
        <w:numPr>
          <w:ilvl w:val="0"/>
          <w:numId w:val="28"/>
        </w:numPr>
        <w:jc w:val="both"/>
        <w:rPr>
          <w:rFonts w:ascii="Arial Narrow" w:eastAsiaTheme="minorEastAsia" w:hAnsi="Arial Narrow" w:cs="Arial"/>
          <w:sz w:val="24"/>
          <w:szCs w:val="24"/>
          <w:lang w:val="es-CO"/>
        </w:rPr>
      </w:pPr>
      <w:r w:rsidRPr="008C65ED">
        <w:rPr>
          <w:rFonts w:ascii="Arial Narrow" w:eastAsiaTheme="minorEastAsia" w:hAnsi="Arial Narrow" w:cs="Arial"/>
          <w:sz w:val="24"/>
          <w:szCs w:val="24"/>
          <w:lang w:val="es-CO"/>
        </w:rPr>
        <w:t>Grupo 3: Entre 0.5 y 1: Área de Riesgo, en la cual el riesgo de crédito es moderado.</w:t>
      </w:r>
    </w:p>
    <w:p w:rsidR="005A0EA1" w:rsidRPr="008C65ED" w:rsidRDefault="005A0EA1" w:rsidP="00C408EF">
      <w:pPr>
        <w:pStyle w:val="Prrafodelista"/>
        <w:numPr>
          <w:ilvl w:val="0"/>
          <w:numId w:val="28"/>
        </w:numPr>
        <w:jc w:val="both"/>
        <w:rPr>
          <w:rFonts w:ascii="Arial Narrow" w:eastAsiaTheme="minorEastAsia" w:hAnsi="Arial Narrow" w:cs="Arial"/>
          <w:sz w:val="24"/>
          <w:szCs w:val="24"/>
          <w:lang w:val="es-CO"/>
        </w:rPr>
      </w:pPr>
      <w:r w:rsidRPr="008C65ED">
        <w:rPr>
          <w:rFonts w:ascii="Arial Narrow" w:eastAsiaTheme="minorEastAsia" w:hAnsi="Arial Narrow" w:cs="Arial"/>
          <w:sz w:val="24"/>
          <w:szCs w:val="24"/>
          <w:lang w:val="es-CO"/>
        </w:rPr>
        <w:t>Grupo 2: Entre 1 y 1.5: Área Aceptable, en la cual el riesgo de crédito es tolerable.</w:t>
      </w:r>
    </w:p>
    <w:p w:rsidR="005A0EA1" w:rsidRPr="008C65ED" w:rsidRDefault="005A0EA1" w:rsidP="00C408EF">
      <w:pPr>
        <w:pStyle w:val="Prrafodelista"/>
        <w:numPr>
          <w:ilvl w:val="0"/>
          <w:numId w:val="28"/>
        </w:numPr>
        <w:jc w:val="both"/>
        <w:rPr>
          <w:rFonts w:ascii="Arial Narrow" w:eastAsiaTheme="minorEastAsia" w:hAnsi="Arial Narrow" w:cs="Arial"/>
          <w:sz w:val="24"/>
          <w:szCs w:val="24"/>
        </w:rPr>
      </w:pPr>
      <w:r w:rsidRPr="008C65ED">
        <w:rPr>
          <w:rFonts w:ascii="Arial Narrow" w:eastAsiaTheme="minorEastAsia" w:hAnsi="Arial Narrow" w:cs="Arial"/>
          <w:sz w:val="24"/>
          <w:szCs w:val="24"/>
          <w:lang w:val="es-CO"/>
        </w:rPr>
        <w:t>Grupo 1: Entre 1.5 y 2: Área Sobresaliente, en la cual el riesgo de crédito es reducido.</w:t>
      </w:r>
    </w:p>
    <w:p w:rsidR="005A0EA1" w:rsidRPr="008C65ED" w:rsidRDefault="005A0EA1" w:rsidP="00E342A2">
      <w:pPr>
        <w:jc w:val="both"/>
        <w:rPr>
          <w:rFonts w:ascii="Arial Narrow" w:eastAsiaTheme="minorEastAsia" w:hAnsi="Arial Narrow" w:cs="Arial"/>
          <w:sz w:val="24"/>
          <w:szCs w:val="24"/>
          <w:lang w:eastAsia="en-US"/>
        </w:rPr>
      </w:pPr>
    </w:p>
    <w:p w:rsidR="005A0EA1" w:rsidRPr="008C65ED" w:rsidRDefault="005A0EA1" w:rsidP="00E342A2">
      <w:pPr>
        <w:jc w:val="both"/>
        <w:rPr>
          <w:rFonts w:ascii="Arial Narrow" w:hAnsi="Arial Narrow" w:cs="Arial"/>
          <w:b/>
          <w:sz w:val="24"/>
          <w:szCs w:val="24"/>
        </w:rPr>
      </w:pPr>
      <w:r w:rsidRPr="008C65ED">
        <w:rPr>
          <w:rFonts w:ascii="Arial Narrow" w:eastAsiaTheme="minorEastAsia" w:hAnsi="Arial Narrow" w:cs="Arial"/>
          <w:sz w:val="24"/>
          <w:szCs w:val="24"/>
          <w:lang w:eastAsia="en-US"/>
        </w:rPr>
        <w:t>Finalmente se hace la asignación de cupos de acuerdo con la siguiente tabla, eligiendo el mínimo valor entre las dos columnas:</w:t>
      </w:r>
      <w:r w:rsidRPr="008C65ED">
        <w:rPr>
          <w:rFonts w:ascii="Arial Narrow" w:hAnsi="Arial Narrow" w:cs="Arial"/>
          <w:b/>
          <w:sz w:val="24"/>
          <w:szCs w:val="24"/>
        </w:rPr>
        <w:t xml:space="preserve"> </w:t>
      </w:r>
    </w:p>
    <w:tbl>
      <w:tblPr>
        <w:tblW w:w="4101" w:type="dxa"/>
        <w:jc w:val="center"/>
        <w:tblCellMar>
          <w:left w:w="70" w:type="dxa"/>
          <w:right w:w="70" w:type="dxa"/>
        </w:tblCellMar>
        <w:tblLook w:val="04A0" w:firstRow="1" w:lastRow="0" w:firstColumn="1" w:lastColumn="0" w:noHBand="0" w:noVBand="1"/>
      </w:tblPr>
      <w:tblGrid>
        <w:gridCol w:w="808"/>
        <w:gridCol w:w="1734"/>
        <w:gridCol w:w="1559"/>
      </w:tblGrid>
      <w:tr w:rsidR="005A0EA1" w:rsidRPr="008C65ED" w:rsidTr="00C93704">
        <w:trPr>
          <w:trHeight w:val="330"/>
          <w:jc w:val="center"/>
        </w:trPr>
        <w:tc>
          <w:tcPr>
            <w:tcW w:w="4101" w:type="dxa"/>
            <w:gridSpan w:val="3"/>
            <w:tcBorders>
              <w:top w:val="single" w:sz="8" w:space="0" w:color="auto"/>
              <w:left w:val="single" w:sz="8" w:space="0" w:color="auto"/>
              <w:bottom w:val="single" w:sz="4" w:space="0" w:color="auto"/>
              <w:right w:val="single" w:sz="8" w:space="0" w:color="000000"/>
            </w:tcBorders>
            <w:shd w:val="clear" w:color="auto" w:fill="17365D"/>
            <w:noWrap/>
            <w:vAlign w:val="center"/>
            <w:hideMark/>
          </w:tcPr>
          <w:p w:rsidR="005A0EA1" w:rsidRPr="008C65ED" w:rsidRDefault="005A0EA1" w:rsidP="00C93704">
            <w:pPr>
              <w:jc w:val="center"/>
              <w:rPr>
                <w:rFonts w:ascii="Arial Narrow" w:hAnsi="Arial Narrow" w:cs="Arial"/>
                <w:b/>
                <w:bCs/>
                <w:color w:val="FFFFFF"/>
                <w:sz w:val="24"/>
              </w:rPr>
            </w:pPr>
            <w:r w:rsidRPr="008C65ED">
              <w:rPr>
                <w:rFonts w:ascii="Arial Narrow" w:hAnsi="Arial Narrow" w:cs="Arial"/>
                <w:b/>
                <w:szCs w:val="24"/>
                <w:lang w:val="es-CO"/>
              </w:rPr>
              <w:t xml:space="preserve">  </w:t>
            </w:r>
            <w:r w:rsidRPr="008C65ED">
              <w:rPr>
                <w:rFonts w:ascii="Arial Narrow" w:hAnsi="Arial Narrow" w:cs="Arial"/>
                <w:b/>
                <w:bCs/>
                <w:color w:val="FFFFFF"/>
                <w:sz w:val="24"/>
              </w:rPr>
              <w:t>Más Conservador</w:t>
            </w:r>
          </w:p>
        </w:tc>
      </w:tr>
      <w:tr w:rsidR="005A0EA1" w:rsidRPr="008C65ED" w:rsidTr="00C93704">
        <w:trPr>
          <w:trHeight w:val="510"/>
          <w:jc w:val="center"/>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Grupo</w:t>
            </w:r>
          </w:p>
        </w:tc>
        <w:tc>
          <w:tcPr>
            <w:tcW w:w="1734" w:type="dxa"/>
            <w:tcBorders>
              <w:top w:val="nil"/>
              <w:left w:val="nil"/>
              <w:bottom w:val="single" w:sz="4" w:space="0" w:color="auto"/>
              <w:right w:val="single" w:sz="4" w:space="0" w:color="auto"/>
            </w:tcBorders>
            <w:shd w:val="clear" w:color="auto" w:fill="auto"/>
            <w:vAlign w:val="center"/>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Cupo / Patrimonio</w:t>
            </w:r>
          </w:p>
        </w:tc>
        <w:tc>
          <w:tcPr>
            <w:tcW w:w="1559" w:type="dxa"/>
            <w:tcBorders>
              <w:top w:val="nil"/>
              <w:left w:val="nil"/>
              <w:bottom w:val="single" w:sz="4" w:space="0" w:color="auto"/>
              <w:right w:val="single" w:sz="8" w:space="0" w:color="auto"/>
            </w:tcBorders>
            <w:shd w:val="clear" w:color="auto" w:fill="auto"/>
            <w:vAlign w:val="center"/>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 xml:space="preserve">Cupo / </w:t>
            </w:r>
          </w:p>
          <w:p w:rsidR="005A0EA1" w:rsidRPr="008C65ED" w:rsidRDefault="005A0EA1" w:rsidP="00C93704">
            <w:pPr>
              <w:jc w:val="center"/>
              <w:rPr>
                <w:rFonts w:ascii="Arial Narrow" w:hAnsi="Arial Narrow" w:cs="Arial"/>
                <w:sz w:val="24"/>
              </w:rPr>
            </w:pPr>
            <w:r w:rsidRPr="008C65ED">
              <w:rPr>
                <w:rFonts w:ascii="Arial Narrow" w:hAnsi="Arial Narrow" w:cs="Arial"/>
                <w:sz w:val="24"/>
              </w:rPr>
              <w:t>Cupo Total</w:t>
            </w:r>
          </w:p>
        </w:tc>
      </w:tr>
      <w:tr w:rsidR="005A0EA1" w:rsidRPr="008C65ED" w:rsidTr="00C93704">
        <w:trPr>
          <w:trHeight w:val="255"/>
          <w:jc w:val="center"/>
        </w:trPr>
        <w:tc>
          <w:tcPr>
            <w:tcW w:w="808" w:type="dxa"/>
            <w:tcBorders>
              <w:top w:val="nil"/>
              <w:left w:val="single" w:sz="8" w:space="0" w:color="auto"/>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bookmarkStart w:id="67" w:name="RANGE!J9:L12"/>
            <w:r w:rsidRPr="008C65ED">
              <w:rPr>
                <w:rFonts w:ascii="Arial Narrow" w:hAnsi="Arial Narrow" w:cs="Arial"/>
                <w:sz w:val="24"/>
              </w:rPr>
              <w:t>1</w:t>
            </w:r>
            <w:bookmarkEnd w:id="67"/>
          </w:p>
        </w:tc>
        <w:tc>
          <w:tcPr>
            <w:tcW w:w="1734" w:type="dxa"/>
            <w:tcBorders>
              <w:top w:val="nil"/>
              <w:left w:val="nil"/>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2.5%</w:t>
            </w:r>
          </w:p>
        </w:tc>
        <w:tc>
          <w:tcPr>
            <w:tcW w:w="1559" w:type="dxa"/>
            <w:tcBorders>
              <w:top w:val="nil"/>
              <w:left w:val="nil"/>
              <w:bottom w:val="single" w:sz="4" w:space="0" w:color="auto"/>
              <w:right w:val="single" w:sz="8"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25.0%</w:t>
            </w:r>
          </w:p>
        </w:tc>
      </w:tr>
      <w:tr w:rsidR="005A0EA1" w:rsidRPr="008C65ED" w:rsidTr="00C93704">
        <w:trPr>
          <w:trHeight w:val="255"/>
          <w:jc w:val="center"/>
        </w:trPr>
        <w:tc>
          <w:tcPr>
            <w:tcW w:w="808" w:type="dxa"/>
            <w:tcBorders>
              <w:top w:val="nil"/>
              <w:left w:val="single" w:sz="8" w:space="0" w:color="auto"/>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2</w:t>
            </w:r>
          </w:p>
        </w:tc>
        <w:tc>
          <w:tcPr>
            <w:tcW w:w="1734" w:type="dxa"/>
            <w:tcBorders>
              <w:top w:val="nil"/>
              <w:left w:val="nil"/>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2.0%</w:t>
            </w:r>
          </w:p>
        </w:tc>
        <w:tc>
          <w:tcPr>
            <w:tcW w:w="1559" w:type="dxa"/>
            <w:tcBorders>
              <w:top w:val="nil"/>
              <w:left w:val="nil"/>
              <w:bottom w:val="single" w:sz="4" w:space="0" w:color="auto"/>
              <w:right w:val="single" w:sz="8"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20.0%</w:t>
            </w:r>
          </w:p>
        </w:tc>
      </w:tr>
      <w:tr w:rsidR="005A0EA1" w:rsidRPr="008C65ED" w:rsidTr="00C93704">
        <w:trPr>
          <w:trHeight w:val="255"/>
          <w:jc w:val="center"/>
        </w:trPr>
        <w:tc>
          <w:tcPr>
            <w:tcW w:w="808" w:type="dxa"/>
            <w:tcBorders>
              <w:top w:val="nil"/>
              <w:left w:val="single" w:sz="8" w:space="0" w:color="auto"/>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3</w:t>
            </w:r>
          </w:p>
        </w:tc>
        <w:tc>
          <w:tcPr>
            <w:tcW w:w="1734" w:type="dxa"/>
            <w:tcBorders>
              <w:top w:val="nil"/>
              <w:left w:val="nil"/>
              <w:bottom w:val="single" w:sz="4"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1.0%</w:t>
            </w:r>
          </w:p>
        </w:tc>
        <w:tc>
          <w:tcPr>
            <w:tcW w:w="1559" w:type="dxa"/>
            <w:tcBorders>
              <w:top w:val="nil"/>
              <w:left w:val="nil"/>
              <w:bottom w:val="single" w:sz="4" w:space="0" w:color="auto"/>
              <w:right w:val="single" w:sz="8"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15.0%</w:t>
            </w:r>
          </w:p>
        </w:tc>
      </w:tr>
      <w:tr w:rsidR="005A0EA1" w:rsidRPr="008C65ED" w:rsidTr="00C93704">
        <w:trPr>
          <w:trHeight w:val="270"/>
          <w:jc w:val="center"/>
        </w:trPr>
        <w:tc>
          <w:tcPr>
            <w:tcW w:w="808" w:type="dxa"/>
            <w:tcBorders>
              <w:top w:val="nil"/>
              <w:left w:val="single" w:sz="8" w:space="0" w:color="auto"/>
              <w:bottom w:val="single" w:sz="8"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4</w:t>
            </w:r>
          </w:p>
        </w:tc>
        <w:tc>
          <w:tcPr>
            <w:tcW w:w="1734" w:type="dxa"/>
            <w:tcBorders>
              <w:top w:val="nil"/>
              <w:left w:val="nil"/>
              <w:bottom w:val="single" w:sz="8" w:space="0" w:color="auto"/>
              <w:right w:val="single" w:sz="4"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0.0%</w:t>
            </w:r>
          </w:p>
        </w:tc>
        <w:tc>
          <w:tcPr>
            <w:tcW w:w="1559" w:type="dxa"/>
            <w:tcBorders>
              <w:top w:val="nil"/>
              <w:left w:val="nil"/>
              <w:bottom w:val="single" w:sz="8" w:space="0" w:color="auto"/>
              <w:right w:val="single" w:sz="8" w:space="0" w:color="auto"/>
            </w:tcBorders>
            <w:shd w:val="clear" w:color="auto" w:fill="auto"/>
            <w:noWrap/>
            <w:vAlign w:val="bottom"/>
            <w:hideMark/>
          </w:tcPr>
          <w:p w:rsidR="005A0EA1" w:rsidRPr="008C65ED" w:rsidRDefault="005A0EA1" w:rsidP="00C93704">
            <w:pPr>
              <w:jc w:val="center"/>
              <w:rPr>
                <w:rFonts w:ascii="Arial Narrow" w:hAnsi="Arial Narrow" w:cs="Arial"/>
                <w:sz w:val="24"/>
              </w:rPr>
            </w:pPr>
            <w:r w:rsidRPr="008C65ED">
              <w:rPr>
                <w:rFonts w:ascii="Arial Narrow" w:hAnsi="Arial Narrow" w:cs="Arial"/>
                <w:sz w:val="24"/>
              </w:rPr>
              <w:t>0.0%</w:t>
            </w:r>
          </w:p>
        </w:tc>
      </w:tr>
    </w:tbl>
    <w:p w:rsidR="009303A2" w:rsidRPr="008C65ED" w:rsidRDefault="009303A2" w:rsidP="009303A2">
      <w:pPr>
        <w:jc w:val="both"/>
        <w:rPr>
          <w:rFonts w:ascii="Arial Narrow" w:eastAsiaTheme="minorEastAsia" w:hAnsi="Arial Narrow" w:cs="Arial"/>
          <w:sz w:val="24"/>
          <w:szCs w:val="24"/>
          <w:lang w:eastAsia="en-US"/>
        </w:rPr>
      </w:pPr>
      <w:r w:rsidRPr="008C65ED">
        <w:rPr>
          <w:rFonts w:ascii="Arial Narrow" w:eastAsiaTheme="minorEastAsia" w:hAnsi="Arial Narrow" w:cs="Arial"/>
          <w:sz w:val="24"/>
          <w:szCs w:val="24"/>
          <w:lang w:eastAsia="en-US"/>
        </w:rPr>
        <w:lastRenderedPageBreak/>
        <w:t xml:space="preserve">En el proceso de asignación, se deberán considerar las condiciones de gestión de cupos establecidas en el numeral 6.2.2.6. del presente Manual para las entidades que por alguna razón presentaron incumplimiento de las obligaciones. </w:t>
      </w:r>
    </w:p>
    <w:p w:rsidR="00F07F58" w:rsidRPr="008C65ED" w:rsidRDefault="00F07F58" w:rsidP="009303A2">
      <w:pPr>
        <w:jc w:val="both"/>
        <w:rPr>
          <w:rFonts w:ascii="Arial Narrow" w:eastAsiaTheme="minorEastAsia" w:hAnsi="Arial Narrow" w:cs="Arial"/>
          <w:sz w:val="24"/>
          <w:szCs w:val="24"/>
          <w:lang w:eastAsia="en-US"/>
        </w:rPr>
      </w:pPr>
    </w:p>
    <w:p w:rsidR="005A0EA1" w:rsidRPr="008C65ED" w:rsidRDefault="005A0EA1" w:rsidP="005A0EA1">
      <w:pPr>
        <w:rPr>
          <w:rFonts w:ascii="Arial Narrow" w:eastAsiaTheme="minorEastAsia" w:hAnsi="Arial Narrow"/>
          <w:lang w:val="es-CO"/>
        </w:rPr>
      </w:pPr>
    </w:p>
    <w:p w:rsidR="00262411" w:rsidRPr="008C65ED" w:rsidRDefault="000469CF" w:rsidP="00C408EF">
      <w:pPr>
        <w:pStyle w:val="Ttulo1"/>
        <w:numPr>
          <w:ilvl w:val="0"/>
          <w:numId w:val="1"/>
        </w:numPr>
        <w:rPr>
          <w:rFonts w:ascii="Arial Narrow" w:hAnsi="Arial Narrow"/>
          <w:sz w:val="24"/>
          <w:szCs w:val="24"/>
        </w:rPr>
      </w:pPr>
      <w:bookmarkStart w:id="68" w:name="_Toc80191604"/>
      <w:r w:rsidRPr="008C65ED">
        <w:rPr>
          <w:rFonts w:ascii="Arial Narrow" w:hAnsi="Arial Narrow"/>
          <w:sz w:val="24"/>
          <w:szCs w:val="24"/>
        </w:rPr>
        <w:t>EXCEPCIONES</w:t>
      </w:r>
      <w:bookmarkEnd w:id="68"/>
    </w:p>
    <w:p w:rsidR="007123FF" w:rsidRPr="008C65ED" w:rsidRDefault="007123FF" w:rsidP="007123FF">
      <w:pPr>
        <w:rPr>
          <w:rFonts w:ascii="Arial Narrow" w:hAnsi="Arial Narrow"/>
        </w:rPr>
      </w:pPr>
    </w:p>
    <w:tbl>
      <w:tblPr>
        <w:tblW w:w="8364" w:type="dxa"/>
        <w:jc w:val="right"/>
        <w:tblCellMar>
          <w:left w:w="70" w:type="dxa"/>
          <w:right w:w="70" w:type="dxa"/>
        </w:tblCellMar>
        <w:tblLook w:val="04A0" w:firstRow="1" w:lastRow="0" w:firstColumn="1" w:lastColumn="0" w:noHBand="0" w:noVBand="1"/>
      </w:tblPr>
      <w:tblGrid>
        <w:gridCol w:w="2457"/>
        <w:gridCol w:w="2126"/>
        <w:gridCol w:w="1984"/>
        <w:gridCol w:w="1797"/>
      </w:tblGrid>
      <w:tr w:rsidR="007123FF" w:rsidRPr="008C65ED" w:rsidTr="007123FF">
        <w:trPr>
          <w:trHeight w:val="695"/>
          <w:jc w:val="right"/>
        </w:trPr>
        <w:tc>
          <w:tcPr>
            <w:tcW w:w="2457" w:type="dxa"/>
            <w:tcBorders>
              <w:top w:val="single" w:sz="8" w:space="0" w:color="FFFFFF"/>
              <w:left w:val="single" w:sz="8" w:space="0" w:color="FFFFFF"/>
              <w:bottom w:val="nil"/>
              <w:right w:val="single" w:sz="8" w:space="0" w:color="FFFFFF"/>
            </w:tcBorders>
            <w:shd w:val="clear" w:color="000000" w:fill="17365D"/>
            <w:vAlign w:val="center"/>
            <w:hideMark/>
          </w:tcPr>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Aprobación</w:t>
            </w:r>
          </w:p>
        </w:tc>
        <w:tc>
          <w:tcPr>
            <w:tcW w:w="2126" w:type="dxa"/>
            <w:tcBorders>
              <w:top w:val="single" w:sz="8" w:space="0" w:color="FFFFFF"/>
              <w:left w:val="nil"/>
              <w:bottom w:val="single" w:sz="8" w:space="0" w:color="FFFFFF"/>
              <w:right w:val="single" w:sz="8" w:space="0" w:color="FFFFFF"/>
            </w:tcBorders>
            <w:shd w:val="clear" w:color="000000" w:fill="17365D"/>
            <w:vAlign w:val="center"/>
            <w:hideMark/>
          </w:tcPr>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Subdirector de Tesorería</w:t>
            </w:r>
          </w:p>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 xml:space="preserve"> (hasta 5 días)</w:t>
            </w:r>
          </w:p>
        </w:tc>
        <w:tc>
          <w:tcPr>
            <w:tcW w:w="1984" w:type="dxa"/>
            <w:tcBorders>
              <w:top w:val="single" w:sz="8" w:space="0" w:color="FFFFFF"/>
              <w:left w:val="nil"/>
              <w:bottom w:val="nil"/>
              <w:right w:val="single" w:sz="8" w:space="0" w:color="FFFFFF"/>
            </w:tcBorders>
            <w:shd w:val="clear" w:color="000000" w:fill="17365D"/>
            <w:vAlign w:val="center"/>
            <w:hideMark/>
          </w:tcPr>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DGCPTN</w:t>
            </w:r>
          </w:p>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(Hasta por 30 días)</w:t>
            </w:r>
          </w:p>
        </w:tc>
        <w:tc>
          <w:tcPr>
            <w:tcW w:w="1797" w:type="dxa"/>
            <w:tcBorders>
              <w:top w:val="single" w:sz="8" w:space="0" w:color="FFFFFF"/>
              <w:left w:val="nil"/>
              <w:bottom w:val="nil"/>
              <w:right w:val="single" w:sz="8" w:space="0" w:color="FFFFFF"/>
            </w:tcBorders>
            <w:shd w:val="clear" w:color="000000" w:fill="17365D"/>
            <w:vAlign w:val="center"/>
            <w:hideMark/>
          </w:tcPr>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Comité Tesorería</w:t>
            </w:r>
          </w:p>
          <w:p w:rsidR="007123FF" w:rsidRPr="008C65ED" w:rsidRDefault="007123FF" w:rsidP="007123FF">
            <w:pPr>
              <w:jc w:val="center"/>
              <w:rPr>
                <w:rFonts w:ascii="Arial Narrow" w:hAnsi="Arial Narrow" w:cs="Arial"/>
                <w:b/>
                <w:bCs/>
                <w:color w:val="FFFFFF"/>
                <w:sz w:val="24"/>
                <w:szCs w:val="24"/>
                <w:lang w:val="es-CO" w:eastAsia="es-CO"/>
              </w:rPr>
            </w:pPr>
            <w:r w:rsidRPr="008C65ED">
              <w:rPr>
                <w:rFonts w:ascii="Arial Narrow" w:hAnsi="Arial Narrow" w:cs="Arial"/>
                <w:b/>
                <w:bCs/>
                <w:color w:val="FFFFFF"/>
                <w:sz w:val="24"/>
                <w:szCs w:val="24"/>
                <w:lang w:val="es-CO" w:eastAsia="es-CO"/>
              </w:rPr>
              <w:t>(Hasta por 30 Días)</w:t>
            </w:r>
          </w:p>
        </w:tc>
      </w:tr>
      <w:tr w:rsidR="007123FF" w:rsidRPr="008C65ED" w:rsidTr="007123FF">
        <w:trPr>
          <w:trHeight w:val="388"/>
          <w:jc w:val="right"/>
        </w:trPr>
        <w:tc>
          <w:tcPr>
            <w:tcW w:w="2457"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rsidR="007123FF" w:rsidRPr="008C65ED" w:rsidRDefault="007123FF" w:rsidP="007123FF">
            <w:pP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Downgrade en Calificaciones para Asignación de Cupo</w:t>
            </w:r>
          </w:p>
        </w:tc>
        <w:tc>
          <w:tcPr>
            <w:tcW w:w="2126" w:type="dxa"/>
            <w:tcBorders>
              <w:top w:val="nil"/>
              <w:left w:val="nil"/>
              <w:bottom w:val="single" w:sz="8" w:space="0" w:color="FFFFFF"/>
              <w:right w:val="single" w:sz="8" w:space="0" w:color="FFFFFF"/>
            </w:tcBorders>
            <w:shd w:val="clear" w:color="auto" w:fill="auto"/>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1 nivel</w:t>
            </w:r>
          </w:p>
        </w:tc>
        <w:tc>
          <w:tcPr>
            <w:tcW w:w="1984" w:type="dxa"/>
            <w:tcBorders>
              <w:top w:val="single" w:sz="8" w:space="0" w:color="FFFFFF"/>
              <w:left w:val="nil"/>
              <w:bottom w:val="single" w:sz="8" w:space="0" w:color="FFFFFF"/>
              <w:right w:val="single" w:sz="8" w:space="0" w:color="FFFFFF"/>
            </w:tcBorders>
            <w:shd w:val="clear" w:color="auto" w:fill="auto"/>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Hasta 2 niveles</w:t>
            </w:r>
          </w:p>
        </w:tc>
        <w:tc>
          <w:tcPr>
            <w:tcW w:w="1797" w:type="dxa"/>
            <w:tcBorders>
              <w:top w:val="single" w:sz="8" w:space="0" w:color="FFFFFF"/>
              <w:left w:val="nil"/>
              <w:bottom w:val="single" w:sz="8" w:space="0" w:color="FFFFFF"/>
              <w:right w:val="single" w:sz="8" w:space="0" w:color="FFFFFF"/>
            </w:tcBorders>
            <w:shd w:val="clear" w:color="auto" w:fill="auto"/>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&gt; 2 niveles o 30 días</w:t>
            </w:r>
          </w:p>
        </w:tc>
      </w:tr>
      <w:tr w:rsidR="007123FF" w:rsidRPr="008C65ED" w:rsidTr="007123FF">
        <w:trPr>
          <w:trHeight w:val="404"/>
          <w:jc w:val="right"/>
        </w:trPr>
        <w:tc>
          <w:tcPr>
            <w:tcW w:w="2457" w:type="dxa"/>
            <w:tcBorders>
              <w:top w:val="nil"/>
              <w:left w:val="single" w:sz="8" w:space="0" w:color="FFFFFF"/>
              <w:bottom w:val="single" w:sz="8" w:space="0" w:color="FFFFFF"/>
              <w:right w:val="single" w:sz="8" w:space="0" w:color="FFFFFF"/>
            </w:tcBorders>
            <w:shd w:val="clear" w:color="000000" w:fill="D9D9D9"/>
            <w:vAlign w:val="center"/>
            <w:hideMark/>
          </w:tcPr>
          <w:p w:rsidR="007123FF" w:rsidRPr="008C65ED" w:rsidRDefault="007123FF" w:rsidP="007123FF">
            <w:pP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Sobre-concentración cupos de Emisor  y/o Contraparte</w:t>
            </w:r>
          </w:p>
        </w:tc>
        <w:tc>
          <w:tcPr>
            <w:tcW w:w="2126" w:type="dxa"/>
            <w:tcBorders>
              <w:top w:val="nil"/>
              <w:left w:val="nil"/>
              <w:bottom w:val="single" w:sz="8" w:space="0" w:color="FFFFFF"/>
              <w:right w:val="single" w:sz="8" w:space="0" w:color="FFFFFF"/>
            </w:tcBorders>
            <w:shd w:val="clear" w:color="000000" w:fill="D9D9D9"/>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 xml:space="preserve">Hasta el 5% adicional/Vr. Port. </w:t>
            </w:r>
          </w:p>
        </w:tc>
        <w:tc>
          <w:tcPr>
            <w:tcW w:w="1984" w:type="dxa"/>
            <w:tcBorders>
              <w:top w:val="nil"/>
              <w:left w:val="nil"/>
              <w:bottom w:val="single" w:sz="8" w:space="0" w:color="FFFFFF"/>
              <w:right w:val="single" w:sz="8" w:space="0" w:color="FFFFFF"/>
            </w:tcBorders>
            <w:shd w:val="clear" w:color="000000" w:fill="D9D9D9"/>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 xml:space="preserve">Hasta el 20% adicional/Vr. Portafolio. </w:t>
            </w:r>
          </w:p>
        </w:tc>
        <w:tc>
          <w:tcPr>
            <w:tcW w:w="1797" w:type="dxa"/>
            <w:tcBorders>
              <w:top w:val="nil"/>
              <w:left w:val="nil"/>
              <w:bottom w:val="single" w:sz="8" w:space="0" w:color="FFFFFF"/>
              <w:right w:val="single" w:sz="8" w:space="0" w:color="FFFFFF"/>
            </w:tcBorders>
            <w:shd w:val="clear" w:color="000000" w:fill="D9D9D9"/>
            <w:vAlign w:val="center"/>
            <w:hideMark/>
          </w:tcPr>
          <w:p w:rsidR="007123FF" w:rsidRPr="008C65ED" w:rsidRDefault="007123FF" w:rsidP="007123FF">
            <w:pPr>
              <w:jc w:val="center"/>
              <w:rPr>
                <w:rFonts w:ascii="Arial Narrow" w:hAnsi="Arial Narrow" w:cs="Arial"/>
                <w:color w:val="000000"/>
                <w:sz w:val="24"/>
                <w:szCs w:val="24"/>
                <w:lang w:val="es-CO" w:eastAsia="es-CO"/>
              </w:rPr>
            </w:pPr>
            <w:r w:rsidRPr="008C65ED">
              <w:rPr>
                <w:rFonts w:ascii="Arial Narrow" w:hAnsi="Arial Narrow" w:cs="Arial"/>
                <w:color w:val="000000"/>
                <w:sz w:val="24"/>
                <w:szCs w:val="24"/>
                <w:lang w:val="es-CO" w:eastAsia="es-CO"/>
              </w:rPr>
              <w:t>&gt; 20%/ Vr. Port.</w:t>
            </w:r>
          </w:p>
        </w:tc>
      </w:tr>
    </w:tbl>
    <w:p w:rsidR="00F07F58" w:rsidRPr="008C65ED" w:rsidRDefault="00F07F58" w:rsidP="003C686A">
      <w:pPr>
        <w:rPr>
          <w:rFonts w:ascii="Arial Narrow" w:hAnsi="Arial Narrow"/>
          <w:sz w:val="12"/>
          <w:szCs w:val="24"/>
        </w:rPr>
      </w:pPr>
    </w:p>
    <w:p w:rsidR="00F07F58" w:rsidRPr="008C65ED" w:rsidRDefault="00F07F58" w:rsidP="003C686A">
      <w:pPr>
        <w:rPr>
          <w:rFonts w:ascii="Arial Narrow" w:hAnsi="Arial Narrow"/>
          <w:sz w:val="24"/>
          <w:szCs w:val="24"/>
        </w:rPr>
      </w:pPr>
    </w:p>
    <w:p w:rsidR="00606A95" w:rsidRPr="008C65ED" w:rsidRDefault="00606A95" w:rsidP="00D279A7">
      <w:pPr>
        <w:pStyle w:val="Ttulo1"/>
        <w:numPr>
          <w:ilvl w:val="0"/>
          <w:numId w:val="1"/>
        </w:numPr>
        <w:jc w:val="left"/>
        <w:rPr>
          <w:rFonts w:ascii="Arial Narrow" w:hAnsi="Arial Narrow"/>
          <w:sz w:val="24"/>
          <w:szCs w:val="24"/>
        </w:rPr>
      </w:pPr>
      <w:bookmarkStart w:id="69" w:name="_Toc80191605"/>
      <w:bookmarkEnd w:id="13"/>
      <w:bookmarkEnd w:id="14"/>
      <w:bookmarkEnd w:id="15"/>
      <w:bookmarkEnd w:id="16"/>
      <w:bookmarkEnd w:id="17"/>
      <w:bookmarkEnd w:id="18"/>
      <w:r w:rsidRPr="008C65ED">
        <w:rPr>
          <w:rFonts w:ascii="Arial Narrow" w:hAnsi="Arial Narrow"/>
          <w:sz w:val="24"/>
          <w:szCs w:val="24"/>
        </w:rPr>
        <w:t>BIBLIOGRAFÍA</w:t>
      </w:r>
      <w:bookmarkEnd w:id="69"/>
    </w:p>
    <w:p w:rsidR="00606A95" w:rsidRPr="008C65ED" w:rsidRDefault="00606A95" w:rsidP="00D279A7">
      <w:pPr>
        <w:ind w:hanging="578"/>
        <w:jc w:val="both"/>
        <w:rPr>
          <w:rFonts w:ascii="Arial Narrow" w:hAnsi="Arial Narrow"/>
          <w:sz w:val="24"/>
          <w:lang w:val="en-US"/>
        </w:rPr>
      </w:pPr>
    </w:p>
    <w:p w:rsidR="00F0019B" w:rsidRPr="008C65ED" w:rsidRDefault="00F0019B" w:rsidP="00F0019B">
      <w:pPr>
        <w:pStyle w:val="Prrafodelista"/>
        <w:numPr>
          <w:ilvl w:val="0"/>
          <w:numId w:val="30"/>
        </w:numPr>
        <w:ind w:hanging="578"/>
        <w:jc w:val="both"/>
        <w:rPr>
          <w:rFonts w:ascii="Arial Narrow" w:hAnsi="Arial Narrow"/>
          <w:sz w:val="24"/>
          <w:lang w:val="en-US"/>
        </w:rPr>
      </w:pPr>
      <w:r w:rsidRPr="008C65ED">
        <w:rPr>
          <w:rFonts w:ascii="Arial Narrow" w:hAnsi="Arial Narrow"/>
          <w:sz w:val="24"/>
          <w:lang w:val="en-US"/>
        </w:rPr>
        <w:t>Crosbie, P., &amp; Bohn, J. (2003): "Modeling Default Risk. Modeling Methodology"; Moody's KMV.</w:t>
      </w:r>
    </w:p>
    <w:p w:rsidR="00F0019B" w:rsidRPr="008C65ED" w:rsidRDefault="00F0019B" w:rsidP="00F0019B">
      <w:pPr>
        <w:autoSpaceDE w:val="0"/>
        <w:autoSpaceDN w:val="0"/>
        <w:jc w:val="both"/>
        <w:rPr>
          <w:rFonts w:ascii="Arial Narrow" w:hAnsi="Arial Narrow"/>
          <w:sz w:val="24"/>
          <w:lang w:val="en-US"/>
        </w:rPr>
      </w:pPr>
    </w:p>
    <w:p w:rsidR="00F0019B" w:rsidRPr="008C65ED" w:rsidRDefault="00F0019B" w:rsidP="00F0019B">
      <w:pPr>
        <w:pStyle w:val="Prrafodelista"/>
        <w:numPr>
          <w:ilvl w:val="0"/>
          <w:numId w:val="30"/>
        </w:numPr>
        <w:autoSpaceDE w:val="0"/>
        <w:autoSpaceDN w:val="0"/>
        <w:ind w:hanging="578"/>
        <w:jc w:val="both"/>
        <w:rPr>
          <w:rFonts w:ascii="Arial Narrow" w:hAnsi="Arial Narrow"/>
          <w:sz w:val="24"/>
          <w:szCs w:val="24"/>
          <w:lang w:eastAsia="es-CO"/>
        </w:rPr>
      </w:pPr>
      <w:r w:rsidRPr="008C65ED">
        <w:rPr>
          <w:rFonts w:ascii="Arial Narrow" w:hAnsi="Arial Narrow"/>
          <w:sz w:val="24"/>
          <w:szCs w:val="24"/>
          <w:lang w:eastAsia="es-CO"/>
        </w:rPr>
        <w:t xml:space="preserve">De Lara, A, (2011), </w:t>
      </w:r>
      <w:r w:rsidRPr="008C65ED">
        <w:rPr>
          <w:rFonts w:ascii="Arial Narrow" w:hAnsi="Arial Narrow"/>
          <w:i/>
          <w:iCs/>
          <w:sz w:val="24"/>
          <w:szCs w:val="24"/>
          <w:lang w:eastAsia="es-CO"/>
        </w:rPr>
        <w:t xml:space="preserve">“Medición y control de riesgos financieros”, </w:t>
      </w:r>
      <w:r w:rsidRPr="008C65ED">
        <w:rPr>
          <w:rFonts w:ascii="Arial Narrow" w:hAnsi="Arial Narrow"/>
          <w:sz w:val="24"/>
          <w:szCs w:val="24"/>
          <w:lang w:eastAsia="es-CO"/>
        </w:rPr>
        <w:t>México, México D.F, Limusa Noriega Editores.</w:t>
      </w:r>
    </w:p>
    <w:p w:rsidR="00F0019B" w:rsidRPr="008C65ED" w:rsidRDefault="00F0019B" w:rsidP="00F0019B">
      <w:pPr>
        <w:pStyle w:val="Prrafodelista"/>
        <w:rPr>
          <w:rFonts w:ascii="Arial Narrow" w:hAnsi="Arial Narrow"/>
          <w:sz w:val="24"/>
          <w:szCs w:val="24"/>
          <w:lang w:eastAsia="es-CO"/>
        </w:rPr>
      </w:pPr>
    </w:p>
    <w:p w:rsidR="00F0019B" w:rsidRPr="008C65ED" w:rsidRDefault="00F0019B" w:rsidP="00F0019B">
      <w:pPr>
        <w:pStyle w:val="Prrafodelista"/>
        <w:numPr>
          <w:ilvl w:val="0"/>
          <w:numId w:val="30"/>
        </w:numPr>
        <w:ind w:hanging="578"/>
        <w:jc w:val="both"/>
        <w:rPr>
          <w:rFonts w:ascii="Arial Narrow" w:hAnsi="Arial Narrow"/>
          <w:sz w:val="24"/>
          <w:lang w:val="en-US"/>
        </w:rPr>
      </w:pPr>
      <w:r w:rsidRPr="008C65ED">
        <w:rPr>
          <w:rFonts w:ascii="Arial Narrow" w:hAnsi="Arial Narrow"/>
          <w:sz w:val="24"/>
          <w:lang w:val="en-US"/>
        </w:rPr>
        <w:t>Hull, J. (2007): "Options, Futures, and other Derivatives"; Séptima edición; Pearson; Prentice Hall.</w:t>
      </w:r>
    </w:p>
    <w:p w:rsidR="00C00086" w:rsidRPr="008C65ED" w:rsidRDefault="00C00086" w:rsidP="00C00086">
      <w:pPr>
        <w:pStyle w:val="Prrafodelista"/>
        <w:rPr>
          <w:rFonts w:ascii="Arial Narrow" w:hAnsi="Arial Narrow"/>
          <w:sz w:val="24"/>
          <w:lang w:val="en-US"/>
        </w:rPr>
      </w:pPr>
    </w:p>
    <w:p w:rsidR="00C00086" w:rsidRPr="008C65ED" w:rsidRDefault="00C00086" w:rsidP="00C00086">
      <w:pPr>
        <w:pStyle w:val="Prrafodelista"/>
        <w:numPr>
          <w:ilvl w:val="0"/>
          <w:numId w:val="30"/>
        </w:numPr>
        <w:ind w:hanging="578"/>
        <w:jc w:val="both"/>
        <w:rPr>
          <w:rFonts w:ascii="Arial Narrow" w:hAnsi="Arial Narrow"/>
          <w:sz w:val="24"/>
          <w:lang w:val="en-US"/>
        </w:rPr>
      </w:pPr>
      <w:r w:rsidRPr="008C65ED">
        <w:rPr>
          <w:rFonts w:ascii="Arial Narrow" w:hAnsi="Arial Narrow"/>
          <w:sz w:val="24"/>
          <w:szCs w:val="24"/>
          <w:lang w:val="en-US" w:eastAsia="es-CO"/>
        </w:rPr>
        <w:t xml:space="preserve">Jorion, P, (2001), </w:t>
      </w:r>
      <w:r w:rsidRPr="008C65ED">
        <w:rPr>
          <w:rFonts w:ascii="Arial Narrow" w:hAnsi="Arial Narrow"/>
          <w:i/>
          <w:iCs/>
          <w:sz w:val="24"/>
          <w:szCs w:val="24"/>
          <w:lang w:val="en-US" w:eastAsia="es-CO"/>
        </w:rPr>
        <w:t>“Value at Risk”</w:t>
      </w:r>
      <w:r w:rsidRPr="008C65ED">
        <w:rPr>
          <w:rFonts w:ascii="Arial Narrow" w:hAnsi="Arial Narrow"/>
          <w:sz w:val="24"/>
          <w:szCs w:val="24"/>
          <w:lang w:val="en-US" w:eastAsia="es-CO"/>
        </w:rPr>
        <w:t>, Estados Unidos New York, McGraw-Hill.</w:t>
      </w:r>
    </w:p>
    <w:p w:rsidR="002815D6" w:rsidRPr="008C65ED" w:rsidRDefault="002815D6" w:rsidP="002815D6">
      <w:pPr>
        <w:pStyle w:val="Prrafodelista"/>
        <w:rPr>
          <w:rFonts w:ascii="Arial Narrow" w:hAnsi="Arial Narrow"/>
          <w:sz w:val="24"/>
          <w:lang w:val="en-US"/>
        </w:rPr>
      </w:pPr>
    </w:p>
    <w:p w:rsidR="00F0019B" w:rsidRPr="008C65ED" w:rsidRDefault="002815D6" w:rsidP="00E7577C">
      <w:pPr>
        <w:pStyle w:val="Prrafodelista"/>
        <w:numPr>
          <w:ilvl w:val="0"/>
          <w:numId w:val="30"/>
        </w:numPr>
        <w:ind w:hanging="578"/>
        <w:jc w:val="both"/>
        <w:rPr>
          <w:rFonts w:ascii="Arial Narrow" w:hAnsi="Arial Narrow"/>
          <w:sz w:val="24"/>
          <w:lang w:val="en-US"/>
        </w:rPr>
      </w:pPr>
      <w:r w:rsidRPr="008C65ED">
        <w:rPr>
          <w:rFonts w:ascii="Arial Narrow" w:hAnsi="Arial Narrow"/>
          <w:sz w:val="24"/>
          <w:lang w:val="en-US"/>
        </w:rPr>
        <w:t>Merton, R. (1973): "On The princing of corporate debt: The Risk structure of interest rates"; The Journal of Finance, 449-470.</w:t>
      </w:r>
    </w:p>
    <w:p w:rsidR="00C00086" w:rsidRPr="008C65ED" w:rsidRDefault="00C00086" w:rsidP="00C00086">
      <w:pPr>
        <w:pStyle w:val="Prrafodelista"/>
        <w:rPr>
          <w:rFonts w:ascii="Arial Narrow" w:hAnsi="Arial Narrow"/>
          <w:sz w:val="24"/>
          <w:lang w:val="en-US"/>
        </w:rPr>
      </w:pPr>
    </w:p>
    <w:p w:rsidR="00C00086" w:rsidRPr="008C65ED" w:rsidRDefault="00C00086" w:rsidP="00C00086">
      <w:pPr>
        <w:pStyle w:val="Prrafodelista"/>
        <w:numPr>
          <w:ilvl w:val="0"/>
          <w:numId w:val="30"/>
        </w:numPr>
        <w:ind w:hanging="578"/>
        <w:jc w:val="both"/>
        <w:rPr>
          <w:rFonts w:ascii="Arial Narrow" w:hAnsi="Arial Narrow" w:cs="Arial"/>
          <w:sz w:val="24"/>
          <w:szCs w:val="24"/>
          <w:lang w:val="es-CO"/>
        </w:rPr>
      </w:pPr>
      <w:r w:rsidRPr="008C65ED">
        <w:rPr>
          <w:rFonts w:ascii="Arial Narrow" w:hAnsi="Arial Narrow" w:cs="Arial"/>
          <w:sz w:val="24"/>
          <w:szCs w:val="24"/>
          <w:lang w:val="es-CO"/>
        </w:rPr>
        <w:t>Pineda, F. G. &amp; Piñeros, J. H. (2009): "El indicador financiero único como mecanismo de alerta temprana: una nueva versión"; Reporte de Estabilidad Financiera.</w:t>
      </w:r>
    </w:p>
    <w:p w:rsidR="00F0019B" w:rsidRPr="008C65ED" w:rsidRDefault="00F0019B" w:rsidP="00F0019B">
      <w:pPr>
        <w:ind w:left="142"/>
        <w:jc w:val="both"/>
        <w:rPr>
          <w:rFonts w:ascii="Arial Narrow" w:hAnsi="Arial Narrow" w:cs="Arial"/>
          <w:sz w:val="24"/>
          <w:szCs w:val="24"/>
          <w:lang w:val="es-CO"/>
        </w:rPr>
      </w:pPr>
    </w:p>
    <w:p w:rsidR="00494E44" w:rsidRPr="008C65ED" w:rsidRDefault="00606A95" w:rsidP="00E7577C">
      <w:pPr>
        <w:pStyle w:val="Prrafodelista"/>
        <w:numPr>
          <w:ilvl w:val="0"/>
          <w:numId w:val="30"/>
        </w:numPr>
        <w:ind w:hanging="578"/>
        <w:jc w:val="both"/>
        <w:rPr>
          <w:rFonts w:ascii="Arial Narrow" w:hAnsi="Arial Narrow" w:cs="Arial"/>
          <w:sz w:val="24"/>
          <w:szCs w:val="24"/>
          <w:lang w:val="es-CO"/>
        </w:rPr>
      </w:pPr>
      <w:r w:rsidRPr="008C65ED">
        <w:rPr>
          <w:rFonts w:ascii="Arial Narrow" w:hAnsi="Arial Narrow" w:cs="Arial"/>
          <w:sz w:val="24"/>
          <w:szCs w:val="24"/>
          <w:lang w:val="es-CO"/>
        </w:rPr>
        <w:t>Superint</w:t>
      </w:r>
      <w:r w:rsidR="002815D6" w:rsidRPr="008C65ED">
        <w:rPr>
          <w:rFonts w:ascii="Arial Narrow" w:hAnsi="Arial Narrow" w:cs="Arial"/>
          <w:sz w:val="24"/>
          <w:szCs w:val="24"/>
          <w:lang w:val="es-CO"/>
        </w:rPr>
        <w:t xml:space="preserve">endencia Financiera de Colombia. (1995). </w:t>
      </w:r>
      <w:r w:rsidRPr="008C65ED">
        <w:rPr>
          <w:rFonts w:ascii="Arial Narrow" w:hAnsi="Arial Narrow" w:cs="Arial"/>
          <w:sz w:val="24"/>
          <w:szCs w:val="24"/>
          <w:lang w:val="es-CO"/>
        </w:rPr>
        <w:t>Circula</w:t>
      </w:r>
      <w:r w:rsidR="002815D6" w:rsidRPr="008C65ED">
        <w:rPr>
          <w:rFonts w:ascii="Arial Narrow" w:hAnsi="Arial Narrow" w:cs="Arial"/>
          <w:sz w:val="24"/>
          <w:szCs w:val="24"/>
          <w:lang w:val="es-CO"/>
        </w:rPr>
        <w:t xml:space="preserve">r Básica, Financiera y Contable. </w:t>
      </w:r>
      <w:r w:rsidRPr="008C65ED">
        <w:rPr>
          <w:rFonts w:ascii="Arial Narrow" w:hAnsi="Arial Narrow" w:cs="Arial"/>
          <w:sz w:val="24"/>
          <w:szCs w:val="24"/>
          <w:lang w:val="es-CO"/>
        </w:rPr>
        <w:t>Capítulo XXI</w:t>
      </w:r>
      <w:r w:rsidR="00F0019B" w:rsidRPr="008C65ED">
        <w:rPr>
          <w:rFonts w:ascii="Arial Narrow" w:hAnsi="Arial Narrow" w:cs="Arial"/>
          <w:sz w:val="24"/>
          <w:szCs w:val="24"/>
          <w:lang w:val="es-CO"/>
        </w:rPr>
        <w:t>.</w:t>
      </w:r>
    </w:p>
    <w:p w:rsidR="00606A95" w:rsidRPr="008C65ED" w:rsidRDefault="00606A95" w:rsidP="00606A95">
      <w:pPr>
        <w:rPr>
          <w:rFonts w:ascii="Arial Narrow" w:hAnsi="Arial Narrow"/>
        </w:rPr>
      </w:pPr>
    </w:p>
    <w:p w:rsidR="008F73A5" w:rsidRPr="008C65ED" w:rsidRDefault="004A361C" w:rsidP="00D57502">
      <w:pPr>
        <w:pStyle w:val="Ttulo1"/>
        <w:numPr>
          <w:ilvl w:val="0"/>
          <w:numId w:val="1"/>
        </w:numPr>
        <w:jc w:val="left"/>
        <w:rPr>
          <w:rFonts w:ascii="Arial Narrow" w:hAnsi="Arial Narrow"/>
          <w:sz w:val="24"/>
          <w:szCs w:val="24"/>
        </w:rPr>
      </w:pPr>
      <w:bookmarkStart w:id="70" w:name="_Toc80191606"/>
      <w:r w:rsidRPr="008C65ED">
        <w:rPr>
          <w:rFonts w:ascii="Arial Narrow" w:hAnsi="Arial Narrow"/>
          <w:sz w:val="24"/>
          <w:szCs w:val="24"/>
        </w:rPr>
        <w:t>H</w:t>
      </w:r>
      <w:r w:rsidR="00000AF7" w:rsidRPr="008C65ED">
        <w:rPr>
          <w:rFonts w:ascii="Arial Narrow" w:hAnsi="Arial Narrow"/>
          <w:sz w:val="24"/>
          <w:szCs w:val="24"/>
        </w:rPr>
        <w:t>ISTORIAL DE CAMBIOS</w:t>
      </w:r>
      <w:bookmarkEnd w:id="70"/>
    </w:p>
    <w:p w:rsidR="00000AF7" w:rsidRPr="008C65ED" w:rsidRDefault="00000AF7" w:rsidP="00CB26AD">
      <w:pPr>
        <w:jc w:val="both"/>
        <w:rPr>
          <w:rFonts w:ascii="Arial Narrow" w:hAnsi="Arial Narrow" w:cs="Arial"/>
          <w:b/>
          <w:sz w:val="24"/>
          <w:szCs w:val="24"/>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433"/>
      </w:tblGrid>
      <w:tr w:rsidR="00000AF7" w:rsidRPr="008C65ED" w:rsidTr="001160E7">
        <w:trPr>
          <w:trHeight w:val="359"/>
          <w:tblHeader/>
        </w:trPr>
        <w:tc>
          <w:tcPr>
            <w:tcW w:w="1701" w:type="dxa"/>
            <w:shd w:val="clear" w:color="auto" w:fill="D9D9D9"/>
            <w:tcMar>
              <w:top w:w="57" w:type="dxa"/>
              <w:left w:w="113" w:type="dxa"/>
              <w:bottom w:w="57" w:type="dxa"/>
            </w:tcMar>
            <w:vAlign w:val="center"/>
          </w:tcPr>
          <w:p w:rsidR="00000AF7" w:rsidRPr="008C65ED" w:rsidRDefault="00000AF7" w:rsidP="00C53565">
            <w:pPr>
              <w:jc w:val="center"/>
              <w:rPr>
                <w:rFonts w:ascii="Arial Narrow" w:hAnsi="Arial Narrow" w:cs="Arial"/>
                <w:b/>
                <w:sz w:val="24"/>
                <w:szCs w:val="24"/>
              </w:rPr>
            </w:pPr>
            <w:r w:rsidRPr="008C65ED">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rsidR="00000AF7" w:rsidRPr="008C65ED" w:rsidRDefault="00000AF7" w:rsidP="00C53565">
            <w:pPr>
              <w:jc w:val="center"/>
              <w:rPr>
                <w:rFonts w:ascii="Arial Narrow" w:hAnsi="Arial Narrow" w:cs="Arial"/>
                <w:b/>
                <w:sz w:val="24"/>
                <w:szCs w:val="24"/>
              </w:rPr>
            </w:pPr>
            <w:r w:rsidRPr="008C65ED">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rsidR="00000AF7" w:rsidRPr="008C65ED" w:rsidRDefault="00000AF7" w:rsidP="00C53565">
            <w:pPr>
              <w:jc w:val="center"/>
              <w:rPr>
                <w:rFonts w:ascii="Arial Narrow" w:hAnsi="Arial Narrow" w:cs="Arial"/>
                <w:b/>
                <w:sz w:val="24"/>
                <w:szCs w:val="24"/>
              </w:rPr>
            </w:pPr>
            <w:r w:rsidRPr="008C65ED">
              <w:rPr>
                <w:rFonts w:ascii="Arial Narrow" w:hAnsi="Arial Narrow" w:cs="Arial"/>
                <w:b/>
                <w:sz w:val="24"/>
                <w:szCs w:val="24"/>
              </w:rPr>
              <w:t>DESCRIPCIÓN DEL CAMBIO</w:t>
            </w:r>
          </w:p>
        </w:tc>
        <w:tc>
          <w:tcPr>
            <w:tcW w:w="2433" w:type="dxa"/>
            <w:shd w:val="clear" w:color="auto" w:fill="D9D9D9"/>
            <w:tcMar>
              <w:top w:w="57" w:type="dxa"/>
              <w:left w:w="113" w:type="dxa"/>
              <w:bottom w:w="57" w:type="dxa"/>
            </w:tcMar>
            <w:vAlign w:val="center"/>
          </w:tcPr>
          <w:p w:rsidR="00000AF7" w:rsidRPr="008C65ED" w:rsidRDefault="00000AF7" w:rsidP="00C53565">
            <w:pPr>
              <w:jc w:val="center"/>
              <w:rPr>
                <w:rFonts w:ascii="Arial Narrow" w:hAnsi="Arial Narrow" w:cs="Arial"/>
                <w:b/>
                <w:sz w:val="24"/>
                <w:szCs w:val="24"/>
              </w:rPr>
            </w:pPr>
            <w:r w:rsidRPr="008C65ED">
              <w:rPr>
                <w:rFonts w:ascii="Arial Narrow" w:hAnsi="Arial Narrow" w:cs="Arial"/>
                <w:b/>
                <w:sz w:val="24"/>
                <w:szCs w:val="24"/>
              </w:rPr>
              <w:t>ASESOR SUG</w:t>
            </w:r>
          </w:p>
        </w:tc>
      </w:tr>
      <w:tr w:rsidR="00DA3C10" w:rsidRPr="008C65ED" w:rsidTr="001160E7">
        <w:trPr>
          <w:trHeight w:val="287"/>
        </w:trPr>
        <w:tc>
          <w:tcPr>
            <w:tcW w:w="1701" w:type="dxa"/>
            <w:shd w:val="clear" w:color="auto" w:fill="auto"/>
            <w:tcMar>
              <w:top w:w="57" w:type="dxa"/>
              <w:left w:w="113" w:type="dxa"/>
              <w:bottom w:w="57" w:type="dxa"/>
            </w:tcMar>
            <w:vAlign w:val="center"/>
          </w:tcPr>
          <w:p w:rsidR="00DA3C10" w:rsidRPr="008C65ED" w:rsidRDefault="00DA3C10" w:rsidP="003E2226">
            <w:pPr>
              <w:jc w:val="center"/>
              <w:rPr>
                <w:rFonts w:ascii="Arial Narrow" w:hAnsi="Arial Narrow" w:cs="Arial"/>
              </w:rPr>
            </w:pPr>
            <w:r w:rsidRPr="008C65ED">
              <w:rPr>
                <w:rFonts w:ascii="Arial Narrow" w:hAnsi="Arial Narrow" w:cs="Arial"/>
              </w:rPr>
              <w:t>27-03-2019</w:t>
            </w:r>
          </w:p>
        </w:tc>
        <w:tc>
          <w:tcPr>
            <w:tcW w:w="1560" w:type="dxa"/>
            <w:shd w:val="clear" w:color="auto" w:fill="auto"/>
            <w:tcMar>
              <w:top w:w="57" w:type="dxa"/>
              <w:left w:w="113" w:type="dxa"/>
              <w:bottom w:w="57" w:type="dxa"/>
            </w:tcMar>
            <w:vAlign w:val="center"/>
          </w:tcPr>
          <w:p w:rsidR="00DA3C10" w:rsidRPr="008C65ED" w:rsidRDefault="00DA3C10" w:rsidP="003E2226">
            <w:pPr>
              <w:jc w:val="center"/>
              <w:rPr>
                <w:rFonts w:ascii="Arial Narrow" w:hAnsi="Arial Narrow" w:cs="Arial"/>
              </w:rPr>
            </w:pPr>
            <w:r w:rsidRPr="008C65ED">
              <w:rPr>
                <w:rFonts w:ascii="Arial Narrow" w:hAnsi="Arial Narrow" w:cs="Arial"/>
              </w:rPr>
              <w:t>1</w:t>
            </w:r>
          </w:p>
        </w:tc>
        <w:tc>
          <w:tcPr>
            <w:tcW w:w="3260" w:type="dxa"/>
            <w:tcMar>
              <w:top w:w="57" w:type="dxa"/>
              <w:left w:w="113" w:type="dxa"/>
              <w:bottom w:w="57" w:type="dxa"/>
            </w:tcMar>
            <w:vAlign w:val="center"/>
          </w:tcPr>
          <w:p w:rsidR="00DA3C10" w:rsidRPr="008C65ED" w:rsidRDefault="00DA3C10" w:rsidP="003E2226">
            <w:pPr>
              <w:jc w:val="both"/>
              <w:rPr>
                <w:rFonts w:ascii="Arial Narrow" w:hAnsi="Arial Narrow" w:cs="Arial"/>
              </w:rPr>
            </w:pPr>
            <w:r w:rsidRPr="008C65ED">
              <w:rPr>
                <w:rFonts w:ascii="Arial Narrow" w:hAnsi="Arial Narrow" w:cs="Arial"/>
              </w:rPr>
              <w:t>Creación del documento</w:t>
            </w:r>
          </w:p>
        </w:tc>
        <w:tc>
          <w:tcPr>
            <w:tcW w:w="2433" w:type="dxa"/>
            <w:tcMar>
              <w:top w:w="57" w:type="dxa"/>
              <w:left w:w="113" w:type="dxa"/>
              <w:bottom w:w="57" w:type="dxa"/>
            </w:tcMar>
            <w:vAlign w:val="center"/>
          </w:tcPr>
          <w:p w:rsidR="00DA3C10" w:rsidRPr="008C65ED" w:rsidRDefault="00DA3C10" w:rsidP="00CB26AD">
            <w:pPr>
              <w:jc w:val="both"/>
              <w:rPr>
                <w:rFonts w:ascii="Arial Narrow" w:hAnsi="Arial Narrow" w:cs="Arial"/>
              </w:rPr>
            </w:pPr>
            <w:r w:rsidRPr="008C65ED">
              <w:rPr>
                <w:rFonts w:ascii="Arial Narrow" w:hAnsi="Arial Narrow" w:cs="Arial"/>
              </w:rPr>
              <w:t>Tatiana Santos Yate</w:t>
            </w:r>
          </w:p>
        </w:tc>
      </w:tr>
      <w:tr w:rsidR="00DA3C10" w:rsidRPr="008C65ED" w:rsidTr="001160E7">
        <w:trPr>
          <w:trHeight w:val="287"/>
        </w:trPr>
        <w:tc>
          <w:tcPr>
            <w:tcW w:w="1701" w:type="dxa"/>
            <w:shd w:val="clear" w:color="auto" w:fill="auto"/>
            <w:tcMar>
              <w:top w:w="57" w:type="dxa"/>
              <w:left w:w="113" w:type="dxa"/>
              <w:bottom w:w="57" w:type="dxa"/>
            </w:tcMar>
            <w:vAlign w:val="center"/>
          </w:tcPr>
          <w:p w:rsidR="00DA3C10" w:rsidRPr="008C65ED" w:rsidRDefault="00D01F1D" w:rsidP="00BE0D53">
            <w:pPr>
              <w:jc w:val="center"/>
              <w:rPr>
                <w:rFonts w:ascii="Arial Narrow" w:hAnsi="Arial Narrow" w:cs="Arial"/>
              </w:rPr>
            </w:pPr>
            <w:r w:rsidRPr="008C65ED">
              <w:rPr>
                <w:rFonts w:ascii="Arial Narrow" w:hAnsi="Arial Narrow" w:cs="Arial"/>
              </w:rPr>
              <w:lastRenderedPageBreak/>
              <w:t>2</w:t>
            </w:r>
            <w:r w:rsidR="00BE0D53" w:rsidRPr="008C65ED">
              <w:rPr>
                <w:rFonts w:ascii="Arial Narrow" w:hAnsi="Arial Narrow" w:cs="Arial"/>
              </w:rPr>
              <w:t>2</w:t>
            </w:r>
            <w:r w:rsidRPr="008C65ED">
              <w:rPr>
                <w:rFonts w:ascii="Arial Narrow" w:hAnsi="Arial Narrow" w:cs="Arial"/>
              </w:rPr>
              <w:t>-05-2020</w:t>
            </w:r>
          </w:p>
        </w:tc>
        <w:tc>
          <w:tcPr>
            <w:tcW w:w="1560" w:type="dxa"/>
            <w:shd w:val="clear" w:color="auto" w:fill="auto"/>
            <w:tcMar>
              <w:top w:w="57" w:type="dxa"/>
              <w:left w:w="113" w:type="dxa"/>
              <w:bottom w:w="57" w:type="dxa"/>
            </w:tcMar>
            <w:vAlign w:val="center"/>
          </w:tcPr>
          <w:p w:rsidR="00DA3C10" w:rsidRPr="008C65ED" w:rsidRDefault="00DA3C10" w:rsidP="003E2226">
            <w:pPr>
              <w:jc w:val="center"/>
              <w:rPr>
                <w:rFonts w:ascii="Arial Narrow" w:hAnsi="Arial Narrow" w:cs="Arial"/>
              </w:rPr>
            </w:pPr>
            <w:r w:rsidRPr="008C65ED">
              <w:rPr>
                <w:rFonts w:ascii="Arial Narrow" w:hAnsi="Arial Narrow" w:cs="Arial"/>
              </w:rPr>
              <w:t>2</w:t>
            </w:r>
          </w:p>
        </w:tc>
        <w:tc>
          <w:tcPr>
            <w:tcW w:w="3260" w:type="dxa"/>
            <w:tcMar>
              <w:top w:w="57" w:type="dxa"/>
              <w:left w:w="113" w:type="dxa"/>
              <w:bottom w:w="57" w:type="dxa"/>
            </w:tcMar>
            <w:vAlign w:val="center"/>
          </w:tcPr>
          <w:p w:rsidR="00DA3C10" w:rsidRPr="008C65ED" w:rsidRDefault="00CA2538" w:rsidP="003E2226">
            <w:pPr>
              <w:jc w:val="both"/>
              <w:rPr>
                <w:rFonts w:ascii="Arial Narrow" w:hAnsi="Arial Narrow" w:cs="Arial"/>
              </w:rPr>
            </w:pPr>
            <w:r w:rsidRPr="008C65ED">
              <w:rPr>
                <w:rFonts w:ascii="Arial Narrow" w:hAnsi="Arial Narrow" w:cs="Arial"/>
              </w:rPr>
              <w:t xml:space="preserve">Se incorporan las nuevas políticas relacionadas con operaciones </w:t>
            </w:r>
            <w:r w:rsidR="00D01F1D" w:rsidRPr="008C65ED">
              <w:rPr>
                <w:rFonts w:ascii="Arial Narrow" w:hAnsi="Arial Narrow" w:cs="Arial"/>
              </w:rPr>
              <w:t xml:space="preserve">con Entidades Públicas </w:t>
            </w:r>
            <w:r w:rsidRPr="008C65ED">
              <w:rPr>
                <w:rFonts w:ascii="Arial Narrow" w:hAnsi="Arial Narrow" w:cs="Arial"/>
              </w:rPr>
              <w:t xml:space="preserve">en el mercado mostrador </w:t>
            </w:r>
            <w:r w:rsidR="00D01F1D" w:rsidRPr="008C65ED">
              <w:rPr>
                <w:rFonts w:ascii="Arial Narrow" w:hAnsi="Arial Narrow" w:cs="Arial"/>
              </w:rPr>
              <w:t>–</w:t>
            </w:r>
            <w:r w:rsidRPr="008C65ED">
              <w:rPr>
                <w:rFonts w:ascii="Arial Narrow" w:hAnsi="Arial Narrow" w:cs="Arial"/>
              </w:rPr>
              <w:t xml:space="preserve"> OTC</w:t>
            </w:r>
            <w:r w:rsidR="00D01F1D" w:rsidRPr="008C65ED">
              <w:rPr>
                <w:rFonts w:ascii="Arial Narrow" w:hAnsi="Arial Narrow" w:cs="Arial"/>
              </w:rPr>
              <w:t xml:space="preserve"> y ajustes de asignación de cupos</w:t>
            </w:r>
            <w:r w:rsidR="00BE0D53" w:rsidRPr="008C65ED">
              <w:rPr>
                <w:rFonts w:ascii="Arial Narrow" w:hAnsi="Arial Narrow" w:cs="Arial"/>
              </w:rPr>
              <w:t>.</w:t>
            </w:r>
          </w:p>
        </w:tc>
        <w:tc>
          <w:tcPr>
            <w:tcW w:w="2433" w:type="dxa"/>
            <w:tcMar>
              <w:top w:w="57" w:type="dxa"/>
              <w:left w:w="113" w:type="dxa"/>
              <w:bottom w:w="57" w:type="dxa"/>
            </w:tcMar>
            <w:vAlign w:val="center"/>
          </w:tcPr>
          <w:p w:rsidR="00DA3C10" w:rsidRPr="008C65ED" w:rsidRDefault="00BE0D53" w:rsidP="00CB26AD">
            <w:pPr>
              <w:jc w:val="both"/>
              <w:rPr>
                <w:rFonts w:ascii="Arial Narrow" w:hAnsi="Arial Narrow" w:cs="Arial"/>
              </w:rPr>
            </w:pPr>
            <w:r w:rsidRPr="008C65ED">
              <w:rPr>
                <w:rFonts w:ascii="Arial Narrow" w:hAnsi="Arial Narrow" w:cs="Arial"/>
              </w:rPr>
              <w:t>Liliana Parra Ramírez</w:t>
            </w:r>
          </w:p>
        </w:tc>
      </w:tr>
      <w:tr w:rsidR="00C41323" w:rsidRPr="008C65ED" w:rsidTr="001160E7">
        <w:trPr>
          <w:trHeight w:val="287"/>
        </w:trPr>
        <w:tc>
          <w:tcPr>
            <w:tcW w:w="1701" w:type="dxa"/>
            <w:shd w:val="clear" w:color="auto" w:fill="auto"/>
            <w:tcMar>
              <w:top w:w="57" w:type="dxa"/>
              <w:left w:w="113" w:type="dxa"/>
              <w:bottom w:w="57" w:type="dxa"/>
            </w:tcMar>
            <w:vAlign w:val="center"/>
          </w:tcPr>
          <w:p w:rsidR="00C41323" w:rsidRPr="008C65ED" w:rsidRDefault="00C41323" w:rsidP="001B5821">
            <w:pPr>
              <w:jc w:val="center"/>
              <w:rPr>
                <w:rFonts w:ascii="Arial Narrow" w:hAnsi="Arial Narrow" w:cs="Arial"/>
              </w:rPr>
            </w:pPr>
            <w:r w:rsidRPr="008C65ED">
              <w:rPr>
                <w:rFonts w:ascii="Arial Narrow" w:hAnsi="Arial Narrow" w:cs="Arial"/>
              </w:rPr>
              <w:t>2</w:t>
            </w:r>
            <w:r w:rsidR="001B5821" w:rsidRPr="008C65ED">
              <w:rPr>
                <w:rFonts w:ascii="Arial Narrow" w:hAnsi="Arial Narrow" w:cs="Arial"/>
              </w:rPr>
              <w:t>4</w:t>
            </w:r>
            <w:r w:rsidRPr="008C65ED">
              <w:rPr>
                <w:rFonts w:ascii="Arial Narrow" w:hAnsi="Arial Narrow" w:cs="Arial"/>
              </w:rPr>
              <w:t>-07-2020</w:t>
            </w:r>
          </w:p>
        </w:tc>
        <w:tc>
          <w:tcPr>
            <w:tcW w:w="1560" w:type="dxa"/>
            <w:shd w:val="clear" w:color="auto" w:fill="auto"/>
            <w:tcMar>
              <w:top w:w="57" w:type="dxa"/>
              <w:left w:w="113" w:type="dxa"/>
              <w:bottom w:w="57" w:type="dxa"/>
            </w:tcMar>
            <w:vAlign w:val="center"/>
          </w:tcPr>
          <w:p w:rsidR="00C41323" w:rsidRPr="008C65ED" w:rsidRDefault="00C41323" w:rsidP="003E2226">
            <w:pPr>
              <w:jc w:val="center"/>
              <w:rPr>
                <w:rFonts w:ascii="Arial Narrow" w:hAnsi="Arial Narrow" w:cs="Arial"/>
              </w:rPr>
            </w:pPr>
            <w:r w:rsidRPr="008C65ED">
              <w:rPr>
                <w:rFonts w:ascii="Arial Narrow" w:hAnsi="Arial Narrow" w:cs="Arial"/>
              </w:rPr>
              <w:t>3</w:t>
            </w:r>
          </w:p>
        </w:tc>
        <w:tc>
          <w:tcPr>
            <w:tcW w:w="3260" w:type="dxa"/>
            <w:tcMar>
              <w:top w:w="57" w:type="dxa"/>
              <w:left w:w="113" w:type="dxa"/>
              <w:bottom w:w="57" w:type="dxa"/>
            </w:tcMar>
            <w:vAlign w:val="center"/>
          </w:tcPr>
          <w:p w:rsidR="00C41323" w:rsidRPr="008C65ED" w:rsidRDefault="00C41323" w:rsidP="001B5821">
            <w:pPr>
              <w:jc w:val="both"/>
              <w:rPr>
                <w:rFonts w:ascii="Arial Narrow" w:hAnsi="Arial Narrow" w:cs="Arial"/>
              </w:rPr>
            </w:pPr>
            <w:r w:rsidRPr="008C65ED">
              <w:rPr>
                <w:rFonts w:ascii="Arial Narrow" w:hAnsi="Arial Narrow" w:cs="Arial"/>
              </w:rPr>
              <w:t xml:space="preserve">Se complementan los lineamientos de gestión de </w:t>
            </w:r>
            <w:r w:rsidR="001B5821" w:rsidRPr="008C65ED">
              <w:rPr>
                <w:rFonts w:ascii="Arial Narrow" w:hAnsi="Arial Narrow" w:cs="Arial"/>
              </w:rPr>
              <w:t>cumplimiento</w:t>
            </w:r>
            <w:r w:rsidRPr="008C65ED">
              <w:rPr>
                <w:rFonts w:ascii="Arial Narrow" w:hAnsi="Arial Narrow" w:cs="Arial"/>
              </w:rPr>
              <w:t xml:space="preserve"> de limites</w:t>
            </w:r>
          </w:p>
        </w:tc>
        <w:tc>
          <w:tcPr>
            <w:tcW w:w="2433" w:type="dxa"/>
            <w:tcMar>
              <w:top w:w="57" w:type="dxa"/>
              <w:left w:w="113" w:type="dxa"/>
              <w:bottom w:w="57" w:type="dxa"/>
            </w:tcMar>
            <w:vAlign w:val="center"/>
          </w:tcPr>
          <w:p w:rsidR="00C41323" w:rsidRPr="008C65ED" w:rsidRDefault="001160E7" w:rsidP="00CB26AD">
            <w:pPr>
              <w:jc w:val="both"/>
              <w:rPr>
                <w:rFonts w:ascii="Arial Narrow" w:hAnsi="Arial Narrow" w:cs="Arial"/>
              </w:rPr>
            </w:pPr>
            <w:r w:rsidRPr="008C65ED">
              <w:rPr>
                <w:rFonts w:ascii="Arial Narrow" w:hAnsi="Arial Narrow" w:cs="Arial"/>
              </w:rPr>
              <w:t>Liliana Parra Ramírez</w:t>
            </w:r>
          </w:p>
        </w:tc>
      </w:tr>
      <w:tr w:rsidR="00A54D53" w:rsidRPr="008C65ED" w:rsidTr="001160E7">
        <w:trPr>
          <w:trHeight w:val="287"/>
        </w:trPr>
        <w:tc>
          <w:tcPr>
            <w:tcW w:w="1701" w:type="dxa"/>
            <w:shd w:val="clear" w:color="auto" w:fill="auto"/>
            <w:tcMar>
              <w:top w:w="57" w:type="dxa"/>
              <w:left w:w="113" w:type="dxa"/>
              <w:bottom w:w="57" w:type="dxa"/>
            </w:tcMar>
            <w:vAlign w:val="center"/>
          </w:tcPr>
          <w:p w:rsidR="00A54D53" w:rsidRPr="008C65ED" w:rsidRDefault="001160E7" w:rsidP="001160E7">
            <w:pPr>
              <w:jc w:val="center"/>
              <w:rPr>
                <w:rFonts w:ascii="Arial Narrow" w:hAnsi="Arial Narrow" w:cs="Arial"/>
              </w:rPr>
            </w:pPr>
            <w:r>
              <w:rPr>
                <w:rFonts w:ascii="Arial Narrow" w:hAnsi="Arial Narrow" w:cs="Arial"/>
              </w:rPr>
              <w:t>27</w:t>
            </w:r>
            <w:r w:rsidR="00A54D53" w:rsidRPr="008C65ED">
              <w:rPr>
                <w:rFonts w:ascii="Arial Narrow" w:hAnsi="Arial Narrow" w:cs="Arial"/>
              </w:rPr>
              <w:t>-</w:t>
            </w:r>
            <w:r>
              <w:rPr>
                <w:rFonts w:ascii="Arial Narrow" w:hAnsi="Arial Narrow" w:cs="Arial"/>
              </w:rPr>
              <w:t>10</w:t>
            </w:r>
            <w:r w:rsidR="00A54D53" w:rsidRPr="008C65ED">
              <w:rPr>
                <w:rFonts w:ascii="Arial Narrow" w:hAnsi="Arial Narrow" w:cs="Arial"/>
              </w:rPr>
              <w:t>-2021</w:t>
            </w:r>
          </w:p>
        </w:tc>
        <w:tc>
          <w:tcPr>
            <w:tcW w:w="1560" w:type="dxa"/>
            <w:shd w:val="clear" w:color="auto" w:fill="auto"/>
            <w:tcMar>
              <w:top w:w="57" w:type="dxa"/>
              <w:left w:w="113" w:type="dxa"/>
              <w:bottom w:w="57" w:type="dxa"/>
            </w:tcMar>
            <w:vAlign w:val="center"/>
          </w:tcPr>
          <w:p w:rsidR="00A54D53" w:rsidRPr="008C65ED" w:rsidRDefault="00A54D53" w:rsidP="00A54D53">
            <w:pPr>
              <w:jc w:val="center"/>
              <w:rPr>
                <w:rFonts w:ascii="Arial Narrow" w:hAnsi="Arial Narrow" w:cs="Arial"/>
              </w:rPr>
            </w:pPr>
            <w:r w:rsidRPr="008C65ED">
              <w:rPr>
                <w:rFonts w:ascii="Arial Narrow" w:hAnsi="Arial Narrow" w:cs="Arial"/>
              </w:rPr>
              <w:t>4</w:t>
            </w:r>
          </w:p>
        </w:tc>
        <w:tc>
          <w:tcPr>
            <w:tcW w:w="3260" w:type="dxa"/>
            <w:tcMar>
              <w:top w:w="57" w:type="dxa"/>
              <w:left w:w="113" w:type="dxa"/>
              <w:bottom w:w="57" w:type="dxa"/>
            </w:tcMar>
            <w:vAlign w:val="center"/>
          </w:tcPr>
          <w:p w:rsidR="00A54D53" w:rsidRPr="008C65ED" w:rsidRDefault="00A54D53" w:rsidP="00A54D53">
            <w:pPr>
              <w:jc w:val="both"/>
              <w:rPr>
                <w:rFonts w:ascii="Arial Narrow" w:hAnsi="Arial Narrow" w:cs="Arial"/>
              </w:rPr>
            </w:pPr>
            <w:r w:rsidRPr="008C65ED">
              <w:rPr>
                <w:rFonts w:ascii="Arial Narrow" w:hAnsi="Arial Narrow" w:cs="Arial"/>
              </w:rPr>
              <w:t>Se actualizan los lineamientos de cumplimiento de limites</w:t>
            </w:r>
          </w:p>
        </w:tc>
        <w:tc>
          <w:tcPr>
            <w:tcW w:w="2433" w:type="dxa"/>
            <w:tcMar>
              <w:top w:w="57" w:type="dxa"/>
              <w:left w:w="113" w:type="dxa"/>
              <w:bottom w:w="57" w:type="dxa"/>
            </w:tcMar>
            <w:vAlign w:val="center"/>
          </w:tcPr>
          <w:p w:rsidR="00A54D53" w:rsidRPr="008C65ED" w:rsidRDefault="001160E7" w:rsidP="00A54D53">
            <w:pPr>
              <w:jc w:val="both"/>
              <w:rPr>
                <w:rFonts w:ascii="Arial Narrow" w:hAnsi="Arial Narrow" w:cs="Arial"/>
              </w:rPr>
            </w:pPr>
            <w:r>
              <w:rPr>
                <w:rFonts w:ascii="Arial Narrow" w:hAnsi="Arial Narrow" w:cs="Arial"/>
              </w:rPr>
              <w:t>Claudia Umbarila Rodríguez</w:t>
            </w:r>
          </w:p>
        </w:tc>
      </w:tr>
    </w:tbl>
    <w:p w:rsidR="0078679A" w:rsidRPr="008C65ED" w:rsidRDefault="0078679A" w:rsidP="00CB26AD">
      <w:pPr>
        <w:jc w:val="both"/>
        <w:rPr>
          <w:rFonts w:ascii="Arial Narrow" w:hAnsi="Arial Narrow" w:cs="Arial"/>
          <w:b/>
          <w:sz w:val="24"/>
          <w:szCs w:val="24"/>
        </w:rPr>
      </w:pPr>
    </w:p>
    <w:p w:rsidR="0078679A" w:rsidRPr="008C65ED" w:rsidRDefault="0078679A" w:rsidP="008F73A5">
      <w:pPr>
        <w:pStyle w:val="Ttulo1"/>
        <w:numPr>
          <w:ilvl w:val="0"/>
          <w:numId w:val="1"/>
        </w:numPr>
        <w:jc w:val="left"/>
        <w:rPr>
          <w:rFonts w:ascii="Arial Narrow" w:hAnsi="Arial Narrow"/>
          <w:sz w:val="24"/>
          <w:szCs w:val="24"/>
        </w:rPr>
      </w:pPr>
      <w:bookmarkStart w:id="71" w:name="_Toc80191607"/>
      <w:r w:rsidRPr="008C65ED">
        <w:rPr>
          <w:rFonts w:ascii="Arial Narrow" w:hAnsi="Arial Narrow"/>
          <w:sz w:val="24"/>
          <w:szCs w:val="24"/>
        </w:rPr>
        <w:t>APROBACIÓN</w:t>
      </w:r>
      <w:bookmarkEnd w:id="71"/>
    </w:p>
    <w:p w:rsidR="00117253" w:rsidRPr="008C65ED" w:rsidRDefault="00117253" w:rsidP="00117253">
      <w:pPr>
        <w:rPr>
          <w:rFonts w:ascii="Arial Narrow" w:hAnsi="Arial Narrow"/>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5F0AC3" w:rsidRPr="008C65ED" w:rsidTr="003933D9">
        <w:trPr>
          <w:trHeight w:val="733"/>
        </w:trPr>
        <w:tc>
          <w:tcPr>
            <w:tcW w:w="2835" w:type="dxa"/>
            <w:vMerge w:val="restart"/>
            <w:tcBorders>
              <w:top w:val="single" w:sz="6" w:space="0" w:color="auto"/>
              <w:left w:val="single" w:sz="6" w:space="0" w:color="auto"/>
              <w:right w:val="single" w:sz="6" w:space="0" w:color="auto"/>
            </w:tcBorders>
            <w:shd w:val="clear" w:color="auto" w:fill="D9D9D9"/>
            <w:vAlign w:val="center"/>
            <w:hideMark/>
          </w:tcPr>
          <w:p w:rsidR="005F0AC3" w:rsidRPr="008C65ED" w:rsidRDefault="005F0AC3" w:rsidP="00954628">
            <w:pPr>
              <w:pStyle w:val="Piedepgina"/>
              <w:ind w:right="360"/>
              <w:jc w:val="both"/>
              <w:rPr>
                <w:rFonts w:ascii="Arial Narrow" w:hAnsi="Arial Narrow" w:cs="Arial"/>
                <w:b/>
                <w:szCs w:val="22"/>
              </w:rPr>
            </w:pPr>
            <w:r w:rsidRPr="008C65ED">
              <w:rPr>
                <w:rFonts w:ascii="Arial Narrow" w:hAnsi="Arial Narrow" w:cs="Arial"/>
                <w:b/>
                <w:szCs w:val="22"/>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5F0AC3" w:rsidRPr="008C65ED" w:rsidRDefault="005F0AC3" w:rsidP="00117253">
            <w:pPr>
              <w:pStyle w:val="Ttulo"/>
              <w:jc w:val="left"/>
              <w:rPr>
                <w:rFonts w:ascii="Arial Narrow" w:hAnsi="Arial Narrow"/>
                <w:sz w:val="20"/>
                <w:szCs w:val="22"/>
              </w:rPr>
            </w:pPr>
            <w:r w:rsidRPr="008C65ED">
              <w:rPr>
                <w:rFonts w:ascii="Arial Narrow" w:hAnsi="Arial Narrow"/>
                <w:b/>
                <w:sz w:val="20"/>
                <w:szCs w:val="22"/>
              </w:rPr>
              <w:t xml:space="preserve">Nombre: </w:t>
            </w:r>
            <w:r w:rsidRPr="008C65ED">
              <w:rPr>
                <w:rFonts w:ascii="Arial Narrow" w:hAnsi="Arial Narrow"/>
                <w:sz w:val="20"/>
                <w:szCs w:val="22"/>
              </w:rPr>
              <w:t>John Neftali Mojica Morales</w:t>
            </w:r>
          </w:p>
          <w:p w:rsidR="005F0AC3" w:rsidRPr="008C65ED" w:rsidRDefault="005F0AC3" w:rsidP="00117253">
            <w:pPr>
              <w:pStyle w:val="Ttulo"/>
              <w:jc w:val="left"/>
              <w:rPr>
                <w:rFonts w:ascii="Arial Narrow" w:hAnsi="Arial Narrow"/>
                <w:sz w:val="20"/>
                <w:szCs w:val="22"/>
              </w:rPr>
            </w:pPr>
            <w:r w:rsidRPr="008C65ED">
              <w:rPr>
                <w:rFonts w:ascii="Arial Narrow" w:hAnsi="Arial Narrow"/>
                <w:b/>
                <w:sz w:val="20"/>
                <w:szCs w:val="22"/>
              </w:rPr>
              <w:t xml:space="preserve">Cargo:    </w:t>
            </w:r>
            <w:r w:rsidR="00C96DFC" w:rsidRPr="008C65ED">
              <w:rPr>
                <w:rFonts w:ascii="Arial Narrow" w:hAnsi="Arial Narrow"/>
                <w:sz w:val="20"/>
                <w:szCs w:val="22"/>
              </w:rPr>
              <w:t>Profesional Especializado</w:t>
            </w:r>
            <w:r w:rsidRPr="008C65ED">
              <w:rPr>
                <w:rFonts w:ascii="Arial Narrow" w:hAnsi="Arial Narrow"/>
                <w:sz w:val="20"/>
                <w:szCs w:val="22"/>
              </w:rPr>
              <w:t xml:space="preserve"> </w:t>
            </w:r>
          </w:p>
          <w:p w:rsidR="005F0AC3" w:rsidRPr="008C65ED" w:rsidRDefault="005F0AC3" w:rsidP="00C41323">
            <w:pPr>
              <w:pStyle w:val="Piedepgina"/>
              <w:ind w:right="360"/>
              <w:jc w:val="both"/>
              <w:rPr>
                <w:rFonts w:ascii="Arial Narrow" w:hAnsi="Arial Narrow" w:cs="Arial"/>
                <w:b/>
                <w:szCs w:val="22"/>
              </w:rPr>
            </w:pPr>
            <w:r w:rsidRPr="008C65ED">
              <w:rPr>
                <w:rFonts w:ascii="Arial Narrow" w:hAnsi="Arial Narrow" w:cs="Arial"/>
                <w:b/>
                <w:szCs w:val="22"/>
              </w:rPr>
              <w:t xml:space="preserve">Fecha:    </w:t>
            </w:r>
            <w:r w:rsidR="00A54D53" w:rsidRPr="008C65ED">
              <w:rPr>
                <w:rFonts w:ascii="Arial Narrow" w:hAnsi="Arial Narrow"/>
              </w:rPr>
              <w:t>01-08</w:t>
            </w:r>
            <w:r w:rsidRPr="008C65ED">
              <w:rPr>
                <w:rFonts w:ascii="Arial Narrow" w:hAnsi="Arial Narrow"/>
              </w:rPr>
              <w:t>-202</w:t>
            </w:r>
            <w:r w:rsidR="00A54D53" w:rsidRPr="008C65ED">
              <w:rPr>
                <w:rFonts w:ascii="Arial Narrow" w:hAnsi="Arial Narrow"/>
              </w:rPr>
              <w:t>1</w:t>
            </w:r>
          </w:p>
        </w:tc>
      </w:tr>
      <w:tr w:rsidR="005F0AC3" w:rsidRPr="008C65ED" w:rsidTr="003933D9">
        <w:trPr>
          <w:trHeight w:val="733"/>
        </w:trPr>
        <w:tc>
          <w:tcPr>
            <w:tcW w:w="2835" w:type="dxa"/>
            <w:vMerge/>
            <w:tcBorders>
              <w:left w:val="single" w:sz="6" w:space="0" w:color="auto"/>
              <w:bottom w:val="single" w:sz="6" w:space="0" w:color="auto"/>
              <w:right w:val="single" w:sz="6" w:space="0" w:color="auto"/>
            </w:tcBorders>
            <w:shd w:val="clear" w:color="auto" w:fill="D9D9D9"/>
            <w:vAlign w:val="center"/>
          </w:tcPr>
          <w:p w:rsidR="005F0AC3" w:rsidRPr="008C65ED" w:rsidRDefault="005F0AC3" w:rsidP="00954628">
            <w:pPr>
              <w:pStyle w:val="Piedepgina"/>
              <w:ind w:right="360"/>
              <w:jc w:val="both"/>
              <w:rPr>
                <w:rFonts w:ascii="Arial Narrow" w:hAnsi="Arial Narrow" w:cs="Arial"/>
                <w:b/>
                <w:szCs w:val="22"/>
              </w:rPr>
            </w:pP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5F0AC3" w:rsidRPr="008C65ED" w:rsidRDefault="005F0AC3" w:rsidP="005F0AC3">
            <w:pPr>
              <w:pStyle w:val="Ttulo"/>
              <w:jc w:val="left"/>
              <w:rPr>
                <w:rFonts w:ascii="Arial Narrow" w:hAnsi="Arial Narrow"/>
                <w:sz w:val="20"/>
                <w:szCs w:val="22"/>
              </w:rPr>
            </w:pPr>
            <w:r w:rsidRPr="008C65ED">
              <w:rPr>
                <w:rFonts w:ascii="Arial Narrow" w:hAnsi="Arial Narrow"/>
                <w:b/>
                <w:sz w:val="20"/>
                <w:szCs w:val="22"/>
              </w:rPr>
              <w:t xml:space="preserve">Nombre: </w:t>
            </w:r>
            <w:r w:rsidR="00C96DFC" w:rsidRPr="008C65ED">
              <w:rPr>
                <w:rFonts w:ascii="Arial Narrow" w:hAnsi="Arial Narrow"/>
                <w:sz w:val="20"/>
                <w:szCs w:val="22"/>
              </w:rPr>
              <w:t xml:space="preserve">Alejandra </w:t>
            </w:r>
            <w:r w:rsidR="00264FE0" w:rsidRPr="008C65ED">
              <w:rPr>
                <w:rFonts w:ascii="Arial Narrow" w:hAnsi="Arial Narrow"/>
                <w:sz w:val="20"/>
                <w:szCs w:val="22"/>
              </w:rPr>
              <w:t>Barragán</w:t>
            </w:r>
            <w:r w:rsidR="00C96DFC" w:rsidRPr="008C65ED">
              <w:rPr>
                <w:rFonts w:ascii="Arial Narrow" w:hAnsi="Arial Narrow"/>
                <w:sz w:val="20"/>
                <w:szCs w:val="22"/>
              </w:rPr>
              <w:t xml:space="preserve"> Rojas</w:t>
            </w:r>
          </w:p>
          <w:p w:rsidR="005F0AC3" w:rsidRPr="008C65ED" w:rsidRDefault="005F0AC3" w:rsidP="005F0AC3">
            <w:pPr>
              <w:pStyle w:val="Ttulo"/>
              <w:jc w:val="left"/>
              <w:rPr>
                <w:rFonts w:ascii="Arial Narrow" w:hAnsi="Arial Narrow"/>
                <w:sz w:val="20"/>
                <w:szCs w:val="22"/>
              </w:rPr>
            </w:pPr>
            <w:r w:rsidRPr="008C65ED">
              <w:rPr>
                <w:rFonts w:ascii="Arial Narrow" w:hAnsi="Arial Narrow"/>
                <w:b/>
                <w:sz w:val="20"/>
                <w:szCs w:val="22"/>
              </w:rPr>
              <w:t xml:space="preserve">Cargo:    </w:t>
            </w:r>
            <w:r w:rsidR="00C96DFC" w:rsidRPr="008C65ED">
              <w:rPr>
                <w:rFonts w:ascii="Arial Narrow" w:hAnsi="Arial Narrow"/>
                <w:sz w:val="20"/>
                <w:szCs w:val="22"/>
              </w:rPr>
              <w:t>Coordinadora del Grupo Gestión Integral de Riesgo</w:t>
            </w:r>
          </w:p>
          <w:p w:rsidR="005F0AC3" w:rsidRPr="008C65ED" w:rsidRDefault="005F0AC3" w:rsidP="005F0AC3">
            <w:pPr>
              <w:pStyle w:val="Ttulo"/>
              <w:jc w:val="left"/>
              <w:rPr>
                <w:rFonts w:ascii="Arial Narrow" w:hAnsi="Arial Narrow"/>
                <w:b/>
                <w:sz w:val="20"/>
                <w:szCs w:val="22"/>
              </w:rPr>
            </w:pPr>
            <w:r w:rsidRPr="008C65ED">
              <w:rPr>
                <w:rFonts w:ascii="Arial Narrow" w:hAnsi="Arial Narrow"/>
                <w:b/>
                <w:sz w:val="20"/>
                <w:szCs w:val="22"/>
              </w:rPr>
              <w:t>Fecha:</w:t>
            </w:r>
            <w:r w:rsidRPr="008C65ED">
              <w:rPr>
                <w:rFonts w:ascii="Arial Narrow" w:hAnsi="Arial Narrow"/>
                <w:b/>
                <w:szCs w:val="22"/>
              </w:rPr>
              <w:t xml:space="preserve">   </w:t>
            </w:r>
            <w:r w:rsidR="00A54D53" w:rsidRPr="008C65ED">
              <w:rPr>
                <w:rFonts w:ascii="Arial Narrow" w:hAnsi="Arial Narrow"/>
                <w:sz w:val="20"/>
                <w:szCs w:val="22"/>
              </w:rPr>
              <w:t>01-08</w:t>
            </w:r>
            <w:r w:rsidR="00C41323" w:rsidRPr="008C65ED">
              <w:rPr>
                <w:rFonts w:ascii="Arial Narrow" w:hAnsi="Arial Narrow"/>
                <w:sz w:val="20"/>
                <w:szCs w:val="22"/>
              </w:rPr>
              <w:t>-202</w:t>
            </w:r>
            <w:r w:rsidR="00A54D53" w:rsidRPr="008C65ED">
              <w:rPr>
                <w:rFonts w:ascii="Arial Narrow" w:hAnsi="Arial Narrow"/>
                <w:sz w:val="20"/>
                <w:szCs w:val="22"/>
              </w:rPr>
              <w:t>1</w:t>
            </w:r>
          </w:p>
        </w:tc>
      </w:tr>
      <w:tr w:rsidR="00117253" w:rsidRPr="008C65ED" w:rsidTr="00954628">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117253" w:rsidRPr="008C65ED" w:rsidRDefault="00117253" w:rsidP="00954628">
            <w:pPr>
              <w:pStyle w:val="Piedepgina"/>
              <w:ind w:right="360"/>
              <w:jc w:val="both"/>
              <w:rPr>
                <w:rFonts w:ascii="Arial Narrow" w:hAnsi="Arial Narrow" w:cs="Arial"/>
                <w:b/>
                <w:szCs w:val="22"/>
              </w:rPr>
            </w:pPr>
            <w:r w:rsidRPr="008C65ED">
              <w:rPr>
                <w:rFonts w:ascii="Arial Narrow" w:hAnsi="Arial Narrow" w:cs="Arial"/>
                <w:b/>
                <w:szCs w:val="22"/>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117253" w:rsidRPr="008C65ED" w:rsidRDefault="00117253" w:rsidP="00117253">
            <w:pPr>
              <w:pStyle w:val="Ttulo"/>
              <w:jc w:val="left"/>
              <w:rPr>
                <w:rFonts w:ascii="Arial Narrow" w:hAnsi="Arial Narrow"/>
                <w:sz w:val="20"/>
                <w:szCs w:val="22"/>
              </w:rPr>
            </w:pPr>
            <w:r w:rsidRPr="008C65ED">
              <w:rPr>
                <w:rFonts w:ascii="Arial Narrow" w:hAnsi="Arial Narrow"/>
                <w:b/>
                <w:sz w:val="20"/>
                <w:szCs w:val="22"/>
              </w:rPr>
              <w:t xml:space="preserve">Nombre: </w:t>
            </w:r>
            <w:r w:rsidRPr="008C65ED">
              <w:rPr>
                <w:rFonts w:ascii="Arial Narrow" w:hAnsi="Arial Narrow"/>
                <w:sz w:val="20"/>
                <w:szCs w:val="22"/>
              </w:rPr>
              <w:t>Javier Andrés Cuéllar Sánchez</w:t>
            </w:r>
          </w:p>
          <w:p w:rsidR="00117253" w:rsidRPr="008C65ED" w:rsidRDefault="00117253" w:rsidP="00117253">
            <w:pPr>
              <w:pStyle w:val="Ttulo"/>
              <w:jc w:val="left"/>
              <w:rPr>
                <w:rFonts w:ascii="Arial Narrow" w:hAnsi="Arial Narrow"/>
                <w:sz w:val="20"/>
                <w:szCs w:val="22"/>
              </w:rPr>
            </w:pPr>
            <w:r w:rsidRPr="008C65ED">
              <w:rPr>
                <w:rFonts w:ascii="Arial Narrow" w:hAnsi="Arial Narrow"/>
                <w:b/>
                <w:sz w:val="20"/>
                <w:szCs w:val="22"/>
              </w:rPr>
              <w:t xml:space="preserve">Cargo:    </w:t>
            </w:r>
            <w:r w:rsidRPr="008C65ED">
              <w:rPr>
                <w:rFonts w:ascii="Arial Narrow" w:hAnsi="Arial Narrow"/>
                <w:sz w:val="20"/>
                <w:szCs w:val="22"/>
              </w:rPr>
              <w:t>Subdirector de Riesgo</w:t>
            </w:r>
          </w:p>
          <w:p w:rsidR="00117253" w:rsidRPr="008C65ED" w:rsidRDefault="00117253" w:rsidP="00D01F1D">
            <w:pPr>
              <w:pStyle w:val="Piedepgina"/>
              <w:ind w:right="360"/>
              <w:jc w:val="both"/>
              <w:rPr>
                <w:rFonts w:ascii="Arial Narrow" w:hAnsi="Arial Narrow" w:cs="Arial"/>
                <w:b/>
                <w:szCs w:val="22"/>
              </w:rPr>
            </w:pPr>
            <w:r w:rsidRPr="008C65ED">
              <w:rPr>
                <w:rFonts w:ascii="Arial Narrow" w:hAnsi="Arial Narrow" w:cs="Arial"/>
                <w:b/>
                <w:szCs w:val="22"/>
              </w:rPr>
              <w:t xml:space="preserve">Fecha:    </w:t>
            </w:r>
            <w:r w:rsidR="00A54D53" w:rsidRPr="008C65ED">
              <w:rPr>
                <w:rFonts w:ascii="Arial Narrow" w:hAnsi="Arial Narrow"/>
              </w:rPr>
              <w:t>01-08</w:t>
            </w:r>
            <w:r w:rsidR="00C41323" w:rsidRPr="008C65ED">
              <w:rPr>
                <w:rFonts w:ascii="Arial Narrow" w:hAnsi="Arial Narrow"/>
              </w:rPr>
              <w:t>-202</w:t>
            </w:r>
            <w:r w:rsidR="00A54D53" w:rsidRPr="008C65ED">
              <w:rPr>
                <w:rFonts w:ascii="Arial Narrow" w:hAnsi="Arial Narrow"/>
              </w:rPr>
              <w:t>1</w:t>
            </w:r>
          </w:p>
        </w:tc>
      </w:tr>
      <w:tr w:rsidR="00117253" w:rsidRPr="008C65ED" w:rsidTr="00954628">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117253" w:rsidRPr="008C65ED" w:rsidRDefault="00117253" w:rsidP="00954628">
            <w:pPr>
              <w:pStyle w:val="Piedepgina"/>
              <w:ind w:right="360"/>
              <w:jc w:val="both"/>
              <w:rPr>
                <w:rFonts w:ascii="Arial Narrow" w:hAnsi="Arial Narrow" w:cs="Arial"/>
                <w:b/>
                <w:szCs w:val="22"/>
              </w:rPr>
            </w:pPr>
            <w:r w:rsidRPr="008C65ED">
              <w:rPr>
                <w:rFonts w:ascii="Arial Narrow" w:hAnsi="Arial Narrow" w:cs="Arial"/>
                <w:b/>
                <w:szCs w:val="22"/>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117253" w:rsidRPr="008C65ED" w:rsidRDefault="00117253" w:rsidP="00117253">
            <w:pPr>
              <w:pStyle w:val="Ttulo"/>
              <w:jc w:val="left"/>
              <w:rPr>
                <w:rFonts w:ascii="Arial Narrow" w:hAnsi="Arial Narrow"/>
                <w:b/>
                <w:sz w:val="20"/>
                <w:szCs w:val="22"/>
              </w:rPr>
            </w:pPr>
            <w:r w:rsidRPr="008C65ED">
              <w:rPr>
                <w:rFonts w:ascii="Arial Narrow" w:hAnsi="Arial Narrow"/>
                <w:b/>
                <w:sz w:val="20"/>
                <w:szCs w:val="22"/>
              </w:rPr>
              <w:t xml:space="preserve">Nombre: </w:t>
            </w:r>
            <w:r w:rsidR="00C41323" w:rsidRPr="008C65ED">
              <w:rPr>
                <w:rFonts w:ascii="Arial Narrow" w:hAnsi="Arial Narrow"/>
                <w:sz w:val="20"/>
                <w:szCs w:val="22"/>
              </w:rPr>
              <w:t>Cé</w:t>
            </w:r>
            <w:r w:rsidRPr="008C65ED">
              <w:rPr>
                <w:rFonts w:ascii="Arial Narrow" w:hAnsi="Arial Narrow"/>
                <w:sz w:val="20"/>
                <w:szCs w:val="22"/>
              </w:rPr>
              <w:t>sar Augusto Arias Hernández</w:t>
            </w:r>
          </w:p>
          <w:p w:rsidR="00117253" w:rsidRPr="008C65ED" w:rsidRDefault="00117253" w:rsidP="00954628">
            <w:pPr>
              <w:pStyle w:val="Piedepgina"/>
              <w:tabs>
                <w:tab w:val="clear" w:pos="4252"/>
                <w:tab w:val="center" w:pos="4325"/>
              </w:tabs>
              <w:ind w:right="-70"/>
              <w:jc w:val="both"/>
              <w:rPr>
                <w:rFonts w:ascii="Arial Narrow" w:hAnsi="Arial Narrow" w:cs="Arial"/>
                <w:b/>
                <w:szCs w:val="22"/>
              </w:rPr>
            </w:pPr>
            <w:r w:rsidRPr="008C65ED">
              <w:rPr>
                <w:rFonts w:ascii="Arial Narrow" w:hAnsi="Arial Narrow" w:cs="Arial"/>
                <w:b/>
                <w:szCs w:val="22"/>
              </w:rPr>
              <w:t>Cargo:</w:t>
            </w:r>
            <w:r w:rsidRPr="008C65ED">
              <w:rPr>
                <w:rFonts w:ascii="Arial Narrow" w:hAnsi="Arial Narrow" w:cs="Arial"/>
                <w:b/>
                <w:i/>
                <w:color w:val="C00000"/>
                <w:szCs w:val="22"/>
              </w:rPr>
              <w:t xml:space="preserve">    </w:t>
            </w:r>
            <w:r w:rsidRPr="008C65ED">
              <w:rPr>
                <w:rFonts w:ascii="Arial Narrow" w:hAnsi="Arial Narrow"/>
                <w:szCs w:val="22"/>
              </w:rPr>
              <w:t>Director General de Crédito Público y Tesoro Nacional</w:t>
            </w:r>
          </w:p>
          <w:p w:rsidR="00117253" w:rsidRPr="008C65ED" w:rsidRDefault="00117253" w:rsidP="001160E7">
            <w:pPr>
              <w:pStyle w:val="Piedepgina"/>
              <w:ind w:right="360"/>
              <w:jc w:val="both"/>
              <w:rPr>
                <w:rFonts w:ascii="Arial Narrow" w:hAnsi="Arial Narrow" w:cs="Arial"/>
                <w:b/>
                <w:szCs w:val="22"/>
              </w:rPr>
            </w:pPr>
            <w:r w:rsidRPr="008C65ED">
              <w:rPr>
                <w:rFonts w:ascii="Arial Narrow" w:hAnsi="Arial Narrow" w:cs="Arial"/>
                <w:b/>
                <w:szCs w:val="22"/>
              </w:rPr>
              <w:t xml:space="preserve">Fecha:  </w:t>
            </w:r>
            <w:r w:rsidRPr="001160E7">
              <w:rPr>
                <w:rFonts w:ascii="Arial Narrow" w:hAnsi="Arial Narrow" w:cs="Arial"/>
                <w:szCs w:val="22"/>
              </w:rPr>
              <w:t xml:space="preserve">  </w:t>
            </w:r>
            <w:r w:rsidR="001160E7" w:rsidRPr="001160E7">
              <w:rPr>
                <w:rFonts w:ascii="Arial Narrow" w:hAnsi="Arial Narrow" w:cs="Arial"/>
                <w:szCs w:val="22"/>
              </w:rPr>
              <w:t>27</w:t>
            </w:r>
            <w:r w:rsidR="00A54D53" w:rsidRPr="001160E7">
              <w:rPr>
                <w:rFonts w:ascii="Arial Narrow" w:hAnsi="Arial Narrow"/>
                <w:szCs w:val="22"/>
              </w:rPr>
              <w:t>-</w:t>
            </w:r>
            <w:r w:rsidR="001160E7" w:rsidRPr="001160E7">
              <w:rPr>
                <w:rFonts w:ascii="Arial Narrow" w:hAnsi="Arial Narrow"/>
                <w:szCs w:val="22"/>
              </w:rPr>
              <w:t>10</w:t>
            </w:r>
            <w:r w:rsidR="00C41323" w:rsidRPr="001160E7">
              <w:rPr>
                <w:rFonts w:ascii="Arial Narrow" w:hAnsi="Arial Narrow"/>
                <w:szCs w:val="22"/>
              </w:rPr>
              <w:t>-202</w:t>
            </w:r>
            <w:r w:rsidR="00A54D53" w:rsidRPr="001160E7">
              <w:rPr>
                <w:rFonts w:ascii="Arial Narrow" w:hAnsi="Arial Narrow"/>
                <w:szCs w:val="22"/>
              </w:rPr>
              <w:t>1</w:t>
            </w:r>
          </w:p>
        </w:tc>
      </w:tr>
    </w:tbl>
    <w:p w:rsidR="00EE7950" w:rsidRPr="008C65ED" w:rsidRDefault="00EE7950" w:rsidP="00BE0D53">
      <w:pPr>
        <w:tabs>
          <w:tab w:val="left" w:pos="3468"/>
        </w:tabs>
        <w:rPr>
          <w:rFonts w:ascii="Arial Narrow" w:hAnsi="Arial Narrow" w:cs="Arial"/>
          <w:sz w:val="24"/>
          <w:szCs w:val="24"/>
        </w:rPr>
      </w:pPr>
    </w:p>
    <w:sectPr w:rsidR="00EE7950" w:rsidRPr="008C65ED" w:rsidSect="005E1CB4">
      <w:headerReference w:type="default" r:id="rId20"/>
      <w:footerReference w:type="default" r:id="rId21"/>
      <w:headerReference w:type="first" r:id="rId22"/>
      <w:footerReference w:type="first" r:id="rId23"/>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E84" w:rsidRDefault="00054E84">
      <w:r>
        <w:separator/>
      </w:r>
    </w:p>
  </w:endnote>
  <w:endnote w:type="continuationSeparator" w:id="0">
    <w:p w:rsidR="00054E84" w:rsidRDefault="00054E84">
      <w:r>
        <w:continuationSeparator/>
      </w:r>
    </w:p>
  </w:endnote>
  <w:endnote w:type="continuationNotice" w:id="1">
    <w:p w:rsidR="00054E84" w:rsidRDefault="0005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Identity-H">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3B" w:rsidRDefault="00B6053B" w:rsidP="004A0461">
    <w:pPr>
      <w:pStyle w:val="Piedepgina"/>
      <w:rPr>
        <w:rFonts w:ascii="Arial Narrow" w:hAnsi="Arial Narrow"/>
        <w:sz w:val="16"/>
        <w:szCs w:val="16"/>
        <w:lang w:val="es-CO"/>
      </w:rPr>
    </w:pPr>
  </w:p>
  <w:p w:rsidR="00B6053B" w:rsidRDefault="00B6053B" w:rsidP="00F75E3F">
    <w:pPr>
      <w:pStyle w:val="Piedepgina"/>
      <w:tabs>
        <w:tab w:val="clear" w:pos="4252"/>
        <w:tab w:val="clear" w:pos="8504"/>
        <w:tab w:val="left" w:pos="1650"/>
      </w:tabs>
      <w:rPr>
        <w:rFonts w:ascii="Arial Narrow" w:hAnsi="Arial Narrow"/>
        <w:sz w:val="16"/>
        <w:szCs w:val="16"/>
        <w:lang w:val="es-CO"/>
      </w:rPr>
    </w:pPr>
    <w:r>
      <w:rPr>
        <w:rFonts w:ascii="Arial Narrow" w:hAnsi="Arial Narrow"/>
        <w:sz w:val="16"/>
        <w:szCs w:val="16"/>
        <w:lang w:val="es-CO"/>
      </w:rPr>
      <w:tab/>
    </w:r>
  </w:p>
  <w:p w:rsidR="00B6053B" w:rsidRPr="00A57890" w:rsidRDefault="00B6053B" w:rsidP="00F75E3F">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3B" w:rsidRDefault="00B6053B" w:rsidP="00063D1A">
    <w:pPr>
      <w:pStyle w:val="Piedepgina"/>
      <w:rPr>
        <w:rFonts w:ascii="Arial Narrow" w:hAnsi="Arial Narrow"/>
        <w:sz w:val="16"/>
        <w:szCs w:val="16"/>
        <w:lang w:val="es-CO"/>
      </w:rPr>
    </w:pPr>
  </w:p>
  <w:p w:rsidR="00B6053B" w:rsidRPr="003E2226" w:rsidRDefault="00B6053B" w:rsidP="00063D1A">
    <w:pPr>
      <w:pStyle w:val="Piedepgina"/>
      <w:rPr>
        <w:lang w:val="es-CO"/>
      </w:rPr>
    </w:pPr>
    <w:r w:rsidRPr="003E2226">
      <w:rPr>
        <w:rFonts w:ascii="Arial Narrow" w:hAnsi="Arial Narrow"/>
        <w:sz w:val="16"/>
        <w:szCs w:val="16"/>
        <w:lang w:val="es-CO"/>
      </w:rPr>
      <w:t>Manual de Políticas de Riesgo de Mercado para los recursos administrados por la Dirección General de Crédito Público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E84" w:rsidRDefault="00054E84">
      <w:r>
        <w:separator/>
      </w:r>
    </w:p>
  </w:footnote>
  <w:footnote w:type="continuationSeparator" w:id="0">
    <w:p w:rsidR="00054E84" w:rsidRDefault="00054E84">
      <w:r>
        <w:continuationSeparator/>
      </w:r>
    </w:p>
  </w:footnote>
  <w:footnote w:type="continuationNotice" w:id="1">
    <w:p w:rsidR="00054E84" w:rsidRDefault="00054E84"/>
  </w:footnote>
  <w:footnote w:id="2">
    <w:p w:rsidR="00B6053B" w:rsidRDefault="00B6053B" w:rsidP="00005250">
      <w:pPr>
        <w:pStyle w:val="Textonotapie"/>
      </w:pPr>
      <w:r>
        <w:rPr>
          <w:rFonts w:ascii="Arial Narrow" w:hAnsi="Arial Narrow"/>
          <w:sz w:val="18"/>
          <w:szCs w:val="18"/>
          <w:vertAlign w:val="superscript"/>
        </w:rPr>
        <w:t xml:space="preserve">1 </w:t>
      </w:r>
      <w:r w:rsidRPr="00005250">
        <w:rPr>
          <w:rFonts w:ascii="Arial Narrow" w:hAnsi="Arial Narrow"/>
          <w:sz w:val="18"/>
          <w:szCs w:val="18"/>
        </w:rPr>
        <w:t>En el caso de la negociación a través de llamada telefónica, el sistema de grabación de llamad</w:t>
      </w:r>
      <w:r>
        <w:rPr>
          <w:rFonts w:ascii="Arial Narrow" w:hAnsi="Arial Narrow"/>
          <w:sz w:val="18"/>
          <w:szCs w:val="18"/>
        </w:rPr>
        <w:t>as representará el mecanismo de s</w:t>
      </w:r>
      <w:r w:rsidRPr="00005250">
        <w:rPr>
          <w:rFonts w:ascii="Arial Narrow" w:hAnsi="Arial Narrow"/>
          <w:sz w:val="18"/>
          <w:szCs w:val="18"/>
        </w:rPr>
        <w:t>oporte y trazabilidad de la operación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B6053B" w:rsidTr="00F75E3F">
      <w:trPr>
        <w:cantSplit/>
        <w:trHeight w:val="276"/>
        <w:jc w:val="center"/>
      </w:trPr>
      <w:tc>
        <w:tcPr>
          <w:tcW w:w="2785" w:type="dxa"/>
          <w:vMerge w:val="restart"/>
          <w:vAlign w:val="center"/>
        </w:tcPr>
        <w:p w:rsidR="00B6053B" w:rsidRDefault="00B6053B" w:rsidP="009371D7">
          <w:pPr>
            <w:pStyle w:val="Encabezado"/>
            <w:jc w:val="center"/>
            <w:rPr>
              <w:rFonts w:ascii="Arial" w:hAnsi="Arial"/>
            </w:rPr>
          </w:pPr>
          <w:r w:rsidRPr="008E6BEC">
            <w:rPr>
              <w:rFonts w:ascii="Arial" w:hAnsi="Arial" w:cs="Arial"/>
              <w:b/>
              <w:caps/>
              <w:noProof/>
              <w:sz w:val="14"/>
              <w:szCs w:val="14"/>
              <w:lang w:val="en-US" w:eastAsia="en-US"/>
            </w:rPr>
            <w:drawing>
              <wp:inline distT="0" distB="0" distL="0" distR="0">
                <wp:extent cx="1697355" cy="402590"/>
                <wp:effectExtent l="0" t="0" r="0" b="0"/>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720" w:type="dxa"/>
          <w:vMerge w:val="restart"/>
          <w:vAlign w:val="center"/>
        </w:tcPr>
        <w:p w:rsidR="00B6053B" w:rsidRPr="009A37A7" w:rsidRDefault="00B6053B" w:rsidP="00D029EF">
          <w:pPr>
            <w:jc w:val="center"/>
            <w:rPr>
              <w:rFonts w:ascii="Arial" w:hAnsi="Arial" w:cs="Arial"/>
              <w:b/>
              <w:sz w:val="24"/>
              <w:szCs w:val="24"/>
            </w:rPr>
          </w:pPr>
          <w:r>
            <w:rPr>
              <w:rFonts w:ascii="Arial" w:hAnsi="Arial"/>
              <w:b/>
            </w:rPr>
            <w:t>Manual de políticas de riesgo de mercado para los recursos administrados por la Dirección General de Crédito Público y Tesoro Nacional</w:t>
          </w:r>
        </w:p>
      </w:tc>
      <w:tc>
        <w:tcPr>
          <w:tcW w:w="992" w:type="dxa"/>
          <w:vAlign w:val="center"/>
        </w:tcPr>
        <w:p w:rsidR="00B6053B" w:rsidRDefault="00B6053B" w:rsidP="009371D7">
          <w:pPr>
            <w:pStyle w:val="Encabezado"/>
            <w:rPr>
              <w:rFonts w:ascii="Arial" w:hAnsi="Arial" w:cs="Arial"/>
              <w:b/>
            </w:rPr>
          </w:pPr>
          <w:r>
            <w:rPr>
              <w:rFonts w:ascii="Arial" w:hAnsi="Arial"/>
              <w:b/>
            </w:rPr>
            <w:t>Código:</w:t>
          </w:r>
          <w:r>
            <w:t xml:space="preserve"> </w:t>
          </w:r>
        </w:p>
      </w:tc>
      <w:tc>
        <w:tcPr>
          <w:tcW w:w="1568" w:type="dxa"/>
          <w:vAlign w:val="center"/>
        </w:tcPr>
        <w:p w:rsidR="00B6053B" w:rsidRDefault="00B6053B" w:rsidP="00D029EF">
          <w:pPr>
            <w:pStyle w:val="Encabezado"/>
            <w:jc w:val="center"/>
            <w:rPr>
              <w:rFonts w:ascii="Arial" w:hAnsi="Arial" w:cs="Arial"/>
              <w:b/>
            </w:rPr>
          </w:pPr>
          <w:r w:rsidRPr="00242C43">
            <w:rPr>
              <w:rFonts w:ascii="Arial" w:hAnsi="Arial" w:cs="Arial"/>
            </w:rPr>
            <w:t>Mis.3.10 Man10</w:t>
          </w:r>
        </w:p>
      </w:tc>
    </w:tr>
    <w:tr w:rsidR="00B6053B" w:rsidTr="00F75E3F">
      <w:trPr>
        <w:cantSplit/>
        <w:trHeight w:val="147"/>
        <w:jc w:val="center"/>
      </w:trPr>
      <w:tc>
        <w:tcPr>
          <w:tcW w:w="2785" w:type="dxa"/>
          <w:vMerge/>
        </w:tcPr>
        <w:p w:rsidR="00B6053B" w:rsidRDefault="00B6053B" w:rsidP="009371D7">
          <w:pPr>
            <w:pStyle w:val="Encabezado"/>
            <w:jc w:val="center"/>
            <w:rPr>
              <w:rFonts w:ascii="Arial" w:hAnsi="Arial"/>
            </w:rPr>
          </w:pPr>
        </w:p>
      </w:tc>
      <w:tc>
        <w:tcPr>
          <w:tcW w:w="4720" w:type="dxa"/>
          <w:vMerge/>
        </w:tcPr>
        <w:p w:rsidR="00B6053B" w:rsidRDefault="00B6053B" w:rsidP="009371D7">
          <w:pPr>
            <w:pStyle w:val="Encabezado"/>
            <w:jc w:val="center"/>
            <w:rPr>
              <w:rFonts w:ascii="Arial" w:hAnsi="Arial"/>
              <w:b/>
            </w:rPr>
          </w:pPr>
        </w:p>
      </w:tc>
      <w:tc>
        <w:tcPr>
          <w:tcW w:w="992" w:type="dxa"/>
          <w:vAlign w:val="center"/>
        </w:tcPr>
        <w:p w:rsidR="00B6053B" w:rsidRDefault="00B6053B" w:rsidP="009371D7">
          <w:pPr>
            <w:pStyle w:val="Encabezado"/>
            <w:rPr>
              <w:rFonts w:ascii="Arial" w:hAnsi="Arial"/>
              <w:b/>
            </w:rPr>
          </w:pPr>
          <w:r>
            <w:rPr>
              <w:rFonts w:ascii="Arial" w:hAnsi="Arial"/>
              <w:b/>
            </w:rPr>
            <w:t>Fecha:</w:t>
          </w:r>
        </w:p>
      </w:tc>
      <w:tc>
        <w:tcPr>
          <w:tcW w:w="1568" w:type="dxa"/>
          <w:vAlign w:val="center"/>
        </w:tcPr>
        <w:p w:rsidR="00B6053B" w:rsidRDefault="00B6053B" w:rsidP="00E9189E">
          <w:pPr>
            <w:pStyle w:val="Encabezado"/>
            <w:jc w:val="center"/>
            <w:rPr>
              <w:rFonts w:ascii="Arial" w:hAnsi="Arial"/>
              <w:b/>
            </w:rPr>
          </w:pPr>
          <w:r>
            <w:rPr>
              <w:rFonts w:ascii="Arial" w:hAnsi="Arial"/>
            </w:rPr>
            <w:t>2</w:t>
          </w:r>
          <w:r w:rsidR="00E9189E">
            <w:rPr>
              <w:rFonts w:ascii="Arial" w:hAnsi="Arial"/>
            </w:rPr>
            <w:t>7</w:t>
          </w:r>
          <w:r>
            <w:rPr>
              <w:rFonts w:ascii="Arial" w:hAnsi="Arial"/>
            </w:rPr>
            <w:t>-</w:t>
          </w:r>
          <w:r w:rsidR="00E9189E">
            <w:rPr>
              <w:rFonts w:ascii="Arial" w:hAnsi="Arial"/>
            </w:rPr>
            <w:t>10</w:t>
          </w:r>
          <w:r>
            <w:rPr>
              <w:rFonts w:ascii="Arial" w:hAnsi="Arial"/>
            </w:rPr>
            <w:t>-202</w:t>
          </w:r>
          <w:r w:rsidR="00E9189E">
            <w:rPr>
              <w:rFonts w:ascii="Arial" w:hAnsi="Arial"/>
            </w:rPr>
            <w:t>1</w:t>
          </w:r>
        </w:p>
      </w:tc>
    </w:tr>
    <w:tr w:rsidR="00B6053B" w:rsidTr="00F75E3F">
      <w:trPr>
        <w:cantSplit/>
        <w:trHeight w:val="147"/>
        <w:jc w:val="center"/>
      </w:trPr>
      <w:tc>
        <w:tcPr>
          <w:tcW w:w="2785" w:type="dxa"/>
          <w:vMerge/>
        </w:tcPr>
        <w:p w:rsidR="00B6053B" w:rsidRDefault="00B6053B" w:rsidP="009371D7">
          <w:pPr>
            <w:pStyle w:val="Encabezado"/>
            <w:jc w:val="center"/>
            <w:rPr>
              <w:rFonts w:ascii="Arial" w:hAnsi="Arial"/>
            </w:rPr>
          </w:pPr>
        </w:p>
      </w:tc>
      <w:tc>
        <w:tcPr>
          <w:tcW w:w="4720" w:type="dxa"/>
          <w:vMerge/>
        </w:tcPr>
        <w:p w:rsidR="00B6053B" w:rsidRDefault="00B6053B" w:rsidP="009371D7">
          <w:pPr>
            <w:pStyle w:val="Encabezado"/>
            <w:jc w:val="center"/>
            <w:rPr>
              <w:rFonts w:ascii="Arial" w:hAnsi="Arial"/>
              <w:b/>
            </w:rPr>
          </w:pPr>
        </w:p>
      </w:tc>
      <w:tc>
        <w:tcPr>
          <w:tcW w:w="992" w:type="dxa"/>
          <w:vAlign w:val="center"/>
        </w:tcPr>
        <w:p w:rsidR="00B6053B" w:rsidRDefault="00B6053B" w:rsidP="009371D7">
          <w:pPr>
            <w:pStyle w:val="Encabezado"/>
            <w:rPr>
              <w:rFonts w:ascii="Arial" w:hAnsi="Arial"/>
              <w:b/>
            </w:rPr>
          </w:pPr>
          <w:r>
            <w:rPr>
              <w:rFonts w:ascii="Arial" w:hAnsi="Arial"/>
              <w:b/>
            </w:rPr>
            <w:t xml:space="preserve">Versión: </w:t>
          </w:r>
        </w:p>
      </w:tc>
      <w:tc>
        <w:tcPr>
          <w:tcW w:w="1568" w:type="dxa"/>
          <w:vAlign w:val="center"/>
        </w:tcPr>
        <w:p w:rsidR="00B6053B" w:rsidRPr="00F75E3F" w:rsidRDefault="00A1588A" w:rsidP="009371D7">
          <w:pPr>
            <w:pStyle w:val="Encabezado"/>
            <w:jc w:val="center"/>
            <w:rPr>
              <w:rFonts w:ascii="Arial" w:hAnsi="Arial"/>
            </w:rPr>
          </w:pPr>
          <w:r>
            <w:rPr>
              <w:rFonts w:ascii="Arial" w:hAnsi="Arial"/>
            </w:rPr>
            <w:t>4</w:t>
          </w:r>
        </w:p>
      </w:tc>
    </w:tr>
    <w:tr w:rsidR="00B6053B" w:rsidTr="00F75E3F">
      <w:trPr>
        <w:cantSplit/>
        <w:trHeight w:val="148"/>
        <w:jc w:val="center"/>
      </w:trPr>
      <w:tc>
        <w:tcPr>
          <w:tcW w:w="2785" w:type="dxa"/>
          <w:vMerge/>
          <w:tcBorders>
            <w:bottom w:val="single" w:sz="4" w:space="0" w:color="auto"/>
          </w:tcBorders>
        </w:tcPr>
        <w:p w:rsidR="00B6053B" w:rsidRDefault="00B6053B" w:rsidP="009371D7">
          <w:pPr>
            <w:pStyle w:val="Encabezado"/>
            <w:jc w:val="center"/>
            <w:rPr>
              <w:rFonts w:ascii="Arial" w:hAnsi="Arial"/>
              <w:b/>
            </w:rPr>
          </w:pPr>
        </w:p>
      </w:tc>
      <w:tc>
        <w:tcPr>
          <w:tcW w:w="4720" w:type="dxa"/>
          <w:vMerge/>
          <w:tcBorders>
            <w:bottom w:val="single" w:sz="4" w:space="0" w:color="auto"/>
          </w:tcBorders>
        </w:tcPr>
        <w:p w:rsidR="00B6053B" w:rsidRDefault="00B6053B" w:rsidP="009371D7">
          <w:pPr>
            <w:pStyle w:val="Encabezado"/>
            <w:jc w:val="center"/>
            <w:rPr>
              <w:rFonts w:ascii="Arial" w:hAnsi="Arial"/>
              <w:b/>
            </w:rPr>
          </w:pPr>
        </w:p>
      </w:tc>
      <w:tc>
        <w:tcPr>
          <w:tcW w:w="992" w:type="dxa"/>
          <w:vAlign w:val="center"/>
        </w:tcPr>
        <w:p w:rsidR="00B6053B" w:rsidRDefault="00B6053B" w:rsidP="009371D7">
          <w:pPr>
            <w:pStyle w:val="Encabezado"/>
            <w:rPr>
              <w:rFonts w:ascii="Arial" w:hAnsi="Arial"/>
              <w:b/>
            </w:rPr>
          </w:pPr>
          <w:r>
            <w:rPr>
              <w:rFonts w:ascii="Arial" w:hAnsi="Arial"/>
              <w:b/>
            </w:rPr>
            <w:t xml:space="preserve">Página: </w:t>
          </w:r>
        </w:p>
      </w:tc>
      <w:tc>
        <w:tcPr>
          <w:tcW w:w="1568" w:type="dxa"/>
          <w:vAlign w:val="center"/>
        </w:tcPr>
        <w:p w:rsidR="00B6053B" w:rsidRPr="00F75E3F" w:rsidRDefault="00B6053B" w:rsidP="009371D7">
          <w:pPr>
            <w:pStyle w:val="Encabezado"/>
            <w:jc w:val="center"/>
            <w:rPr>
              <w:rFonts w:ascii="Arial" w:hAnsi="Arial"/>
            </w:rPr>
          </w:pPr>
          <w:r w:rsidRPr="00F75E3F">
            <w:rPr>
              <w:rFonts w:ascii="Arial" w:hAnsi="Arial"/>
            </w:rPr>
            <w:t xml:space="preserve">  </w:t>
          </w:r>
          <w:r w:rsidRPr="00F75E3F">
            <w:rPr>
              <w:rFonts w:ascii="Arial" w:hAnsi="Arial"/>
            </w:rPr>
            <w:fldChar w:fldCharType="begin"/>
          </w:r>
          <w:r w:rsidRPr="00472A79">
            <w:rPr>
              <w:rFonts w:ascii="Arial" w:hAnsi="Arial" w:cs="Arial"/>
              <w:b/>
            </w:rPr>
            <w:instrText>PAGE  \* Arabic  \* MERGEFORMAT</w:instrText>
          </w:r>
          <w:r w:rsidRPr="00F75E3F">
            <w:rPr>
              <w:rFonts w:ascii="Arial" w:hAnsi="Arial"/>
            </w:rPr>
            <w:fldChar w:fldCharType="separate"/>
          </w:r>
          <w:r w:rsidR="0088679F">
            <w:rPr>
              <w:rFonts w:ascii="Arial" w:hAnsi="Arial" w:cs="Arial"/>
              <w:b/>
              <w:noProof/>
            </w:rPr>
            <w:t>35</w:t>
          </w:r>
          <w:r w:rsidRPr="00F75E3F">
            <w:rPr>
              <w:rFonts w:ascii="Arial" w:hAnsi="Arial"/>
            </w:rPr>
            <w:fldChar w:fldCharType="end"/>
          </w:r>
          <w:r w:rsidRPr="00F75E3F">
            <w:rPr>
              <w:rFonts w:ascii="Arial" w:hAnsi="Arial"/>
            </w:rPr>
            <w:t xml:space="preserve"> de </w:t>
          </w:r>
          <w:r w:rsidRPr="00F75E3F">
            <w:rPr>
              <w:rFonts w:ascii="Arial" w:hAnsi="Arial"/>
            </w:rPr>
            <w:fldChar w:fldCharType="begin"/>
          </w:r>
          <w:r w:rsidRPr="00F75E3F">
            <w:rPr>
              <w:rFonts w:ascii="Arial" w:hAnsi="Arial"/>
            </w:rPr>
            <w:instrText>NUMPAGES  \* Arabic  \* MERGEFORMAT</w:instrText>
          </w:r>
          <w:r w:rsidRPr="00F75E3F">
            <w:rPr>
              <w:rFonts w:ascii="Arial" w:hAnsi="Arial"/>
            </w:rPr>
            <w:fldChar w:fldCharType="separate"/>
          </w:r>
          <w:r w:rsidR="0088679F" w:rsidRPr="0088679F">
            <w:rPr>
              <w:rFonts w:ascii="Arial" w:hAnsi="Arial"/>
              <w:b/>
              <w:noProof/>
            </w:rPr>
            <w:t>35</w:t>
          </w:r>
          <w:r w:rsidRPr="00F75E3F">
            <w:rPr>
              <w:rFonts w:ascii="Arial" w:hAnsi="Arial"/>
            </w:rPr>
            <w:fldChar w:fldCharType="end"/>
          </w:r>
        </w:p>
      </w:tc>
    </w:tr>
  </w:tbl>
  <w:p w:rsidR="00B6053B" w:rsidRDefault="00B6053B"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B6053B" w:rsidTr="00F75E3F">
      <w:trPr>
        <w:cantSplit/>
        <w:trHeight w:val="276"/>
        <w:jc w:val="center"/>
      </w:trPr>
      <w:tc>
        <w:tcPr>
          <w:tcW w:w="2785" w:type="dxa"/>
          <w:vMerge w:val="restart"/>
          <w:vAlign w:val="center"/>
        </w:tcPr>
        <w:p w:rsidR="00B6053B" w:rsidRDefault="00B6053B" w:rsidP="009F41A3">
          <w:pPr>
            <w:pStyle w:val="Encabezado"/>
            <w:jc w:val="center"/>
            <w:rPr>
              <w:rFonts w:ascii="Arial" w:hAnsi="Arial"/>
            </w:rPr>
          </w:pPr>
          <w:r w:rsidRPr="008E6BEC">
            <w:rPr>
              <w:rFonts w:ascii="Arial" w:hAnsi="Arial" w:cs="Arial"/>
              <w:b/>
              <w:caps/>
              <w:noProof/>
              <w:sz w:val="14"/>
              <w:szCs w:val="14"/>
              <w:lang w:val="en-US" w:eastAsia="en-US"/>
            </w:rPr>
            <w:drawing>
              <wp:inline distT="0" distB="0" distL="0" distR="0">
                <wp:extent cx="1697355" cy="40259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720" w:type="dxa"/>
          <w:vMerge w:val="restart"/>
          <w:vAlign w:val="center"/>
        </w:tcPr>
        <w:p w:rsidR="00B6053B" w:rsidRPr="009A37A7" w:rsidRDefault="00B6053B" w:rsidP="009F41A3">
          <w:pPr>
            <w:jc w:val="center"/>
            <w:rPr>
              <w:rFonts w:ascii="Arial" w:hAnsi="Arial" w:cs="Arial"/>
              <w:b/>
              <w:sz w:val="24"/>
              <w:szCs w:val="24"/>
            </w:rPr>
          </w:pPr>
          <w:r>
            <w:rPr>
              <w:rFonts w:ascii="Arial" w:hAnsi="Arial"/>
              <w:b/>
            </w:rPr>
            <w:t>Manual de políticas de riesgo de mercado para los recursos administrados por la Dirección General de Crédito Público y Tesoro Nacional</w:t>
          </w:r>
        </w:p>
      </w:tc>
      <w:tc>
        <w:tcPr>
          <w:tcW w:w="992" w:type="dxa"/>
          <w:vAlign w:val="center"/>
        </w:tcPr>
        <w:p w:rsidR="00B6053B" w:rsidRDefault="00B6053B" w:rsidP="009F41A3">
          <w:pPr>
            <w:pStyle w:val="Encabezado"/>
            <w:rPr>
              <w:rFonts w:ascii="Arial" w:hAnsi="Arial" w:cs="Arial"/>
              <w:b/>
            </w:rPr>
          </w:pPr>
          <w:r>
            <w:rPr>
              <w:rFonts w:ascii="Arial" w:hAnsi="Arial"/>
              <w:b/>
            </w:rPr>
            <w:t>Código:</w:t>
          </w:r>
          <w:r>
            <w:t xml:space="preserve"> </w:t>
          </w:r>
        </w:p>
      </w:tc>
      <w:tc>
        <w:tcPr>
          <w:tcW w:w="1568" w:type="dxa"/>
          <w:vAlign w:val="center"/>
        </w:tcPr>
        <w:p w:rsidR="00B6053B" w:rsidRPr="00F75E3F" w:rsidRDefault="00B6053B" w:rsidP="009F41A3">
          <w:pPr>
            <w:pStyle w:val="Encabezado"/>
            <w:jc w:val="center"/>
            <w:rPr>
              <w:rFonts w:ascii="Arial" w:hAnsi="Arial"/>
            </w:rPr>
          </w:pPr>
          <w:r w:rsidRPr="00242C43">
            <w:rPr>
              <w:rFonts w:ascii="Arial" w:hAnsi="Arial" w:cs="Arial"/>
            </w:rPr>
            <w:t>Mis.3.10 Man10</w:t>
          </w:r>
        </w:p>
      </w:tc>
    </w:tr>
    <w:tr w:rsidR="00B6053B" w:rsidTr="00F75E3F">
      <w:trPr>
        <w:cantSplit/>
        <w:trHeight w:val="147"/>
        <w:jc w:val="center"/>
      </w:trPr>
      <w:tc>
        <w:tcPr>
          <w:tcW w:w="2785" w:type="dxa"/>
          <w:vMerge/>
        </w:tcPr>
        <w:p w:rsidR="00B6053B" w:rsidRDefault="00B6053B" w:rsidP="00715C69">
          <w:pPr>
            <w:pStyle w:val="Encabezado"/>
            <w:jc w:val="center"/>
            <w:rPr>
              <w:rFonts w:ascii="Arial" w:hAnsi="Arial"/>
            </w:rPr>
          </w:pPr>
        </w:p>
      </w:tc>
      <w:tc>
        <w:tcPr>
          <w:tcW w:w="4720" w:type="dxa"/>
          <w:vMerge/>
        </w:tcPr>
        <w:p w:rsidR="00B6053B" w:rsidRDefault="00B6053B" w:rsidP="00715C69">
          <w:pPr>
            <w:pStyle w:val="Encabezado"/>
            <w:jc w:val="center"/>
            <w:rPr>
              <w:rFonts w:ascii="Arial" w:hAnsi="Arial"/>
              <w:b/>
            </w:rPr>
          </w:pPr>
        </w:p>
      </w:tc>
      <w:tc>
        <w:tcPr>
          <w:tcW w:w="992" w:type="dxa"/>
          <w:vAlign w:val="center"/>
        </w:tcPr>
        <w:p w:rsidR="00B6053B" w:rsidRDefault="00B6053B" w:rsidP="00715C69">
          <w:pPr>
            <w:pStyle w:val="Encabezado"/>
            <w:rPr>
              <w:rFonts w:ascii="Arial" w:hAnsi="Arial"/>
              <w:b/>
            </w:rPr>
          </w:pPr>
          <w:r>
            <w:rPr>
              <w:rFonts w:ascii="Arial" w:hAnsi="Arial"/>
              <w:b/>
            </w:rPr>
            <w:t>Fecha:</w:t>
          </w:r>
        </w:p>
      </w:tc>
      <w:tc>
        <w:tcPr>
          <w:tcW w:w="1568" w:type="dxa"/>
          <w:vAlign w:val="center"/>
        </w:tcPr>
        <w:p w:rsidR="00B6053B" w:rsidRPr="00F75E3F" w:rsidRDefault="00B6053B" w:rsidP="00E9189E">
          <w:pPr>
            <w:pStyle w:val="Encabezado"/>
            <w:jc w:val="center"/>
            <w:rPr>
              <w:rFonts w:ascii="Arial" w:hAnsi="Arial"/>
            </w:rPr>
          </w:pPr>
          <w:r>
            <w:rPr>
              <w:rFonts w:ascii="Arial" w:hAnsi="Arial"/>
            </w:rPr>
            <w:t>2</w:t>
          </w:r>
          <w:r w:rsidR="00E9189E">
            <w:rPr>
              <w:rFonts w:ascii="Arial" w:hAnsi="Arial"/>
            </w:rPr>
            <w:t>7</w:t>
          </w:r>
          <w:r>
            <w:rPr>
              <w:rFonts w:ascii="Arial" w:hAnsi="Arial"/>
            </w:rPr>
            <w:t>-</w:t>
          </w:r>
          <w:r w:rsidR="00E9189E">
            <w:rPr>
              <w:rFonts w:ascii="Arial" w:hAnsi="Arial"/>
            </w:rPr>
            <w:t>10</w:t>
          </w:r>
          <w:r>
            <w:rPr>
              <w:rFonts w:ascii="Arial" w:hAnsi="Arial"/>
            </w:rPr>
            <w:t>-202</w:t>
          </w:r>
          <w:r w:rsidR="00E9189E">
            <w:rPr>
              <w:rFonts w:ascii="Arial" w:hAnsi="Arial"/>
            </w:rPr>
            <w:t>1</w:t>
          </w:r>
        </w:p>
      </w:tc>
    </w:tr>
    <w:tr w:rsidR="00B6053B" w:rsidTr="00F75E3F">
      <w:trPr>
        <w:cantSplit/>
        <w:trHeight w:val="147"/>
        <w:jc w:val="center"/>
      </w:trPr>
      <w:tc>
        <w:tcPr>
          <w:tcW w:w="2785" w:type="dxa"/>
          <w:vMerge/>
        </w:tcPr>
        <w:p w:rsidR="00B6053B" w:rsidRDefault="00B6053B" w:rsidP="00715C69">
          <w:pPr>
            <w:pStyle w:val="Encabezado"/>
            <w:jc w:val="center"/>
            <w:rPr>
              <w:rFonts w:ascii="Arial" w:hAnsi="Arial"/>
            </w:rPr>
          </w:pPr>
        </w:p>
      </w:tc>
      <w:tc>
        <w:tcPr>
          <w:tcW w:w="4720" w:type="dxa"/>
          <w:vMerge/>
        </w:tcPr>
        <w:p w:rsidR="00B6053B" w:rsidRDefault="00B6053B" w:rsidP="00715C69">
          <w:pPr>
            <w:pStyle w:val="Encabezado"/>
            <w:jc w:val="center"/>
            <w:rPr>
              <w:rFonts w:ascii="Arial" w:hAnsi="Arial"/>
              <w:b/>
            </w:rPr>
          </w:pPr>
        </w:p>
      </w:tc>
      <w:tc>
        <w:tcPr>
          <w:tcW w:w="992" w:type="dxa"/>
          <w:vAlign w:val="center"/>
        </w:tcPr>
        <w:p w:rsidR="00B6053B" w:rsidRDefault="00B6053B" w:rsidP="00715C69">
          <w:pPr>
            <w:pStyle w:val="Encabezado"/>
            <w:rPr>
              <w:rFonts w:ascii="Arial" w:hAnsi="Arial"/>
              <w:b/>
            </w:rPr>
          </w:pPr>
          <w:r>
            <w:rPr>
              <w:rFonts w:ascii="Arial" w:hAnsi="Arial"/>
              <w:b/>
            </w:rPr>
            <w:t xml:space="preserve">Versión: </w:t>
          </w:r>
        </w:p>
      </w:tc>
      <w:tc>
        <w:tcPr>
          <w:tcW w:w="1568" w:type="dxa"/>
          <w:vAlign w:val="center"/>
        </w:tcPr>
        <w:p w:rsidR="00B6053B" w:rsidRPr="00F75E3F" w:rsidRDefault="00A1588A" w:rsidP="00A1588A">
          <w:pPr>
            <w:pStyle w:val="Encabezado"/>
            <w:jc w:val="center"/>
            <w:rPr>
              <w:rFonts w:ascii="Arial" w:hAnsi="Arial"/>
            </w:rPr>
          </w:pPr>
          <w:r>
            <w:rPr>
              <w:rFonts w:ascii="Arial" w:hAnsi="Arial"/>
            </w:rPr>
            <w:t>4</w:t>
          </w:r>
        </w:p>
      </w:tc>
    </w:tr>
    <w:tr w:rsidR="00B6053B" w:rsidTr="00F75E3F">
      <w:trPr>
        <w:cantSplit/>
        <w:trHeight w:val="148"/>
        <w:jc w:val="center"/>
      </w:trPr>
      <w:tc>
        <w:tcPr>
          <w:tcW w:w="2785" w:type="dxa"/>
          <w:vMerge/>
          <w:tcBorders>
            <w:bottom w:val="single" w:sz="4" w:space="0" w:color="auto"/>
          </w:tcBorders>
        </w:tcPr>
        <w:p w:rsidR="00B6053B" w:rsidRDefault="00B6053B" w:rsidP="00715C69">
          <w:pPr>
            <w:pStyle w:val="Encabezado"/>
            <w:jc w:val="center"/>
            <w:rPr>
              <w:rFonts w:ascii="Arial" w:hAnsi="Arial"/>
              <w:b/>
            </w:rPr>
          </w:pPr>
        </w:p>
      </w:tc>
      <w:tc>
        <w:tcPr>
          <w:tcW w:w="4720" w:type="dxa"/>
          <w:vMerge/>
          <w:tcBorders>
            <w:bottom w:val="single" w:sz="4" w:space="0" w:color="auto"/>
          </w:tcBorders>
        </w:tcPr>
        <w:p w:rsidR="00B6053B" w:rsidRDefault="00B6053B" w:rsidP="00715C69">
          <w:pPr>
            <w:pStyle w:val="Encabezado"/>
            <w:jc w:val="center"/>
            <w:rPr>
              <w:rFonts w:ascii="Arial" w:hAnsi="Arial"/>
              <w:b/>
            </w:rPr>
          </w:pPr>
        </w:p>
      </w:tc>
      <w:tc>
        <w:tcPr>
          <w:tcW w:w="992" w:type="dxa"/>
          <w:vAlign w:val="center"/>
        </w:tcPr>
        <w:p w:rsidR="00B6053B" w:rsidRDefault="00B6053B" w:rsidP="00715C69">
          <w:pPr>
            <w:pStyle w:val="Encabezado"/>
            <w:rPr>
              <w:rFonts w:ascii="Arial" w:hAnsi="Arial"/>
              <w:b/>
            </w:rPr>
          </w:pPr>
          <w:r>
            <w:rPr>
              <w:rFonts w:ascii="Arial" w:hAnsi="Arial"/>
              <w:b/>
            </w:rPr>
            <w:t xml:space="preserve">Página: </w:t>
          </w:r>
        </w:p>
      </w:tc>
      <w:tc>
        <w:tcPr>
          <w:tcW w:w="1568" w:type="dxa"/>
          <w:vAlign w:val="center"/>
        </w:tcPr>
        <w:p w:rsidR="00B6053B" w:rsidRPr="00F75E3F" w:rsidRDefault="00B6053B" w:rsidP="00472A79">
          <w:pPr>
            <w:pStyle w:val="Encabezado"/>
            <w:jc w:val="center"/>
            <w:rPr>
              <w:rFonts w:ascii="Arial" w:hAnsi="Arial"/>
            </w:rPr>
          </w:pPr>
          <w:r w:rsidRPr="00F75E3F">
            <w:rPr>
              <w:rFonts w:ascii="Arial" w:hAnsi="Arial"/>
            </w:rPr>
            <w:t xml:space="preserve">  </w:t>
          </w:r>
          <w:r w:rsidRPr="00F75E3F">
            <w:rPr>
              <w:rFonts w:ascii="Arial" w:hAnsi="Arial"/>
            </w:rPr>
            <w:fldChar w:fldCharType="begin"/>
          </w:r>
          <w:r w:rsidRPr="00F75E3F">
            <w:rPr>
              <w:rFonts w:ascii="Arial" w:hAnsi="Arial"/>
            </w:rPr>
            <w:instrText>PAGE  \* Arabic  \* MERGEFORMAT</w:instrText>
          </w:r>
          <w:r w:rsidRPr="00F75E3F">
            <w:rPr>
              <w:rFonts w:ascii="Arial" w:hAnsi="Arial"/>
            </w:rPr>
            <w:fldChar w:fldCharType="separate"/>
          </w:r>
          <w:r w:rsidR="00860F0C" w:rsidRPr="00860F0C">
            <w:rPr>
              <w:rFonts w:ascii="Arial" w:hAnsi="Arial"/>
              <w:b/>
              <w:noProof/>
            </w:rPr>
            <w:t>1</w:t>
          </w:r>
          <w:r w:rsidRPr="00F75E3F">
            <w:rPr>
              <w:rFonts w:ascii="Arial" w:hAnsi="Arial"/>
            </w:rPr>
            <w:fldChar w:fldCharType="end"/>
          </w:r>
          <w:r w:rsidRPr="00F75E3F">
            <w:rPr>
              <w:rFonts w:ascii="Arial" w:hAnsi="Arial"/>
            </w:rPr>
            <w:t xml:space="preserve"> de </w:t>
          </w:r>
          <w:r w:rsidRPr="00F75E3F">
            <w:rPr>
              <w:rFonts w:ascii="Arial" w:hAnsi="Arial"/>
            </w:rPr>
            <w:fldChar w:fldCharType="begin"/>
          </w:r>
          <w:r w:rsidRPr="00F75E3F">
            <w:rPr>
              <w:rFonts w:ascii="Arial" w:hAnsi="Arial"/>
            </w:rPr>
            <w:instrText>NUMPAGES  \* Arabic  \* MERGEFORMAT</w:instrText>
          </w:r>
          <w:r w:rsidRPr="00F75E3F">
            <w:rPr>
              <w:rFonts w:ascii="Arial" w:hAnsi="Arial"/>
            </w:rPr>
            <w:fldChar w:fldCharType="separate"/>
          </w:r>
          <w:r w:rsidR="00860F0C" w:rsidRPr="00860F0C">
            <w:rPr>
              <w:rFonts w:ascii="Arial" w:hAnsi="Arial"/>
              <w:b/>
              <w:noProof/>
            </w:rPr>
            <w:t>35</w:t>
          </w:r>
          <w:r w:rsidRPr="00F75E3F">
            <w:rPr>
              <w:rFonts w:ascii="Arial" w:hAnsi="Arial"/>
            </w:rPr>
            <w:fldChar w:fldCharType="end"/>
          </w:r>
        </w:p>
      </w:tc>
    </w:tr>
  </w:tbl>
  <w:p w:rsidR="00B6053B" w:rsidRDefault="00B605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E90"/>
    <w:multiLevelType w:val="hybridMultilevel"/>
    <w:tmpl w:val="B0EA87E4"/>
    <w:lvl w:ilvl="0" w:tplc="0A2CBF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3B21B8"/>
    <w:multiLevelType w:val="hybridMultilevel"/>
    <w:tmpl w:val="D0747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B176DC"/>
    <w:multiLevelType w:val="hybridMultilevel"/>
    <w:tmpl w:val="2D128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4E4370"/>
    <w:multiLevelType w:val="hybridMultilevel"/>
    <w:tmpl w:val="E064F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8B3623"/>
    <w:multiLevelType w:val="hybridMultilevel"/>
    <w:tmpl w:val="68BC9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1A0B78"/>
    <w:multiLevelType w:val="hybridMultilevel"/>
    <w:tmpl w:val="33026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815E90"/>
    <w:multiLevelType w:val="hybridMultilevel"/>
    <w:tmpl w:val="0F1890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826459"/>
    <w:multiLevelType w:val="hybridMultilevel"/>
    <w:tmpl w:val="CDE438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340F5F81"/>
    <w:multiLevelType w:val="hybridMultilevel"/>
    <w:tmpl w:val="A28C8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1621F7"/>
    <w:multiLevelType w:val="hybridMultilevel"/>
    <w:tmpl w:val="7BDC414C"/>
    <w:lvl w:ilvl="0" w:tplc="240A0001">
      <w:start w:val="1"/>
      <w:numFmt w:val="bullet"/>
      <w:lvlText w:val=""/>
      <w:lvlJc w:val="left"/>
      <w:pPr>
        <w:ind w:left="786" w:hanging="360"/>
      </w:pPr>
      <w:rPr>
        <w:rFonts w:ascii="Symbol" w:hAnsi="Symbol"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39C16898"/>
    <w:multiLevelType w:val="hybridMultilevel"/>
    <w:tmpl w:val="DB42F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E185200"/>
    <w:multiLevelType w:val="multilevel"/>
    <w:tmpl w:val="603AFBC0"/>
    <w:lvl w:ilvl="0">
      <w:start w:val="1"/>
      <w:numFmt w:val="decimal"/>
      <w:lvlText w:val="%1."/>
      <w:lvlJc w:val="left"/>
      <w:pPr>
        <w:ind w:left="360" w:hanging="360"/>
      </w:pPr>
      <w:rPr>
        <w:rFonts w:hint="default"/>
        <w:sz w:val="24"/>
      </w:rPr>
    </w:lvl>
    <w:lvl w:ilvl="1">
      <w:start w:val="1"/>
      <w:numFmt w:val="decimal"/>
      <w:pStyle w:val="Ttulo2"/>
      <w:isLgl/>
      <w:lvlText w:val="%1.%2."/>
      <w:lvlJc w:val="left"/>
      <w:pPr>
        <w:ind w:left="1146" w:hanging="720"/>
      </w:pPr>
      <w:rPr>
        <w:rFonts w:hint="default"/>
      </w:rPr>
    </w:lvl>
    <w:lvl w:ilvl="2">
      <w:start w:val="1"/>
      <w:numFmt w:val="decimal"/>
      <w:pStyle w:val="Ttulo3"/>
      <w:isLgl/>
      <w:lvlText w:val="%1.%2.%3."/>
      <w:lvlJc w:val="left"/>
      <w:pPr>
        <w:ind w:left="720" w:hanging="720"/>
      </w:pPr>
      <w:rPr>
        <w:rFonts w:hint="default"/>
      </w:rPr>
    </w:lvl>
    <w:lvl w:ilvl="3">
      <w:start w:val="1"/>
      <w:numFmt w:val="decimal"/>
      <w:pStyle w:val="Ttulo7"/>
      <w:isLgl/>
      <w:lvlText w:val="%1.%2.%3.%4."/>
      <w:lvlJc w:val="left"/>
      <w:pPr>
        <w:ind w:left="1080" w:hanging="1080"/>
      </w:pPr>
      <w:rPr>
        <w:rFonts w:hint="default"/>
      </w:rPr>
    </w:lvl>
    <w:lvl w:ilvl="4">
      <w:start w:val="1"/>
      <w:numFmt w:val="decimal"/>
      <w:pStyle w:val="Ttulo5"/>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ECD11DC"/>
    <w:multiLevelType w:val="hybridMultilevel"/>
    <w:tmpl w:val="ABB4CCFC"/>
    <w:lvl w:ilvl="0" w:tplc="119CFCA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C53D1"/>
    <w:multiLevelType w:val="hybridMultilevel"/>
    <w:tmpl w:val="9A7E5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603587"/>
    <w:multiLevelType w:val="hybridMultilevel"/>
    <w:tmpl w:val="64E64E4E"/>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4E5F60CF"/>
    <w:multiLevelType w:val="hybridMultilevel"/>
    <w:tmpl w:val="7CF2B47C"/>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FD0242"/>
    <w:multiLevelType w:val="hybridMultilevel"/>
    <w:tmpl w:val="AA201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BC78CD"/>
    <w:multiLevelType w:val="hybridMultilevel"/>
    <w:tmpl w:val="3F7E3AAC"/>
    <w:lvl w:ilvl="0" w:tplc="79AEA736">
      <w:start w:val="1"/>
      <w:numFmt w:val="decimal"/>
      <w:lvlText w:val="%1."/>
      <w:lvlJc w:val="left"/>
      <w:pPr>
        <w:ind w:left="720" w:hanging="360"/>
      </w:pPr>
      <w:rPr>
        <w:rFonts w:eastAsia="Batang"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754F47"/>
    <w:multiLevelType w:val="hybridMultilevel"/>
    <w:tmpl w:val="5A4686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54A741DD"/>
    <w:multiLevelType w:val="hybridMultilevel"/>
    <w:tmpl w:val="506EED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58048F"/>
    <w:multiLevelType w:val="hybridMultilevel"/>
    <w:tmpl w:val="3C62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A744BC8"/>
    <w:multiLevelType w:val="hybridMultilevel"/>
    <w:tmpl w:val="1E8EB66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F241C1"/>
    <w:multiLevelType w:val="hybridMultilevel"/>
    <w:tmpl w:val="0434BC16"/>
    <w:lvl w:ilvl="0" w:tplc="F8F09E80">
      <w:start w:val="1"/>
      <w:numFmt w:val="lowerRoman"/>
      <w:lvlText w:val="%1."/>
      <w:lvlJc w:val="right"/>
      <w:pPr>
        <w:tabs>
          <w:tab w:val="num" w:pos="777"/>
        </w:tabs>
        <w:ind w:left="77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4C7743"/>
    <w:multiLevelType w:val="hybridMultilevel"/>
    <w:tmpl w:val="471A31B4"/>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3D0498"/>
    <w:multiLevelType w:val="hybridMultilevel"/>
    <w:tmpl w:val="E7D2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E23B34"/>
    <w:multiLevelType w:val="hybridMultilevel"/>
    <w:tmpl w:val="52C0F404"/>
    <w:lvl w:ilvl="0" w:tplc="F2C88E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543A32"/>
    <w:multiLevelType w:val="hybridMultilevel"/>
    <w:tmpl w:val="8362D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8F1BE4"/>
    <w:multiLevelType w:val="hybridMultilevel"/>
    <w:tmpl w:val="5A143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971523"/>
    <w:multiLevelType w:val="hybridMultilevel"/>
    <w:tmpl w:val="0DC0E8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6E04660B"/>
    <w:multiLevelType w:val="hybridMultilevel"/>
    <w:tmpl w:val="BE9013B0"/>
    <w:lvl w:ilvl="0" w:tplc="1C80D940">
      <w:start w:val="1"/>
      <w:numFmt w:val="decimal"/>
      <w:lvlText w:val="(%1)"/>
      <w:lvlJc w:val="left"/>
      <w:pPr>
        <w:ind w:left="660"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30" w15:restartNumberingAfterBreak="0">
    <w:nsid w:val="6E5C157E"/>
    <w:multiLevelType w:val="hybridMultilevel"/>
    <w:tmpl w:val="555CF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664602"/>
    <w:multiLevelType w:val="hybridMultilevel"/>
    <w:tmpl w:val="ED9E6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CB55F9"/>
    <w:multiLevelType w:val="hybridMultilevel"/>
    <w:tmpl w:val="DA163F26"/>
    <w:lvl w:ilvl="0" w:tplc="240A001B">
      <w:start w:val="1"/>
      <w:numFmt w:val="lowerRoman"/>
      <w:lvlText w:val="%1."/>
      <w:lvlJc w:val="righ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72322D54"/>
    <w:multiLevelType w:val="hybridMultilevel"/>
    <w:tmpl w:val="69149560"/>
    <w:lvl w:ilvl="0" w:tplc="240A0001">
      <w:start w:val="1"/>
      <w:numFmt w:val="bullet"/>
      <w:lvlText w:val=""/>
      <w:lvlJc w:val="left"/>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A82BCC"/>
    <w:multiLevelType w:val="hybridMultilevel"/>
    <w:tmpl w:val="BAAE3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A85694"/>
    <w:multiLevelType w:val="hybridMultilevel"/>
    <w:tmpl w:val="6D1E7C1A"/>
    <w:lvl w:ilvl="0" w:tplc="240A0001">
      <w:start w:val="1"/>
      <w:numFmt w:val="bullet"/>
      <w:lvlText w:val=""/>
      <w:lvlJc w:val="left"/>
      <w:pPr>
        <w:ind w:left="1146" w:hanging="720"/>
      </w:pPr>
      <w:rPr>
        <w:rFonts w:ascii="Symbol" w:hAnsi="Symbol"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1"/>
  </w:num>
  <w:num w:numId="2">
    <w:abstractNumId w:val="21"/>
  </w:num>
  <w:num w:numId="3">
    <w:abstractNumId w:val="16"/>
  </w:num>
  <w:num w:numId="4">
    <w:abstractNumId w:val="33"/>
  </w:num>
  <w:num w:numId="5">
    <w:abstractNumId w:val="31"/>
  </w:num>
  <w:num w:numId="6">
    <w:abstractNumId w:val="3"/>
  </w:num>
  <w:num w:numId="7">
    <w:abstractNumId w:val="6"/>
  </w:num>
  <w:num w:numId="8">
    <w:abstractNumId w:val="28"/>
  </w:num>
  <w:num w:numId="9">
    <w:abstractNumId w:val="22"/>
  </w:num>
  <w:num w:numId="10">
    <w:abstractNumId w:val="32"/>
  </w:num>
  <w:num w:numId="11">
    <w:abstractNumId w:val="12"/>
  </w:num>
  <w:num w:numId="12">
    <w:abstractNumId w:val="10"/>
  </w:num>
  <w:num w:numId="13">
    <w:abstractNumId w:val="25"/>
  </w:num>
  <w:num w:numId="14">
    <w:abstractNumId w:val="27"/>
  </w:num>
  <w:num w:numId="15">
    <w:abstractNumId w:val="0"/>
  </w:num>
  <w:num w:numId="16">
    <w:abstractNumId w:val="34"/>
  </w:num>
  <w:num w:numId="17">
    <w:abstractNumId w:val="20"/>
  </w:num>
  <w:num w:numId="18">
    <w:abstractNumId w:val="26"/>
  </w:num>
  <w:num w:numId="19">
    <w:abstractNumId w:val="15"/>
  </w:num>
  <w:num w:numId="20">
    <w:abstractNumId w:val="23"/>
  </w:num>
  <w:num w:numId="21">
    <w:abstractNumId w:val="35"/>
  </w:num>
  <w:num w:numId="22">
    <w:abstractNumId w:val="9"/>
  </w:num>
  <w:num w:numId="23">
    <w:abstractNumId w:val="29"/>
  </w:num>
  <w:num w:numId="24">
    <w:abstractNumId w:val="17"/>
  </w:num>
  <w:num w:numId="25">
    <w:abstractNumId w:val="1"/>
  </w:num>
  <w:num w:numId="26">
    <w:abstractNumId w:val="30"/>
  </w:num>
  <w:num w:numId="27">
    <w:abstractNumId w:val="8"/>
  </w:num>
  <w:num w:numId="28">
    <w:abstractNumId w:val="19"/>
  </w:num>
  <w:num w:numId="29">
    <w:abstractNumId w:val="24"/>
  </w:num>
  <w:num w:numId="30">
    <w:abstractNumId w:val="13"/>
  </w:num>
  <w:num w:numId="31">
    <w:abstractNumId w:val="5"/>
  </w:num>
  <w:num w:numId="32">
    <w:abstractNumId w:val="18"/>
  </w:num>
  <w:num w:numId="33">
    <w:abstractNumId w:val="7"/>
  </w:num>
  <w:num w:numId="34">
    <w:abstractNumId w:val="2"/>
  </w:num>
  <w:num w:numId="35">
    <w:abstractNumId w:val="4"/>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5250"/>
    <w:rsid w:val="000063D5"/>
    <w:rsid w:val="00011FD9"/>
    <w:rsid w:val="00021888"/>
    <w:rsid w:val="00022B38"/>
    <w:rsid w:val="00022C54"/>
    <w:rsid w:val="00022FEC"/>
    <w:rsid w:val="0003479D"/>
    <w:rsid w:val="00035405"/>
    <w:rsid w:val="000363FA"/>
    <w:rsid w:val="00037657"/>
    <w:rsid w:val="00045B39"/>
    <w:rsid w:val="000469CF"/>
    <w:rsid w:val="00047A24"/>
    <w:rsid w:val="00050117"/>
    <w:rsid w:val="00051BB2"/>
    <w:rsid w:val="00054E84"/>
    <w:rsid w:val="00063D1A"/>
    <w:rsid w:val="00064D60"/>
    <w:rsid w:val="000674E0"/>
    <w:rsid w:val="00072085"/>
    <w:rsid w:val="00072C48"/>
    <w:rsid w:val="00073262"/>
    <w:rsid w:val="000778CC"/>
    <w:rsid w:val="00083014"/>
    <w:rsid w:val="00083E70"/>
    <w:rsid w:val="00087A0A"/>
    <w:rsid w:val="000915CA"/>
    <w:rsid w:val="000956E7"/>
    <w:rsid w:val="00095A8F"/>
    <w:rsid w:val="000977C5"/>
    <w:rsid w:val="000977F7"/>
    <w:rsid w:val="000A42B1"/>
    <w:rsid w:val="000B00A2"/>
    <w:rsid w:val="000B092A"/>
    <w:rsid w:val="000B16C1"/>
    <w:rsid w:val="000B4F7D"/>
    <w:rsid w:val="000C09D3"/>
    <w:rsid w:val="000C1928"/>
    <w:rsid w:val="000E1069"/>
    <w:rsid w:val="000E4554"/>
    <w:rsid w:val="000F585F"/>
    <w:rsid w:val="000F6ED3"/>
    <w:rsid w:val="00101B24"/>
    <w:rsid w:val="00102614"/>
    <w:rsid w:val="0011063E"/>
    <w:rsid w:val="001160E7"/>
    <w:rsid w:val="00117253"/>
    <w:rsid w:val="00120071"/>
    <w:rsid w:val="00122D4F"/>
    <w:rsid w:val="00131653"/>
    <w:rsid w:val="00134D9C"/>
    <w:rsid w:val="00137531"/>
    <w:rsid w:val="0014258C"/>
    <w:rsid w:val="00142FEF"/>
    <w:rsid w:val="00143357"/>
    <w:rsid w:val="00147335"/>
    <w:rsid w:val="0015312C"/>
    <w:rsid w:val="00155B8C"/>
    <w:rsid w:val="00171A99"/>
    <w:rsid w:val="00175F87"/>
    <w:rsid w:val="00183D82"/>
    <w:rsid w:val="00184FE0"/>
    <w:rsid w:val="001869CF"/>
    <w:rsid w:val="00193A4D"/>
    <w:rsid w:val="001951D4"/>
    <w:rsid w:val="0019712C"/>
    <w:rsid w:val="001A1C63"/>
    <w:rsid w:val="001A3A75"/>
    <w:rsid w:val="001A4C39"/>
    <w:rsid w:val="001A7EDF"/>
    <w:rsid w:val="001B086F"/>
    <w:rsid w:val="001B5821"/>
    <w:rsid w:val="001C136F"/>
    <w:rsid w:val="001C3D92"/>
    <w:rsid w:val="001C488A"/>
    <w:rsid w:val="001D0C57"/>
    <w:rsid w:val="001D1DAB"/>
    <w:rsid w:val="001D3638"/>
    <w:rsid w:val="001D6664"/>
    <w:rsid w:val="001E756F"/>
    <w:rsid w:val="001E7A62"/>
    <w:rsid w:val="001F0483"/>
    <w:rsid w:val="001F289E"/>
    <w:rsid w:val="001F416E"/>
    <w:rsid w:val="001F67F1"/>
    <w:rsid w:val="001F779D"/>
    <w:rsid w:val="002007F5"/>
    <w:rsid w:val="00205A68"/>
    <w:rsid w:val="00210C94"/>
    <w:rsid w:val="00214097"/>
    <w:rsid w:val="002167BB"/>
    <w:rsid w:val="002239D8"/>
    <w:rsid w:val="002277F8"/>
    <w:rsid w:val="00236220"/>
    <w:rsid w:val="002400D9"/>
    <w:rsid w:val="002409BB"/>
    <w:rsid w:val="00241A86"/>
    <w:rsid w:val="00242C43"/>
    <w:rsid w:val="002457C1"/>
    <w:rsid w:val="0025351E"/>
    <w:rsid w:val="00262411"/>
    <w:rsid w:val="002648FF"/>
    <w:rsid w:val="00264F65"/>
    <w:rsid w:val="00264FE0"/>
    <w:rsid w:val="002724A4"/>
    <w:rsid w:val="002811CE"/>
    <w:rsid w:val="002815D6"/>
    <w:rsid w:val="00282A5C"/>
    <w:rsid w:val="002830EC"/>
    <w:rsid w:val="00292688"/>
    <w:rsid w:val="00293AFA"/>
    <w:rsid w:val="00295E82"/>
    <w:rsid w:val="00296130"/>
    <w:rsid w:val="002963DA"/>
    <w:rsid w:val="00296C3B"/>
    <w:rsid w:val="002972B9"/>
    <w:rsid w:val="002A62EE"/>
    <w:rsid w:val="002A7C4C"/>
    <w:rsid w:val="002D13EA"/>
    <w:rsid w:val="002D1519"/>
    <w:rsid w:val="002D3BB6"/>
    <w:rsid w:val="002E041D"/>
    <w:rsid w:val="002E0970"/>
    <w:rsid w:val="002E2C76"/>
    <w:rsid w:val="002E2CFD"/>
    <w:rsid w:val="002E4B5F"/>
    <w:rsid w:val="002E556A"/>
    <w:rsid w:val="002F02AA"/>
    <w:rsid w:val="002F271F"/>
    <w:rsid w:val="003074CE"/>
    <w:rsid w:val="00311433"/>
    <w:rsid w:val="00314C44"/>
    <w:rsid w:val="00326F30"/>
    <w:rsid w:val="003278E5"/>
    <w:rsid w:val="00327910"/>
    <w:rsid w:val="00331F46"/>
    <w:rsid w:val="003327D5"/>
    <w:rsid w:val="00333204"/>
    <w:rsid w:val="003375DF"/>
    <w:rsid w:val="00337E5D"/>
    <w:rsid w:val="00342616"/>
    <w:rsid w:val="003434BD"/>
    <w:rsid w:val="00353A16"/>
    <w:rsid w:val="00360C32"/>
    <w:rsid w:val="00363BAD"/>
    <w:rsid w:val="00371D47"/>
    <w:rsid w:val="00372BE9"/>
    <w:rsid w:val="00375012"/>
    <w:rsid w:val="00377878"/>
    <w:rsid w:val="003823CD"/>
    <w:rsid w:val="00384751"/>
    <w:rsid w:val="00384F28"/>
    <w:rsid w:val="00385B09"/>
    <w:rsid w:val="00386147"/>
    <w:rsid w:val="0038616B"/>
    <w:rsid w:val="00386542"/>
    <w:rsid w:val="00387816"/>
    <w:rsid w:val="0039287A"/>
    <w:rsid w:val="003933D9"/>
    <w:rsid w:val="00397FC2"/>
    <w:rsid w:val="003A1535"/>
    <w:rsid w:val="003A2C33"/>
    <w:rsid w:val="003A6EE4"/>
    <w:rsid w:val="003B0DC7"/>
    <w:rsid w:val="003B2C01"/>
    <w:rsid w:val="003B4BFB"/>
    <w:rsid w:val="003B729A"/>
    <w:rsid w:val="003B778A"/>
    <w:rsid w:val="003C066E"/>
    <w:rsid w:val="003C686A"/>
    <w:rsid w:val="003D278C"/>
    <w:rsid w:val="003D347E"/>
    <w:rsid w:val="003E1FF1"/>
    <w:rsid w:val="003E2226"/>
    <w:rsid w:val="003E28E6"/>
    <w:rsid w:val="003E450F"/>
    <w:rsid w:val="003F1038"/>
    <w:rsid w:val="003F18DA"/>
    <w:rsid w:val="003F4FAC"/>
    <w:rsid w:val="003F5745"/>
    <w:rsid w:val="003F5C7B"/>
    <w:rsid w:val="00400CB0"/>
    <w:rsid w:val="00401E07"/>
    <w:rsid w:val="00405B5B"/>
    <w:rsid w:val="00410BD2"/>
    <w:rsid w:val="00414159"/>
    <w:rsid w:val="00414A58"/>
    <w:rsid w:val="004206A1"/>
    <w:rsid w:val="0042407F"/>
    <w:rsid w:val="00425472"/>
    <w:rsid w:val="00427EF3"/>
    <w:rsid w:val="00431079"/>
    <w:rsid w:val="00436166"/>
    <w:rsid w:val="00436E0B"/>
    <w:rsid w:val="00450495"/>
    <w:rsid w:val="00452029"/>
    <w:rsid w:val="0045365B"/>
    <w:rsid w:val="00456CA7"/>
    <w:rsid w:val="004667EF"/>
    <w:rsid w:val="0046710F"/>
    <w:rsid w:val="0046764A"/>
    <w:rsid w:val="00471453"/>
    <w:rsid w:val="00472365"/>
    <w:rsid w:val="00472A45"/>
    <w:rsid w:val="00472A79"/>
    <w:rsid w:val="00475231"/>
    <w:rsid w:val="00475830"/>
    <w:rsid w:val="00476611"/>
    <w:rsid w:val="004857F2"/>
    <w:rsid w:val="00485A65"/>
    <w:rsid w:val="00486BA8"/>
    <w:rsid w:val="00490620"/>
    <w:rsid w:val="00493006"/>
    <w:rsid w:val="00494E44"/>
    <w:rsid w:val="004A02FE"/>
    <w:rsid w:val="004A0461"/>
    <w:rsid w:val="004A361C"/>
    <w:rsid w:val="004A4FCE"/>
    <w:rsid w:val="004A5664"/>
    <w:rsid w:val="004B0277"/>
    <w:rsid w:val="004B79F3"/>
    <w:rsid w:val="004C1FDA"/>
    <w:rsid w:val="004C5997"/>
    <w:rsid w:val="004D4ED1"/>
    <w:rsid w:val="004E14DA"/>
    <w:rsid w:val="004E2937"/>
    <w:rsid w:val="004E5AE1"/>
    <w:rsid w:val="004E7BF0"/>
    <w:rsid w:val="004F3D11"/>
    <w:rsid w:val="004F44EB"/>
    <w:rsid w:val="00500030"/>
    <w:rsid w:val="0050564C"/>
    <w:rsid w:val="0050572D"/>
    <w:rsid w:val="0050701C"/>
    <w:rsid w:val="00510729"/>
    <w:rsid w:val="00510FCF"/>
    <w:rsid w:val="00513A23"/>
    <w:rsid w:val="00514D7B"/>
    <w:rsid w:val="00524CD7"/>
    <w:rsid w:val="00525A90"/>
    <w:rsid w:val="00533CDB"/>
    <w:rsid w:val="00534C2C"/>
    <w:rsid w:val="00535A29"/>
    <w:rsid w:val="00540D04"/>
    <w:rsid w:val="00542CFC"/>
    <w:rsid w:val="0054571A"/>
    <w:rsid w:val="00547CF9"/>
    <w:rsid w:val="0055158A"/>
    <w:rsid w:val="005519C8"/>
    <w:rsid w:val="005565B2"/>
    <w:rsid w:val="00556D0A"/>
    <w:rsid w:val="00557E98"/>
    <w:rsid w:val="00560C71"/>
    <w:rsid w:val="00561EE6"/>
    <w:rsid w:val="00566D2D"/>
    <w:rsid w:val="00567839"/>
    <w:rsid w:val="00574783"/>
    <w:rsid w:val="005755D6"/>
    <w:rsid w:val="005761C3"/>
    <w:rsid w:val="00577909"/>
    <w:rsid w:val="00587EB0"/>
    <w:rsid w:val="005944C3"/>
    <w:rsid w:val="00594C8D"/>
    <w:rsid w:val="005A0EA1"/>
    <w:rsid w:val="005A41F6"/>
    <w:rsid w:val="005A7608"/>
    <w:rsid w:val="005B0F9C"/>
    <w:rsid w:val="005D15D1"/>
    <w:rsid w:val="005D2C18"/>
    <w:rsid w:val="005D725E"/>
    <w:rsid w:val="005D7F83"/>
    <w:rsid w:val="005E1CB4"/>
    <w:rsid w:val="005E2E6E"/>
    <w:rsid w:val="005E4121"/>
    <w:rsid w:val="005E4533"/>
    <w:rsid w:val="005E669E"/>
    <w:rsid w:val="005F0AC3"/>
    <w:rsid w:val="005F3D9D"/>
    <w:rsid w:val="00600BC9"/>
    <w:rsid w:val="006032C5"/>
    <w:rsid w:val="00604D3C"/>
    <w:rsid w:val="00606A95"/>
    <w:rsid w:val="00607015"/>
    <w:rsid w:val="00611C10"/>
    <w:rsid w:val="00611C5F"/>
    <w:rsid w:val="00615496"/>
    <w:rsid w:val="00615BD6"/>
    <w:rsid w:val="00620D0C"/>
    <w:rsid w:val="006222AA"/>
    <w:rsid w:val="00622AE5"/>
    <w:rsid w:val="00626373"/>
    <w:rsid w:val="00630D8A"/>
    <w:rsid w:val="00634673"/>
    <w:rsid w:val="00643B2D"/>
    <w:rsid w:val="00652842"/>
    <w:rsid w:val="0065350D"/>
    <w:rsid w:val="00655C8F"/>
    <w:rsid w:val="006564E6"/>
    <w:rsid w:val="00656CE8"/>
    <w:rsid w:val="006576A0"/>
    <w:rsid w:val="006579B0"/>
    <w:rsid w:val="00663352"/>
    <w:rsid w:val="00670D20"/>
    <w:rsid w:val="0067548E"/>
    <w:rsid w:val="00675582"/>
    <w:rsid w:val="006761A3"/>
    <w:rsid w:val="00676EFE"/>
    <w:rsid w:val="006771ED"/>
    <w:rsid w:val="006865B0"/>
    <w:rsid w:val="00690FF1"/>
    <w:rsid w:val="00691AE4"/>
    <w:rsid w:val="006A09EA"/>
    <w:rsid w:val="006A1555"/>
    <w:rsid w:val="006A3F05"/>
    <w:rsid w:val="006B056D"/>
    <w:rsid w:val="006B15F1"/>
    <w:rsid w:val="006B198A"/>
    <w:rsid w:val="006B5B82"/>
    <w:rsid w:val="006B5BD6"/>
    <w:rsid w:val="006B6A88"/>
    <w:rsid w:val="006B7441"/>
    <w:rsid w:val="006C06DA"/>
    <w:rsid w:val="006C5D5F"/>
    <w:rsid w:val="006C63CF"/>
    <w:rsid w:val="006D05AD"/>
    <w:rsid w:val="006D1283"/>
    <w:rsid w:val="006D3997"/>
    <w:rsid w:val="006E3ACC"/>
    <w:rsid w:val="006E3F80"/>
    <w:rsid w:val="006E73FB"/>
    <w:rsid w:val="006F4C6D"/>
    <w:rsid w:val="006F6E91"/>
    <w:rsid w:val="007007D9"/>
    <w:rsid w:val="007017D6"/>
    <w:rsid w:val="007036E3"/>
    <w:rsid w:val="00703C9C"/>
    <w:rsid w:val="00704835"/>
    <w:rsid w:val="00704BAC"/>
    <w:rsid w:val="007056EA"/>
    <w:rsid w:val="007115E6"/>
    <w:rsid w:val="007123FF"/>
    <w:rsid w:val="0071376A"/>
    <w:rsid w:val="00715C69"/>
    <w:rsid w:val="00720D81"/>
    <w:rsid w:val="00725B97"/>
    <w:rsid w:val="0072727E"/>
    <w:rsid w:val="00727453"/>
    <w:rsid w:val="007322C8"/>
    <w:rsid w:val="00733C7F"/>
    <w:rsid w:val="00745947"/>
    <w:rsid w:val="00755DA2"/>
    <w:rsid w:val="0075716D"/>
    <w:rsid w:val="00767D1B"/>
    <w:rsid w:val="00773094"/>
    <w:rsid w:val="00780A33"/>
    <w:rsid w:val="00780D87"/>
    <w:rsid w:val="00781E3A"/>
    <w:rsid w:val="00782119"/>
    <w:rsid w:val="007827DA"/>
    <w:rsid w:val="00783E6A"/>
    <w:rsid w:val="0078679A"/>
    <w:rsid w:val="007920F8"/>
    <w:rsid w:val="007A17A0"/>
    <w:rsid w:val="007A4604"/>
    <w:rsid w:val="007A47A0"/>
    <w:rsid w:val="007A4A9B"/>
    <w:rsid w:val="007A7E06"/>
    <w:rsid w:val="007B0E17"/>
    <w:rsid w:val="007B32F3"/>
    <w:rsid w:val="007C53A7"/>
    <w:rsid w:val="007C5522"/>
    <w:rsid w:val="007C5ADC"/>
    <w:rsid w:val="007C65AF"/>
    <w:rsid w:val="007C6DFB"/>
    <w:rsid w:val="007C71EE"/>
    <w:rsid w:val="007C74E6"/>
    <w:rsid w:val="007D5B30"/>
    <w:rsid w:val="007D6FAB"/>
    <w:rsid w:val="007E0751"/>
    <w:rsid w:val="007E6544"/>
    <w:rsid w:val="007F1B74"/>
    <w:rsid w:val="007F39A4"/>
    <w:rsid w:val="0080382D"/>
    <w:rsid w:val="00804F18"/>
    <w:rsid w:val="008122B1"/>
    <w:rsid w:val="00812745"/>
    <w:rsid w:val="0081339E"/>
    <w:rsid w:val="0081362B"/>
    <w:rsid w:val="0081583A"/>
    <w:rsid w:val="00821D43"/>
    <w:rsid w:val="00822562"/>
    <w:rsid w:val="0082313F"/>
    <w:rsid w:val="00826516"/>
    <w:rsid w:val="00830B40"/>
    <w:rsid w:val="00844A95"/>
    <w:rsid w:val="00847A84"/>
    <w:rsid w:val="00854CDF"/>
    <w:rsid w:val="00857116"/>
    <w:rsid w:val="00860F0C"/>
    <w:rsid w:val="00861FE5"/>
    <w:rsid w:val="008636B6"/>
    <w:rsid w:val="008653EE"/>
    <w:rsid w:val="00865FA4"/>
    <w:rsid w:val="00867753"/>
    <w:rsid w:val="0087090D"/>
    <w:rsid w:val="00870964"/>
    <w:rsid w:val="00871018"/>
    <w:rsid w:val="0087418B"/>
    <w:rsid w:val="00874584"/>
    <w:rsid w:val="008809E7"/>
    <w:rsid w:val="00882366"/>
    <w:rsid w:val="00883C2A"/>
    <w:rsid w:val="0088679F"/>
    <w:rsid w:val="00890B8C"/>
    <w:rsid w:val="00892F0B"/>
    <w:rsid w:val="008976E8"/>
    <w:rsid w:val="008A6D2D"/>
    <w:rsid w:val="008B4895"/>
    <w:rsid w:val="008B58C2"/>
    <w:rsid w:val="008B660F"/>
    <w:rsid w:val="008B7DBF"/>
    <w:rsid w:val="008C65ED"/>
    <w:rsid w:val="008E38B4"/>
    <w:rsid w:val="008E44CA"/>
    <w:rsid w:val="008E6BEC"/>
    <w:rsid w:val="008E6E7A"/>
    <w:rsid w:val="008F0E72"/>
    <w:rsid w:val="008F55CA"/>
    <w:rsid w:val="008F73A5"/>
    <w:rsid w:val="0090151D"/>
    <w:rsid w:val="0091158D"/>
    <w:rsid w:val="00914CC9"/>
    <w:rsid w:val="00917268"/>
    <w:rsid w:val="009211A5"/>
    <w:rsid w:val="0092547E"/>
    <w:rsid w:val="009264AA"/>
    <w:rsid w:val="009279C2"/>
    <w:rsid w:val="009303A2"/>
    <w:rsid w:val="00932B30"/>
    <w:rsid w:val="009371D7"/>
    <w:rsid w:val="0094407F"/>
    <w:rsid w:val="009529B4"/>
    <w:rsid w:val="00954628"/>
    <w:rsid w:val="00974849"/>
    <w:rsid w:val="009750E0"/>
    <w:rsid w:val="00976124"/>
    <w:rsid w:val="00977B45"/>
    <w:rsid w:val="009808D0"/>
    <w:rsid w:val="00982327"/>
    <w:rsid w:val="00982A1F"/>
    <w:rsid w:val="00991636"/>
    <w:rsid w:val="009927CC"/>
    <w:rsid w:val="009A37A7"/>
    <w:rsid w:val="009B2088"/>
    <w:rsid w:val="009B3218"/>
    <w:rsid w:val="009B3CFC"/>
    <w:rsid w:val="009B3F2A"/>
    <w:rsid w:val="009B407C"/>
    <w:rsid w:val="009C23A7"/>
    <w:rsid w:val="009C2B24"/>
    <w:rsid w:val="009C420F"/>
    <w:rsid w:val="009C441F"/>
    <w:rsid w:val="009C53A3"/>
    <w:rsid w:val="009C6EA5"/>
    <w:rsid w:val="009C722F"/>
    <w:rsid w:val="009D7458"/>
    <w:rsid w:val="009E0FDB"/>
    <w:rsid w:val="009F41A3"/>
    <w:rsid w:val="00A0515B"/>
    <w:rsid w:val="00A10F14"/>
    <w:rsid w:val="00A14ED4"/>
    <w:rsid w:val="00A15198"/>
    <w:rsid w:val="00A1588A"/>
    <w:rsid w:val="00A21B40"/>
    <w:rsid w:val="00A23D16"/>
    <w:rsid w:val="00A336CB"/>
    <w:rsid w:val="00A3796D"/>
    <w:rsid w:val="00A40086"/>
    <w:rsid w:val="00A400C2"/>
    <w:rsid w:val="00A4431D"/>
    <w:rsid w:val="00A47861"/>
    <w:rsid w:val="00A51563"/>
    <w:rsid w:val="00A52CBB"/>
    <w:rsid w:val="00A54D53"/>
    <w:rsid w:val="00A55E86"/>
    <w:rsid w:val="00A57890"/>
    <w:rsid w:val="00A6161F"/>
    <w:rsid w:val="00A65C7E"/>
    <w:rsid w:val="00A668FF"/>
    <w:rsid w:val="00A67D94"/>
    <w:rsid w:val="00A723B1"/>
    <w:rsid w:val="00A75E56"/>
    <w:rsid w:val="00A77321"/>
    <w:rsid w:val="00A848B1"/>
    <w:rsid w:val="00A86001"/>
    <w:rsid w:val="00A86089"/>
    <w:rsid w:val="00A8722D"/>
    <w:rsid w:val="00A95CE9"/>
    <w:rsid w:val="00AB03D9"/>
    <w:rsid w:val="00AB4ECC"/>
    <w:rsid w:val="00AB715C"/>
    <w:rsid w:val="00AB763A"/>
    <w:rsid w:val="00AC5C77"/>
    <w:rsid w:val="00AC74D3"/>
    <w:rsid w:val="00AD5875"/>
    <w:rsid w:val="00AD7177"/>
    <w:rsid w:val="00AE5F0A"/>
    <w:rsid w:val="00AE6EF5"/>
    <w:rsid w:val="00AF4B62"/>
    <w:rsid w:val="00B012FC"/>
    <w:rsid w:val="00B07CF2"/>
    <w:rsid w:val="00B10CBA"/>
    <w:rsid w:val="00B1239C"/>
    <w:rsid w:val="00B1289E"/>
    <w:rsid w:val="00B130ED"/>
    <w:rsid w:val="00B20B34"/>
    <w:rsid w:val="00B234BF"/>
    <w:rsid w:val="00B23CD7"/>
    <w:rsid w:val="00B272FD"/>
    <w:rsid w:val="00B30209"/>
    <w:rsid w:val="00B30928"/>
    <w:rsid w:val="00B41296"/>
    <w:rsid w:val="00B41573"/>
    <w:rsid w:val="00B41743"/>
    <w:rsid w:val="00B4360D"/>
    <w:rsid w:val="00B44AF0"/>
    <w:rsid w:val="00B52F57"/>
    <w:rsid w:val="00B53EA8"/>
    <w:rsid w:val="00B56F8B"/>
    <w:rsid w:val="00B6053B"/>
    <w:rsid w:val="00B614BC"/>
    <w:rsid w:val="00B65552"/>
    <w:rsid w:val="00B66D95"/>
    <w:rsid w:val="00B75139"/>
    <w:rsid w:val="00B76D25"/>
    <w:rsid w:val="00B77336"/>
    <w:rsid w:val="00B865A3"/>
    <w:rsid w:val="00B91C84"/>
    <w:rsid w:val="00B92904"/>
    <w:rsid w:val="00BA388C"/>
    <w:rsid w:val="00BA43D9"/>
    <w:rsid w:val="00BA5D73"/>
    <w:rsid w:val="00BB09A0"/>
    <w:rsid w:val="00BB2909"/>
    <w:rsid w:val="00BB7D0E"/>
    <w:rsid w:val="00BC0ADE"/>
    <w:rsid w:val="00BC5018"/>
    <w:rsid w:val="00BD226D"/>
    <w:rsid w:val="00BD60F1"/>
    <w:rsid w:val="00BE0935"/>
    <w:rsid w:val="00BE0D53"/>
    <w:rsid w:val="00BE6950"/>
    <w:rsid w:val="00BE6ABE"/>
    <w:rsid w:val="00BF02B1"/>
    <w:rsid w:val="00BF28DD"/>
    <w:rsid w:val="00BF3745"/>
    <w:rsid w:val="00BF4EEE"/>
    <w:rsid w:val="00BF7F26"/>
    <w:rsid w:val="00C00086"/>
    <w:rsid w:val="00C000E5"/>
    <w:rsid w:val="00C164C6"/>
    <w:rsid w:val="00C221C4"/>
    <w:rsid w:val="00C24C9B"/>
    <w:rsid w:val="00C30CC6"/>
    <w:rsid w:val="00C3411F"/>
    <w:rsid w:val="00C35E57"/>
    <w:rsid w:val="00C35F84"/>
    <w:rsid w:val="00C37ED3"/>
    <w:rsid w:val="00C408EF"/>
    <w:rsid w:val="00C40F45"/>
    <w:rsid w:val="00C41323"/>
    <w:rsid w:val="00C424A7"/>
    <w:rsid w:val="00C42AEF"/>
    <w:rsid w:val="00C43516"/>
    <w:rsid w:val="00C45C23"/>
    <w:rsid w:val="00C47CA4"/>
    <w:rsid w:val="00C47DFB"/>
    <w:rsid w:val="00C508E6"/>
    <w:rsid w:val="00C5105C"/>
    <w:rsid w:val="00C51843"/>
    <w:rsid w:val="00C5184B"/>
    <w:rsid w:val="00C53565"/>
    <w:rsid w:val="00C55185"/>
    <w:rsid w:val="00C579F8"/>
    <w:rsid w:val="00C6353D"/>
    <w:rsid w:val="00C65D11"/>
    <w:rsid w:val="00C66DF0"/>
    <w:rsid w:val="00C66DFA"/>
    <w:rsid w:val="00C715A6"/>
    <w:rsid w:val="00C72D97"/>
    <w:rsid w:val="00C93704"/>
    <w:rsid w:val="00C93D8F"/>
    <w:rsid w:val="00C9489C"/>
    <w:rsid w:val="00C95485"/>
    <w:rsid w:val="00C95CE0"/>
    <w:rsid w:val="00C96127"/>
    <w:rsid w:val="00C96DFC"/>
    <w:rsid w:val="00CA07CE"/>
    <w:rsid w:val="00CA0C14"/>
    <w:rsid w:val="00CA2538"/>
    <w:rsid w:val="00CA27AC"/>
    <w:rsid w:val="00CA787C"/>
    <w:rsid w:val="00CB26AD"/>
    <w:rsid w:val="00CB4196"/>
    <w:rsid w:val="00CC12BC"/>
    <w:rsid w:val="00CC2737"/>
    <w:rsid w:val="00CC4DD8"/>
    <w:rsid w:val="00CC6DA2"/>
    <w:rsid w:val="00CD1BA9"/>
    <w:rsid w:val="00CD3A73"/>
    <w:rsid w:val="00CD3D5A"/>
    <w:rsid w:val="00CD797D"/>
    <w:rsid w:val="00CE1921"/>
    <w:rsid w:val="00CE79BB"/>
    <w:rsid w:val="00CF5454"/>
    <w:rsid w:val="00CF6C5F"/>
    <w:rsid w:val="00D01F1D"/>
    <w:rsid w:val="00D029EF"/>
    <w:rsid w:val="00D03ACB"/>
    <w:rsid w:val="00D123C4"/>
    <w:rsid w:val="00D221DD"/>
    <w:rsid w:val="00D255E3"/>
    <w:rsid w:val="00D26192"/>
    <w:rsid w:val="00D279A7"/>
    <w:rsid w:val="00D30737"/>
    <w:rsid w:val="00D3355A"/>
    <w:rsid w:val="00D33F4D"/>
    <w:rsid w:val="00D347FC"/>
    <w:rsid w:val="00D34C5C"/>
    <w:rsid w:val="00D4131C"/>
    <w:rsid w:val="00D41D63"/>
    <w:rsid w:val="00D43FE7"/>
    <w:rsid w:val="00D57502"/>
    <w:rsid w:val="00D672F8"/>
    <w:rsid w:val="00D72D8F"/>
    <w:rsid w:val="00D733D2"/>
    <w:rsid w:val="00D741A5"/>
    <w:rsid w:val="00D745CE"/>
    <w:rsid w:val="00D74945"/>
    <w:rsid w:val="00D77102"/>
    <w:rsid w:val="00D82736"/>
    <w:rsid w:val="00D828A3"/>
    <w:rsid w:val="00D851BD"/>
    <w:rsid w:val="00D91A5B"/>
    <w:rsid w:val="00D92917"/>
    <w:rsid w:val="00D9330E"/>
    <w:rsid w:val="00D9412B"/>
    <w:rsid w:val="00DA0835"/>
    <w:rsid w:val="00DA13FB"/>
    <w:rsid w:val="00DA3C10"/>
    <w:rsid w:val="00DA49ED"/>
    <w:rsid w:val="00DA65AA"/>
    <w:rsid w:val="00DA72D1"/>
    <w:rsid w:val="00DA7511"/>
    <w:rsid w:val="00DB0A03"/>
    <w:rsid w:val="00DB347D"/>
    <w:rsid w:val="00DC036D"/>
    <w:rsid w:val="00DC3F2C"/>
    <w:rsid w:val="00DC5FFC"/>
    <w:rsid w:val="00DD79BE"/>
    <w:rsid w:val="00DE3810"/>
    <w:rsid w:val="00DE4E79"/>
    <w:rsid w:val="00DE505F"/>
    <w:rsid w:val="00DF5FD9"/>
    <w:rsid w:val="00DF643E"/>
    <w:rsid w:val="00E00C50"/>
    <w:rsid w:val="00E00CE9"/>
    <w:rsid w:val="00E02FE8"/>
    <w:rsid w:val="00E076DE"/>
    <w:rsid w:val="00E07D63"/>
    <w:rsid w:val="00E11FDA"/>
    <w:rsid w:val="00E1325C"/>
    <w:rsid w:val="00E16904"/>
    <w:rsid w:val="00E16949"/>
    <w:rsid w:val="00E20B1C"/>
    <w:rsid w:val="00E25DA1"/>
    <w:rsid w:val="00E342A2"/>
    <w:rsid w:val="00E355C8"/>
    <w:rsid w:val="00E50031"/>
    <w:rsid w:val="00E51E1D"/>
    <w:rsid w:val="00E530EF"/>
    <w:rsid w:val="00E6512B"/>
    <w:rsid w:val="00E663BF"/>
    <w:rsid w:val="00E66534"/>
    <w:rsid w:val="00E702B9"/>
    <w:rsid w:val="00E7577C"/>
    <w:rsid w:val="00E7687A"/>
    <w:rsid w:val="00E77DD0"/>
    <w:rsid w:val="00E837F5"/>
    <w:rsid w:val="00E84233"/>
    <w:rsid w:val="00E9189E"/>
    <w:rsid w:val="00E923F4"/>
    <w:rsid w:val="00E97D55"/>
    <w:rsid w:val="00EA3232"/>
    <w:rsid w:val="00EA4651"/>
    <w:rsid w:val="00EB65E5"/>
    <w:rsid w:val="00EC1FD5"/>
    <w:rsid w:val="00EC4AA7"/>
    <w:rsid w:val="00EC52C8"/>
    <w:rsid w:val="00ED2BFC"/>
    <w:rsid w:val="00ED5697"/>
    <w:rsid w:val="00EE1127"/>
    <w:rsid w:val="00EE6F03"/>
    <w:rsid w:val="00EE7950"/>
    <w:rsid w:val="00EF2F04"/>
    <w:rsid w:val="00EF5AA4"/>
    <w:rsid w:val="00F0019B"/>
    <w:rsid w:val="00F006C1"/>
    <w:rsid w:val="00F00DF9"/>
    <w:rsid w:val="00F05745"/>
    <w:rsid w:val="00F07F58"/>
    <w:rsid w:val="00F13279"/>
    <w:rsid w:val="00F162AF"/>
    <w:rsid w:val="00F20FC3"/>
    <w:rsid w:val="00F25B8A"/>
    <w:rsid w:val="00F312B9"/>
    <w:rsid w:val="00F368E9"/>
    <w:rsid w:val="00F373F2"/>
    <w:rsid w:val="00F41600"/>
    <w:rsid w:val="00F42314"/>
    <w:rsid w:val="00F46C4E"/>
    <w:rsid w:val="00F5305E"/>
    <w:rsid w:val="00F55465"/>
    <w:rsid w:val="00F62A68"/>
    <w:rsid w:val="00F62D49"/>
    <w:rsid w:val="00F63578"/>
    <w:rsid w:val="00F6440B"/>
    <w:rsid w:val="00F65272"/>
    <w:rsid w:val="00F673BF"/>
    <w:rsid w:val="00F71F22"/>
    <w:rsid w:val="00F75E3F"/>
    <w:rsid w:val="00F76949"/>
    <w:rsid w:val="00F82DEA"/>
    <w:rsid w:val="00F83FB3"/>
    <w:rsid w:val="00F94126"/>
    <w:rsid w:val="00F9741E"/>
    <w:rsid w:val="00FB181C"/>
    <w:rsid w:val="00FB363D"/>
    <w:rsid w:val="00FB5252"/>
    <w:rsid w:val="00FC0F0B"/>
    <w:rsid w:val="00FC21F1"/>
    <w:rsid w:val="00FC6E04"/>
    <w:rsid w:val="00FC7B17"/>
    <w:rsid w:val="00FD7C27"/>
    <w:rsid w:val="00FE05AC"/>
    <w:rsid w:val="00FE32FC"/>
    <w:rsid w:val="00FE4210"/>
    <w:rsid w:val="00FE52EC"/>
    <w:rsid w:val="00FE7839"/>
    <w:rsid w:val="00FF0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7E9C724-928F-4902-8F91-F9EAF935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caption" w:semiHidden="1" w:unhideWhenUsed="1" w:qFormat="1"/>
    <w:lsdException w:name="footnote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uiPriority w:val="9"/>
    <w:qFormat/>
    <w:pPr>
      <w:keepNext/>
      <w:widowControl w:val="0"/>
      <w:jc w:val="center"/>
      <w:outlineLvl w:val="0"/>
    </w:pPr>
    <w:rPr>
      <w:b/>
      <w:sz w:val="18"/>
    </w:rPr>
  </w:style>
  <w:style w:type="paragraph" w:styleId="Ttulo2">
    <w:name w:val="heading 2"/>
    <w:basedOn w:val="Normal"/>
    <w:next w:val="Normal"/>
    <w:qFormat/>
    <w:rsid w:val="0014258C"/>
    <w:pPr>
      <w:numPr>
        <w:ilvl w:val="1"/>
        <w:numId w:val="1"/>
      </w:numPr>
      <w:ind w:left="426" w:hanging="426"/>
      <w:jc w:val="both"/>
      <w:outlineLvl w:val="1"/>
    </w:pPr>
    <w:rPr>
      <w:rFonts w:ascii="Arial Narrow" w:hAnsi="Arial Narrow" w:cs="Arial"/>
      <w:b/>
      <w:sz w:val="24"/>
      <w:szCs w:val="24"/>
      <w:lang w:val="es-CO"/>
    </w:rPr>
  </w:style>
  <w:style w:type="paragraph" w:styleId="Ttulo3">
    <w:name w:val="heading 3"/>
    <w:basedOn w:val="Normal"/>
    <w:next w:val="Normal"/>
    <w:qFormat/>
    <w:rsid w:val="00BC5018"/>
    <w:pPr>
      <w:keepNext/>
      <w:widowControl w:val="0"/>
      <w:numPr>
        <w:ilvl w:val="2"/>
        <w:numId w:val="1"/>
      </w:numPr>
      <w:outlineLvl w:val="2"/>
    </w:pPr>
    <w:rPr>
      <w:rFonts w:ascii="Arial Narrow" w:hAnsi="Arial Narrow"/>
      <w:b/>
      <w:sz w:val="24"/>
      <w:szCs w:val="24"/>
      <w:u w:val="single"/>
    </w:rPr>
  </w:style>
  <w:style w:type="paragraph" w:styleId="Ttulo4">
    <w:name w:val="heading 4"/>
    <w:basedOn w:val="Ttulo7"/>
    <w:next w:val="Normal"/>
    <w:qFormat/>
    <w:rsid w:val="00D57502"/>
    <w:pPr>
      <w:outlineLvl w:val="3"/>
    </w:pPr>
  </w:style>
  <w:style w:type="paragraph" w:styleId="Ttulo5">
    <w:name w:val="heading 5"/>
    <w:basedOn w:val="Normal"/>
    <w:next w:val="Normal"/>
    <w:qFormat/>
    <w:rsid w:val="00954628"/>
    <w:pPr>
      <w:numPr>
        <w:ilvl w:val="4"/>
        <w:numId w:val="1"/>
      </w:numPr>
      <w:outlineLvl w:val="4"/>
    </w:pPr>
    <w:rPr>
      <w:rFonts w:ascii="Arial Narrow" w:hAnsi="Arial Narrow" w:cs="Arial"/>
      <w:b/>
      <w:sz w:val="24"/>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rsid w:val="00475830"/>
    <w:pPr>
      <w:numPr>
        <w:ilvl w:val="3"/>
        <w:numId w:val="1"/>
      </w:numPr>
      <w:jc w:val="both"/>
      <w:outlineLvl w:val="6"/>
    </w:pPr>
    <w:rPr>
      <w:rFonts w:ascii="Arial Narrow" w:hAnsi="Arial Narrow" w:cs="Arial"/>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99"/>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customStyle="1" w:styleId="TtuloTDC1">
    <w:name w:val="Título TDC1"/>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Default">
    <w:name w:val="Default"/>
    <w:rsid w:val="0014258C"/>
    <w:pPr>
      <w:autoSpaceDE w:val="0"/>
      <w:autoSpaceDN w:val="0"/>
      <w:adjustRightInd w:val="0"/>
    </w:pPr>
    <w:rPr>
      <w:rFonts w:ascii="Arial" w:hAnsi="Arial" w:cs="Arial"/>
      <w:color w:val="000000"/>
      <w:sz w:val="24"/>
      <w:szCs w:val="24"/>
      <w:lang w:eastAsia="en-US"/>
    </w:rPr>
  </w:style>
  <w:style w:type="paragraph" w:styleId="Ttulo">
    <w:name w:val="Title"/>
    <w:basedOn w:val="Normal"/>
    <w:link w:val="TtuloCar"/>
    <w:uiPriority w:val="10"/>
    <w:qFormat/>
    <w:rsid w:val="009B3CFC"/>
    <w:pPr>
      <w:jc w:val="center"/>
    </w:pPr>
    <w:rPr>
      <w:rFonts w:ascii="Arial" w:hAnsi="Arial" w:cs="Arial"/>
      <w:sz w:val="24"/>
      <w:lang w:val="es-MX"/>
    </w:rPr>
  </w:style>
  <w:style w:type="character" w:customStyle="1" w:styleId="TtuloCar">
    <w:name w:val="Título Car"/>
    <w:basedOn w:val="Fuentedeprrafopredeter"/>
    <w:link w:val="Ttulo"/>
    <w:uiPriority w:val="10"/>
    <w:rsid w:val="009B3CFC"/>
    <w:rPr>
      <w:rFonts w:ascii="Arial" w:hAnsi="Arial" w:cs="Arial"/>
      <w:sz w:val="24"/>
      <w:lang w:val="es-MX" w:eastAsia="es-ES"/>
    </w:rPr>
  </w:style>
  <w:style w:type="paragraph" w:styleId="TDC4">
    <w:name w:val="toc 4"/>
    <w:basedOn w:val="Normal"/>
    <w:next w:val="Normal"/>
    <w:autoRedefine/>
    <w:uiPriority w:val="39"/>
    <w:rsid w:val="00954628"/>
    <w:pPr>
      <w:spacing w:after="100"/>
      <w:ind w:left="600"/>
    </w:pPr>
  </w:style>
  <w:style w:type="paragraph" w:styleId="TDC5">
    <w:name w:val="toc 5"/>
    <w:basedOn w:val="Normal"/>
    <w:next w:val="Normal"/>
    <w:autoRedefine/>
    <w:uiPriority w:val="39"/>
    <w:rsid w:val="00954628"/>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1161">
      <w:bodyDiv w:val="1"/>
      <w:marLeft w:val="0"/>
      <w:marRight w:val="0"/>
      <w:marTop w:val="0"/>
      <w:marBottom w:val="0"/>
      <w:divBdr>
        <w:top w:val="none" w:sz="0" w:space="0" w:color="auto"/>
        <w:left w:val="none" w:sz="0" w:space="0" w:color="auto"/>
        <w:bottom w:val="none" w:sz="0" w:space="0" w:color="auto"/>
        <w:right w:val="none" w:sz="0" w:space="0" w:color="auto"/>
      </w:divBdr>
    </w:div>
    <w:div w:id="238952726">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17756947">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30892542">
      <w:bodyDiv w:val="1"/>
      <w:marLeft w:val="0"/>
      <w:marRight w:val="0"/>
      <w:marTop w:val="0"/>
      <w:marBottom w:val="0"/>
      <w:divBdr>
        <w:top w:val="none" w:sz="0" w:space="0" w:color="auto"/>
        <w:left w:val="none" w:sz="0" w:space="0" w:color="auto"/>
        <w:bottom w:val="none" w:sz="0" w:space="0" w:color="auto"/>
        <w:right w:val="none" w:sz="0" w:space="0" w:color="auto"/>
      </w:divBdr>
    </w:div>
    <w:div w:id="982201279">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036083813">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663658580">
      <w:bodyDiv w:val="1"/>
      <w:marLeft w:val="0"/>
      <w:marRight w:val="0"/>
      <w:marTop w:val="0"/>
      <w:marBottom w:val="0"/>
      <w:divBdr>
        <w:top w:val="none" w:sz="0" w:space="0" w:color="auto"/>
        <w:left w:val="none" w:sz="0" w:space="0" w:color="auto"/>
        <w:bottom w:val="none" w:sz="0" w:space="0" w:color="auto"/>
        <w:right w:val="none" w:sz="0" w:space="0" w:color="auto"/>
      </w:divBdr>
    </w:div>
    <w:div w:id="1707442034">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2.xml"/><Relationship Id="rId10" Type="http://schemas.openxmlformats.org/officeDocument/2006/relationships/webSettings" Target="webSetting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73E6CF-03B7-493A-9632-9EB9CA1D7664}"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ES"/>
        </a:p>
      </dgm:t>
    </dgm:pt>
    <dgm:pt modelId="{1D1412AF-5F86-4DB3-A6E5-80216FF457EA}">
      <dgm:prSet phldrT="[Texto]" custT="1"/>
      <dgm:spPr>
        <a:xfrm>
          <a:off x="1909200" y="420547"/>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Gestión Preventiva</a:t>
          </a:r>
        </a:p>
      </dgm:t>
    </dgm:pt>
    <dgm:pt modelId="{DAAE9576-9A66-43A5-9EFE-588407A31DCA}" type="parTrans" cxnId="{440CC81E-81D6-4B37-A154-C1B65B5524E2}">
      <dgm:prSet/>
      <dgm:spPr/>
      <dgm:t>
        <a:bodyPr/>
        <a:lstStyle/>
        <a:p>
          <a:pPr algn="ctr"/>
          <a:endParaRPr lang="es-ES" sz="2800">
            <a:latin typeface="Arial Narrow" panose="020B0606020202030204" pitchFamily="34" charset="0"/>
            <a:cs typeface="Arial" panose="020B0604020202020204" pitchFamily="34" charset="0"/>
          </a:endParaRPr>
        </a:p>
      </dgm:t>
    </dgm:pt>
    <dgm:pt modelId="{2DD65B19-8ADC-4B31-ADCE-EA7E911DEB12}" type="sibTrans" cxnId="{440CC81E-81D6-4B37-A154-C1B65B5524E2}">
      <dgm:prSet/>
      <dgm:spPr/>
      <dgm:t>
        <a:bodyPr/>
        <a:lstStyle/>
        <a:p>
          <a:pPr algn="ctr"/>
          <a:endParaRPr lang="es-ES" sz="2800">
            <a:latin typeface="Arial Narrow" panose="020B0606020202030204" pitchFamily="34" charset="0"/>
            <a:cs typeface="Arial" panose="020B0604020202020204" pitchFamily="34" charset="0"/>
          </a:endParaRPr>
        </a:p>
      </dgm:t>
    </dgm:pt>
    <dgm:pt modelId="{676EA70C-D4CA-4905-AE64-41ED1BA11917}">
      <dgm:prSet phldrT="[Texto]" custT="1"/>
      <dgm:spPr>
        <a:xfrm>
          <a:off x="956003" y="1539174"/>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Gestión Reactiva</a:t>
          </a:r>
        </a:p>
      </dgm:t>
    </dgm:pt>
    <dgm:pt modelId="{8D6D548F-8BA9-4433-8403-733586A80AC9}" type="parTrans" cxnId="{2BF88577-31B4-480B-8D28-6E168BFB73AC}">
      <dgm:prSet/>
      <dgm:spPr>
        <a:xfrm>
          <a:off x="1743769" y="1066515"/>
          <a:ext cx="953196" cy="330861"/>
        </a:xfrm>
        <a:custGeom>
          <a:avLst/>
          <a:gdLst/>
          <a:ahLst/>
          <a:cxnLst/>
          <a:rect l="0" t="0" r="0" b="0"/>
          <a:pathLst>
            <a:path>
              <a:moveTo>
                <a:pt x="953196" y="0"/>
              </a:moveTo>
              <a:lnTo>
                <a:pt x="953196" y="165430"/>
              </a:lnTo>
              <a:lnTo>
                <a:pt x="0" y="165430"/>
              </a:lnTo>
              <a:lnTo>
                <a:pt x="0" y="330861"/>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C20A49B3-06D7-4252-B097-39886899014F}" type="sibTrans" cxnId="{2BF88577-31B4-480B-8D28-6E168BFB73AC}">
      <dgm:prSet/>
      <dgm:spPr/>
      <dgm:t>
        <a:bodyPr/>
        <a:lstStyle/>
        <a:p>
          <a:pPr algn="ctr"/>
          <a:endParaRPr lang="es-ES" sz="2800">
            <a:latin typeface="Arial Narrow" panose="020B0606020202030204" pitchFamily="34" charset="0"/>
            <a:cs typeface="Arial" panose="020B0604020202020204" pitchFamily="34" charset="0"/>
          </a:endParaRPr>
        </a:p>
      </dgm:t>
    </dgm:pt>
    <dgm:pt modelId="{A63DB4C2-F32B-4353-AC27-C5665A6DF190}">
      <dgm:prSet phldrT="[Texto]" custT="1"/>
      <dgm:spPr>
        <a:xfrm>
          <a:off x="2862396" y="1539174"/>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Concepto</a:t>
          </a:r>
        </a:p>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Subdirección de Riesgo</a:t>
          </a:r>
        </a:p>
      </dgm:t>
    </dgm:pt>
    <dgm:pt modelId="{2C9CA5E6-3C5C-4EAB-B0CC-1FC2A78B05E3}" type="parTrans" cxnId="{9105EA63-3E8E-49A2-8E94-DB9DD59DBB9C}">
      <dgm:prSet/>
      <dgm:spPr>
        <a:xfrm>
          <a:off x="2696966" y="1066515"/>
          <a:ext cx="953196" cy="330861"/>
        </a:xfrm>
        <a:custGeom>
          <a:avLst/>
          <a:gdLst/>
          <a:ahLst/>
          <a:cxnLst/>
          <a:rect l="0" t="0" r="0" b="0"/>
          <a:pathLst>
            <a:path>
              <a:moveTo>
                <a:pt x="0" y="0"/>
              </a:moveTo>
              <a:lnTo>
                <a:pt x="0" y="165430"/>
              </a:lnTo>
              <a:lnTo>
                <a:pt x="953196" y="165430"/>
              </a:lnTo>
              <a:lnTo>
                <a:pt x="953196" y="330861"/>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A87192AD-7BBB-42C8-A389-227AEF45D3DF}" type="sibTrans" cxnId="{9105EA63-3E8E-49A2-8E94-DB9DD59DBB9C}">
      <dgm:prSet/>
      <dgm:spPr/>
      <dgm:t>
        <a:bodyPr/>
        <a:lstStyle/>
        <a:p>
          <a:pPr algn="ctr"/>
          <a:endParaRPr lang="es-ES" sz="2800">
            <a:latin typeface="Arial Narrow" panose="020B0606020202030204" pitchFamily="34" charset="0"/>
            <a:cs typeface="Arial" panose="020B0604020202020204" pitchFamily="34" charset="0"/>
          </a:endParaRPr>
        </a:p>
      </dgm:t>
    </dgm:pt>
    <dgm:pt modelId="{E1F0D163-2500-49A1-90DB-7F683F9086C7}">
      <dgm:prSet phldrT="[Texto]" custT="1"/>
      <dgm:spPr>
        <a:xfrm>
          <a:off x="1909200" y="2657802"/>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No justificado</a:t>
          </a:r>
        </a:p>
      </dgm:t>
    </dgm:pt>
    <dgm:pt modelId="{49E8720B-EB72-4BBD-988B-B3764ABEFB1B}" type="parTrans" cxnId="{790487FE-5C06-4D53-8525-45FCDE20CF28}">
      <dgm:prSet/>
      <dgm:spPr>
        <a:xfrm>
          <a:off x="1743769" y="2185142"/>
          <a:ext cx="953196" cy="330861"/>
        </a:xfrm>
        <a:custGeom>
          <a:avLst/>
          <a:gdLst/>
          <a:ahLst/>
          <a:cxnLst/>
          <a:rect l="0" t="0" r="0" b="0"/>
          <a:pathLst>
            <a:path>
              <a:moveTo>
                <a:pt x="0" y="0"/>
              </a:moveTo>
              <a:lnTo>
                <a:pt x="0" y="165430"/>
              </a:lnTo>
              <a:lnTo>
                <a:pt x="953196" y="165430"/>
              </a:lnTo>
              <a:lnTo>
                <a:pt x="953196" y="330861"/>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F7EF24B8-E7E6-418A-A8CF-DF292899E3B7}" type="sibTrans" cxnId="{790487FE-5C06-4D53-8525-45FCDE20CF28}">
      <dgm:prSet/>
      <dgm:spPr/>
      <dgm:t>
        <a:bodyPr/>
        <a:lstStyle/>
        <a:p>
          <a:pPr algn="ctr"/>
          <a:endParaRPr lang="es-ES" sz="2800">
            <a:latin typeface="Arial Narrow" panose="020B0606020202030204" pitchFamily="34" charset="0"/>
            <a:cs typeface="Arial" panose="020B0604020202020204" pitchFamily="34" charset="0"/>
          </a:endParaRPr>
        </a:p>
      </dgm:t>
    </dgm:pt>
    <dgm:pt modelId="{4D898010-1351-4240-B968-942CE90E0ACB}">
      <dgm:prSet phldrT="[Texto]" custT="1"/>
      <dgm:spPr>
        <a:xfrm>
          <a:off x="2806" y="2657802"/>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Justificado</a:t>
          </a:r>
        </a:p>
      </dgm:t>
    </dgm:pt>
    <dgm:pt modelId="{14422EC4-FF8C-4A46-ACF6-1309A6A424BE}" type="parTrans" cxnId="{006B4B28-B317-4903-9569-EDD36E406943}">
      <dgm:prSet/>
      <dgm:spPr>
        <a:xfrm>
          <a:off x="790572" y="2185142"/>
          <a:ext cx="953196" cy="330861"/>
        </a:xfrm>
        <a:custGeom>
          <a:avLst/>
          <a:gdLst/>
          <a:ahLst/>
          <a:cxnLst/>
          <a:rect l="0" t="0" r="0" b="0"/>
          <a:pathLst>
            <a:path>
              <a:moveTo>
                <a:pt x="953196" y="0"/>
              </a:moveTo>
              <a:lnTo>
                <a:pt x="953196" y="165430"/>
              </a:lnTo>
              <a:lnTo>
                <a:pt x="0" y="165430"/>
              </a:lnTo>
              <a:lnTo>
                <a:pt x="0" y="330861"/>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E6A1D5F6-7FAC-4387-86C5-48EEB99D4225}" type="sibTrans" cxnId="{006B4B28-B317-4903-9569-EDD36E406943}">
      <dgm:prSet/>
      <dgm:spPr/>
      <dgm:t>
        <a:bodyPr/>
        <a:lstStyle/>
        <a:p>
          <a:pPr algn="ctr"/>
          <a:endParaRPr lang="es-ES" sz="2800">
            <a:latin typeface="Arial Narrow" panose="020B0606020202030204" pitchFamily="34" charset="0"/>
            <a:cs typeface="Arial" panose="020B0604020202020204" pitchFamily="34" charset="0"/>
          </a:endParaRPr>
        </a:p>
      </dgm:t>
    </dgm:pt>
    <dgm:pt modelId="{00E31F87-413E-421C-B316-08DCD5E71D05}">
      <dgm:prSet phldrT="[Texto]" custT="1"/>
      <dgm:spPr>
        <a:xfrm>
          <a:off x="2933295" y="3776429"/>
          <a:ext cx="2442578" cy="504170"/>
        </a:xfrm>
        <a:prstGeom prst="rect">
          <a:avLst/>
        </a:prstGeom>
        <a:noFill/>
        <a:ln w="25400" cap="flat" cmpd="sng" algn="ctr">
          <a:noFill/>
          <a:prstDash val="solid"/>
        </a:ln>
        <a:effectLst/>
        <a:sp3d/>
      </dgm:spPr>
      <dgm:t>
        <a:bodyPr/>
        <a:lstStyle/>
        <a:p>
          <a:pPr algn="ctr">
            <a:buNone/>
          </a:pPr>
          <a:r>
            <a:rPr lang="es-ES" sz="1050" b="1">
              <a:solidFill>
                <a:srgbClr val="4F81BD"/>
              </a:solidFill>
              <a:latin typeface="Arial Narrow" panose="020B0606020202030204" pitchFamily="34" charset="0"/>
              <a:ea typeface="+mn-ea"/>
              <a:cs typeface="Arial" panose="020B0604020202020204" pitchFamily="34" charset="0"/>
            </a:rPr>
            <a:t>Primera caso</a:t>
          </a:r>
        </a:p>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Memorando escrito, Sanción operativa y Plan de mejoramiento</a:t>
          </a:r>
          <a:endParaRPr lang="es-ES" sz="1050" baseline="300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endParaRPr>
        </a:p>
      </dgm:t>
    </dgm:pt>
    <dgm:pt modelId="{744612F6-E2D1-408B-A7CF-126CD3F44894}" type="parTrans" cxnId="{14FCA74F-6959-4F18-B57E-D1FB6C8DE43C}">
      <dgm:prSet/>
      <dgm:spPr>
        <a:xfrm>
          <a:off x="2696966" y="3303770"/>
          <a:ext cx="993529" cy="472659"/>
        </a:xfrm>
        <a:custGeom>
          <a:avLst/>
          <a:gdLst/>
          <a:ahLst/>
          <a:cxnLst/>
          <a:rect l="0" t="0" r="0" b="0"/>
          <a:pathLst>
            <a:path>
              <a:moveTo>
                <a:pt x="0" y="0"/>
              </a:moveTo>
              <a:lnTo>
                <a:pt x="0" y="472659"/>
              </a:lnTo>
              <a:lnTo>
                <a:pt x="993529" y="47265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4BBA36CA-4AD9-493B-9914-2DA2B90C7D82}" type="sibTrans" cxnId="{14FCA74F-6959-4F18-B57E-D1FB6C8DE43C}">
      <dgm:prSet/>
      <dgm:spPr/>
      <dgm:t>
        <a:bodyPr/>
        <a:lstStyle/>
        <a:p>
          <a:pPr algn="ctr"/>
          <a:endParaRPr lang="es-ES" sz="2800">
            <a:latin typeface="Arial Narrow" panose="020B0606020202030204" pitchFamily="34" charset="0"/>
            <a:cs typeface="Arial" panose="020B0604020202020204" pitchFamily="34" charset="0"/>
          </a:endParaRPr>
        </a:p>
      </dgm:t>
    </dgm:pt>
    <dgm:pt modelId="{87032984-2ECA-4D2B-AD68-ADD0E752B7B9}">
      <dgm:prSet phldrT="[Texto]" custT="1"/>
      <dgm:spPr>
        <a:xfrm>
          <a:off x="2885635" y="4895057"/>
          <a:ext cx="2550297" cy="504170"/>
        </a:xfrm>
        <a:prstGeom prst="rect">
          <a:avLst/>
        </a:prstGeom>
        <a:noFill/>
        <a:ln w="25400" cap="flat" cmpd="sng" algn="ctr">
          <a:noFill/>
          <a:prstDash val="solid"/>
        </a:ln>
        <a:effectLst/>
        <a:sp3d/>
      </dgm:spPr>
      <dgm:t>
        <a:bodyPr/>
        <a:lstStyle/>
        <a:p>
          <a:pPr algn="ctr">
            <a:buNone/>
          </a:pPr>
          <a:r>
            <a:rPr lang="es-ES" sz="1050" b="1">
              <a:solidFill>
                <a:srgbClr val="4F81BD"/>
              </a:solidFill>
              <a:latin typeface="Arial Narrow" panose="020B0606020202030204" pitchFamily="34" charset="0"/>
              <a:ea typeface="+mn-ea"/>
              <a:cs typeface="Arial" panose="020B0604020202020204" pitchFamily="34" charset="0"/>
            </a:rPr>
            <a:t>Segundo caso</a:t>
          </a:r>
        </a:p>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Se escala el caso a oficina de control interno</a:t>
          </a:r>
        </a:p>
      </dgm:t>
    </dgm:pt>
    <dgm:pt modelId="{885206F1-0892-4F2C-80FD-6AE1B6C001B3}" type="parTrans" cxnId="{0D4E0037-E5C1-44C2-B23F-D683F684884C}">
      <dgm:prSet/>
      <dgm:spPr>
        <a:xfrm>
          <a:off x="2696966" y="3303770"/>
          <a:ext cx="979262" cy="1591287"/>
        </a:xfrm>
        <a:custGeom>
          <a:avLst/>
          <a:gdLst/>
          <a:ahLst/>
          <a:cxnLst/>
          <a:rect l="0" t="0" r="0" b="0"/>
          <a:pathLst>
            <a:path>
              <a:moveTo>
                <a:pt x="0" y="0"/>
              </a:moveTo>
              <a:lnTo>
                <a:pt x="0" y="1591287"/>
              </a:lnTo>
              <a:lnTo>
                <a:pt x="979262" y="1591287"/>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F98362D6-266F-4A80-8921-05A506A29D9E}" type="sibTrans" cxnId="{0D4E0037-E5C1-44C2-B23F-D683F684884C}">
      <dgm:prSet/>
      <dgm:spPr/>
      <dgm:t>
        <a:bodyPr/>
        <a:lstStyle/>
        <a:p>
          <a:pPr algn="ctr"/>
          <a:endParaRPr lang="es-ES" sz="2800">
            <a:latin typeface="Arial Narrow" panose="020B0606020202030204" pitchFamily="34" charset="0"/>
            <a:cs typeface="Arial" panose="020B0604020202020204" pitchFamily="34" charset="0"/>
          </a:endParaRPr>
        </a:p>
      </dgm:t>
    </dgm:pt>
    <dgm:pt modelId="{DE58DFD4-0A81-43FA-A3EC-1D0C8A94A3D7}">
      <dgm:prSet phldrT="[Texto]" custT="1"/>
      <dgm:spPr>
        <a:xfrm>
          <a:off x="1026902" y="3776429"/>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Reducción del Límite en la proporción excedida</a:t>
          </a:r>
        </a:p>
      </dgm:t>
    </dgm:pt>
    <dgm:pt modelId="{622935C9-87A2-4FEE-BE37-62E9F2A653F9}" type="parTrans" cxnId="{E6E1E4A9-C614-4755-86D6-1AE783B359CA}">
      <dgm:prSet/>
      <dgm:spPr>
        <a:xfrm>
          <a:off x="790572" y="3303770"/>
          <a:ext cx="724744" cy="472659"/>
        </a:xfrm>
        <a:custGeom>
          <a:avLst/>
          <a:gdLst/>
          <a:ahLst/>
          <a:cxnLst/>
          <a:rect l="0" t="0" r="0" b="0"/>
          <a:pathLst>
            <a:path>
              <a:moveTo>
                <a:pt x="0" y="0"/>
              </a:moveTo>
              <a:lnTo>
                <a:pt x="0" y="472659"/>
              </a:lnTo>
              <a:lnTo>
                <a:pt x="724744" y="47265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511CB04F-D171-4B90-AAC3-649FC2DB8155}" type="sibTrans" cxnId="{E6E1E4A9-C614-4755-86D6-1AE783B359CA}">
      <dgm:prSet/>
      <dgm:spPr/>
      <dgm:t>
        <a:bodyPr/>
        <a:lstStyle/>
        <a:p>
          <a:pPr algn="ctr"/>
          <a:endParaRPr lang="es-ES" sz="2800">
            <a:latin typeface="Arial Narrow" panose="020B0606020202030204" pitchFamily="34" charset="0"/>
            <a:cs typeface="Arial" panose="020B0604020202020204" pitchFamily="34" charset="0"/>
          </a:endParaRPr>
        </a:p>
      </dgm:t>
    </dgm:pt>
    <dgm:pt modelId="{0D5F93B8-C39B-4E8A-88D7-A5718432B0DB}">
      <dgm:prSet phldrT="[Texto]" custT="1"/>
      <dgm:spPr>
        <a:xfrm>
          <a:off x="1026902" y="4895057"/>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Plan de mejoramiento</a:t>
          </a:r>
          <a:endParaRPr lang="es-ES" sz="1050" baseline="300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endParaRPr>
        </a:p>
      </dgm:t>
    </dgm:pt>
    <dgm:pt modelId="{9E3A4735-BEF8-48F8-B4B1-23A54D2595B8}" type="parTrans" cxnId="{327956B2-A8D7-4458-8D9A-BB21EF87C3CA}">
      <dgm:prSet/>
      <dgm:spPr>
        <a:xfrm>
          <a:off x="790572" y="3303770"/>
          <a:ext cx="724744" cy="1591287"/>
        </a:xfrm>
        <a:custGeom>
          <a:avLst/>
          <a:gdLst/>
          <a:ahLst/>
          <a:cxnLst/>
          <a:rect l="0" t="0" r="0" b="0"/>
          <a:pathLst>
            <a:path>
              <a:moveTo>
                <a:pt x="0" y="0"/>
              </a:moveTo>
              <a:lnTo>
                <a:pt x="0" y="1591287"/>
              </a:lnTo>
              <a:lnTo>
                <a:pt x="724744" y="1591287"/>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15760182-5DAD-44E5-B935-341C172819EF}" type="sibTrans" cxnId="{327956B2-A8D7-4458-8D9A-BB21EF87C3CA}">
      <dgm:prSet/>
      <dgm:spPr/>
      <dgm:t>
        <a:bodyPr/>
        <a:lstStyle/>
        <a:p>
          <a:pPr algn="ctr"/>
          <a:endParaRPr lang="es-ES" sz="2800">
            <a:latin typeface="Arial Narrow" panose="020B0606020202030204" pitchFamily="34" charset="0"/>
            <a:cs typeface="Arial" panose="020B0604020202020204" pitchFamily="34" charset="0"/>
          </a:endParaRPr>
        </a:p>
      </dgm:t>
    </dgm:pt>
    <dgm:pt modelId="{68851982-529A-49C6-9C8B-7BE0F641060C}">
      <dgm:prSet phldrT="[Texto]" custT="1"/>
      <dgm:spPr>
        <a:xfrm>
          <a:off x="3156170" y="2724196"/>
          <a:ext cx="1575531" cy="504170"/>
        </a:xfrm>
        <a:prstGeom prst="rect">
          <a:avLst/>
        </a:prstGeom>
        <a:noFill/>
        <a:ln w="25400" cap="flat" cmpd="sng" algn="ctr">
          <a:noFill/>
          <a:prstDash val="solid"/>
        </a:ln>
        <a:effectLst/>
        <a:sp3d/>
      </dgm:spPr>
      <dgm:t>
        <a:bodyPr/>
        <a:lstStyle/>
        <a:p>
          <a:pPr algn="ctr">
            <a:buNone/>
          </a:pPr>
          <a:r>
            <a:rPr lang="es-ES" sz="105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Autorización del Director</a:t>
          </a:r>
        </a:p>
      </dgm:t>
    </dgm:pt>
    <dgm:pt modelId="{52534A9E-0D9E-4D70-A4DC-3753B6F193EC}" type="parTrans" cxnId="{757881EF-47D0-49E6-951C-4C459ADAC266}">
      <dgm:prSet/>
      <dgm:spPr>
        <a:xfrm>
          <a:off x="3598865" y="2185142"/>
          <a:ext cx="91440" cy="539053"/>
        </a:xfrm>
        <a:custGeom>
          <a:avLst/>
          <a:gdLst/>
          <a:ahLst/>
          <a:cxnLst/>
          <a:rect l="0" t="0" r="0" b="0"/>
          <a:pathLst>
            <a:path>
              <a:moveTo>
                <a:pt x="51297" y="0"/>
              </a:moveTo>
              <a:lnTo>
                <a:pt x="45720" y="53905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s-ES" sz="2800">
            <a:latin typeface="Arial Narrow" panose="020B0606020202030204" pitchFamily="34" charset="0"/>
            <a:cs typeface="Arial" panose="020B0604020202020204" pitchFamily="34" charset="0"/>
          </a:endParaRPr>
        </a:p>
      </dgm:t>
    </dgm:pt>
    <dgm:pt modelId="{8A5B2971-6441-4CE3-A191-6EA90D817AF1}" type="sibTrans" cxnId="{757881EF-47D0-49E6-951C-4C459ADAC266}">
      <dgm:prSet/>
      <dgm:spPr/>
      <dgm:t>
        <a:bodyPr/>
        <a:lstStyle/>
        <a:p>
          <a:pPr algn="ctr"/>
          <a:endParaRPr lang="es-ES" sz="2800">
            <a:latin typeface="Arial Narrow" panose="020B0606020202030204" pitchFamily="34" charset="0"/>
            <a:cs typeface="Arial" panose="020B0604020202020204" pitchFamily="34" charset="0"/>
          </a:endParaRPr>
        </a:p>
      </dgm:t>
    </dgm:pt>
    <dgm:pt modelId="{A9C767F2-DC22-4091-8D8E-C5CCDB3D9A5F}" type="pres">
      <dgm:prSet presAssocID="{2C73E6CF-03B7-493A-9632-9EB9CA1D7664}" presName="Name0" presStyleCnt="0">
        <dgm:presLayoutVars>
          <dgm:orgChart val="1"/>
          <dgm:chPref val="1"/>
          <dgm:dir/>
          <dgm:animOne val="branch"/>
          <dgm:animLvl val="lvl"/>
          <dgm:resizeHandles/>
        </dgm:presLayoutVars>
      </dgm:prSet>
      <dgm:spPr/>
      <dgm:t>
        <a:bodyPr/>
        <a:lstStyle/>
        <a:p>
          <a:endParaRPr lang="es-CO"/>
        </a:p>
      </dgm:t>
    </dgm:pt>
    <dgm:pt modelId="{771AC6A9-745A-4931-BD22-4193B87B04F3}" type="pres">
      <dgm:prSet presAssocID="{1D1412AF-5F86-4DB3-A6E5-80216FF457EA}" presName="hierRoot1" presStyleCnt="0">
        <dgm:presLayoutVars>
          <dgm:hierBranch val="init"/>
        </dgm:presLayoutVars>
      </dgm:prSet>
      <dgm:spPr/>
    </dgm:pt>
    <dgm:pt modelId="{A61998C3-0D1C-4C2C-9D1D-40FC1293BF56}" type="pres">
      <dgm:prSet presAssocID="{1D1412AF-5F86-4DB3-A6E5-80216FF457EA}" presName="rootComposite1" presStyleCnt="0"/>
      <dgm:spPr/>
    </dgm:pt>
    <dgm:pt modelId="{FD2DE313-5E7C-425A-B729-04F1B25E7194}" type="pres">
      <dgm:prSet presAssocID="{1D1412AF-5F86-4DB3-A6E5-80216FF457EA}" presName="rootText1" presStyleLbl="alignAcc1" presStyleIdx="0" presStyleCnt="0">
        <dgm:presLayoutVars>
          <dgm:chPref val="3"/>
        </dgm:presLayoutVars>
      </dgm:prSet>
      <dgm:spPr/>
      <dgm:t>
        <a:bodyPr/>
        <a:lstStyle/>
        <a:p>
          <a:endParaRPr lang="es-CO"/>
        </a:p>
      </dgm:t>
    </dgm:pt>
    <dgm:pt modelId="{F8C81339-7383-482D-A417-DAFA216DF524}" type="pres">
      <dgm:prSet presAssocID="{1D1412AF-5F86-4DB3-A6E5-80216FF457EA}" presName="topArc1" presStyleLbl="parChTrans1D1" presStyleIdx="0" presStyleCnt="20"/>
      <dgm:spPr>
        <a:xfrm>
          <a:off x="2303083" y="278749"/>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B5F87128-1850-4D57-9669-A536BC351CFA}" type="pres">
      <dgm:prSet presAssocID="{1D1412AF-5F86-4DB3-A6E5-80216FF457EA}" presName="bottomArc1" presStyleLbl="parChTrans1D1" presStyleIdx="1" presStyleCnt="20"/>
      <dgm:spPr>
        <a:xfrm>
          <a:off x="2303083" y="278749"/>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CD42568B-C822-412C-891A-C4DCE733EC2E}" type="pres">
      <dgm:prSet presAssocID="{1D1412AF-5F86-4DB3-A6E5-80216FF457EA}" presName="topConnNode1" presStyleLbl="node1" presStyleIdx="0" presStyleCnt="0"/>
      <dgm:spPr/>
      <dgm:t>
        <a:bodyPr/>
        <a:lstStyle/>
        <a:p>
          <a:endParaRPr lang="es-CO"/>
        </a:p>
      </dgm:t>
    </dgm:pt>
    <dgm:pt modelId="{BBF55BBE-7673-4A26-BA4B-AE3B2AC4A9FB}" type="pres">
      <dgm:prSet presAssocID="{1D1412AF-5F86-4DB3-A6E5-80216FF457EA}" presName="hierChild2" presStyleCnt="0"/>
      <dgm:spPr/>
    </dgm:pt>
    <dgm:pt modelId="{D0198B61-C46E-4594-9B38-703BED67FDC1}" type="pres">
      <dgm:prSet presAssocID="{8D6D548F-8BA9-4433-8403-733586A80AC9}" presName="Name28" presStyleLbl="parChTrans1D2" presStyleIdx="0" presStyleCnt="2"/>
      <dgm:spPr/>
      <dgm:t>
        <a:bodyPr/>
        <a:lstStyle/>
        <a:p>
          <a:endParaRPr lang="es-CO"/>
        </a:p>
      </dgm:t>
    </dgm:pt>
    <dgm:pt modelId="{E68BC740-13D0-44CB-82DA-317258C6E72E}" type="pres">
      <dgm:prSet presAssocID="{676EA70C-D4CA-4905-AE64-41ED1BA11917}" presName="hierRoot2" presStyleCnt="0">
        <dgm:presLayoutVars>
          <dgm:hierBranch val="init"/>
        </dgm:presLayoutVars>
      </dgm:prSet>
      <dgm:spPr/>
    </dgm:pt>
    <dgm:pt modelId="{B204D449-A08A-491E-82FC-DFC8A46DDB83}" type="pres">
      <dgm:prSet presAssocID="{676EA70C-D4CA-4905-AE64-41ED1BA11917}" presName="rootComposite2" presStyleCnt="0"/>
      <dgm:spPr/>
    </dgm:pt>
    <dgm:pt modelId="{7A3B06F9-9C85-4CFF-A25C-B118CD3C6572}" type="pres">
      <dgm:prSet presAssocID="{676EA70C-D4CA-4905-AE64-41ED1BA11917}" presName="rootText2" presStyleLbl="alignAcc1" presStyleIdx="0" presStyleCnt="0">
        <dgm:presLayoutVars>
          <dgm:chPref val="3"/>
        </dgm:presLayoutVars>
      </dgm:prSet>
      <dgm:spPr/>
      <dgm:t>
        <a:bodyPr/>
        <a:lstStyle/>
        <a:p>
          <a:endParaRPr lang="es-CO"/>
        </a:p>
      </dgm:t>
    </dgm:pt>
    <dgm:pt modelId="{3C71BBA8-6A92-44CB-93FF-F8B83FC53F2B}" type="pres">
      <dgm:prSet presAssocID="{676EA70C-D4CA-4905-AE64-41ED1BA11917}" presName="topArc2" presStyleLbl="parChTrans1D1" presStyleIdx="2" presStyleCnt="20"/>
      <dgm:spPr>
        <a:xfrm>
          <a:off x="1349886" y="1397377"/>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1BB945B1-1825-46B7-A9B1-401A3D8A02FC}" type="pres">
      <dgm:prSet presAssocID="{676EA70C-D4CA-4905-AE64-41ED1BA11917}" presName="bottomArc2" presStyleLbl="parChTrans1D1" presStyleIdx="3" presStyleCnt="20"/>
      <dgm:spPr>
        <a:xfrm>
          <a:off x="1349886" y="1397377"/>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C175A4F7-C05E-465D-B369-8F29B630EA8F}" type="pres">
      <dgm:prSet presAssocID="{676EA70C-D4CA-4905-AE64-41ED1BA11917}" presName="topConnNode2" presStyleLbl="node2" presStyleIdx="0" presStyleCnt="0"/>
      <dgm:spPr/>
      <dgm:t>
        <a:bodyPr/>
        <a:lstStyle/>
        <a:p>
          <a:endParaRPr lang="es-CO"/>
        </a:p>
      </dgm:t>
    </dgm:pt>
    <dgm:pt modelId="{B6A6FB73-DFA2-4539-AC27-A041F55B9D30}" type="pres">
      <dgm:prSet presAssocID="{676EA70C-D4CA-4905-AE64-41ED1BA11917}" presName="hierChild4" presStyleCnt="0"/>
      <dgm:spPr/>
    </dgm:pt>
    <dgm:pt modelId="{898EF819-CCF1-4AAF-882E-3C95127A2311}" type="pres">
      <dgm:prSet presAssocID="{14422EC4-FF8C-4A46-ACF6-1309A6A424BE}" presName="Name28" presStyleLbl="parChTrans1D3" presStyleIdx="0" presStyleCnt="3"/>
      <dgm:spPr/>
      <dgm:t>
        <a:bodyPr/>
        <a:lstStyle/>
        <a:p>
          <a:endParaRPr lang="es-CO"/>
        </a:p>
      </dgm:t>
    </dgm:pt>
    <dgm:pt modelId="{9C607A0C-267A-4C1E-B1BE-24C6FAD9E9E7}" type="pres">
      <dgm:prSet presAssocID="{4D898010-1351-4240-B968-942CE90E0ACB}" presName="hierRoot2" presStyleCnt="0">
        <dgm:presLayoutVars>
          <dgm:hierBranch val="init"/>
        </dgm:presLayoutVars>
      </dgm:prSet>
      <dgm:spPr/>
    </dgm:pt>
    <dgm:pt modelId="{E755B2B9-B3FA-4AEC-8BFB-3EB4FE0F8185}" type="pres">
      <dgm:prSet presAssocID="{4D898010-1351-4240-B968-942CE90E0ACB}" presName="rootComposite2" presStyleCnt="0"/>
      <dgm:spPr/>
    </dgm:pt>
    <dgm:pt modelId="{D5EDC00D-95EF-4AEA-8A99-D30F3C909311}" type="pres">
      <dgm:prSet presAssocID="{4D898010-1351-4240-B968-942CE90E0ACB}" presName="rootText2" presStyleLbl="alignAcc1" presStyleIdx="0" presStyleCnt="0">
        <dgm:presLayoutVars>
          <dgm:chPref val="3"/>
        </dgm:presLayoutVars>
      </dgm:prSet>
      <dgm:spPr/>
      <dgm:t>
        <a:bodyPr/>
        <a:lstStyle/>
        <a:p>
          <a:endParaRPr lang="es-CO"/>
        </a:p>
      </dgm:t>
    </dgm:pt>
    <dgm:pt modelId="{7652DDCB-1733-4EE9-8073-953A15C11C33}" type="pres">
      <dgm:prSet presAssocID="{4D898010-1351-4240-B968-942CE90E0ACB}" presName="topArc2" presStyleLbl="parChTrans1D1" presStyleIdx="4" presStyleCnt="20"/>
      <dgm:spPr>
        <a:xfrm>
          <a:off x="396689" y="2516004"/>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26D2F0EB-4F83-4A48-8850-51D80665CA1C}" type="pres">
      <dgm:prSet presAssocID="{4D898010-1351-4240-B968-942CE90E0ACB}" presName="bottomArc2" presStyleLbl="parChTrans1D1" presStyleIdx="5" presStyleCnt="20"/>
      <dgm:spPr>
        <a:xfrm>
          <a:off x="396689" y="2516004"/>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71DCA996-5556-418B-BC82-2BF93DD3DD9F}" type="pres">
      <dgm:prSet presAssocID="{4D898010-1351-4240-B968-942CE90E0ACB}" presName="topConnNode2" presStyleLbl="node3" presStyleIdx="0" presStyleCnt="0"/>
      <dgm:spPr/>
      <dgm:t>
        <a:bodyPr/>
        <a:lstStyle/>
        <a:p>
          <a:endParaRPr lang="es-CO"/>
        </a:p>
      </dgm:t>
    </dgm:pt>
    <dgm:pt modelId="{C7CBD85D-5B5A-46DE-A164-B5BAE03346D2}" type="pres">
      <dgm:prSet presAssocID="{4D898010-1351-4240-B968-942CE90E0ACB}" presName="hierChild4" presStyleCnt="0"/>
      <dgm:spPr/>
    </dgm:pt>
    <dgm:pt modelId="{05F1221B-4642-482C-8F47-23CB33ED09FB}" type="pres">
      <dgm:prSet presAssocID="{622935C9-87A2-4FEE-BE37-62E9F2A653F9}" presName="Name28" presStyleLbl="parChTrans1D4" presStyleIdx="0" presStyleCnt="4"/>
      <dgm:spPr/>
      <dgm:t>
        <a:bodyPr/>
        <a:lstStyle/>
        <a:p>
          <a:endParaRPr lang="es-CO"/>
        </a:p>
      </dgm:t>
    </dgm:pt>
    <dgm:pt modelId="{DCC7ECB5-4C92-4B18-8320-C7F46FC9661B}" type="pres">
      <dgm:prSet presAssocID="{DE58DFD4-0A81-43FA-A3EC-1D0C8A94A3D7}" presName="hierRoot2" presStyleCnt="0">
        <dgm:presLayoutVars>
          <dgm:hierBranch val="init"/>
        </dgm:presLayoutVars>
      </dgm:prSet>
      <dgm:spPr/>
    </dgm:pt>
    <dgm:pt modelId="{E444D9B3-8E99-426F-9979-F3E327FCAFE0}" type="pres">
      <dgm:prSet presAssocID="{DE58DFD4-0A81-43FA-A3EC-1D0C8A94A3D7}" presName="rootComposite2" presStyleCnt="0"/>
      <dgm:spPr/>
    </dgm:pt>
    <dgm:pt modelId="{8F912493-9883-4764-B07F-1AD3D08B6166}" type="pres">
      <dgm:prSet presAssocID="{DE58DFD4-0A81-43FA-A3EC-1D0C8A94A3D7}" presName="rootText2" presStyleLbl="alignAcc1" presStyleIdx="0" presStyleCnt="0">
        <dgm:presLayoutVars>
          <dgm:chPref val="3"/>
        </dgm:presLayoutVars>
      </dgm:prSet>
      <dgm:spPr/>
      <dgm:t>
        <a:bodyPr/>
        <a:lstStyle/>
        <a:p>
          <a:endParaRPr lang="es-CO"/>
        </a:p>
      </dgm:t>
    </dgm:pt>
    <dgm:pt modelId="{C3E59CEE-959C-4921-AA28-38B58110DCA3}" type="pres">
      <dgm:prSet presAssocID="{DE58DFD4-0A81-43FA-A3EC-1D0C8A94A3D7}" presName="topArc2" presStyleLbl="parChTrans1D1" presStyleIdx="6" presStyleCnt="20"/>
      <dgm:spPr>
        <a:xfrm>
          <a:off x="1420785" y="3634632"/>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B1F49E14-D33C-47C0-92F9-6CDB93E7CAA1}" type="pres">
      <dgm:prSet presAssocID="{DE58DFD4-0A81-43FA-A3EC-1D0C8A94A3D7}" presName="bottomArc2" presStyleLbl="parChTrans1D1" presStyleIdx="7" presStyleCnt="20"/>
      <dgm:spPr>
        <a:xfrm>
          <a:off x="1420785" y="3634632"/>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BEE30369-2061-4231-9A5C-AEEC259BEBF4}" type="pres">
      <dgm:prSet presAssocID="{DE58DFD4-0A81-43FA-A3EC-1D0C8A94A3D7}" presName="topConnNode2" presStyleLbl="node4" presStyleIdx="0" presStyleCnt="0"/>
      <dgm:spPr/>
      <dgm:t>
        <a:bodyPr/>
        <a:lstStyle/>
        <a:p>
          <a:endParaRPr lang="es-CO"/>
        </a:p>
      </dgm:t>
    </dgm:pt>
    <dgm:pt modelId="{3A56D06A-97C6-4BFE-9B3B-037BDA33A841}" type="pres">
      <dgm:prSet presAssocID="{DE58DFD4-0A81-43FA-A3EC-1D0C8A94A3D7}" presName="hierChild4" presStyleCnt="0"/>
      <dgm:spPr/>
    </dgm:pt>
    <dgm:pt modelId="{5031C939-81C5-44A8-B615-9FF2A4E5A48B}" type="pres">
      <dgm:prSet presAssocID="{DE58DFD4-0A81-43FA-A3EC-1D0C8A94A3D7}" presName="hierChild5" presStyleCnt="0"/>
      <dgm:spPr/>
    </dgm:pt>
    <dgm:pt modelId="{E9AF0404-A1BD-49FB-A20E-46DC019B0FEB}" type="pres">
      <dgm:prSet presAssocID="{9E3A4735-BEF8-48F8-B4B1-23A54D2595B8}" presName="Name28" presStyleLbl="parChTrans1D4" presStyleIdx="1" presStyleCnt="4"/>
      <dgm:spPr/>
      <dgm:t>
        <a:bodyPr/>
        <a:lstStyle/>
        <a:p>
          <a:endParaRPr lang="es-CO"/>
        </a:p>
      </dgm:t>
    </dgm:pt>
    <dgm:pt modelId="{2704C628-7CB2-4B73-8AC4-22CE3BA3C939}" type="pres">
      <dgm:prSet presAssocID="{0D5F93B8-C39B-4E8A-88D7-A5718432B0DB}" presName="hierRoot2" presStyleCnt="0">
        <dgm:presLayoutVars>
          <dgm:hierBranch val="init"/>
        </dgm:presLayoutVars>
      </dgm:prSet>
      <dgm:spPr/>
    </dgm:pt>
    <dgm:pt modelId="{78762238-61B5-4375-BA25-D212197A73A0}" type="pres">
      <dgm:prSet presAssocID="{0D5F93B8-C39B-4E8A-88D7-A5718432B0DB}" presName="rootComposite2" presStyleCnt="0"/>
      <dgm:spPr/>
    </dgm:pt>
    <dgm:pt modelId="{069D2763-2399-4871-A6FF-C3DBEE49CD5C}" type="pres">
      <dgm:prSet presAssocID="{0D5F93B8-C39B-4E8A-88D7-A5718432B0DB}" presName="rootText2" presStyleLbl="alignAcc1" presStyleIdx="0" presStyleCnt="0">
        <dgm:presLayoutVars>
          <dgm:chPref val="3"/>
        </dgm:presLayoutVars>
      </dgm:prSet>
      <dgm:spPr/>
      <dgm:t>
        <a:bodyPr/>
        <a:lstStyle/>
        <a:p>
          <a:endParaRPr lang="es-CO"/>
        </a:p>
      </dgm:t>
    </dgm:pt>
    <dgm:pt modelId="{07BC056B-FDB7-4BA5-9475-10358FA5F775}" type="pres">
      <dgm:prSet presAssocID="{0D5F93B8-C39B-4E8A-88D7-A5718432B0DB}" presName="topArc2" presStyleLbl="parChTrans1D1" presStyleIdx="8" presStyleCnt="20"/>
      <dgm:spPr>
        <a:xfrm>
          <a:off x="1420785" y="4753259"/>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FCF8D21D-61E9-4C4C-847F-BE4F0DEF7726}" type="pres">
      <dgm:prSet presAssocID="{0D5F93B8-C39B-4E8A-88D7-A5718432B0DB}" presName="bottomArc2" presStyleLbl="parChTrans1D1" presStyleIdx="9" presStyleCnt="20"/>
      <dgm:spPr>
        <a:xfrm>
          <a:off x="1420785" y="4753259"/>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6E8135AC-56A4-49AD-86BF-FDDC66C71298}" type="pres">
      <dgm:prSet presAssocID="{0D5F93B8-C39B-4E8A-88D7-A5718432B0DB}" presName="topConnNode2" presStyleLbl="node4" presStyleIdx="0" presStyleCnt="0"/>
      <dgm:spPr/>
      <dgm:t>
        <a:bodyPr/>
        <a:lstStyle/>
        <a:p>
          <a:endParaRPr lang="es-CO"/>
        </a:p>
      </dgm:t>
    </dgm:pt>
    <dgm:pt modelId="{9D1C74C9-370A-4DBA-B95C-CD2D4B5BC0FF}" type="pres">
      <dgm:prSet presAssocID="{0D5F93B8-C39B-4E8A-88D7-A5718432B0DB}" presName="hierChild4" presStyleCnt="0"/>
      <dgm:spPr/>
    </dgm:pt>
    <dgm:pt modelId="{E193EFAD-D18F-4619-8018-F4AE1A103FF5}" type="pres">
      <dgm:prSet presAssocID="{0D5F93B8-C39B-4E8A-88D7-A5718432B0DB}" presName="hierChild5" presStyleCnt="0"/>
      <dgm:spPr/>
    </dgm:pt>
    <dgm:pt modelId="{C391F05A-2333-448D-9048-EB38D2836F26}" type="pres">
      <dgm:prSet presAssocID="{4D898010-1351-4240-B968-942CE90E0ACB}" presName="hierChild5" presStyleCnt="0"/>
      <dgm:spPr/>
    </dgm:pt>
    <dgm:pt modelId="{B73ABAB9-AD9D-4FE6-9376-FBE9AB451491}" type="pres">
      <dgm:prSet presAssocID="{49E8720B-EB72-4BBD-988B-B3764ABEFB1B}" presName="Name28" presStyleLbl="parChTrans1D3" presStyleIdx="1" presStyleCnt="3"/>
      <dgm:spPr/>
      <dgm:t>
        <a:bodyPr/>
        <a:lstStyle/>
        <a:p>
          <a:endParaRPr lang="es-CO"/>
        </a:p>
      </dgm:t>
    </dgm:pt>
    <dgm:pt modelId="{F653DEA0-2E0D-4D92-AC0D-7298992D6727}" type="pres">
      <dgm:prSet presAssocID="{E1F0D163-2500-49A1-90DB-7F683F9086C7}" presName="hierRoot2" presStyleCnt="0">
        <dgm:presLayoutVars>
          <dgm:hierBranch val="init"/>
        </dgm:presLayoutVars>
      </dgm:prSet>
      <dgm:spPr/>
    </dgm:pt>
    <dgm:pt modelId="{8B975FDE-DDDE-4040-962E-5866BA487FE3}" type="pres">
      <dgm:prSet presAssocID="{E1F0D163-2500-49A1-90DB-7F683F9086C7}" presName="rootComposite2" presStyleCnt="0"/>
      <dgm:spPr/>
    </dgm:pt>
    <dgm:pt modelId="{C8020BB3-DF3C-4480-AC6B-5436D0AE8C74}" type="pres">
      <dgm:prSet presAssocID="{E1F0D163-2500-49A1-90DB-7F683F9086C7}" presName="rootText2" presStyleLbl="alignAcc1" presStyleIdx="0" presStyleCnt="0">
        <dgm:presLayoutVars>
          <dgm:chPref val="3"/>
        </dgm:presLayoutVars>
      </dgm:prSet>
      <dgm:spPr/>
      <dgm:t>
        <a:bodyPr/>
        <a:lstStyle/>
        <a:p>
          <a:endParaRPr lang="es-CO"/>
        </a:p>
      </dgm:t>
    </dgm:pt>
    <dgm:pt modelId="{1F26324D-4D42-4E78-9B6A-E29993BAF692}" type="pres">
      <dgm:prSet presAssocID="{E1F0D163-2500-49A1-90DB-7F683F9086C7}" presName="topArc2" presStyleLbl="parChTrans1D1" presStyleIdx="10" presStyleCnt="20"/>
      <dgm:spPr>
        <a:xfrm>
          <a:off x="2303083" y="2516004"/>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C9C39A1F-0C0F-4E04-990D-5BF41740E660}" type="pres">
      <dgm:prSet presAssocID="{E1F0D163-2500-49A1-90DB-7F683F9086C7}" presName="bottomArc2" presStyleLbl="parChTrans1D1" presStyleIdx="11" presStyleCnt="20"/>
      <dgm:spPr>
        <a:xfrm>
          <a:off x="2303083" y="2516004"/>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8C67C3E2-18C3-4748-B698-01A8E872A1D8}" type="pres">
      <dgm:prSet presAssocID="{E1F0D163-2500-49A1-90DB-7F683F9086C7}" presName="topConnNode2" presStyleLbl="node3" presStyleIdx="0" presStyleCnt="0"/>
      <dgm:spPr/>
      <dgm:t>
        <a:bodyPr/>
        <a:lstStyle/>
        <a:p>
          <a:endParaRPr lang="es-CO"/>
        </a:p>
      </dgm:t>
    </dgm:pt>
    <dgm:pt modelId="{720C4CD4-0E27-4688-9B77-036D3026972F}" type="pres">
      <dgm:prSet presAssocID="{E1F0D163-2500-49A1-90DB-7F683F9086C7}" presName="hierChild4" presStyleCnt="0"/>
      <dgm:spPr/>
    </dgm:pt>
    <dgm:pt modelId="{F7A72A57-86BF-4A1E-B42A-3BB8E53D306A}" type="pres">
      <dgm:prSet presAssocID="{744612F6-E2D1-408B-A7CF-126CD3F44894}" presName="Name28" presStyleLbl="parChTrans1D4" presStyleIdx="2" presStyleCnt="4"/>
      <dgm:spPr/>
      <dgm:t>
        <a:bodyPr/>
        <a:lstStyle/>
        <a:p>
          <a:endParaRPr lang="es-CO"/>
        </a:p>
      </dgm:t>
    </dgm:pt>
    <dgm:pt modelId="{D94348CE-B4EB-495B-B77D-8873A6567CDA}" type="pres">
      <dgm:prSet presAssocID="{00E31F87-413E-421C-B316-08DCD5E71D05}" presName="hierRoot2" presStyleCnt="0">
        <dgm:presLayoutVars>
          <dgm:hierBranch val="init"/>
        </dgm:presLayoutVars>
      </dgm:prSet>
      <dgm:spPr/>
    </dgm:pt>
    <dgm:pt modelId="{6FA70D77-2C4C-49A4-8948-DF638FE301B8}" type="pres">
      <dgm:prSet presAssocID="{00E31F87-413E-421C-B316-08DCD5E71D05}" presName="rootComposite2" presStyleCnt="0"/>
      <dgm:spPr/>
    </dgm:pt>
    <dgm:pt modelId="{74237629-ED91-4195-B9DA-C69DFC107851}" type="pres">
      <dgm:prSet presAssocID="{00E31F87-413E-421C-B316-08DCD5E71D05}" presName="rootText2" presStyleLbl="alignAcc1" presStyleIdx="0" presStyleCnt="0" custScaleX="155032">
        <dgm:presLayoutVars>
          <dgm:chPref val="3"/>
        </dgm:presLayoutVars>
      </dgm:prSet>
      <dgm:spPr/>
      <dgm:t>
        <a:bodyPr/>
        <a:lstStyle/>
        <a:p>
          <a:endParaRPr lang="es-CO"/>
        </a:p>
      </dgm:t>
    </dgm:pt>
    <dgm:pt modelId="{40974087-727C-4FC2-8FA5-B30AAE1D1202}" type="pres">
      <dgm:prSet presAssocID="{00E31F87-413E-421C-B316-08DCD5E71D05}" presName="topArc2" presStyleLbl="parChTrans1D1" presStyleIdx="12" presStyleCnt="20"/>
      <dgm:spPr>
        <a:xfrm>
          <a:off x="3543940" y="3634632"/>
          <a:ext cx="1221289"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C37D9F50-A0D7-4279-8FFD-DFB14B26E785}" type="pres">
      <dgm:prSet presAssocID="{00E31F87-413E-421C-B316-08DCD5E71D05}" presName="bottomArc2" presStyleLbl="parChTrans1D1" presStyleIdx="13" presStyleCnt="20"/>
      <dgm:spPr>
        <a:xfrm>
          <a:off x="3543940" y="3634632"/>
          <a:ext cx="1221289"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DCA99F44-294D-4670-9305-E450FF7C9F69}" type="pres">
      <dgm:prSet presAssocID="{00E31F87-413E-421C-B316-08DCD5E71D05}" presName="topConnNode2" presStyleLbl="node4" presStyleIdx="0" presStyleCnt="0"/>
      <dgm:spPr/>
      <dgm:t>
        <a:bodyPr/>
        <a:lstStyle/>
        <a:p>
          <a:endParaRPr lang="es-CO"/>
        </a:p>
      </dgm:t>
    </dgm:pt>
    <dgm:pt modelId="{A611BE22-D751-4E8B-B7EE-B5B1B9F31678}" type="pres">
      <dgm:prSet presAssocID="{00E31F87-413E-421C-B316-08DCD5E71D05}" presName="hierChild4" presStyleCnt="0"/>
      <dgm:spPr/>
    </dgm:pt>
    <dgm:pt modelId="{6EF15999-0DE2-4D8B-8645-00A8BA383113}" type="pres">
      <dgm:prSet presAssocID="{00E31F87-413E-421C-B316-08DCD5E71D05}" presName="hierChild5" presStyleCnt="0"/>
      <dgm:spPr/>
    </dgm:pt>
    <dgm:pt modelId="{EB43FE55-5566-4B56-8EB6-FA5662529E1E}" type="pres">
      <dgm:prSet presAssocID="{885206F1-0892-4F2C-80FD-6AE1B6C001B3}" presName="Name28" presStyleLbl="parChTrans1D4" presStyleIdx="3" presStyleCnt="4"/>
      <dgm:spPr/>
      <dgm:t>
        <a:bodyPr/>
        <a:lstStyle/>
        <a:p>
          <a:endParaRPr lang="es-CO"/>
        </a:p>
      </dgm:t>
    </dgm:pt>
    <dgm:pt modelId="{B6CFF313-97FD-42FC-8E4B-4DD41FD1F7E5}" type="pres">
      <dgm:prSet presAssocID="{87032984-2ECA-4D2B-AD68-ADD0E752B7B9}" presName="hierRoot2" presStyleCnt="0">
        <dgm:presLayoutVars>
          <dgm:hierBranch val="init"/>
        </dgm:presLayoutVars>
      </dgm:prSet>
      <dgm:spPr/>
    </dgm:pt>
    <dgm:pt modelId="{1AF51DAE-CEBF-491E-8DED-C0E409792321}" type="pres">
      <dgm:prSet presAssocID="{87032984-2ECA-4D2B-AD68-ADD0E752B7B9}" presName="rootComposite2" presStyleCnt="0"/>
      <dgm:spPr/>
    </dgm:pt>
    <dgm:pt modelId="{24978348-7753-4635-9220-F6D3F1D60293}" type="pres">
      <dgm:prSet presAssocID="{87032984-2ECA-4D2B-AD68-ADD0E752B7B9}" presName="rootText2" presStyleLbl="alignAcc1" presStyleIdx="0" presStyleCnt="0" custScaleX="161869" custLinFactNeighborX="-3025">
        <dgm:presLayoutVars>
          <dgm:chPref val="3"/>
        </dgm:presLayoutVars>
      </dgm:prSet>
      <dgm:spPr/>
      <dgm:t>
        <a:bodyPr/>
        <a:lstStyle/>
        <a:p>
          <a:endParaRPr lang="es-CO"/>
        </a:p>
      </dgm:t>
    </dgm:pt>
    <dgm:pt modelId="{2CB8A654-F2DD-4696-B531-BD822F4C1DF6}" type="pres">
      <dgm:prSet presAssocID="{87032984-2ECA-4D2B-AD68-ADD0E752B7B9}" presName="topArc2" presStyleLbl="parChTrans1D1" presStyleIdx="14" presStyleCnt="20"/>
      <dgm:spPr>
        <a:xfrm>
          <a:off x="3523210" y="4753259"/>
          <a:ext cx="1275148"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43709EEC-9647-4098-B5A0-C35685CA4438}" type="pres">
      <dgm:prSet presAssocID="{87032984-2ECA-4D2B-AD68-ADD0E752B7B9}" presName="bottomArc2" presStyleLbl="parChTrans1D1" presStyleIdx="15" presStyleCnt="20"/>
      <dgm:spPr>
        <a:xfrm>
          <a:off x="3523210" y="4753259"/>
          <a:ext cx="1275148"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B44B3628-EE68-4906-B5CC-0AACCE023A65}" type="pres">
      <dgm:prSet presAssocID="{87032984-2ECA-4D2B-AD68-ADD0E752B7B9}" presName="topConnNode2" presStyleLbl="node4" presStyleIdx="0" presStyleCnt="0"/>
      <dgm:spPr/>
      <dgm:t>
        <a:bodyPr/>
        <a:lstStyle/>
        <a:p>
          <a:endParaRPr lang="es-CO"/>
        </a:p>
      </dgm:t>
    </dgm:pt>
    <dgm:pt modelId="{53EE0316-91B0-4F81-BDAC-33C2BA8A879F}" type="pres">
      <dgm:prSet presAssocID="{87032984-2ECA-4D2B-AD68-ADD0E752B7B9}" presName="hierChild4" presStyleCnt="0"/>
      <dgm:spPr/>
    </dgm:pt>
    <dgm:pt modelId="{66E634DC-7283-45D5-BAC8-9E9213624618}" type="pres">
      <dgm:prSet presAssocID="{87032984-2ECA-4D2B-AD68-ADD0E752B7B9}" presName="hierChild5" presStyleCnt="0"/>
      <dgm:spPr/>
    </dgm:pt>
    <dgm:pt modelId="{3E34DFB0-E7CA-42F8-A155-7A4F4D4FABCF}" type="pres">
      <dgm:prSet presAssocID="{E1F0D163-2500-49A1-90DB-7F683F9086C7}" presName="hierChild5" presStyleCnt="0"/>
      <dgm:spPr/>
    </dgm:pt>
    <dgm:pt modelId="{CE3846C5-C23F-41F8-8DF7-E3B1DBC54B79}" type="pres">
      <dgm:prSet presAssocID="{676EA70C-D4CA-4905-AE64-41ED1BA11917}" presName="hierChild5" presStyleCnt="0"/>
      <dgm:spPr/>
    </dgm:pt>
    <dgm:pt modelId="{59D8BB9C-5E15-435F-9C7C-CE4E9F3BD7B6}" type="pres">
      <dgm:prSet presAssocID="{2C9CA5E6-3C5C-4EAB-B0CC-1FC2A78B05E3}" presName="Name28" presStyleLbl="parChTrans1D2" presStyleIdx="1" presStyleCnt="2"/>
      <dgm:spPr/>
      <dgm:t>
        <a:bodyPr/>
        <a:lstStyle/>
        <a:p>
          <a:endParaRPr lang="es-CO"/>
        </a:p>
      </dgm:t>
    </dgm:pt>
    <dgm:pt modelId="{9B3C8849-4840-4CCA-A8E3-D89F3A4C5B6D}" type="pres">
      <dgm:prSet presAssocID="{A63DB4C2-F32B-4353-AC27-C5665A6DF190}" presName="hierRoot2" presStyleCnt="0">
        <dgm:presLayoutVars>
          <dgm:hierBranch val="init"/>
        </dgm:presLayoutVars>
      </dgm:prSet>
      <dgm:spPr/>
    </dgm:pt>
    <dgm:pt modelId="{D1D095F0-868A-4FA9-BF70-9397CD8BFD9A}" type="pres">
      <dgm:prSet presAssocID="{A63DB4C2-F32B-4353-AC27-C5665A6DF190}" presName="rootComposite2" presStyleCnt="0"/>
      <dgm:spPr/>
    </dgm:pt>
    <dgm:pt modelId="{27252F77-9C6C-419E-8580-B2E744BACC37}" type="pres">
      <dgm:prSet presAssocID="{A63DB4C2-F32B-4353-AC27-C5665A6DF190}" presName="rootText2" presStyleLbl="alignAcc1" presStyleIdx="0" presStyleCnt="0">
        <dgm:presLayoutVars>
          <dgm:chPref val="3"/>
        </dgm:presLayoutVars>
      </dgm:prSet>
      <dgm:spPr/>
      <dgm:t>
        <a:bodyPr/>
        <a:lstStyle/>
        <a:p>
          <a:endParaRPr lang="es-CO"/>
        </a:p>
      </dgm:t>
    </dgm:pt>
    <dgm:pt modelId="{196F2F10-600F-4706-A361-A2D8962D44DE}" type="pres">
      <dgm:prSet presAssocID="{A63DB4C2-F32B-4353-AC27-C5665A6DF190}" presName="topArc2" presStyleLbl="parChTrans1D1" presStyleIdx="16" presStyleCnt="20"/>
      <dgm:spPr>
        <a:xfrm>
          <a:off x="3256279" y="1397377"/>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0F4EF238-6610-407F-8A75-A296CF888F7E}" type="pres">
      <dgm:prSet presAssocID="{A63DB4C2-F32B-4353-AC27-C5665A6DF190}" presName="bottomArc2" presStyleLbl="parChTrans1D1" presStyleIdx="17" presStyleCnt="20"/>
      <dgm:spPr>
        <a:xfrm>
          <a:off x="3256279" y="1397377"/>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11919E01-84C0-4F32-BCAE-D647CA8C66C4}" type="pres">
      <dgm:prSet presAssocID="{A63DB4C2-F32B-4353-AC27-C5665A6DF190}" presName="topConnNode2" presStyleLbl="node2" presStyleIdx="0" presStyleCnt="0"/>
      <dgm:spPr/>
      <dgm:t>
        <a:bodyPr/>
        <a:lstStyle/>
        <a:p>
          <a:endParaRPr lang="es-CO"/>
        </a:p>
      </dgm:t>
    </dgm:pt>
    <dgm:pt modelId="{236075D9-3E90-4ED3-B5B8-DFF97805D068}" type="pres">
      <dgm:prSet presAssocID="{A63DB4C2-F32B-4353-AC27-C5665A6DF190}" presName="hierChild4" presStyleCnt="0"/>
      <dgm:spPr/>
    </dgm:pt>
    <dgm:pt modelId="{C4207DD7-B776-41E4-BE1E-BC81BECD3D77}" type="pres">
      <dgm:prSet presAssocID="{52534A9E-0D9E-4D70-A4DC-3753B6F193EC}" presName="Name28" presStyleLbl="parChTrans1D3" presStyleIdx="2" presStyleCnt="3"/>
      <dgm:spPr/>
      <dgm:t>
        <a:bodyPr/>
        <a:lstStyle/>
        <a:p>
          <a:endParaRPr lang="es-CO"/>
        </a:p>
      </dgm:t>
    </dgm:pt>
    <dgm:pt modelId="{06ED0184-8435-46BA-AEE5-0F8C4C05DD92}" type="pres">
      <dgm:prSet presAssocID="{68851982-529A-49C6-9C8B-7BE0F641060C}" presName="hierRoot2" presStyleCnt="0">
        <dgm:presLayoutVars>
          <dgm:hierBranch val="init"/>
        </dgm:presLayoutVars>
      </dgm:prSet>
      <dgm:spPr/>
    </dgm:pt>
    <dgm:pt modelId="{D3A7CA8A-08E6-499B-8D7D-7325CA0C28D2}" type="pres">
      <dgm:prSet presAssocID="{68851982-529A-49C6-9C8B-7BE0F641060C}" presName="rootComposite2" presStyleCnt="0"/>
      <dgm:spPr/>
    </dgm:pt>
    <dgm:pt modelId="{E0F32B4C-0C3A-442E-9697-8C34D8B8C501}" type="pres">
      <dgm:prSet presAssocID="{68851982-529A-49C6-9C8B-7BE0F641060C}" presName="rootText2" presStyleLbl="alignAcc1" presStyleIdx="0" presStyleCnt="0" custLinFactNeighborX="-46354" custLinFactNeighborY="13169">
        <dgm:presLayoutVars>
          <dgm:chPref val="3"/>
        </dgm:presLayoutVars>
      </dgm:prSet>
      <dgm:spPr/>
      <dgm:t>
        <a:bodyPr/>
        <a:lstStyle/>
        <a:p>
          <a:endParaRPr lang="es-CO"/>
        </a:p>
      </dgm:t>
    </dgm:pt>
    <dgm:pt modelId="{F11E910E-DAFA-4B61-87F2-B6B3AB9A0721}" type="pres">
      <dgm:prSet presAssocID="{68851982-529A-49C6-9C8B-7BE0F641060C}" presName="topArc2" presStyleLbl="parChTrans1D1" presStyleIdx="18" presStyleCnt="20"/>
      <dgm:spPr>
        <a:xfrm>
          <a:off x="3550053" y="2582398"/>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pt>
    <dgm:pt modelId="{D44CE2A1-8F17-4512-8F4A-3B66E7CD8A6E}" type="pres">
      <dgm:prSet presAssocID="{68851982-529A-49C6-9C8B-7BE0F641060C}" presName="bottomArc2" presStyleLbl="parChTrans1D1" presStyleIdx="19" presStyleCnt="20"/>
      <dgm:spPr>
        <a:xfrm>
          <a:off x="3550053" y="2582398"/>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pt>
    <dgm:pt modelId="{C1F3E8FE-7CF5-4EC1-AA42-41FB90345324}" type="pres">
      <dgm:prSet presAssocID="{68851982-529A-49C6-9C8B-7BE0F641060C}" presName="topConnNode2" presStyleLbl="node3" presStyleIdx="0" presStyleCnt="0"/>
      <dgm:spPr/>
      <dgm:t>
        <a:bodyPr/>
        <a:lstStyle/>
        <a:p>
          <a:endParaRPr lang="es-CO"/>
        </a:p>
      </dgm:t>
    </dgm:pt>
    <dgm:pt modelId="{D862D2B1-2FB8-45E8-AB3E-A4756EB2502E}" type="pres">
      <dgm:prSet presAssocID="{68851982-529A-49C6-9C8B-7BE0F641060C}" presName="hierChild4" presStyleCnt="0"/>
      <dgm:spPr/>
    </dgm:pt>
    <dgm:pt modelId="{2AC03D77-367C-4D92-9A8F-05D50EB868C5}" type="pres">
      <dgm:prSet presAssocID="{68851982-529A-49C6-9C8B-7BE0F641060C}" presName="hierChild5" presStyleCnt="0"/>
      <dgm:spPr/>
    </dgm:pt>
    <dgm:pt modelId="{C5E771CC-F34D-4286-ACAC-C85C381BCB5F}" type="pres">
      <dgm:prSet presAssocID="{A63DB4C2-F32B-4353-AC27-C5665A6DF190}" presName="hierChild5" presStyleCnt="0"/>
      <dgm:spPr/>
    </dgm:pt>
    <dgm:pt modelId="{00F32C24-CF6E-459F-A678-4D5EA5F04D7D}" type="pres">
      <dgm:prSet presAssocID="{1D1412AF-5F86-4DB3-A6E5-80216FF457EA}" presName="hierChild3" presStyleCnt="0"/>
      <dgm:spPr/>
    </dgm:pt>
  </dgm:ptLst>
  <dgm:cxnLst>
    <dgm:cxn modelId="{440CC81E-81D6-4B37-A154-C1B65B5524E2}" srcId="{2C73E6CF-03B7-493A-9632-9EB9CA1D7664}" destId="{1D1412AF-5F86-4DB3-A6E5-80216FF457EA}" srcOrd="0" destOrd="0" parTransId="{DAAE9576-9A66-43A5-9EFE-588407A31DCA}" sibTransId="{2DD65B19-8ADC-4B31-ADCE-EA7E911DEB12}"/>
    <dgm:cxn modelId="{0972C678-20C0-4CE3-AF2C-82FA59004D03}" type="presOf" srcId="{8D6D548F-8BA9-4433-8403-733586A80AC9}" destId="{D0198B61-C46E-4594-9B38-703BED67FDC1}" srcOrd="0" destOrd="0" presId="urn:microsoft.com/office/officeart/2008/layout/HalfCircleOrganizationChart"/>
    <dgm:cxn modelId="{DBDB3F1B-C0D7-4176-9878-DCD015191DA5}" type="presOf" srcId="{676EA70C-D4CA-4905-AE64-41ED1BA11917}" destId="{7A3B06F9-9C85-4CFF-A25C-B118CD3C6572}" srcOrd="0" destOrd="0" presId="urn:microsoft.com/office/officeart/2008/layout/HalfCircleOrganizationChart"/>
    <dgm:cxn modelId="{FFA1CB4A-0EC4-40B6-B6A6-F29431C346FD}" type="presOf" srcId="{2C9CA5E6-3C5C-4EAB-B0CC-1FC2A78B05E3}" destId="{59D8BB9C-5E15-435F-9C7C-CE4E9F3BD7B6}" srcOrd="0" destOrd="0" presId="urn:microsoft.com/office/officeart/2008/layout/HalfCircleOrganizationChart"/>
    <dgm:cxn modelId="{2BF88577-31B4-480B-8D28-6E168BFB73AC}" srcId="{1D1412AF-5F86-4DB3-A6E5-80216FF457EA}" destId="{676EA70C-D4CA-4905-AE64-41ED1BA11917}" srcOrd="0" destOrd="0" parTransId="{8D6D548F-8BA9-4433-8403-733586A80AC9}" sibTransId="{C20A49B3-06D7-4252-B097-39886899014F}"/>
    <dgm:cxn modelId="{E6523381-6848-48BF-8767-C34380E0753B}" type="presOf" srcId="{E1F0D163-2500-49A1-90DB-7F683F9086C7}" destId="{8C67C3E2-18C3-4748-B698-01A8E872A1D8}" srcOrd="1" destOrd="0" presId="urn:microsoft.com/office/officeart/2008/layout/HalfCircleOrganizationChart"/>
    <dgm:cxn modelId="{CD4C4D9E-9AF0-4B96-BA4F-8E04C2AE168A}" type="presOf" srcId="{1D1412AF-5F86-4DB3-A6E5-80216FF457EA}" destId="{CD42568B-C822-412C-891A-C4DCE733EC2E}" srcOrd="1" destOrd="0" presId="urn:microsoft.com/office/officeart/2008/layout/HalfCircleOrganizationChart"/>
    <dgm:cxn modelId="{E6E1E4A9-C614-4755-86D6-1AE783B359CA}" srcId="{4D898010-1351-4240-B968-942CE90E0ACB}" destId="{DE58DFD4-0A81-43FA-A3EC-1D0C8A94A3D7}" srcOrd="0" destOrd="0" parTransId="{622935C9-87A2-4FEE-BE37-62E9F2A653F9}" sibTransId="{511CB04F-D171-4B90-AAC3-649FC2DB8155}"/>
    <dgm:cxn modelId="{790487FE-5C06-4D53-8525-45FCDE20CF28}" srcId="{676EA70C-D4CA-4905-AE64-41ED1BA11917}" destId="{E1F0D163-2500-49A1-90DB-7F683F9086C7}" srcOrd="1" destOrd="0" parTransId="{49E8720B-EB72-4BBD-988B-B3764ABEFB1B}" sibTransId="{F7EF24B8-E7E6-418A-A8CF-DF292899E3B7}"/>
    <dgm:cxn modelId="{0D4E0037-E5C1-44C2-B23F-D683F684884C}" srcId="{E1F0D163-2500-49A1-90DB-7F683F9086C7}" destId="{87032984-2ECA-4D2B-AD68-ADD0E752B7B9}" srcOrd="1" destOrd="0" parTransId="{885206F1-0892-4F2C-80FD-6AE1B6C001B3}" sibTransId="{F98362D6-266F-4A80-8921-05A506A29D9E}"/>
    <dgm:cxn modelId="{3405DC83-A2CE-4FBD-9581-5225A83E5B15}" type="presOf" srcId="{68851982-529A-49C6-9C8B-7BE0F641060C}" destId="{E0F32B4C-0C3A-442E-9697-8C34D8B8C501}" srcOrd="0" destOrd="0" presId="urn:microsoft.com/office/officeart/2008/layout/HalfCircleOrganizationChart"/>
    <dgm:cxn modelId="{0D00EB0E-AAA9-42B3-95E6-4162ED928B8C}" type="presOf" srcId="{A63DB4C2-F32B-4353-AC27-C5665A6DF190}" destId="{11919E01-84C0-4F32-BCAE-D647CA8C66C4}" srcOrd="1" destOrd="0" presId="urn:microsoft.com/office/officeart/2008/layout/HalfCircleOrganizationChart"/>
    <dgm:cxn modelId="{14FCA74F-6959-4F18-B57E-D1FB6C8DE43C}" srcId="{E1F0D163-2500-49A1-90DB-7F683F9086C7}" destId="{00E31F87-413E-421C-B316-08DCD5E71D05}" srcOrd="0" destOrd="0" parTransId="{744612F6-E2D1-408B-A7CF-126CD3F44894}" sibTransId="{4BBA36CA-4AD9-493B-9914-2DA2B90C7D82}"/>
    <dgm:cxn modelId="{7B411A82-2EA5-4F18-A393-450047CC8DCC}" type="presOf" srcId="{87032984-2ECA-4D2B-AD68-ADD0E752B7B9}" destId="{24978348-7753-4635-9220-F6D3F1D60293}" srcOrd="0" destOrd="0" presId="urn:microsoft.com/office/officeart/2008/layout/HalfCircleOrganizationChart"/>
    <dgm:cxn modelId="{98257F4B-2CF8-4C8F-8F48-1AC82FA44603}" type="presOf" srcId="{A63DB4C2-F32B-4353-AC27-C5665A6DF190}" destId="{27252F77-9C6C-419E-8580-B2E744BACC37}" srcOrd="0" destOrd="0" presId="urn:microsoft.com/office/officeart/2008/layout/HalfCircleOrganizationChart"/>
    <dgm:cxn modelId="{9D60D017-53F7-43CE-B474-373CAC5AC6CD}" type="presOf" srcId="{DE58DFD4-0A81-43FA-A3EC-1D0C8A94A3D7}" destId="{BEE30369-2061-4231-9A5C-AEEC259BEBF4}" srcOrd="1" destOrd="0" presId="urn:microsoft.com/office/officeart/2008/layout/HalfCircleOrganizationChart"/>
    <dgm:cxn modelId="{F82BD34E-FA80-4DB9-8B22-54A50D282A9F}" type="presOf" srcId="{4D898010-1351-4240-B968-942CE90E0ACB}" destId="{71DCA996-5556-418B-BC82-2BF93DD3DD9F}" srcOrd="1" destOrd="0" presId="urn:microsoft.com/office/officeart/2008/layout/HalfCircleOrganizationChart"/>
    <dgm:cxn modelId="{0561C04C-7743-462A-8262-E2C42338AC5B}" type="presOf" srcId="{E1F0D163-2500-49A1-90DB-7F683F9086C7}" destId="{C8020BB3-DF3C-4480-AC6B-5436D0AE8C74}" srcOrd="0" destOrd="0" presId="urn:microsoft.com/office/officeart/2008/layout/HalfCircleOrganizationChart"/>
    <dgm:cxn modelId="{89CF98F3-661C-4500-8F42-745199713B6A}" type="presOf" srcId="{49E8720B-EB72-4BBD-988B-B3764ABEFB1B}" destId="{B73ABAB9-AD9D-4FE6-9376-FBE9AB451491}" srcOrd="0" destOrd="0" presId="urn:microsoft.com/office/officeart/2008/layout/HalfCircleOrganizationChart"/>
    <dgm:cxn modelId="{006B4B28-B317-4903-9569-EDD36E406943}" srcId="{676EA70C-D4CA-4905-AE64-41ED1BA11917}" destId="{4D898010-1351-4240-B968-942CE90E0ACB}" srcOrd="0" destOrd="0" parTransId="{14422EC4-FF8C-4A46-ACF6-1309A6A424BE}" sibTransId="{E6A1D5F6-7FAC-4387-86C5-48EEB99D4225}"/>
    <dgm:cxn modelId="{FE8BCCF4-44D3-4286-96A6-5360F69C5A77}" type="presOf" srcId="{00E31F87-413E-421C-B316-08DCD5E71D05}" destId="{74237629-ED91-4195-B9DA-C69DFC107851}" srcOrd="0" destOrd="0" presId="urn:microsoft.com/office/officeart/2008/layout/HalfCircleOrganizationChart"/>
    <dgm:cxn modelId="{6CAEA382-EED6-45AF-BD7C-64F059D18249}" type="presOf" srcId="{68851982-529A-49C6-9C8B-7BE0F641060C}" destId="{C1F3E8FE-7CF5-4EC1-AA42-41FB90345324}" srcOrd="1" destOrd="0" presId="urn:microsoft.com/office/officeart/2008/layout/HalfCircleOrganizationChart"/>
    <dgm:cxn modelId="{5A1E6247-0368-43CE-BC3F-B95A3B63437B}" type="presOf" srcId="{0D5F93B8-C39B-4E8A-88D7-A5718432B0DB}" destId="{069D2763-2399-4871-A6FF-C3DBEE49CD5C}" srcOrd="0" destOrd="0" presId="urn:microsoft.com/office/officeart/2008/layout/HalfCircleOrganizationChart"/>
    <dgm:cxn modelId="{B6FFED47-F958-44CB-A9B5-B7AE07FDB4D0}" type="presOf" srcId="{744612F6-E2D1-408B-A7CF-126CD3F44894}" destId="{F7A72A57-86BF-4A1E-B42A-3BB8E53D306A}" srcOrd="0" destOrd="0" presId="urn:microsoft.com/office/officeart/2008/layout/HalfCircleOrganizationChart"/>
    <dgm:cxn modelId="{322A4B0D-463F-44F7-8737-A915B699DC22}" type="presOf" srcId="{1D1412AF-5F86-4DB3-A6E5-80216FF457EA}" destId="{FD2DE313-5E7C-425A-B729-04F1B25E7194}" srcOrd="0" destOrd="0" presId="urn:microsoft.com/office/officeart/2008/layout/HalfCircleOrganizationChart"/>
    <dgm:cxn modelId="{9105EA63-3E8E-49A2-8E94-DB9DD59DBB9C}" srcId="{1D1412AF-5F86-4DB3-A6E5-80216FF457EA}" destId="{A63DB4C2-F32B-4353-AC27-C5665A6DF190}" srcOrd="1" destOrd="0" parTransId="{2C9CA5E6-3C5C-4EAB-B0CC-1FC2A78B05E3}" sibTransId="{A87192AD-7BBB-42C8-A389-227AEF45D3DF}"/>
    <dgm:cxn modelId="{726D6CA5-14F6-4790-8F21-EB4F389E0847}" type="presOf" srcId="{14422EC4-FF8C-4A46-ACF6-1309A6A424BE}" destId="{898EF819-CCF1-4AAF-882E-3C95127A2311}" srcOrd="0" destOrd="0" presId="urn:microsoft.com/office/officeart/2008/layout/HalfCircleOrganizationChart"/>
    <dgm:cxn modelId="{0DCDC74B-2538-4B0E-940E-0EFD99618879}" type="presOf" srcId="{52534A9E-0D9E-4D70-A4DC-3753B6F193EC}" destId="{C4207DD7-B776-41E4-BE1E-BC81BECD3D77}" srcOrd="0" destOrd="0" presId="urn:microsoft.com/office/officeart/2008/layout/HalfCircleOrganizationChart"/>
    <dgm:cxn modelId="{C8F3B367-97EC-4B34-94EF-7E635D938D3A}" type="presOf" srcId="{885206F1-0892-4F2C-80FD-6AE1B6C001B3}" destId="{EB43FE55-5566-4B56-8EB6-FA5662529E1E}" srcOrd="0" destOrd="0" presId="urn:microsoft.com/office/officeart/2008/layout/HalfCircleOrganizationChart"/>
    <dgm:cxn modelId="{A7732FB0-5F04-4FAC-8129-69909AB42F11}" type="presOf" srcId="{676EA70C-D4CA-4905-AE64-41ED1BA11917}" destId="{C175A4F7-C05E-465D-B369-8F29B630EA8F}" srcOrd="1" destOrd="0" presId="urn:microsoft.com/office/officeart/2008/layout/HalfCircleOrganizationChart"/>
    <dgm:cxn modelId="{D001573B-B24C-4054-91CF-E81BDA789DEE}" type="presOf" srcId="{622935C9-87A2-4FEE-BE37-62E9F2A653F9}" destId="{05F1221B-4642-482C-8F47-23CB33ED09FB}" srcOrd="0" destOrd="0" presId="urn:microsoft.com/office/officeart/2008/layout/HalfCircleOrganizationChart"/>
    <dgm:cxn modelId="{327956B2-A8D7-4458-8D9A-BB21EF87C3CA}" srcId="{4D898010-1351-4240-B968-942CE90E0ACB}" destId="{0D5F93B8-C39B-4E8A-88D7-A5718432B0DB}" srcOrd="1" destOrd="0" parTransId="{9E3A4735-BEF8-48F8-B4B1-23A54D2595B8}" sibTransId="{15760182-5DAD-44E5-B935-341C172819EF}"/>
    <dgm:cxn modelId="{79400F02-89D8-48E7-BDE9-2D7012008434}" type="presOf" srcId="{DE58DFD4-0A81-43FA-A3EC-1D0C8A94A3D7}" destId="{8F912493-9883-4764-B07F-1AD3D08B6166}" srcOrd="0" destOrd="0" presId="urn:microsoft.com/office/officeart/2008/layout/HalfCircleOrganizationChart"/>
    <dgm:cxn modelId="{8AFB9659-F69A-4FA6-B561-99359500FDE0}" type="presOf" srcId="{9E3A4735-BEF8-48F8-B4B1-23A54D2595B8}" destId="{E9AF0404-A1BD-49FB-A20E-46DC019B0FEB}" srcOrd="0" destOrd="0" presId="urn:microsoft.com/office/officeart/2008/layout/HalfCircleOrganizationChart"/>
    <dgm:cxn modelId="{0C9C76FA-C956-4EE6-B52C-B4483A3B85EF}" type="presOf" srcId="{2C73E6CF-03B7-493A-9632-9EB9CA1D7664}" destId="{A9C767F2-DC22-4091-8D8E-C5CCDB3D9A5F}" srcOrd="0" destOrd="0" presId="urn:microsoft.com/office/officeart/2008/layout/HalfCircleOrganizationChart"/>
    <dgm:cxn modelId="{FEFD33B7-D693-4A2A-8FA5-B685748D28EC}" type="presOf" srcId="{87032984-2ECA-4D2B-AD68-ADD0E752B7B9}" destId="{B44B3628-EE68-4906-B5CC-0AACCE023A65}" srcOrd="1" destOrd="0" presId="urn:microsoft.com/office/officeart/2008/layout/HalfCircleOrganizationChart"/>
    <dgm:cxn modelId="{49B17259-2828-4D4D-8C41-05911F45E739}" type="presOf" srcId="{4D898010-1351-4240-B968-942CE90E0ACB}" destId="{D5EDC00D-95EF-4AEA-8A99-D30F3C909311}" srcOrd="0" destOrd="0" presId="urn:microsoft.com/office/officeart/2008/layout/HalfCircleOrganizationChart"/>
    <dgm:cxn modelId="{91094B33-603C-4EFD-8B40-8E6493B84D59}" type="presOf" srcId="{00E31F87-413E-421C-B316-08DCD5E71D05}" destId="{DCA99F44-294D-4670-9305-E450FF7C9F69}" srcOrd="1" destOrd="0" presId="urn:microsoft.com/office/officeart/2008/layout/HalfCircleOrganizationChart"/>
    <dgm:cxn modelId="{757881EF-47D0-49E6-951C-4C459ADAC266}" srcId="{A63DB4C2-F32B-4353-AC27-C5665A6DF190}" destId="{68851982-529A-49C6-9C8B-7BE0F641060C}" srcOrd="0" destOrd="0" parTransId="{52534A9E-0D9E-4D70-A4DC-3753B6F193EC}" sibTransId="{8A5B2971-6441-4CE3-A191-6EA90D817AF1}"/>
    <dgm:cxn modelId="{C3ED37F2-614E-4646-A988-1F920E51C7C8}" type="presOf" srcId="{0D5F93B8-C39B-4E8A-88D7-A5718432B0DB}" destId="{6E8135AC-56A4-49AD-86BF-FDDC66C71298}" srcOrd="1" destOrd="0" presId="urn:microsoft.com/office/officeart/2008/layout/HalfCircleOrganizationChart"/>
    <dgm:cxn modelId="{58017198-8F81-4808-8558-348B19ECB9A9}" type="presParOf" srcId="{A9C767F2-DC22-4091-8D8E-C5CCDB3D9A5F}" destId="{771AC6A9-745A-4931-BD22-4193B87B04F3}" srcOrd="0" destOrd="0" presId="urn:microsoft.com/office/officeart/2008/layout/HalfCircleOrganizationChart"/>
    <dgm:cxn modelId="{CCFAFDB6-F97C-40E4-B8C4-618E06C31B8B}" type="presParOf" srcId="{771AC6A9-745A-4931-BD22-4193B87B04F3}" destId="{A61998C3-0D1C-4C2C-9D1D-40FC1293BF56}" srcOrd="0" destOrd="0" presId="urn:microsoft.com/office/officeart/2008/layout/HalfCircleOrganizationChart"/>
    <dgm:cxn modelId="{20DC14B6-B1D1-44DA-B721-FCAFF882B922}" type="presParOf" srcId="{A61998C3-0D1C-4C2C-9D1D-40FC1293BF56}" destId="{FD2DE313-5E7C-425A-B729-04F1B25E7194}" srcOrd="0" destOrd="0" presId="urn:microsoft.com/office/officeart/2008/layout/HalfCircleOrganizationChart"/>
    <dgm:cxn modelId="{138C9392-362D-42D4-8BD9-9ABC4C8B9375}" type="presParOf" srcId="{A61998C3-0D1C-4C2C-9D1D-40FC1293BF56}" destId="{F8C81339-7383-482D-A417-DAFA216DF524}" srcOrd="1" destOrd="0" presId="urn:microsoft.com/office/officeart/2008/layout/HalfCircleOrganizationChart"/>
    <dgm:cxn modelId="{F56C54C2-4AEE-41E2-B26B-4C0D6C1B0532}" type="presParOf" srcId="{A61998C3-0D1C-4C2C-9D1D-40FC1293BF56}" destId="{B5F87128-1850-4D57-9669-A536BC351CFA}" srcOrd="2" destOrd="0" presId="urn:microsoft.com/office/officeart/2008/layout/HalfCircleOrganizationChart"/>
    <dgm:cxn modelId="{A794FB0D-1F26-49AE-8271-5363ACEE6785}" type="presParOf" srcId="{A61998C3-0D1C-4C2C-9D1D-40FC1293BF56}" destId="{CD42568B-C822-412C-891A-C4DCE733EC2E}" srcOrd="3" destOrd="0" presId="urn:microsoft.com/office/officeart/2008/layout/HalfCircleOrganizationChart"/>
    <dgm:cxn modelId="{5ABF53BF-6DDD-4151-A5CE-A5666E814696}" type="presParOf" srcId="{771AC6A9-745A-4931-BD22-4193B87B04F3}" destId="{BBF55BBE-7673-4A26-BA4B-AE3B2AC4A9FB}" srcOrd="1" destOrd="0" presId="urn:microsoft.com/office/officeart/2008/layout/HalfCircleOrganizationChart"/>
    <dgm:cxn modelId="{BAB5233D-5C66-442C-9B95-136A6B86538E}" type="presParOf" srcId="{BBF55BBE-7673-4A26-BA4B-AE3B2AC4A9FB}" destId="{D0198B61-C46E-4594-9B38-703BED67FDC1}" srcOrd="0" destOrd="0" presId="urn:microsoft.com/office/officeart/2008/layout/HalfCircleOrganizationChart"/>
    <dgm:cxn modelId="{E4F9C501-8324-4288-B40B-CEBA7A0E7845}" type="presParOf" srcId="{BBF55BBE-7673-4A26-BA4B-AE3B2AC4A9FB}" destId="{E68BC740-13D0-44CB-82DA-317258C6E72E}" srcOrd="1" destOrd="0" presId="urn:microsoft.com/office/officeart/2008/layout/HalfCircleOrganizationChart"/>
    <dgm:cxn modelId="{B5275289-77FE-485C-9F08-6C9665D95E71}" type="presParOf" srcId="{E68BC740-13D0-44CB-82DA-317258C6E72E}" destId="{B204D449-A08A-491E-82FC-DFC8A46DDB83}" srcOrd="0" destOrd="0" presId="urn:microsoft.com/office/officeart/2008/layout/HalfCircleOrganizationChart"/>
    <dgm:cxn modelId="{50839004-9825-478E-B143-3C6DF974AE84}" type="presParOf" srcId="{B204D449-A08A-491E-82FC-DFC8A46DDB83}" destId="{7A3B06F9-9C85-4CFF-A25C-B118CD3C6572}" srcOrd="0" destOrd="0" presId="urn:microsoft.com/office/officeart/2008/layout/HalfCircleOrganizationChart"/>
    <dgm:cxn modelId="{BB528F57-8EA8-4388-86E9-29A115198622}" type="presParOf" srcId="{B204D449-A08A-491E-82FC-DFC8A46DDB83}" destId="{3C71BBA8-6A92-44CB-93FF-F8B83FC53F2B}" srcOrd="1" destOrd="0" presId="urn:microsoft.com/office/officeart/2008/layout/HalfCircleOrganizationChart"/>
    <dgm:cxn modelId="{D03051DD-6870-4BE1-8E86-A63441F47BBD}" type="presParOf" srcId="{B204D449-A08A-491E-82FC-DFC8A46DDB83}" destId="{1BB945B1-1825-46B7-A9B1-401A3D8A02FC}" srcOrd="2" destOrd="0" presId="urn:microsoft.com/office/officeart/2008/layout/HalfCircleOrganizationChart"/>
    <dgm:cxn modelId="{2F64C376-F1BF-413C-968C-A1505DF131F6}" type="presParOf" srcId="{B204D449-A08A-491E-82FC-DFC8A46DDB83}" destId="{C175A4F7-C05E-465D-B369-8F29B630EA8F}" srcOrd="3" destOrd="0" presId="urn:microsoft.com/office/officeart/2008/layout/HalfCircleOrganizationChart"/>
    <dgm:cxn modelId="{1AF48C8F-8FF9-4CB2-AEC5-F9774B8285AB}" type="presParOf" srcId="{E68BC740-13D0-44CB-82DA-317258C6E72E}" destId="{B6A6FB73-DFA2-4539-AC27-A041F55B9D30}" srcOrd="1" destOrd="0" presId="urn:microsoft.com/office/officeart/2008/layout/HalfCircleOrganizationChart"/>
    <dgm:cxn modelId="{57715F13-18B1-49C1-AC1D-121D3A2F7CB3}" type="presParOf" srcId="{B6A6FB73-DFA2-4539-AC27-A041F55B9D30}" destId="{898EF819-CCF1-4AAF-882E-3C95127A2311}" srcOrd="0" destOrd="0" presId="urn:microsoft.com/office/officeart/2008/layout/HalfCircleOrganizationChart"/>
    <dgm:cxn modelId="{19125037-FE1F-4F06-BEB4-62BCA7D605E6}" type="presParOf" srcId="{B6A6FB73-DFA2-4539-AC27-A041F55B9D30}" destId="{9C607A0C-267A-4C1E-B1BE-24C6FAD9E9E7}" srcOrd="1" destOrd="0" presId="urn:microsoft.com/office/officeart/2008/layout/HalfCircleOrganizationChart"/>
    <dgm:cxn modelId="{CD3400F5-2BDA-4816-BBF5-A84605CF39F2}" type="presParOf" srcId="{9C607A0C-267A-4C1E-B1BE-24C6FAD9E9E7}" destId="{E755B2B9-B3FA-4AEC-8BFB-3EB4FE0F8185}" srcOrd="0" destOrd="0" presId="urn:microsoft.com/office/officeart/2008/layout/HalfCircleOrganizationChart"/>
    <dgm:cxn modelId="{CE426572-8211-4E84-898E-7F3C520D09DC}" type="presParOf" srcId="{E755B2B9-B3FA-4AEC-8BFB-3EB4FE0F8185}" destId="{D5EDC00D-95EF-4AEA-8A99-D30F3C909311}" srcOrd="0" destOrd="0" presId="urn:microsoft.com/office/officeart/2008/layout/HalfCircleOrganizationChart"/>
    <dgm:cxn modelId="{5848D384-0775-431D-978E-0FC34079ACC0}" type="presParOf" srcId="{E755B2B9-B3FA-4AEC-8BFB-3EB4FE0F8185}" destId="{7652DDCB-1733-4EE9-8073-953A15C11C33}" srcOrd="1" destOrd="0" presId="urn:microsoft.com/office/officeart/2008/layout/HalfCircleOrganizationChart"/>
    <dgm:cxn modelId="{1F609366-D5C8-4DB0-AC05-9592A1F68368}" type="presParOf" srcId="{E755B2B9-B3FA-4AEC-8BFB-3EB4FE0F8185}" destId="{26D2F0EB-4F83-4A48-8850-51D80665CA1C}" srcOrd="2" destOrd="0" presId="urn:microsoft.com/office/officeart/2008/layout/HalfCircleOrganizationChart"/>
    <dgm:cxn modelId="{DB7C4CF9-55EC-4929-A24D-AD3B8CA2BA89}" type="presParOf" srcId="{E755B2B9-B3FA-4AEC-8BFB-3EB4FE0F8185}" destId="{71DCA996-5556-418B-BC82-2BF93DD3DD9F}" srcOrd="3" destOrd="0" presId="urn:microsoft.com/office/officeart/2008/layout/HalfCircleOrganizationChart"/>
    <dgm:cxn modelId="{85783A41-3B66-4EB4-A98F-F63A38A14043}" type="presParOf" srcId="{9C607A0C-267A-4C1E-B1BE-24C6FAD9E9E7}" destId="{C7CBD85D-5B5A-46DE-A164-B5BAE03346D2}" srcOrd="1" destOrd="0" presId="urn:microsoft.com/office/officeart/2008/layout/HalfCircleOrganizationChart"/>
    <dgm:cxn modelId="{98362F20-2E59-47E1-B7BC-F9BB16E4F838}" type="presParOf" srcId="{C7CBD85D-5B5A-46DE-A164-B5BAE03346D2}" destId="{05F1221B-4642-482C-8F47-23CB33ED09FB}" srcOrd="0" destOrd="0" presId="urn:microsoft.com/office/officeart/2008/layout/HalfCircleOrganizationChart"/>
    <dgm:cxn modelId="{91A55007-02FB-4B1C-97B0-79AA90CFA4C8}" type="presParOf" srcId="{C7CBD85D-5B5A-46DE-A164-B5BAE03346D2}" destId="{DCC7ECB5-4C92-4B18-8320-C7F46FC9661B}" srcOrd="1" destOrd="0" presId="urn:microsoft.com/office/officeart/2008/layout/HalfCircleOrganizationChart"/>
    <dgm:cxn modelId="{3E9FDB79-6E4C-437B-8930-3FF81E4C48D3}" type="presParOf" srcId="{DCC7ECB5-4C92-4B18-8320-C7F46FC9661B}" destId="{E444D9B3-8E99-426F-9979-F3E327FCAFE0}" srcOrd="0" destOrd="0" presId="urn:microsoft.com/office/officeart/2008/layout/HalfCircleOrganizationChart"/>
    <dgm:cxn modelId="{5F62CA15-C4B8-435F-B502-2FE561C3F644}" type="presParOf" srcId="{E444D9B3-8E99-426F-9979-F3E327FCAFE0}" destId="{8F912493-9883-4764-B07F-1AD3D08B6166}" srcOrd="0" destOrd="0" presId="urn:microsoft.com/office/officeart/2008/layout/HalfCircleOrganizationChart"/>
    <dgm:cxn modelId="{EBA73958-911A-4B88-A0D7-07A733B1B53D}" type="presParOf" srcId="{E444D9B3-8E99-426F-9979-F3E327FCAFE0}" destId="{C3E59CEE-959C-4921-AA28-38B58110DCA3}" srcOrd="1" destOrd="0" presId="urn:microsoft.com/office/officeart/2008/layout/HalfCircleOrganizationChart"/>
    <dgm:cxn modelId="{86D233D6-6060-4E98-8607-1FBC730FC9ED}" type="presParOf" srcId="{E444D9B3-8E99-426F-9979-F3E327FCAFE0}" destId="{B1F49E14-D33C-47C0-92F9-6CDB93E7CAA1}" srcOrd="2" destOrd="0" presId="urn:microsoft.com/office/officeart/2008/layout/HalfCircleOrganizationChart"/>
    <dgm:cxn modelId="{84DC23BF-2494-42ED-A99A-28681B986705}" type="presParOf" srcId="{E444D9B3-8E99-426F-9979-F3E327FCAFE0}" destId="{BEE30369-2061-4231-9A5C-AEEC259BEBF4}" srcOrd="3" destOrd="0" presId="urn:microsoft.com/office/officeart/2008/layout/HalfCircleOrganizationChart"/>
    <dgm:cxn modelId="{A682171D-1ED1-4E0F-A031-B9834882A972}" type="presParOf" srcId="{DCC7ECB5-4C92-4B18-8320-C7F46FC9661B}" destId="{3A56D06A-97C6-4BFE-9B3B-037BDA33A841}" srcOrd="1" destOrd="0" presId="urn:microsoft.com/office/officeart/2008/layout/HalfCircleOrganizationChart"/>
    <dgm:cxn modelId="{7D407E0D-B7FD-41AA-AD63-8A4C57D22B56}" type="presParOf" srcId="{DCC7ECB5-4C92-4B18-8320-C7F46FC9661B}" destId="{5031C939-81C5-44A8-B615-9FF2A4E5A48B}" srcOrd="2" destOrd="0" presId="urn:microsoft.com/office/officeart/2008/layout/HalfCircleOrganizationChart"/>
    <dgm:cxn modelId="{534018E6-2C91-4BC1-8625-B0CED705C508}" type="presParOf" srcId="{C7CBD85D-5B5A-46DE-A164-B5BAE03346D2}" destId="{E9AF0404-A1BD-49FB-A20E-46DC019B0FEB}" srcOrd="2" destOrd="0" presId="urn:microsoft.com/office/officeart/2008/layout/HalfCircleOrganizationChart"/>
    <dgm:cxn modelId="{436A4C20-6ED5-4748-B56A-F5743FF78ADB}" type="presParOf" srcId="{C7CBD85D-5B5A-46DE-A164-B5BAE03346D2}" destId="{2704C628-7CB2-4B73-8AC4-22CE3BA3C939}" srcOrd="3" destOrd="0" presId="urn:microsoft.com/office/officeart/2008/layout/HalfCircleOrganizationChart"/>
    <dgm:cxn modelId="{C4EBFA56-95B6-4745-9E90-CB198468790B}" type="presParOf" srcId="{2704C628-7CB2-4B73-8AC4-22CE3BA3C939}" destId="{78762238-61B5-4375-BA25-D212197A73A0}" srcOrd="0" destOrd="0" presId="urn:microsoft.com/office/officeart/2008/layout/HalfCircleOrganizationChart"/>
    <dgm:cxn modelId="{DB43E451-9E18-4324-9ACF-3F56A94AE77F}" type="presParOf" srcId="{78762238-61B5-4375-BA25-D212197A73A0}" destId="{069D2763-2399-4871-A6FF-C3DBEE49CD5C}" srcOrd="0" destOrd="0" presId="urn:microsoft.com/office/officeart/2008/layout/HalfCircleOrganizationChart"/>
    <dgm:cxn modelId="{5C8AEB3C-7E1C-448C-95B5-3692A6C85E8E}" type="presParOf" srcId="{78762238-61B5-4375-BA25-D212197A73A0}" destId="{07BC056B-FDB7-4BA5-9475-10358FA5F775}" srcOrd="1" destOrd="0" presId="urn:microsoft.com/office/officeart/2008/layout/HalfCircleOrganizationChart"/>
    <dgm:cxn modelId="{B4AA2C5F-9227-4F45-B537-3C29A6AB137B}" type="presParOf" srcId="{78762238-61B5-4375-BA25-D212197A73A0}" destId="{FCF8D21D-61E9-4C4C-847F-BE4F0DEF7726}" srcOrd="2" destOrd="0" presId="urn:microsoft.com/office/officeart/2008/layout/HalfCircleOrganizationChart"/>
    <dgm:cxn modelId="{CA2451EF-E713-48AF-B95F-12DA0D6CE771}" type="presParOf" srcId="{78762238-61B5-4375-BA25-D212197A73A0}" destId="{6E8135AC-56A4-49AD-86BF-FDDC66C71298}" srcOrd="3" destOrd="0" presId="urn:microsoft.com/office/officeart/2008/layout/HalfCircleOrganizationChart"/>
    <dgm:cxn modelId="{F145000A-C030-4B82-84BF-FB43B315F168}" type="presParOf" srcId="{2704C628-7CB2-4B73-8AC4-22CE3BA3C939}" destId="{9D1C74C9-370A-4DBA-B95C-CD2D4B5BC0FF}" srcOrd="1" destOrd="0" presId="urn:microsoft.com/office/officeart/2008/layout/HalfCircleOrganizationChart"/>
    <dgm:cxn modelId="{F65E63D5-D9DE-4DD2-AB35-74E5118887F7}" type="presParOf" srcId="{2704C628-7CB2-4B73-8AC4-22CE3BA3C939}" destId="{E193EFAD-D18F-4619-8018-F4AE1A103FF5}" srcOrd="2" destOrd="0" presId="urn:microsoft.com/office/officeart/2008/layout/HalfCircleOrganizationChart"/>
    <dgm:cxn modelId="{33A934B7-5961-49B9-9F00-E8A3362637A7}" type="presParOf" srcId="{9C607A0C-267A-4C1E-B1BE-24C6FAD9E9E7}" destId="{C391F05A-2333-448D-9048-EB38D2836F26}" srcOrd="2" destOrd="0" presId="urn:microsoft.com/office/officeart/2008/layout/HalfCircleOrganizationChart"/>
    <dgm:cxn modelId="{CB1CA9F0-FEB0-4A2D-93BB-4F1C3AD8BBEC}" type="presParOf" srcId="{B6A6FB73-DFA2-4539-AC27-A041F55B9D30}" destId="{B73ABAB9-AD9D-4FE6-9376-FBE9AB451491}" srcOrd="2" destOrd="0" presId="urn:microsoft.com/office/officeart/2008/layout/HalfCircleOrganizationChart"/>
    <dgm:cxn modelId="{C9DE3C6A-23D4-4606-B244-497195A3BFC2}" type="presParOf" srcId="{B6A6FB73-DFA2-4539-AC27-A041F55B9D30}" destId="{F653DEA0-2E0D-4D92-AC0D-7298992D6727}" srcOrd="3" destOrd="0" presId="urn:microsoft.com/office/officeart/2008/layout/HalfCircleOrganizationChart"/>
    <dgm:cxn modelId="{50FFEEE8-506B-4996-B068-CE9DA05AF85D}" type="presParOf" srcId="{F653DEA0-2E0D-4D92-AC0D-7298992D6727}" destId="{8B975FDE-DDDE-4040-962E-5866BA487FE3}" srcOrd="0" destOrd="0" presId="urn:microsoft.com/office/officeart/2008/layout/HalfCircleOrganizationChart"/>
    <dgm:cxn modelId="{3309B783-7B71-4C87-A5EA-D2DC3DD4F6F3}" type="presParOf" srcId="{8B975FDE-DDDE-4040-962E-5866BA487FE3}" destId="{C8020BB3-DF3C-4480-AC6B-5436D0AE8C74}" srcOrd="0" destOrd="0" presId="urn:microsoft.com/office/officeart/2008/layout/HalfCircleOrganizationChart"/>
    <dgm:cxn modelId="{1B52AE46-CECF-410C-A93E-3A0980D81158}" type="presParOf" srcId="{8B975FDE-DDDE-4040-962E-5866BA487FE3}" destId="{1F26324D-4D42-4E78-9B6A-E29993BAF692}" srcOrd="1" destOrd="0" presId="urn:microsoft.com/office/officeart/2008/layout/HalfCircleOrganizationChart"/>
    <dgm:cxn modelId="{47979DF6-C43B-47FA-81ED-69AF792A7B9D}" type="presParOf" srcId="{8B975FDE-DDDE-4040-962E-5866BA487FE3}" destId="{C9C39A1F-0C0F-4E04-990D-5BF41740E660}" srcOrd="2" destOrd="0" presId="urn:microsoft.com/office/officeart/2008/layout/HalfCircleOrganizationChart"/>
    <dgm:cxn modelId="{34F5CE29-C54C-4F8E-91A2-F3CBB2634169}" type="presParOf" srcId="{8B975FDE-DDDE-4040-962E-5866BA487FE3}" destId="{8C67C3E2-18C3-4748-B698-01A8E872A1D8}" srcOrd="3" destOrd="0" presId="urn:microsoft.com/office/officeart/2008/layout/HalfCircleOrganizationChart"/>
    <dgm:cxn modelId="{642F5228-A6BC-476A-A2C5-82763C462E39}" type="presParOf" srcId="{F653DEA0-2E0D-4D92-AC0D-7298992D6727}" destId="{720C4CD4-0E27-4688-9B77-036D3026972F}" srcOrd="1" destOrd="0" presId="urn:microsoft.com/office/officeart/2008/layout/HalfCircleOrganizationChart"/>
    <dgm:cxn modelId="{1D0D6B25-EA96-4478-AE55-20095B3901ED}" type="presParOf" srcId="{720C4CD4-0E27-4688-9B77-036D3026972F}" destId="{F7A72A57-86BF-4A1E-B42A-3BB8E53D306A}" srcOrd="0" destOrd="0" presId="urn:microsoft.com/office/officeart/2008/layout/HalfCircleOrganizationChart"/>
    <dgm:cxn modelId="{EDC8E926-D5A6-4915-A804-B9AAAE2830CF}" type="presParOf" srcId="{720C4CD4-0E27-4688-9B77-036D3026972F}" destId="{D94348CE-B4EB-495B-B77D-8873A6567CDA}" srcOrd="1" destOrd="0" presId="urn:microsoft.com/office/officeart/2008/layout/HalfCircleOrganizationChart"/>
    <dgm:cxn modelId="{60DEE543-61D1-4449-B0C0-80F541FCDD12}" type="presParOf" srcId="{D94348CE-B4EB-495B-B77D-8873A6567CDA}" destId="{6FA70D77-2C4C-49A4-8948-DF638FE301B8}" srcOrd="0" destOrd="0" presId="urn:microsoft.com/office/officeart/2008/layout/HalfCircleOrganizationChart"/>
    <dgm:cxn modelId="{8B722420-AF46-4673-ADAE-F571E1ADCF4C}" type="presParOf" srcId="{6FA70D77-2C4C-49A4-8948-DF638FE301B8}" destId="{74237629-ED91-4195-B9DA-C69DFC107851}" srcOrd="0" destOrd="0" presId="urn:microsoft.com/office/officeart/2008/layout/HalfCircleOrganizationChart"/>
    <dgm:cxn modelId="{C7E0FB06-18B6-4D24-8B9B-05849F96B049}" type="presParOf" srcId="{6FA70D77-2C4C-49A4-8948-DF638FE301B8}" destId="{40974087-727C-4FC2-8FA5-B30AAE1D1202}" srcOrd="1" destOrd="0" presId="urn:microsoft.com/office/officeart/2008/layout/HalfCircleOrganizationChart"/>
    <dgm:cxn modelId="{7A8F754C-51D4-43E6-B41D-533AF4B5BBF2}" type="presParOf" srcId="{6FA70D77-2C4C-49A4-8948-DF638FE301B8}" destId="{C37D9F50-A0D7-4279-8FFD-DFB14B26E785}" srcOrd="2" destOrd="0" presId="urn:microsoft.com/office/officeart/2008/layout/HalfCircleOrganizationChart"/>
    <dgm:cxn modelId="{74BDBA06-DD42-4063-978E-B0342B446904}" type="presParOf" srcId="{6FA70D77-2C4C-49A4-8948-DF638FE301B8}" destId="{DCA99F44-294D-4670-9305-E450FF7C9F69}" srcOrd="3" destOrd="0" presId="urn:microsoft.com/office/officeart/2008/layout/HalfCircleOrganizationChart"/>
    <dgm:cxn modelId="{EA17E0ED-9A25-4D5F-8C70-A1B7F451DDA3}" type="presParOf" srcId="{D94348CE-B4EB-495B-B77D-8873A6567CDA}" destId="{A611BE22-D751-4E8B-B7EE-B5B1B9F31678}" srcOrd="1" destOrd="0" presId="urn:microsoft.com/office/officeart/2008/layout/HalfCircleOrganizationChart"/>
    <dgm:cxn modelId="{2E50DD45-0A7D-492B-BC42-3CC7C0008DC9}" type="presParOf" srcId="{D94348CE-B4EB-495B-B77D-8873A6567CDA}" destId="{6EF15999-0DE2-4D8B-8645-00A8BA383113}" srcOrd="2" destOrd="0" presId="urn:microsoft.com/office/officeart/2008/layout/HalfCircleOrganizationChart"/>
    <dgm:cxn modelId="{AF974903-F160-4D42-83D8-394A5777FBF8}" type="presParOf" srcId="{720C4CD4-0E27-4688-9B77-036D3026972F}" destId="{EB43FE55-5566-4B56-8EB6-FA5662529E1E}" srcOrd="2" destOrd="0" presId="urn:microsoft.com/office/officeart/2008/layout/HalfCircleOrganizationChart"/>
    <dgm:cxn modelId="{214F0DBE-BE54-40A5-B8FC-609147DEF84C}" type="presParOf" srcId="{720C4CD4-0E27-4688-9B77-036D3026972F}" destId="{B6CFF313-97FD-42FC-8E4B-4DD41FD1F7E5}" srcOrd="3" destOrd="0" presId="urn:microsoft.com/office/officeart/2008/layout/HalfCircleOrganizationChart"/>
    <dgm:cxn modelId="{D9F2032D-75B5-422A-A0BE-03273C75EC82}" type="presParOf" srcId="{B6CFF313-97FD-42FC-8E4B-4DD41FD1F7E5}" destId="{1AF51DAE-CEBF-491E-8DED-C0E409792321}" srcOrd="0" destOrd="0" presId="urn:microsoft.com/office/officeart/2008/layout/HalfCircleOrganizationChart"/>
    <dgm:cxn modelId="{09595FD6-01A6-4256-9C91-390CD132E3FB}" type="presParOf" srcId="{1AF51DAE-CEBF-491E-8DED-C0E409792321}" destId="{24978348-7753-4635-9220-F6D3F1D60293}" srcOrd="0" destOrd="0" presId="urn:microsoft.com/office/officeart/2008/layout/HalfCircleOrganizationChart"/>
    <dgm:cxn modelId="{00F30AC2-82DD-47EE-A640-8186B4346546}" type="presParOf" srcId="{1AF51DAE-CEBF-491E-8DED-C0E409792321}" destId="{2CB8A654-F2DD-4696-B531-BD822F4C1DF6}" srcOrd="1" destOrd="0" presId="urn:microsoft.com/office/officeart/2008/layout/HalfCircleOrganizationChart"/>
    <dgm:cxn modelId="{89C1F6F4-0F1B-4F26-B8C8-0496C9CB6BA2}" type="presParOf" srcId="{1AF51DAE-CEBF-491E-8DED-C0E409792321}" destId="{43709EEC-9647-4098-B5A0-C35685CA4438}" srcOrd="2" destOrd="0" presId="urn:microsoft.com/office/officeart/2008/layout/HalfCircleOrganizationChart"/>
    <dgm:cxn modelId="{0794A302-A175-42B9-8790-AECE0ED5D36C}" type="presParOf" srcId="{1AF51DAE-CEBF-491E-8DED-C0E409792321}" destId="{B44B3628-EE68-4906-B5CC-0AACCE023A65}" srcOrd="3" destOrd="0" presId="urn:microsoft.com/office/officeart/2008/layout/HalfCircleOrganizationChart"/>
    <dgm:cxn modelId="{8121EBAA-2E9A-4DF0-A374-0C0792E85E70}" type="presParOf" srcId="{B6CFF313-97FD-42FC-8E4B-4DD41FD1F7E5}" destId="{53EE0316-91B0-4F81-BDAC-33C2BA8A879F}" srcOrd="1" destOrd="0" presId="urn:microsoft.com/office/officeart/2008/layout/HalfCircleOrganizationChart"/>
    <dgm:cxn modelId="{BE348478-EC7F-46EB-9AA5-011911E3051C}" type="presParOf" srcId="{B6CFF313-97FD-42FC-8E4B-4DD41FD1F7E5}" destId="{66E634DC-7283-45D5-BAC8-9E9213624618}" srcOrd="2" destOrd="0" presId="urn:microsoft.com/office/officeart/2008/layout/HalfCircleOrganizationChart"/>
    <dgm:cxn modelId="{E6A20B18-4DE7-41CE-8028-8182A41E60B1}" type="presParOf" srcId="{F653DEA0-2E0D-4D92-AC0D-7298992D6727}" destId="{3E34DFB0-E7CA-42F8-A155-7A4F4D4FABCF}" srcOrd="2" destOrd="0" presId="urn:microsoft.com/office/officeart/2008/layout/HalfCircleOrganizationChart"/>
    <dgm:cxn modelId="{55306648-044A-4E9A-8BFE-88BD5405E3FB}" type="presParOf" srcId="{E68BC740-13D0-44CB-82DA-317258C6E72E}" destId="{CE3846C5-C23F-41F8-8DF7-E3B1DBC54B79}" srcOrd="2" destOrd="0" presId="urn:microsoft.com/office/officeart/2008/layout/HalfCircleOrganizationChart"/>
    <dgm:cxn modelId="{F1D2B754-8150-44C2-9AA9-289C39D84A75}" type="presParOf" srcId="{BBF55BBE-7673-4A26-BA4B-AE3B2AC4A9FB}" destId="{59D8BB9C-5E15-435F-9C7C-CE4E9F3BD7B6}" srcOrd="2" destOrd="0" presId="urn:microsoft.com/office/officeart/2008/layout/HalfCircleOrganizationChart"/>
    <dgm:cxn modelId="{B9AA5294-A25F-445B-8240-916D67A90C6C}" type="presParOf" srcId="{BBF55BBE-7673-4A26-BA4B-AE3B2AC4A9FB}" destId="{9B3C8849-4840-4CCA-A8E3-D89F3A4C5B6D}" srcOrd="3" destOrd="0" presId="urn:microsoft.com/office/officeart/2008/layout/HalfCircleOrganizationChart"/>
    <dgm:cxn modelId="{0B48D745-74F1-4DA9-8099-F9DCD5C64686}" type="presParOf" srcId="{9B3C8849-4840-4CCA-A8E3-D89F3A4C5B6D}" destId="{D1D095F0-868A-4FA9-BF70-9397CD8BFD9A}" srcOrd="0" destOrd="0" presId="urn:microsoft.com/office/officeart/2008/layout/HalfCircleOrganizationChart"/>
    <dgm:cxn modelId="{CCF8AF0A-FD47-4C3F-9E14-92D562D937EE}" type="presParOf" srcId="{D1D095F0-868A-4FA9-BF70-9397CD8BFD9A}" destId="{27252F77-9C6C-419E-8580-B2E744BACC37}" srcOrd="0" destOrd="0" presId="urn:microsoft.com/office/officeart/2008/layout/HalfCircleOrganizationChart"/>
    <dgm:cxn modelId="{EC6B97D8-B4D5-46E0-BC06-60B3E0336B35}" type="presParOf" srcId="{D1D095F0-868A-4FA9-BF70-9397CD8BFD9A}" destId="{196F2F10-600F-4706-A361-A2D8962D44DE}" srcOrd="1" destOrd="0" presId="urn:microsoft.com/office/officeart/2008/layout/HalfCircleOrganizationChart"/>
    <dgm:cxn modelId="{7416FF50-114C-42D2-823B-4C94696A92CD}" type="presParOf" srcId="{D1D095F0-868A-4FA9-BF70-9397CD8BFD9A}" destId="{0F4EF238-6610-407F-8A75-A296CF888F7E}" srcOrd="2" destOrd="0" presId="urn:microsoft.com/office/officeart/2008/layout/HalfCircleOrganizationChart"/>
    <dgm:cxn modelId="{1339597D-23D7-48A7-819F-B9973D106F1F}" type="presParOf" srcId="{D1D095F0-868A-4FA9-BF70-9397CD8BFD9A}" destId="{11919E01-84C0-4F32-BCAE-D647CA8C66C4}" srcOrd="3" destOrd="0" presId="urn:microsoft.com/office/officeart/2008/layout/HalfCircleOrganizationChart"/>
    <dgm:cxn modelId="{A9E0CF39-5B3B-4FB1-8CF9-565702899D14}" type="presParOf" srcId="{9B3C8849-4840-4CCA-A8E3-D89F3A4C5B6D}" destId="{236075D9-3E90-4ED3-B5B8-DFF97805D068}" srcOrd="1" destOrd="0" presId="urn:microsoft.com/office/officeart/2008/layout/HalfCircleOrganizationChart"/>
    <dgm:cxn modelId="{77781D78-DFB8-4856-9A3E-9D0B78C4E882}" type="presParOf" srcId="{236075D9-3E90-4ED3-B5B8-DFF97805D068}" destId="{C4207DD7-B776-41E4-BE1E-BC81BECD3D77}" srcOrd="0" destOrd="0" presId="urn:microsoft.com/office/officeart/2008/layout/HalfCircleOrganizationChart"/>
    <dgm:cxn modelId="{8CEE49DC-9CEF-47F6-A5B9-92ED2F10400E}" type="presParOf" srcId="{236075D9-3E90-4ED3-B5B8-DFF97805D068}" destId="{06ED0184-8435-46BA-AEE5-0F8C4C05DD92}" srcOrd="1" destOrd="0" presId="urn:microsoft.com/office/officeart/2008/layout/HalfCircleOrganizationChart"/>
    <dgm:cxn modelId="{77C110BD-12F3-412C-A1E6-DB708564220C}" type="presParOf" srcId="{06ED0184-8435-46BA-AEE5-0F8C4C05DD92}" destId="{D3A7CA8A-08E6-499B-8D7D-7325CA0C28D2}" srcOrd="0" destOrd="0" presId="urn:microsoft.com/office/officeart/2008/layout/HalfCircleOrganizationChart"/>
    <dgm:cxn modelId="{A5020942-CD38-4884-8171-A65A517046E2}" type="presParOf" srcId="{D3A7CA8A-08E6-499B-8D7D-7325CA0C28D2}" destId="{E0F32B4C-0C3A-442E-9697-8C34D8B8C501}" srcOrd="0" destOrd="0" presId="urn:microsoft.com/office/officeart/2008/layout/HalfCircleOrganizationChart"/>
    <dgm:cxn modelId="{8108978A-B29E-4023-83CE-7FD7C446CFE2}" type="presParOf" srcId="{D3A7CA8A-08E6-499B-8D7D-7325CA0C28D2}" destId="{F11E910E-DAFA-4B61-87F2-B6B3AB9A0721}" srcOrd="1" destOrd="0" presId="urn:microsoft.com/office/officeart/2008/layout/HalfCircleOrganizationChart"/>
    <dgm:cxn modelId="{2C8A224F-D684-4C8C-890B-386ED808B8CC}" type="presParOf" srcId="{D3A7CA8A-08E6-499B-8D7D-7325CA0C28D2}" destId="{D44CE2A1-8F17-4512-8F4A-3B66E7CD8A6E}" srcOrd="2" destOrd="0" presId="urn:microsoft.com/office/officeart/2008/layout/HalfCircleOrganizationChart"/>
    <dgm:cxn modelId="{642F02ED-0C35-4F0F-9AB0-5E4260DD8ED2}" type="presParOf" srcId="{D3A7CA8A-08E6-499B-8D7D-7325CA0C28D2}" destId="{C1F3E8FE-7CF5-4EC1-AA42-41FB90345324}" srcOrd="3" destOrd="0" presId="urn:microsoft.com/office/officeart/2008/layout/HalfCircleOrganizationChart"/>
    <dgm:cxn modelId="{05EDCBF6-0982-4B51-8EF5-85792ED8BF6F}" type="presParOf" srcId="{06ED0184-8435-46BA-AEE5-0F8C4C05DD92}" destId="{D862D2B1-2FB8-45E8-AB3E-A4756EB2502E}" srcOrd="1" destOrd="0" presId="urn:microsoft.com/office/officeart/2008/layout/HalfCircleOrganizationChart"/>
    <dgm:cxn modelId="{C98EDF5D-F5BE-400C-944C-AA4DC0D03568}" type="presParOf" srcId="{06ED0184-8435-46BA-AEE5-0F8C4C05DD92}" destId="{2AC03D77-367C-4D92-9A8F-05D50EB868C5}" srcOrd="2" destOrd="0" presId="urn:microsoft.com/office/officeart/2008/layout/HalfCircleOrganizationChart"/>
    <dgm:cxn modelId="{F8193959-B7CD-4A18-8ABC-BA3E02BF975C}" type="presParOf" srcId="{9B3C8849-4840-4CCA-A8E3-D89F3A4C5B6D}" destId="{C5E771CC-F34D-4286-ACAC-C85C381BCB5F}" srcOrd="2" destOrd="0" presId="urn:microsoft.com/office/officeart/2008/layout/HalfCircleOrganizationChart"/>
    <dgm:cxn modelId="{83AA9A35-7390-4782-82DC-53C7D3EE8B06}" type="presParOf" srcId="{771AC6A9-745A-4931-BD22-4193B87B04F3}" destId="{00F32C24-CF6E-459F-A678-4D5EA5F04D7D}"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07DD7-B776-41E4-BE1E-BC81BECD3D77}">
      <dsp:nvSpPr>
        <dsp:cNvPr id="0" name=""/>
        <dsp:cNvSpPr/>
      </dsp:nvSpPr>
      <dsp:spPr>
        <a:xfrm>
          <a:off x="3598865" y="2185142"/>
          <a:ext cx="91440" cy="539053"/>
        </a:xfrm>
        <a:custGeom>
          <a:avLst/>
          <a:gdLst/>
          <a:ahLst/>
          <a:cxnLst/>
          <a:rect l="0" t="0" r="0" b="0"/>
          <a:pathLst>
            <a:path>
              <a:moveTo>
                <a:pt x="51297" y="0"/>
              </a:moveTo>
              <a:lnTo>
                <a:pt x="45720" y="539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D8BB9C-5E15-435F-9C7C-CE4E9F3BD7B6}">
      <dsp:nvSpPr>
        <dsp:cNvPr id="0" name=""/>
        <dsp:cNvSpPr/>
      </dsp:nvSpPr>
      <dsp:spPr>
        <a:xfrm>
          <a:off x="2696966" y="1066515"/>
          <a:ext cx="953196" cy="330861"/>
        </a:xfrm>
        <a:custGeom>
          <a:avLst/>
          <a:gdLst/>
          <a:ahLst/>
          <a:cxnLst/>
          <a:rect l="0" t="0" r="0" b="0"/>
          <a:pathLst>
            <a:path>
              <a:moveTo>
                <a:pt x="0" y="0"/>
              </a:moveTo>
              <a:lnTo>
                <a:pt x="0" y="165430"/>
              </a:lnTo>
              <a:lnTo>
                <a:pt x="953196" y="165430"/>
              </a:lnTo>
              <a:lnTo>
                <a:pt x="953196" y="33086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43FE55-5566-4B56-8EB6-FA5662529E1E}">
      <dsp:nvSpPr>
        <dsp:cNvPr id="0" name=""/>
        <dsp:cNvSpPr/>
      </dsp:nvSpPr>
      <dsp:spPr>
        <a:xfrm>
          <a:off x="2696966" y="3303770"/>
          <a:ext cx="979262" cy="1591287"/>
        </a:xfrm>
        <a:custGeom>
          <a:avLst/>
          <a:gdLst/>
          <a:ahLst/>
          <a:cxnLst/>
          <a:rect l="0" t="0" r="0" b="0"/>
          <a:pathLst>
            <a:path>
              <a:moveTo>
                <a:pt x="0" y="0"/>
              </a:moveTo>
              <a:lnTo>
                <a:pt x="0" y="1591287"/>
              </a:lnTo>
              <a:lnTo>
                <a:pt x="979262" y="159128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A72A57-86BF-4A1E-B42A-3BB8E53D306A}">
      <dsp:nvSpPr>
        <dsp:cNvPr id="0" name=""/>
        <dsp:cNvSpPr/>
      </dsp:nvSpPr>
      <dsp:spPr>
        <a:xfrm>
          <a:off x="2696966" y="3303770"/>
          <a:ext cx="993529" cy="472659"/>
        </a:xfrm>
        <a:custGeom>
          <a:avLst/>
          <a:gdLst/>
          <a:ahLst/>
          <a:cxnLst/>
          <a:rect l="0" t="0" r="0" b="0"/>
          <a:pathLst>
            <a:path>
              <a:moveTo>
                <a:pt x="0" y="0"/>
              </a:moveTo>
              <a:lnTo>
                <a:pt x="0" y="472659"/>
              </a:lnTo>
              <a:lnTo>
                <a:pt x="993529" y="4726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3ABAB9-AD9D-4FE6-9376-FBE9AB451491}">
      <dsp:nvSpPr>
        <dsp:cNvPr id="0" name=""/>
        <dsp:cNvSpPr/>
      </dsp:nvSpPr>
      <dsp:spPr>
        <a:xfrm>
          <a:off x="1743769" y="2185142"/>
          <a:ext cx="953196" cy="330861"/>
        </a:xfrm>
        <a:custGeom>
          <a:avLst/>
          <a:gdLst/>
          <a:ahLst/>
          <a:cxnLst/>
          <a:rect l="0" t="0" r="0" b="0"/>
          <a:pathLst>
            <a:path>
              <a:moveTo>
                <a:pt x="0" y="0"/>
              </a:moveTo>
              <a:lnTo>
                <a:pt x="0" y="165430"/>
              </a:lnTo>
              <a:lnTo>
                <a:pt x="953196" y="165430"/>
              </a:lnTo>
              <a:lnTo>
                <a:pt x="953196" y="33086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AF0404-A1BD-49FB-A20E-46DC019B0FEB}">
      <dsp:nvSpPr>
        <dsp:cNvPr id="0" name=""/>
        <dsp:cNvSpPr/>
      </dsp:nvSpPr>
      <dsp:spPr>
        <a:xfrm>
          <a:off x="790572" y="3303770"/>
          <a:ext cx="724744" cy="1591287"/>
        </a:xfrm>
        <a:custGeom>
          <a:avLst/>
          <a:gdLst/>
          <a:ahLst/>
          <a:cxnLst/>
          <a:rect l="0" t="0" r="0" b="0"/>
          <a:pathLst>
            <a:path>
              <a:moveTo>
                <a:pt x="0" y="0"/>
              </a:moveTo>
              <a:lnTo>
                <a:pt x="0" y="1591287"/>
              </a:lnTo>
              <a:lnTo>
                <a:pt x="724744" y="159128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F1221B-4642-482C-8F47-23CB33ED09FB}">
      <dsp:nvSpPr>
        <dsp:cNvPr id="0" name=""/>
        <dsp:cNvSpPr/>
      </dsp:nvSpPr>
      <dsp:spPr>
        <a:xfrm>
          <a:off x="790572" y="3303770"/>
          <a:ext cx="724744" cy="472659"/>
        </a:xfrm>
        <a:custGeom>
          <a:avLst/>
          <a:gdLst/>
          <a:ahLst/>
          <a:cxnLst/>
          <a:rect l="0" t="0" r="0" b="0"/>
          <a:pathLst>
            <a:path>
              <a:moveTo>
                <a:pt x="0" y="0"/>
              </a:moveTo>
              <a:lnTo>
                <a:pt x="0" y="472659"/>
              </a:lnTo>
              <a:lnTo>
                <a:pt x="724744" y="4726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8EF819-CCF1-4AAF-882E-3C95127A2311}">
      <dsp:nvSpPr>
        <dsp:cNvPr id="0" name=""/>
        <dsp:cNvSpPr/>
      </dsp:nvSpPr>
      <dsp:spPr>
        <a:xfrm>
          <a:off x="790572" y="2185142"/>
          <a:ext cx="953196" cy="330861"/>
        </a:xfrm>
        <a:custGeom>
          <a:avLst/>
          <a:gdLst/>
          <a:ahLst/>
          <a:cxnLst/>
          <a:rect l="0" t="0" r="0" b="0"/>
          <a:pathLst>
            <a:path>
              <a:moveTo>
                <a:pt x="953196" y="0"/>
              </a:moveTo>
              <a:lnTo>
                <a:pt x="953196" y="165430"/>
              </a:lnTo>
              <a:lnTo>
                <a:pt x="0" y="165430"/>
              </a:lnTo>
              <a:lnTo>
                <a:pt x="0" y="33086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198B61-C46E-4594-9B38-703BED67FDC1}">
      <dsp:nvSpPr>
        <dsp:cNvPr id="0" name=""/>
        <dsp:cNvSpPr/>
      </dsp:nvSpPr>
      <dsp:spPr>
        <a:xfrm>
          <a:off x="1743769" y="1066515"/>
          <a:ext cx="953196" cy="330861"/>
        </a:xfrm>
        <a:custGeom>
          <a:avLst/>
          <a:gdLst/>
          <a:ahLst/>
          <a:cxnLst/>
          <a:rect l="0" t="0" r="0" b="0"/>
          <a:pathLst>
            <a:path>
              <a:moveTo>
                <a:pt x="953196" y="0"/>
              </a:moveTo>
              <a:lnTo>
                <a:pt x="953196" y="165430"/>
              </a:lnTo>
              <a:lnTo>
                <a:pt x="0" y="165430"/>
              </a:lnTo>
              <a:lnTo>
                <a:pt x="0" y="33086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C81339-7383-482D-A417-DAFA216DF524}">
      <dsp:nvSpPr>
        <dsp:cNvPr id="0" name=""/>
        <dsp:cNvSpPr/>
      </dsp:nvSpPr>
      <dsp:spPr>
        <a:xfrm>
          <a:off x="2303083" y="278749"/>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F87128-1850-4D57-9669-A536BC351CFA}">
      <dsp:nvSpPr>
        <dsp:cNvPr id="0" name=""/>
        <dsp:cNvSpPr/>
      </dsp:nvSpPr>
      <dsp:spPr>
        <a:xfrm>
          <a:off x="2303083" y="278749"/>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2DE313-5E7C-425A-B729-04F1B25E7194}">
      <dsp:nvSpPr>
        <dsp:cNvPr id="0" name=""/>
        <dsp:cNvSpPr/>
      </dsp:nvSpPr>
      <dsp:spPr>
        <a:xfrm>
          <a:off x="1909200" y="420547"/>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Gestión Preventiva</a:t>
          </a:r>
        </a:p>
      </dsp:txBody>
      <dsp:txXfrm>
        <a:off x="1909200" y="420547"/>
        <a:ext cx="1575531" cy="504170"/>
      </dsp:txXfrm>
    </dsp:sp>
    <dsp:sp modelId="{3C71BBA8-6A92-44CB-93FF-F8B83FC53F2B}">
      <dsp:nvSpPr>
        <dsp:cNvPr id="0" name=""/>
        <dsp:cNvSpPr/>
      </dsp:nvSpPr>
      <dsp:spPr>
        <a:xfrm>
          <a:off x="1349886" y="1397377"/>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B945B1-1825-46B7-A9B1-401A3D8A02FC}">
      <dsp:nvSpPr>
        <dsp:cNvPr id="0" name=""/>
        <dsp:cNvSpPr/>
      </dsp:nvSpPr>
      <dsp:spPr>
        <a:xfrm>
          <a:off x="1349886" y="1397377"/>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A3B06F9-9C85-4CFF-A25C-B118CD3C6572}">
      <dsp:nvSpPr>
        <dsp:cNvPr id="0" name=""/>
        <dsp:cNvSpPr/>
      </dsp:nvSpPr>
      <dsp:spPr>
        <a:xfrm>
          <a:off x="956003" y="1539174"/>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Gestión Reactiva</a:t>
          </a:r>
        </a:p>
      </dsp:txBody>
      <dsp:txXfrm>
        <a:off x="956003" y="1539174"/>
        <a:ext cx="1575531" cy="504170"/>
      </dsp:txXfrm>
    </dsp:sp>
    <dsp:sp modelId="{7652DDCB-1733-4EE9-8073-953A15C11C33}">
      <dsp:nvSpPr>
        <dsp:cNvPr id="0" name=""/>
        <dsp:cNvSpPr/>
      </dsp:nvSpPr>
      <dsp:spPr>
        <a:xfrm>
          <a:off x="396689" y="2516004"/>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D2F0EB-4F83-4A48-8850-51D80665CA1C}">
      <dsp:nvSpPr>
        <dsp:cNvPr id="0" name=""/>
        <dsp:cNvSpPr/>
      </dsp:nvSpPr>
      <dsp:spPr>
        <a:xfrm>
          <a:off x="396689" y="2516004"/>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EDC00D-95EF-4AEA-8A99-D30F3C909311}">
      <dsp:nvSpPr>
        <dsp:cNvPr id="0" name=""/>
        <dsp:cNvSpPr/>
      </dsp:nvSpPr>
      <dsp:spPr>
        <a:xfrm>
          <a:off x="2806" y="2657802"/>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Justificado</a:t>
          </a:r>
        </a:p>
      </dsp:txBody>
      <dsp:txXfrm>
        <a:off x="2806" y="2657802"/>
        <a:ext cx="1575531" cy="504170"/>
      </dsp:txXfrm>
    </dsp:sp>
    <dsp:sp modelId="{C3E59CEE-959C-4921-AA28-38B58110DCA3}">
      <dsp:nvSpPr>
        <dsp:cNvPr id="0" name=""/>
        <dsp:cNvSpPr/>
      </dsp:nvSpPr>
      <dsp:spPr>
        <a:xfrm>
          <a:off x="1420785" y="3634632"/>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F49E14-D33C-47C0-92F9-6CDB93E7CAA1}">
      <dsp:nvSpPr>
        <dsp:cNvPr id="0" name=""/>
        <dsp:cNvSpPr/>
      </dsp:nvSpPr>
      <dsp:spPr>
        <a:xfrm>
          <a:off x="1420785" y="3634632"/>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912493-9883-4764-B07F-1AD3D08B6166}">
      <dsp:nvSpPr>
        <dsp:cNvPr id="0" name=""/>
        <dsp:cNvSpPr/>
      </dsp:nvSpPr>
      <dsp:spPr>
        <a:xfrm>
          <a:off x="1026902" y="3776429"/>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Reducción del Límite en la proporción excedida</a:t>
          </a:r>
        </a:p>
      </dsp:txBody>
      <dsp:txXfrm>
        <a:off x="1026902" y="3776429"/>
        <a:ext cx="1575531" cy="504170"/>
      </dsp:txXfrm>
    </dsp:sp>
    <dsp:sp modelId="{07BC056B-FDB7-4BA5-9475-10358FA5F775}">
      <dsp:nvSpPr>
        <dsp:cNvPr id="0" name=""/>
        <dsp:cNvSpPr/>
      </dsp:nvSpPr>
      <dsp:spPr>
        <a:xfrm>
          <a:off x="1420785" y="4753259"/>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F8D21D-61E9-4C4C-847F-BE4F0DEF7726}">
      <dsp:nvSpPr>
        <dsp:cNvPr id="0" name=""/>
        <dsp:cNvSpPr/>
      </dsp:nvSpPr>
      <dsp:spPr>
        <a:xfrm>
          <a:off x="1420785" y="4753259"/>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9D2763-2399-4871-A6FF-C3DBEE49CD5C}">
      <dsp:nvSpPr>
        <dsp:cNvPr id="0" name=""/>
        <dsp:cNvSpPr/>
      </dsp:nvSpPr>
      <dsp:spPr>
        <a:xfrm>
          <a:off x="1026902" y="4895057"/>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Plan de mejoramiento</a:t>
          </a:r>
          <a:endParaRPr lang="es-ES" sz="1050" kern="1200" baseline="300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endParaRPr>
        </a:p>
      </dsp:txBody>
      <dsp:txXfrm>
        <a:off x="1026902" y="4895057"/>
        <a:ext cx="1575531" cy="504170"/>
      </dsp:txXfrm>
    </dsp:sp>
    <dsp:sp modelId="{1F26324D-4D42-4E78-9B6A-E29993BAF692}">
      <dsp:nvSpPr>
        <dsp:cNvPr id="0" name=""/>
        <dsp:cNvSpPr/>
      </dsp:nvSpPr>
      <dsp:spPr>
        <a:xfrm>
          <a:off x="2303083" y="2516004"/>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C39A1F-0C0F-4E04-990D-5BF41740E660}">
      <dsp:nvSpPr>
        <dsp:cNvPr id="0" name=""/>
        <dsp:cNvSpPr/>
      </dsp:nvSpPr>
      <dsp:spPr>
        <a:xfrm>
          <a:off x="2303083" y="2516004"/>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020BB3-DF3C-4480-AC6B-5436D0AE8C74}">
      <dsp:nvSpPr>
        <dsp:cNvPr id="0" name=""/>
        <dsp:cNvSpPr/>
      </dsp:nvSpPr>
      <dsp:spPr>
        <a:xfrm>
          <a:off x="1909200" y="2657802"/>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No justificado</a:t>
          </a:r>
        </a:p>
      </dsp:txBody>
      <dsp:txXfrm>
        <a:off x="1909200" y="2657802"/>
        <a:ext cx="1575531" cy="504170"/>
      </dsp:txXfrm>
    </dsp:sp>
    <dsp:sp modelId="{40974087-727C-4FC2-8FA5-B30AAE1D1202}">
      <dsp:nvSpPr>
        <dsp:cNvPr id="0" name=""/>
        <dsp:cNvSpPr/>
      </dsp:nvSpPr>
      <dsp:spPr>
        <a:xfrm>
          <a:off x="3543940" y="3634632"/>
          <a:ext cx="1221289"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7D9F50-A0D7-4279-8FFD-DFB14B26E785}">
      <dsp:nvSpPr>
        <dsp:cNvPr id="0" name=""/>
        <dsp:cNvSpPr/>
      </dsp:nvSpPr>
      <dsp:spPr>
        <a:xfrm>
          <a:off x="3543940" y="3634632"/>
          <a:ext cx="1221289"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237629-ED91-4195-B9DA-C69DFC107851}">
      <dsp:nvSpPr>
        <dsp:cNvPr id="0" name=""/>
        <dsp:cNvSpPr/>
      </dsp:nvSpPr>
      <dsp:spPr>
        <a:xfrm>
          <a:off x="2933295" y="3776429"/>
          <a:ext cx="2442578"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b="1" kern="1200">
              <a:solidFill>
                <a:srgbClr val="4F81BD"/>
              </a:solidFill>
              <a:latin typeface="Arial Narrow" panose="020B0606020202030204" pitchFamily="34" charset="0"/>
              <a:ea typeface="+mn-ea"/>
              <a:cs typeface="Arial" panose="020B0604020202020204" pitchFamily="34" charset="0"/>
            </a:rPr>
            <a:t>Primera caso</a:t>
          </a:r>
        </a:p>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Memorando escrito, Sanción operativa y Plan de mejoramiento</a:t>
          </a:r>
          <a:endParaRPr lang="es-ES" sz="1050" kern="1200" baseline="300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endParaRPr>
        </a:p>
      </dsp:txBody>
      <dsp:txXfrm>
        <a:off x="2933295" y="3776429"/>
        <a:ext cx="2442578" cy="504170"/>
      </dsp:txXfrm>
    </dsp:sp>
    <dsp:sp modelId="{2CB8A654-F2DD-4696-B531-BD822F4C1DF6}">
      <dsp:nvSpPr>
        <dsp:cNvPr id="0" name=""/>
        <dsp:cNvSpPr/>
      </dsp:nvSpPr>
      <dsp:spPr>
        <a:xfrm>
          <a:off x="3523210" y="4753259"/>
          <a:ext cx="1275148"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709EEC-9647-4098-B5A0-C35685CA4438}">
      <dsp:nvSpPr>
        <dsp:cNvPr id="0" name=""/>
        <dsp:cNvSpPr/>
      </dsp:nvSpPr>
      <dsp:spPr>
        <a:xfrm>
          <a:off x="3523210" y="4753259"/>
          <a:ext cx="1275148"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978348-7753-4635-9220-F6D3F1D60293}">
      <dsp:nvSpPr>
        <dsp:cNvPr id="0" name=""/>
        <dsp:cNvSpPr/>
      </dsp:nvSpPr>
      <dsp:spPr>
        <a:xfrm>
          <a:off x="2885635" y="4895057"/>
          <a:ext cx="2550297"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b="1" kern="1200">
              <a:solidFill>
                <a:srgbClr val="4F81BD"/>
              </a:solidFill>
              <a:latin typeface="Arial Narrow" panose="020B0606020202030204" pitchFamily="34" charset="0"/>
              <a:ea typeface="+mn-ea"/>
              <a:cs typeface="Arial" panose="020B0604020202020204" pitchFamily="34" charset="0"/>
            </a:rPr>
            <a:t>Segundo caso</a:t>
          </a:r>
        </a:p>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Se escala el caso a oficina de control interno</a:t>
          </a:r>
        </a:p>
      </dsp:txBody>
      <dsp:txXfrm>
        <a:off x="2885635" y="4895057"/>
        <a:ext cx="2550297" cy="504170"/>
      </dsp:txXfrm>
    </dsp:sp>
    <dsp:sp modelId="{196F2F10-600F-4706-A361-A2D8962D44DE}">
      <dsp:nvSpPr>
        <dsp:cNvPr id="0" name=""/>
        <dsp:cNvSpPr/>
      </dsp:nvSpPr>
      <dsp:spPr>
        <a:xfrm>
          <a:off x="3256279" y="1397377"/>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4EF238-6610-407F-8A75-A296CF888F7E}">
      <dsp:nvSpPr>
        <dsp:cNvPr id="0" name=""/>
        <dsp:cNvSpPr/>
      </dsp:nvSpPr>
      <dsp:spPr>
        <a:xfrm>
          <a:off x="3256279" y="1397377"/>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252F77-9C6C-419E-8580-B2E744BACC37}">
      <dsp:nvSpPr>
        <dsp:cNvPr id="0" name=""/>
        <dsp:cNvSpPr/>
      </dsp:nvSpPr>
      <dsp:spPr>
        <a:xfrm>
          <a:off x="2862396" y="1539174"/>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Concepto</a:t>
          </a:r>
        </a:p>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Subdirección de Riesgo</a:t>
          </a:r>
        </a:p>
      </dsp:txBody>
      <dsp:txXfrm>
        <a:off x="2862396" y="1539174"/>
        <a:ext cx="1575531" cy="504170"/>
      </dsp:txXfrm>
    </dsp:sp>
    <dsp:sp modelId="{F11E910E-DAFA-4B61-87F2-B6B3AB9A0721}">
      <dsp:nvSpPr>
        <dsp:cNvPr id="0" name=""/>
        <dsp:cNvSpPr/>
      </dsp:nvSpPr>
      <dsp:spPr>
        <a:xfrm>
          <a:off x="3550053" y="2582398"/>
          <a:ext cx="787765" cy="787765"/>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4CE2A1-8F17-4512-8F4A-3B66E7CD8A6E}">
      <dsp:nvSpPr>
        <dsp:cNvPr id="0" name=""/>
        <dsp:cNvSpPr/>
      </dsp:nvSpPr>
      <dsp:spPr>
        <a:xfrm>
          <a:off x="3550053" y="2582398"/>
          <a:ext cx="787765" cy="787765"/>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F32B4C-0C3A-442E-9697-8C34D8B8C501}">
      <dsp:nvSpPr>
        <dsp:cNvPr id="0" name=""/>
        <dsp:cNvSpPr/>
      </dsp:nvSpPr>
      <dsp:spPr>
        <a:xfrm>
          <a:off x="3156170" y="2724196"/>
          <a:ext cx="1575531" cy="50417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ES" sz="1050" kern="1200">
              <a:solidFill>
                <a:sysClr val="windowText" lastClr="000000">
                  <a:hueOff val="0"/>
                  <a:satOff val="0"/>
                  <a:lumOff val="0"/>
                  <a:alphaOff val="0"/>
                </a:sysClr>
              </a:solidFill>
              <a:latin typeface="Arial Narrow" panose="020B0606020202030204" pitchFamily="34" charset="0"/>
              <a:ea typeface="+mn-ea"/>
              <a:cs typeface="Arial" panose="020B0604020202020204" pitchFamily="34" charset="0"/>
            </a:rPr>
            <a:t>Autorización del Director</a:t>
          </a:r>
        </a:p>
      </dsp:txBody>
      <dsp:txXfrm>
        <a:off x="3156170" y="2724196"/>
        <a:ext cx="1575531" cy="504170"/>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c2ac60471bac0c5a8e5ea017ba9b2431">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b07367b0fa94af7ad7845e0e17936045"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93</Nivel>
    <Idioma_x0020_Documento xmlns="82ecf687-28d5-485b-a37e-d2c94b36a158">Español</Idioma_x0020_Documento>
    <Proceso xmlns="1d121436-e6f9-4fa4-bb3f-81f41704d615">Mis. 3.10 Gestión de Riesgo Fiscal</Proceso>
    <Resumen_x0020_del_x0020_Documento xmlns="82ecf687-28d5-485b-a37e-d2c94b36a158">Mis.3.10 Man.10 Manual de riesgo de mercado V2</Resumen_x0020_del_x0020_Documento>
    <Macroproceso xmlns="1d121436-e6f9-4fa4-bb3f-81f41704d615">Administración de Recursos Económicos</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BF17-E593-40F3-8E17-D96112613041}">
  <ds:schemaRefs>
    <ds:schemaRef ds:uri="http://schemas.microsoft.com/office/2006/metadata/longProperties"/>
  </ds:schemaRefs>
</ds:datastoreItem>
</file>

<file path=customXml/itemProps2.xml><?xml version="1.0" encoding="utf-8"?>
<ds:datastoreItem xmlns:ds="http://schemas.openxmlformats.org/officeDocument/2006/customXml" ds:itemID="{F13BDC17-4DF7-4F98-A8FE-2117B175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39487-5823-485B-843F-98A62B0E334E}">
  <ds:schemaRefs>
    <ds:schemaRef ds:uri="http://schemas.microsoft.com/sharepoint/v3/contenttype/forms"/>
  </ds:schemaRefs>
</ds:datastoreItem>
</file>

<file path=customXml/itemProps4.xml><?xml version="1.0" encoding="utf-8"?>
<ds:datastoreItem xmlns:ds="http://schemas.openxmlformats.org/officeDocument/2006/customXml" ds:itemID="{B10AC92F-E1F0-43EF-8D19-8034A1D77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2A510A-0FF3-4EA4-9000-C95B97DBFF88}">
  <ds:schemaRefs>
    <ds:schemaRef ds:uri="http://www.w3.org/XML/1998/namespace"/>
    <ds:schemaRef ds:uri="http://schemas.microsoft.com/office/2006/metadata/properties"/>
    <ds:schemaRef ds:uri="http://purl.org/dc/terms/"/>
    <ds:schemaRef ds:uri="http://purl.org/dc/elements/1.1/"/>
    <ds:schemaRef ds:uri="aac6e9ca-a293-4c82-8e9f-9055b12d24a8"/>
    <ds:schemaRef ds:uri="http://schemas.microsoft.com/office/2006/documentManagement/types"/>
    <ds:schemaRef ds:uri="http://purl.org/dc/dcmitype/"/>
    <ds:schemaRef ds:uri="82ecf687-28d5-485b-a37e-d2c94b36a158"/>
    <ds:schemaRef ds:uri="http://schemas.microsoft.com/office/infopath/2007/PartnerControls"/>
    <ds:schemaRef ds:uri="http://schemas.openxmlformats.org/package/2006/metadata/core-properties"/>
    <ds:schemaRef ds:uri="1d121436-e6f9-4fa4-bb3f-81f41704d615"/>
  </ds:schemaRefs>
</ds:datastoreItem>
</file>

<file path=customXml/itemProps6.xml><?xml version="1.0" encoding="utf-8"?>
<ds:datastoreItem xmlns:ds="http://schemas.openxmlformats.org/officeDocument/2006/customXml" ds:itemID="{07DBB452-60D9-43A3-B712-AF57C390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11888</Words>
  <Characters>67767</Characters>
  <Application>Microsoft Office Word</Application>
  <DocSecurity>0</DocSecurity>
  <Lines>564</Lines>
  <Paragraphs>158</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79497</CharactersWithSpaces>
  <SharedDoc>false</SharedDoc>
  <HLinks>
    <vt:vector size="174" baseType="variant">
      <vt:variant>
        <vt:i4>1114163</vt:i4>
      </vt:variant>
      <vt:variant>
        <vt:i4>170</vt:i4>
      </vt:variant>
      <vt:variant>
        <vt:i4>0</vt:i4>
      </vt:variant>
      <vt:variant>
        <vt:i4>5</vt:i4>
      </vt:variant>
      <vt:variant>
        <vt:lpwstr/>
      </vt:variant>
      <vt:variant>
        <vt:lpwstr>_Toc528661831</vt:lpwstr>
      </vt:variant>
      <vt:variant>
        <vt:i4>1114163</vt:i4>
      </vt:variant>
      <vt:variant>
        <vt:i4>164</vt:i4>
      </vt:variant>
      <vt:variant>
        <vt:i4>0</vt:i4>
      </vt:variant>
      <vt:variant>
        <vt:i4>5</vt:i4>
      </vt:variant>
      <vt:variant>
        <vt:lpwstr/>
      </vt:variant>
      <vt:variant>
        <vt:lpwstr>_Toc528661830</vt:lpwstr>
      </vt:variant>
      <vt:variant>
        <vt:i4>1048627</vt:i4>
      </vt:variant>
      <vt:variant>
        <vt:i4>158</vt:i4>
      </vt:variant>
      <vt:variant>
        <vt:i4>0</vt:i4>
      </vt:variant>
      <vt:variant>
        <vt:i4>5</vt:i4>
      </vt:variant>
      <vt:variant>
        <vt:lpwstr/>
      </vt:variant>
      <vt:variant>
        <vt:lpwstr>_Toc528661829</vt:lpwstr>
      </vt:variant>
      <vt:variant>
        <vt:i4>1048627</vt:i4>
      </vt:variant>
      <vt:variant>
        <vt:i4>152</vt:i4>
      </vt:variant>
      <vt:variant>
        <vt:i4>0</vt:i4>
      </vt:variant>
      <vt:variant>
        <vt:i4>5</vt:i4>
      </vt:variant>
      <vt:variant>
        <vt:lpwstr/>
      </vt:variant>
      <vt:variant>
        <vt:lpwstr>_Toc528661828</vt:lpwstr>
      </vt:variant>
      <vt:variant>
        <vt:i4>1048627</vt:i4>
      </vt:variant>
      <vt:variant>
        <vt:i4>146</vt:i4>
      </vt:variant>
      <vt:variant>
        <vt:i4>0</vt:i4>
      </vt:variant>
      <vt:variant>
        <vt:i4>5</vt:i4>
      </vt:variant>
      <vt:variant>
        <vt:lpwstr/>
      </vt:variant>
      <vt:variant>
        <vt:lpwstr>_Toc528661827</vt:lpwstr>
      </vt:variant>
      <vt:variant>
        <vt:i4>1048627</vt:i4>
      </vt:variant>
      <vt:variant>
        <vt:i4>140</vt:i4>
      </vt:variant>
      <vt:variant>
        <vt:i4>0</vt:i4>
      </vt:variant>
      <vt:variant>
        <vt:i4>5</vt:i4>
      </vt:variant>
      <vt:variant>
        <vt:lpwstr/>
      </vt:variant>
      <vt:variant>
        <vt:lpwstr>_Toc528661826</vt:lpwstr>
      </vt:variant>
      <vt:variant>
        <vt:i4>1048627</vt:i4>
      </vt:variant>
      <vt:variant>
        <vt:i4>134</vt:i4>
      </vt:variant>
      <vt:variant>
        <vt:i4>0</vt:i4>
      </vt:variant>
      <vt:variant>
        <vt:i4>5</vt:i4>
      </vt:variant>
      <vt:variant>
        <vt:lpwstr/>
      </vt:variant>
      <vt:variant>
        <vt:lpwstr>_Toc528661825</vt:lpwstr>
      </vt:variant>
      <vt:variant>
        <vt:i4>1048627</vt:i4>
      </vt:variant>
      <vt:variant>
        <vt:i4>128</vt:i4>
      </vt:variant>
      <vt:variant>
        <vt:i4>0</vt:i4>
      </vt:variant>
      <vt:variant>
        <vt:i4>5</vt:i4>
      </vt:variant>
      <vt:variant>
        <vt:lpwstr/>
      </vt:variant>
      <vt:variant>
        <vt:lpwstr>_Toc528661824</vt:lpwstr>
      </vt:variant>
      <vt:variant>
        <vt:i4>1048627</vt:i4>
      </vt:variant>
      <vt:variant>
        <vt:i4>122</vt:i4>
      </vt:variant>
      <vt:variant>
        <vt:i4>0</vt:i4>
      </vt:variant>
      <vt:variant>
        <vt:i4>5</vt:i4>
      </vt:variant>
      <vt:variant>
        <vt:lpwstr/>
      </vt:variant>
      <vt:variant>
        <vt:lpwstr>_Toc528661823</vt:lpwstr>
      </vt:variant>
      <vt:variant>
        <vt:i4>1048627</vt:i4>
      </vt:variant>
      <vt:variant>
        <vt:i4>116</vt:i4>
      </vt:variant>
      <vt:variant>
        <vt:i4>0</vt:i4>
      </vt:variant>
      <vt:variant>
        <vt:i4>5</vt:i4>
      </vt:variant>
      <vt:variant>
        <vt:lpwstr/>
      </vt:variant>
      <vt:variant>
        <vt:lpwstr>_Toc528661822</vt:lpwstr>
      </vt:variant>
      <vt:variant>
        <vt:i4>1048627</vt:i4>
      </vt:variant>
      <vt:variant>
        <vt:i4>110</vt:i4>
      </vt:variant>
      <vt:variant>
        <vt:i4>0</vt:i4>
      </vt:variant>
      <vt:variant>
        <vt:i4>5</vt:i4>
      </vt:variant>
      <vt:variant>
        <vt:lpwstr/>
      </vt:variant>
      <vt:variant>
        <vt:lpwstr>_Toc528661821</vt:lpwstr>
      </vt:variant>
      <vt:variant>
        <vt:i4>1048627</vt:i4>
      </vt:variant>
      <vt:variant>
        <vt:i4>104</vt:i4>
      </vt:variant>
      <vt:variant>
        <vt:i4>0</vt:i4>
      </vt:variant>
      <vt:variant>
        <vt:i4>5</vt:i4>
      </vt:variant>
      <vt:variant>
        <vt:lpwstr/>
      </vt:variant>
      <vt:variant>
        <vt:lpwstr>_Toc528661820</vt:lpwstr>
      </vt:variant>
      <vt:variant>
        <vt:i4>1245235</vt:i4>
      </vt:variant>
      <vt:variant>
        <vt:i4>98</vt:i4>
      </vt:variant>
      <vt:variant>
        <vt:i4>0</vt:i4>
      </vt:variant>
      <vt:variant>
        <vt:i4>5</vt:i4>
      </vt:variant>
      <vt:variant>
        <vt:lpwstr/>
      </vt:variant>
      <vt:variant>
        <vt:lpwstr>_Toc528661819</vt:lpwstr>
      </vt:variant>
      <vt:variant>
        <vt:i4>1245235</vt:i4>
      </vt:variant>
      <vt:variant>
        <vt:i4>92</vt:i4>
      </vt:variant>
      <vt:variant>
        <vt:i4>0</vt:i4>
      </vt:variant>
      <vt:variant>
        <vt:i4>5</vt:i4>
      </vt:variant>
      <vt:variant>
        <vt:lpwstr/>
      </vt:variant>
      <vt:variant>
        <vt:lpwstr>_Toc528661818</vt:lpwstr>
      </vt:variant>
      <vt:variant>
        <vt:i4>1245235</vt:i4>
      </vt:variant>
      <vt:variant>
        <vt:i4>86</vt:i4>
      </vt:variant>
      <vt:variant>
        <vt:i4>0</vt:i4>
      </vt:variant>
      <vt:variant>
        <vt:i4>5</vt:i4>
      </vt:variant>
      <vt:variant>
        <vt:lpwstr/>
      </vt:variant>
      <vt:variant>
        <vt:lpwstr>_Toc528661817</vt:lpwstr>
      </vt:variant>
      <vt:variant>
        <vt:i4>1245235</vt:i4>
      </vt:variant>
      <vt:variant>
        <vt:i4>80</vt:i4>
      </vt:variant>
      <vt:variant>
        <vt:i4>0</vt:i4>
      </vt:variant>
      <vt:variant>
        <vt:i4>5</vt:i4>
      </vt:variant>
      <vt:variant>
        <vt:lpwstr/>
      </vt:variant>
      <vt:variant>
        <vt:lpwstr>_Toc528661816</vt:lpwstr>
      </vt:variant>
      <vt:variant>
        <vt:i4>1245235</vt:i4>
      </vt:variant>
      <vt:variant>
        <vt:i4>74</vt:i4>
      </vt:variant>
      <vt:variant>
        <vt:i4>0</vt:i4>
      </vt:variant>
      <vt:variant>
        <vt:i4>5</vt:i4>
      </vt:variant>
      <vt:variant>
        <vt:lpwstr/>
      </vt:variant>
      <vt:variant>
        <vt:lpwstr>_Toc528661815</vt:lpwstr>
      </vt:variant>
      <vt:variant>
        <vt:i4>1245235</vt:i4>
      </vt:variant>
      <vt:variant>
        <vt:i4>68</vt:i4>
      </vt:variant>
      <vt:variant>
        <vt:i4>0</vt:i4>
      </vt:variant>
      <vt:variant>
        <vt:i4>5</vt:i4>
      </vt:variant>
      <vt:variant>
        <vt:lpwstr/>
      </vt:variant>
      <vt:variant>
        <vt:lpwstr>_Toc528661814</vt:lpwstr>
      </vt:variant>
      <vt:variant>
        <vt:i4>1245235</vt:i4>
      </vt:variant>
      <vt:variant>
        <vt:i4>62</vt:i4>
      </vt:variant>
      <vt:variant>
        <vt:i4>0</vt:i4>
      </vt:variant>
      <vt:variant>
        <vt:i4>5</vt:i4>
      </vt:variant>
      <vt:variant>
        <vt:lpwstr/>
      </vt:variant>
      <vt:variant>
        <vt:lpwstr>_Toc528661813</vt:lpwstr>
      </vt:variant>
      <vt:variant>
        <vt:i4>1245235</vt:i4>
      </vt:variant>
      <vt:variant>
        <vt:i4>56</vt:i4>
      </vt:variant>
      <vt:variant>
        <vt:i4>0</vt:i4>
      </vt:variant>
      <vt:variant>
        <vt:i4>5</vt:i4>
      </vt:variant>
      <vt:variant>
        <vt:lpwstr/>
      </vt:variant>
      <vt:variant>
        <vt:lpwstr>_Toc528661812</vt:lpwstr>
      </vt:variant>
      <vt:variant>
        <vt:i4>1245235</vt:i4>
      </vt:variant>
      <vt:variant>
        <vt:i4>50</vt:i4>
      </vt:variant>
      <vt:variant>
        <vt:i4>0</vt:i4>
      </vt:variant>
      <vt:variant>
        <vt:i4>5</vt:i4>
      </vt:variant>
      <vt:variant>
        <vt:lpwstr/>
      </vt:variant>
      <vt:variant>
        <vt:lpwstr>_Toc528661811</vt:lpwstr>
      </vt:variant>
      <vt:variant>
        <vt:i4>1245235</vt:i4>
      </vt:variant>
      <vt:variant>
        <vt:i4>44</vt:i4>
      </vt:variant>
      <vt:variant>
        <vt:i4>0</vt:i4>
      </vt:variant>
      <vt:variant>
        <vt:i4>5</vt:i4>
      </vt:variant>
      <vt:variant>
        <vt:lpwstr/>
      </vt:variant>
      <vt:variant>
        <vt:lpwstr>_Toc528661810</vt:lpwstr>
      </vt:variant>
      <vt:variant>
        <vt:i4>1179699</vt:i4>
      </vt:variant>
      <vt:variant>
        <vt:i4>38</vt:i4>
      </vt:variant>
      <vt:variant>
        <vt:i4>0</vt:i4>
      </vt:variant>
      <vt:variant>
        <vt:i4>5</vt:i4>
      </vt:variant>
      <vt:variant>
        <vt:lpwstr/>
      </vt:variant>
      <vt:variant>
        <vt:lpwstr>_Toc528661809</vt:lpwstr>
      </vt:variant>
      <vt:variant>
        <vt:i4>1179699</vt:i4>
      </vt:variant>
      <vt:variant>
        <vt:i4>32</vt:i4>
      </vt:variant>
      <vt:variant>
        <vt:i4>0</vt:i4>
      </vt:variant>
      <vt:variant>
        <vt:i4>5</vt:i4>
      </vt:variant>
      <vt:variant>
        <vt:lpwstr/>
      </vt:variant>
      <vt:variant>
        <vt:lpwstr>_Toc528661808</vt:lpwstr>
      </vt:variant>
      <vt:variant>
        <vt:i4>1179699</vt:i4>
      </vt:variant>
      <vt:variant>
        <vt:i4>26</vt:i4>
      </vt:variant>
      <vt:variant>
        <vt:i4>0</vt:i4>
      </vt:variant>
      <vt:variant>
        <vt:i4>5</vt:i4>
      </vt:variant>
      <vt:variant>
        <vt:lpwstr/>
      </vt:variant>
      <vt:variant>
        <vt:lpwstr>_Toc528661807</vt:lpwstr>
      </vt:variant>
      <vt:variant>
        <vt:i4>1179699</vt:i4>
      </vt:variant>
      <vt:variant>
        <vt:i4>20</vt:i4>
      </vt:variant>
      <vt:variant>
        <vt:i4>0</vt:i4>
      </vt:variant>
      <vt:variant>
        <vt:i4>5</vt:i4>
      </vt:variant>
      <vt:variant>
        <vt:lpwstr/>
      </vt:variant>
      <vt:variant>
        <vt:lpwstr>_Toc528661806</vt:lpwstr>
      </vt:variant>
      <vt:variant>
        <vt:i4>1179699</vt:i4>
      </vt:variant>
      <vt:variant>
        <vt:i4>14</vt:i4>
      </vt:variant>
      <vt:variant>
        <vt:i4>0</vt:i4>
      </vt:variant>
      <vt:variant>
        <vt:i4>5</vt:i4>
      </vt:variant>
      <vt:variant>
        <vt:lpwstr/>
      </vt:variant>
      <vt:variant>
        <vt:lpwstr>_Toc528661805</vt:lpwstr>
      </vt:variant>
      <vt:variant>
        <vt:i4>1179699</vt:i4>
      </vt:variant>
      <vt:variant>
        <vt:i4>8</vt:i4>
      </vt:variant>
      <vt:variant>
        <vt:i4>0</vt:i4>
      </vt:variant>
      <vt:variant>
        <vt:i4>5</vt:i4>
      </vt:variant>
      <vt:variant>
        <vt:lpwstr/>
      </vt:variant>
      <vt:variant>
        <vt:lpwstr>_Toc528661804</vt:lpwstr>
      </vt:variant>
      <vt:variant>
        <vt:i4>1179699</vt:i4>
      </vt:variant>
      <vt:variant>
        <vt:i4>2</vt:i4>
      </vt:variant>
      <vt:variant>
        <vt:i4>0</vt:i4>
      </vt:variant>
      <vt:variant>
        <vt:i4>5</vt:i4>
      </vt:variant>
      <vt:variant>
        <vt:lpwstr/>
      </vt:variant>
      <vt:variant>
        <vt:lpwstr>_Toc528661803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Claudia Umbarila Rodriguez</cp:lastModifiedBy>
  <cp:revision>2</cp:revision>
  <cp:lastPrinted>2018-12-21T13:37:00Z</cp:lastPrinted>
  <dcterms:created xsi:type="dcterms:W3CDTF">2021-10-29T21:07:00Z</dcterms:created>
  <dcterms:modified xsi:type="dcterms:W3CDTF">2021-10-29T21:07:00Z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